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A5232">
      <w:pPr>
        <w:pStyle w:val="3"/>
        <w:jc w:val="center"/>
        <w:rPr>
          <w:rFonts w:ascii="Times New Roman" w:hAnsi="Times New Roman"/>
          <w:sz w:val="36"/>
          <w:szCs w:val="36"/>
          <w:highlight w:val="none"/>
        </w:rPr>
      </w:pPr>
    </w:p>
    <w:p w14:paraId="5AE1FD27">
      <w:pPr>
        <w:pStyle w:val="3"/>
        <w:spacing w:after="0" w:afterAutospacing="0"/>
        <w:jc w:val="center"/>
        <w:rPr>
          <w:rFonts w:hint="eastAsia" w:ascii="Times New Roman" w:hAnsi="Times New Roman"/>
          <w:sz w:val="48"/>
          <w:highlight w:val="none"/>
          <w:lang w:val="en-US" w:eastAsia="zh-CN"/>
        </w:rPr>
      </w:pPr>
      <w:bookmarkStart w:id="0" w:name="_Toc29870"/>
      <w:bookmarkStart w:id="1" w:name="_Toc289"/>
      <w:bookmarkStart w:id="2" w:name="_Toc20621"/>
      <w:bookmarkStart w:id="3" w:name="_Toc105659843"/>
      <w:bookmarkStart w:id="4" w:name="_Toc113023545"/>
      <w:bookmarkStart w:id="5" w:name="_Toc113023293"/>
      <w:bookmarkStart w:id="6" w:name="_Toc124511865"/>
      <w:bookmarkStart w:id="7" w:name="_Toc107238058"/>
      <w:r>
        <w:rPr>
          <w:rFonts w:hint="eastAsia" w:ascii="Times New Roman" w:hAnsi="Times New Roman"/>
          <w:sz w:val="48"/>
          <w:highlight w:val="none"/>
          <w:lang w:val="en-US" w:eastAsia="zh-CN"/>
        </w:rPr>
        <w:t>绥芬河市新区供热有限责任公司燃煤</w:t>
      </w:r>
      <w:bookmarkEnd w:id="0"/>
      <w:bookmarkEnd w:id="1"/>
      <w:bookmarkEnd w:id="2"/>
    </w:p>
    <w:p w14:paraId="235F9353">
      <w:pPr>
        <w:pStyle w:val="3"/>
        <w:spacing w:after="0" w:afterAutospacing="0"/>
        <w:jc w:val="center"/>
        <w:rPr>
          <w:rFonts w:ascii="Times New Roman" w:hAnsi="Times New Roman"/>
          <w:sz w:val="48"/>
          <w:highlight w:val="none"/>
        </w:rPr>
      </w:pPr>
      <w:bookmarkStart w:id="8" w:name="_Toc12089"/>
      <w:bookmarkStart w:id="9" w:name="_Toc243"/>
      <w:bookmarkStart w:id="10" w:name="_Toc14874"/>
      <w:r>
        <w:rPr>
          <w:rFonts w:hint="eastAsia" w:ascii="Times New Roman" w:hAnsi="Times New Roman"/>
          <w:sz w:val="48"/>
          <w:highlight w:val="none"/>
          <w:lang w:val="en-US" w:eastAsia="zh-CN"/>
        </w:rPr>
        <w:t>供热锅炉建设项目</w:t>
      </w:r>
      <w:r>
        <w:rPr>
          <w:rFonts w:ascii="Times New Roman" w:hAnsi="Times New Roman"/>
          <w:sz w:val="48"/>
          <w:highlight w:val="none"/>
        </w:rPr>
        <w:t>环境影响报告书</w:t>
      </w:r>
      <w:bookmarkEnd w:id="3"/>
      <w:bookmarkEnd w:id="4"/>
      <w:bookmarkEnd w:id="5"/>
      <w:bookmarkEnd w:id="6"/>
      <w:bookmarkEnd w:id="7"/>
      <w:bookmarkEnd w:id="8"/>
      <w:bookmarkEnd w:id="9"/>
      <w:bookmarkEnd w:id="10"/>
    </w:p>
    <w:p w14:paraId="689D496E">
      <w:pPr>
        <w:ind w:firstLine="0" w:firstLineChars="0"/>
        <w:jc w:val="center"/>
        <w:rPr>
          <w:rFonts w:ascii="Times New Roman" w:hAnsi="Times New Roman"/>
          <w:sz w:val="28"/>
          <w:highlight w:val="none"/>
        </w:rPr>
      </w:pPr>
    </w:p>
    <w:p w14:paraId="40A9C76F">
      <w:pPr>
        <w:ind w:firstLine="480"/>
        <w:rPr>
          <w:rFonts w:hint="eastAsia" w:ascii="Times New Roman" w:hAnsi="Times New Roman"/>
          <w:highlight w:val="none"/>
        </w:rPr>
      </w:pPr>
    </w:p>
    <w:p w14:paraId="0B6C2EBE">
      <w:pPr>
        <w:pStyle w:val="23"/>
        <w:ind w:firstLine="480"/>
        <w:rPr>
          <w:color w:val="auto"/>
          <w:highlight w:val="none"/>
        </w:rPr>
      </w:pPr>
    </w:p>
    <w:p w14:paraId="4CA9CE4A">
      <w:pPr>
        <w:pStyle w:val="7"/>
        <w:ind w:firstLine="480"/>
        <w:rPr>
          <w:rFonts w:hint="eastAsia" w:ascii="Times New Roman" w:hAnsi="Times New Roman"/>
          <w:highlight w:val="none"/>
        </w:rPr>
      </w:pPr>
    </w:p>
    <w:p w14:paraId="3D804D65">
      <w:pPr>
        <w:ind w:firstLine="480"/>
        <w:rPr>
          <w:highlight w:val="none"/>
        </w:rPr>
      </w:pPr>
    </w:p>
    <w:p w14:paraId="1D91424A">
      <w:pPr>
        <w:ind w:firstLine="480"/>
        <w:rPr>
          <w:rFonts w:ascii="Times New Roman" w:hAnsi="Times New Roman"/>
          <w:highlight w:val="none"/>
        </w:rPr>
      </w:pPr>
    </w:p>
    <w:p w14:paraId="2A221C49">
      <w:pPr>
        <w:pStyle w:val="23"/>
        <w:ind w:firstLine="480"/>
        <w:rPr>
          <w:rFonts w:ascii="Times New Roman" w:hAnsi="Times New Roman"/>
          <w:color w:val="auto"/>
          <w:highlight w:val="none"/>
        </w:rPr>
      </w:pPr>
    </w:p>
    <w:p w14:paraId="7E98D2E0">
      <w:pPr>
        <w:ind w:firstLine="480"/>
        <w:rPr>
          <w:rFonts w:ascii="Times New Roman" w:hAnsi="Times New Roman"/>
          <w:highlight w:val="none"/>
        </w:rPr>
      </w:pPr>
    </w:p>
    <w:p w14:paraId="7597B240">
      <w:pPr>
        <w:ind w:firstLine="480"/>
        <w:rPr>
          <w:rFonts w:ascii="Times New Roman" w:hAnsi="Times New Roman"/>
          <w:highlight w:val="none"/>
        </w:rPr>
      </w:pPr>
    </w:p>
    <w:p w14:paraId="52C25A0B">
      <w:pPr>
        <w:ind w:firstLine="480"/>
        <w:rPr>
          <w:rFonts w:ascii="Times New Roman" w:hAnsi="Times New Roman"/>
          <w:highlight w:val="none"/>
        </w:rPr>
      </w:pPr>
    </w:p>
    <w:p w14:paraId="1B108F7F">
      <w:pPr>
        <w:ind w:firstLine="480"/>
        <w:rPr>
          <w:rFonts w:ascii="Times New Roman" w:hAnsi="Times New Roman"/>
          <w:highlight w:val="none"/>
        </w:rPr>
      </w:pPr>
    </w:p>
    <w:p w14:paraId="0167A8B8">
      <w:pPr>
        <w:ind w:firstLine="480"/>
        <w:rPr>
          <w:rFonts w:ascii="Times New Roman" w:hAnsi="Times New Roman"/>
          <w:highlight w:val="none"/>
        </w:rPr>
      </w:pPr>
    </w:p>
    <w:p w14:paraId="7E0B5D55">
      <w:pPr>
        <w:ind w:firstLine="0" w:firstLineChars="0"/>
        <w:jc w:val="center"/>
        <w:rPr>
          <w:rFonts w:ascii="Times New Roman" w:hAnsi="Times New Roman"/>
          <w:sz w:val="32"/>
          <w:highlight w:val="none"/>
        </w:rPr>
      </w:pPr>
      <w:r>
        <w:rPr>
          <w:rFonts w:ascii="Times New Roman" w:hAnsi="Times New Roman"/>
          <w:sz w:val="32"/>
          <w:highlight w:val="none"/>
        </w:rPr>
        <w:t>建设单位：</w:t>
      </w:r>
      <w:r>
        <w:rPr>
          <w:rFonts w:hint="eastAsia" w:ascii="Times New Roman" w:hAnsi="Times New Roman"/>
          <w:sz w:val="32"/>
          <w:highlight w:val="none"/>
          <w:lang w:val="en-US" w:eastAsia="zh-CN"/>
        </w:rPr>
        <w:t>绥芬河市新区供热有限责任</w:t>
      </w:r>
      <w:r>
        <w:rPr>
          <w:rFonts w:ascii="Times New Roman" w:hAnsi="Times New Roman"/>
          <w:sz w:val="32"/>
          <w:highlight w:val="none"/>
        </w:rPr>
        <w:t>公司</w:t>
      </w:r>
    </w:p>
    <w:p w14:paraId="59AAF560">
      <w:pPr>
        <w:ind w:firstLine="0" w:firstLineChars="0"/>
        <w:jc w:val="center"/>
        <w:rPr>
          <w:rFonts w:ascii="Times New Roman" w:hAnsi="Times New Roman"/>
          <w:sz w:val="32"/>
          <w:highlight w:val="none"/>
        </w:rPr>
      </w:pPr>
      <w:r>
        <w:rPr>
          <w:rFonts w:ascii="Times New Roman" w:hAnsi="Times New Roman"/>
          <w:sz w:val="32"/>
          <w:highlight w:val="none"/>
        </w:rPr>
        <w:t>编制单位：黑龙江</w:t>
      </w:r>
      <w:r>
        <w:rPr>
          <w:rFonts w:hint="eastAsia" w:ascii="Times New Roman" w:hAnsi="Times New Roman"/>
          <w:sz w:val="32"/>
          <w:highlight w:val="none"/>
          <w:lang w:val="en-US" w:eastAsia="zh-CN"/>
        </w:rPr>
        <w:t>克巽检测技术</w:t>
      </w:r>
      <w:r>
        <w:rPr>
          <w:rFonts w:ascii="Times New Roman" w:hAnsi="Times New Roman"/>
          <w:sz w:val="32"/>
          <w:highlight w:val="none"/>
        </w:rPr>
        <w:t>有限公司</w:t>
      </w:r>
    </w:p>
    <w:p w14:paraId="43786C00">
      <w:pPr>
        <w:ind w:firstLine="0" w:firstLineChars="0"/>
        <w:jc w:val="center"/>
        <w:rPr>
          <w:rFonts w:ascii="Times New Roman" w:hAnsi="Times New Roman"/>
          <w:highlight w:val="none"/>
        </w:rPr>
      </w:pPr>
    </w:p>
    <w:p w14:paraId="148D3516">
      <w:pPr>
        <w:ind w:firstLine="0" w:firstLineChars="0"/>
        <w:jc w:val="center"/>
        <w:rPr>
          <w:rFonts w:ascii="Times New Roman" w:hAnsi="Times New Roman"/>
          <w:sz w:val="32"/>
          <w:highlight w:val="none"/>
        </w:rPr>
      </w:pPr>
      <w:r>
        <w:rPr>
          <w:rFonts w:ascii="Times New Roman" w:hAnsi="Times New Roman"/>
          <w:sz w:val="32"/>
          <w:highlight w:val="none"/>
        </w:rPr>
        <w:t>编制日期：202</w:t>
      </w:r>
      <w:r>
        <w:rPr>
          <w:rFonts w:hint="eastAsia" w:ascii="Times New Roman" w:hAnsi="Times New Roman"/>
          <w:sz w:val="32"/>
          <w:highlight w:val="none"/>
          <w:lang w:val="en-US" w:eastAsia="zh-CN"/>
        </w:rPr>
        <w:t>5</w:t>
      </w:r>
      <w:r>
        <w:rPr>
          <w:rFonts w:ascii="Times New Roman" w:hAnsi="Times New Roman"/>
          <w:sz w:val="32"/>
          <w:highlight w:val="none"/>
        </w:rPr>
        <w:t>年</w:t>
      </w:r>
      <w:r>
        <w:rPr>
          <w:rFonts w:hint="eastAsia" w:ascii="Times New Roman" w:hAnsi="Times New Roman"/>
          <w:sz w:val="32"/>
          <w:highlight w:val="none"/>
          <w:lang w:val="en-US" w:eastAsia="zh-CN"/>
        </w:rPr>
        <w:t>11</w:t>
      </w:r>
      <w:r>
        <w:rPr>
          <w:rFonts w:ascii="Times New Roman" w:hAnsi="Times New Roman"/>
          <w:sz w:val="32"/>
          <w:highlight w:val="none"/>
        </w:rPr>
        <w:t>月</w:t>
      </w:r>
    </w:p>
    <w:p w14:paraId="541942AF">
      <w:pPr>
        <w:rPr>
          <w:highlight w:val="none"/>
        </w:rPr>
      </w:pPr>
    </w:p>
    <w:p w14:paraId="721A2F76">
      <w:pPr>
        <w:pStyle w:val="23"/>
        <w:rPr>
          <w:highlight w:val="none"/>
        </w:rPr>
      </w:pPr>
    </w:p>
    <w:p w14:paraId="1CCB4CA1">
      <w:pPr>
        <w:rPr>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sdt>
      <w:sdtPr>
        <w:rPr>
          <w:rFonts w:ascii="宋体" w:hAnsi="宋体" w:eastAsia="宋体" w:cs="Times New Roman"/>
          <w:kern w:val="2"/>
          <w:sz w:val="21"/>
          <w:szCs w:val="22"/>
          <w:highlight w:val="none"/>
          <w:lang w:val="en-US" w:eastAsia="zh-CN" w:bidi="ar-SA"/>
        </w:rPr>
        <w:id w:val="147469389"/>
        <w15:color w:val="DBDBDB"/>
        <w:docPartObj>
          <w:docPartGallery w:val="Table of Contents"/>
          <w:docPartUnique/>
        </w:docPartObj>
      </w:sdtPr>
      <w:sdtEndPr>
        <w:rPr>
          <w:rFonts w:ascii="Times New Roman" w:hAnsi="Times New Roman" w:eastAsia="宋体" w:cs="Times New Roman"/>
          <w:kern w:val="2"/>
          <w:sz w:val="21"/>
          <w:szCs w:val="24"/>
          <w:highlight w:val="none"/>
          <w:lang w:val="en-US" w:eastAsia="zh-CN" w:bidi="ar-SA"/>
        </w:rPr>
      </w:sdtEndPr>
      <w:sdtContent>
        <w:p w14:paraId="5FC9B4F6">
          <w:pPr>
            <w:spacing w:before="0" w:beforeLines="0" w:after="0" w:afterLines="0" w:line="240" w:lineRule="auto"/>
            <w:ind w:left="0" w:leftChars="0" w:right="0" w:rightChars="0" w:firstLine="0" w:firstLineChars="0"/>
            <w:jc w:val="center"/>
            <w:rPr>
              <w:highlight w:val="none"/>
            </w:rPr>
          </w:pPr>
          <w:r>
            <w:rPr>
              <w:rFonts w:ascii="宋体" w:hAnsi="宋体" w:eastAsia="宋体"/>
              <w:sz w:val="28"/>
              <w:szCs w:val="28"/>
              <w:highlight w:val="none"/>
            </w:rPr>
            <w:t>目</w:t>
          </w:r>
          <w:r>
            <w:rPr>
              <w:rFonts w:hint="eastAsia" w:ascii="宋体" w:hAnsi="宋体" w:eastAsia="宋体"/>
              <w:sz w:val="28"/>
              <w:szCs w:val="28"/>
              <w:highlight w:val="none"/>
              <w:lang w:val="en-US" w:eastAsia="zh-CN"/>
            </w:rPr>
            <w:t xml:space="preserve">  </w:t>
          </w:r>
          <w:r>
            <w:rPr>
              <w:rFonts w:ascii="宋体" w:hAnsi="宋体" w:eastAsia="宋体"/>
              <w:sz w:val="28"/>
              <w:szCs w:val="28"/>
              <w:highlight w:val="none"/>
            </w:rPr>
            <w:t>录</w:t>
          </w:r>
        </w:p>
        <w:p w14:paraId="3436D6CA">
          <w:pPr>
            <w:pStyle w:val="14"/>
            <w:keepNext w:val="0"/>
            <w:keepLines w:val="0"/>
            <w:pageBreakBefore w:val="0"/>
            <w:widowControl w:val="0"/>
            <w:tabs>
              <w:tab w:val="left" w:pos="928"/>
            </w:tabs>
            <w:kinsoku/>
            <w:wordWrap/>
            <w:overflowPunct/>
            <w:topLinePunct w:val="0"/>
            <w:autoSpaceDE/>
            <w:autoSpaceDN/>
            <w:bidi w:val="0"/>
            <w:adjustRightInd/>
            <w:snapToGrid/>
            <w:spacing w:line="240" w:lineRule="auto"/>
            <w:ind w:firstLine="0" w:firstLineChars="0"/>
            <w:textAlignment w:val="auto"/>
          </w:pPr>
          <w:r>
            <w:rPr>
              <w:rFonts w:hint="eastAsia"/>
              <w:sz w:val="21"/>
              <w:szCs w:val="21"/>
              <w:highlight w:val="none"/>
              <w:lang w:eastAsia="zh-CN"/>
            </w:rPr>
            <w:tab/>
          </w:r>
          <w:r>
            <w:rPr>
              <w:sz w:val="21"/>
              <w:szCs w:val="21"/>
              <w:highlight w:val="none"/>
            </w:rPr>
            <w:fldChar w:fldCharType="begin"/>
          </w:r>
          <w:r>
            <w:rPr>
              <w:sz w:val="21"/>
              <w:szCs w:val="21"/>
              <w:highlight w:val="none"/>
            </w:rPr>
            <w:instrText xml:space="preserve">TOC \o "1-3" \h \u </w:instrText>
          </w:r>
          <w:r>
            <w:rPr>
              <w:sz w:val="21"/>
              <w:szCs w:val="21"/>
              <w:highlight w:val="none"/>
            </w:rPr>
            <w:fldChar w:fldCharType="separate"/>
          </w:r>
        </w:p>
        <w:p w14:paraId="075B3518">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_Toc31002 </w:instrText>
          </w:r>
          <w:r>
            <w:rPr>
              <w:sz w:val="21"/>
              <w:szCs w:val="21"/>
              <w:highlight w:val="none"/>
            </w:rPr>
            <w:fldChar w:fldCharType="separate"/>
          </w:r>
          <w:r>
            <w:rPr>
              <w:rFonts w:hint="eastAsia"/>
              <w:sz w:val="21"/>
              <w:szCs w:val="21"/>
              <w:highlight w:val="none"/>
              <w:lang w:val="en-US" w:eastAsia="zh-CN"/>
            </w:rPr>
            <w:t>1概述</w:t>
          </w:r>
          <w:r>
            <w:rPr>
              <w:sz w:val="21"/>
              <w:szCs w:val="21"/>
            </w:rPr>
            <w:tab/>
          </w:r>
          <w:r>
            <w:rPr>
              <w:sz w:val="21"/>
              <w:szCs w:val="21"/>
            </w:rPr>
            <w:fldChar w:fldCharType="begin"/>
          </w:r>
          <w:r>
            <w:rPr>
              <w:sz w:val="21"/>
              <w:szCs w:val="21"/>
            </w:rPr>
            <w:instrText xml:space="preserve"> PAGEREF _Toc31002 \h </w:instrText>
          </w:r>
          <w:r>
            <w:rPr>
              <w:sz w:val="21"/>
              <w:szCs w:val="21"/>
            </w:rPr>
            <w:fldChar w:fldCharType="separate"/>
          </w:r>
          <w:r>
            <w:rPr>
              <w:sz w:val="21"/>
              <w:szCs w:val="21"/>
            </w:rPr>
            <w:t>1</w:t>
          </w:r>
          <w:r>
            <w:rPr>
              <w:sz w:val="21"/>
              <w:szCs w:val="21"/>
            </w:rPr>
            <w:fldChar w:fldCharType="end"/>
          </w:r>
          <w:r>
            <w:rPr>
              <w:sz w:val="21"/>
              <w:szCs w:val="21"/>
              <w:highlight w:val="none"/>
            </w:rPr>
            <w:fldChar w:fldCharType="end"/>
          </w:r>
        </w:p>
        <w:p w14:paraId="7F8C93E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_Toc11323 </w:instrText>
          </w:r>
          <w:r>
            <w:rPr>
              <w:sz w:val="21"/>
              <w:szCs w:val="21"/>
              <w:highlight w:val="none"/>
            </w:rPr>
            <w:fldChar w:fldCharType="separate"/>
          </w:r>
          <w:r>
            <w:rPr>
              <w:rFonts w:hint="eastAsia"/>
              <w:sz w:val="21"/>
              <w:szCs w:val="21"/>
              <w:highlight w:val="none"/>
              <w:lang w:val="en-US" w:eastAsia="zh-CN"/>
            </w:rPr>
            <w:t>1.1建设项目由来</w:t>
          </w:r>
          <w:r>
            <w:rPr>
              <w:sz w:val="21"/>
              <w:szCs w:val="21"/>
            </w:rPr>
            <w:tab/>
          </w:r>
          <w:r>
            <w:rPr>
              <w:sz w:val="21"/>
              <w:szCs w:val="21"/>
            </w:rPr>
            <w:fldChar w:fldCharType="begin"/>
          </w:r>
          <w:r>
            <w:rPr>
              <w:sz w:val="21"/>
              <w:szCs w:val="21"/>
            </w:rPr>
            <w:instrText xml:space="preserve"> PAGEREF _Toc11323 \h </w:instrText>
          </w:r>
          <w:r>
            <w:rPr>
              <w:sz w:val="21"/>
              <w:szCs w:val="21"/>
            </w:rPr>
            <w:fldChar w:fldCharType="separate"/>
          </w:r>
          <w:r>
            <w:rPr>
              <w:sz w:val="21"/>
              <w:szCs w:val="21"/>
            </w:rPr>
            <w:t>1</w:t>
          </w:r>
          <w:r>
            <w:rPr>
              <w:sz w:val="21"/>
              <w:szCs w:val="21"/>
            </w:rPr>
            <w:fldChar w:fldCharType="end"/>
          </w:r>
          <w:r>
            <w:rPr>
              <w:sz w:val="21"/>
              <w:szCs w:val="21"/>
              <w:highlight w:val="none"/>
            </w:rPr>
            <w:fldChar w:fldCharType="end"/>
          </w:r>
        </w:p>
        <w:p w14:paraId="7F017DA0">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_Toc30918 </w:instrText>
          </w:r>
          <w:r>
            <w:rPr>
              <w:sz w:val="21"/>
              <w:szCs w:val="21"/>
              <w:highlight w:val="none"/>
            </w:rPr>
            <w:fldChar w:fldCharType="separate"/>
          </w:r>
          <w:r>
            <w:rPr>
              <w:rFonts w:hint="eastAsia"/>
              <w:sz w:val="21"/>
              <w:szCs w:val="21"/>
              <w:highlight w:val="none"/>
              <w:lang w:val="en-US" w:eastAsia="zh-CN"/>
            </w:rPr>
            <w:t>1.2</w:t>
          </w:r>
          <w:r>
            <w:rPr>
              <w:rFonts w:ascii="Times New Roman" w:hAnsi="Times New Roman"/>
              <w:sz w:val="21"/>
              <w:szCs w:val="21"/>
              <w:highlight w:val="none"/>
            </w:rPr>
            <w:t>建设项目的特点</w:t>
          </w:r>
          <w:r>
            <w:rPr>
              <w:sz w:val="21"/>
              <w:szCs w:val="21"/>
            </w:rPr>
            <w:tab/>
          </w:r>
          <w:r>
            <w:rPr>
              <w:sz w:val="21"/>
              <w:szCs w:val="21"/>
            </w:rPr>
            <w:fldChar w:fldCharType="begin"/>
          </w:r>
          <w:r>
            <w:rPr>
              <w:sz w:val="21"/>
              <w:szCs w:val="21"/>
            </w:rPr>
            <w:instrText xml:space="preserve"> PAGEREF _Toc30918 \h </w:instrText>
          </w:r>
          <w:r>
            <w:rPr>
              <w:sz w:val="21"/>
              <w:szCs w:val="21"/>
            </w:rPr>
            <w:fldChar w:fldCharType="separate"/>
          </w:r>
          <w:r>
            <w:rPr>
              <w:sz w:val="21"/>
              <w:szCs w:val="21"/>
            </w:rPr>
            <w:t>2</w:t>
          </w:r>
          <w:r>
            <w:rPr>
              <w:sz w:val="21"/>
              <w:szCs w:val="21"/>
            </w:rPr>
            <w:fldChar w:fldCharType="end"/>
          </w:r>
          <w:r>
            <w:rPr>
              <w:sz w:val="21"/>
              <w:szCs w:val="21"/>
              <w:highlight w:val="none"/>
            </w:rPr>
            <w:fldChar w:fldCharType="end"/>
          </w:r>
        </w:p>
        <w:p w14:paraId="770C687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_Toc30544 </w:instrText>
          </w:r>
          <w:r>
            <w:rPr>
              <w:sz w:val="21"/>
              <w:szCs w:val="21"/>
              <w:highlight w:val="none"/>
            </w:rPr>
            <w:fldChar w:fldCharType="separate"/>
          </w:r>
          <w:r>
            <w:rPr>
              <w:rFonts w:hint="eastAsia"/>
              <w:sz w:val="21"/>
              <w:szCs w:val="21"/>
              <w:highlight w:val="none"/>
              <w:lang w:val="en-US" w:eastAsia="zh-CN"/>
            </w:rPr>
            <w:t>1.3环境影响评价工作过程</w:t>
          </w:r>
          <w:r>
            <w:rPr>
              <w:sz w:val="21"/>
              <w:szCs w:val="21"/>
            </w:rPr>
            <w:tab/>
          </w:r>
          <w:r>
            <w:rPr>
              <w:sz w:val="21"/>
              <w:szCs w:val="21"/>
            </w:rPr>
            <w:fldChar w:fldCharType="begin"/>
          </w:r>
          <w:r>
            <w:rPr>
              <w:sz w:val="21"/>
              <w:szCs w:val="21"/>
            </w:rPr>
            <w:instrText xml:space="preserve"> PAGEREF _Toc30544 \h </w:instrText>
          </w:r>
          <w:r>
            <w:rPr>
              <w:sz w:val="21"/>
              <w:szCs w:val="21"/>
            </w:rPr>
            <w:fldChar w:fldCharType="separate"/>
          </w:r>
          <w:r>
            <w:rPr>
              <w:sz w:val="21"/>
              <w:szCs w:val="21"/>
            </w:rPr>
            <w:t>3</w:t>
          </w:r>
          <w:r>
            <w:rPr>
              <w:sz w:val="21"/>
              <w:szCs w:val="21"/>
            </w:rPr>
            <w:fldChar w:fldCharType="end"/>
          </w:r>
          <w:r>
            <w:rPr>
              <w:sz w:val="21"/>
              <w:szCs w:val="21"/>
              <w:highlight w:val="none"/>
            </w:rPr>
            <w:fldChar w:fldCharType="end"/>
          </w:r>
        </w:p>
        <w:p w14:paraId="19F14AC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_Toc19812 </w:instrText>
          </w:r>
          <w:r>
            <w:rPr>
              <w:sz w:val="21"/>
              <w:szCs w:val="21"/>
              <w:highlight w:val="none"/>
            </w:rPr>
            <w:fldChar w:fldCharType="separate"/>
          </w:r>
          <w:r>
            <w:rPr>
              <w:rFonts w:hint="eastAsia"/>
              <w:sz w:val="21"/>
              <w:szCs w:val="21"/>
              <w:highlight w:val="none"/>
              <w:lang w:val="en-US" w:eastAsia="zh-CN"/>
            </w:rPr>
            <w:t>1.4分析判定相关情况</w:t>
          </w:r>
          <w:r>
            <w:rPr>
              <w:sz w:val="21"/>
              <w:szCs w:val="21"/>
            </w:rPr>
            <w:tab/>
          </w:r>
          <w:r>
            <w:rPr>
              <w:sz w:val="21"/>
              <w:szCs w:val="21"/>
            </w:rPr>
            <w:fldChar w:fldCharType="begin"/>
          </w:r>
          <w:r>
            <w:rPr>
              <w:sz w:val="21"/>
              <w:szCs w:val="21"/>
            </w:rPr>
            <w:instrText xml:space="preserve"> PAGEREF _Toc19812 \h </w:instrText>
          </w:r>
          <w:r>
            <w:rPr>
              <w:sz w:val="21"/>
              <w:szCs w:val="21"/>
            </w:rPr>
            <w:fldChar w:fldCharType="separate"/>
          </w:r>
          <w:r>
            <w:rPr>
              <w:sz w:val="21"/>
              <w:szCs w:val="21"/>
            </w:rPr>
            <w:t>5</w:t>
          </w:r>
          <w:r>
            <w:rPr>
              <w:sz w:val="21"/>
              <w:szCs w:val="21"/>
            </w:rPr>
            <w:fldChar w:fldCharType="end"/>
          </w:r>
          <w:r>
            <w:rPr>
              <w:sz w:val="21"/>
              <w:szCs w:val="21"/>
              <w:highlight w:val="none"/>
            </w:rPr>
            <w:fldChar w:fldCharType="end"/>
          </w:r>
        </w:p>
        <w:p w14:paraId="7E3DD68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_Toc7040 </w:instrText>
          </w:r>
          <w:r>
            <w:rPr>
              <w:sz w:val="21"/>
              <w:szCs w:val="21"/>
              <w:highlight w:val="none"/>
            </w:rPr>
            <w:fldChar w:fldCharType="separate"/>
          </w:r>
          <w:r>
            <w:rPr>
              <w:rFonts w:hint="default" w:ascii="Times New Roman" w:hAnsi="Times New Roman" w:cs="Times New Roman"/>
              <w:sz w:val="21"/>
              <w:szCs w:val="21"/>
              <w:highlight w:val="none"/>
              <w:lang w:val="en-US" w:eastAsia="zh-CN"/>
            </w:rPr>
            <w:t>1.4.1</w:t>
          </w:r>
          <w:r>
            <w:rPr>
              <w:rFonts w:ascii="Times New Roman" w:hAnsi="Times New Roman"/>
              <w:sz w:val="21"/>
              <w:szCs w:val="21"/>
              <w:highlight w:val="none"/>
            </w:rPr>
            <w:t>与《产业结构调整指导目录（</w:t>
          </w:r>
          <w:r>
            <w:rPr>
              <w:rFonts w:hint="eastAsia" w:ascii="Times New Roman" w:hAnsi="Times New Roman"/>
              <w:sz w:val="21"/>
              <w:szCs w:val="21"/>
              <w:highlight w:val="none"/>
              <w:lang w:val="en-US" w:eastAsia="zh-CN"/>
            </w:rPr>
            <w:t>2024</w:t>
          </w:r>
          <w:r>
            <w:rPr>
              <w:rFonts w:ascii="Times New Roman" w:hAnsi="Times New Roman"/>
              <w:sz w:val="21"/>
              <w:szCs w:val="21"/>
              <w:highlight w:val="none"/>
            </w:rPr>
            <w:t>年本）》的符合性</w:t>
          </w:r>
          <w:r>
            <w:rPr>
              <w:rFonts w:hint="eastAsia" w:ascii="Times New Roman" w:hAnsi="Times New Roman"/>
              <w:sz w:val="21"/>
              <w:szCs w:val="21"/>
              <w:highlight w:val="none"/>
              <w:lang w:val="en-US" w:eastAsia="zh-CN"/>
            </w:rPr>
            <w:t>分析</w:t>
          </w:r>
          <w:r>
            <w:rPr>
              <w:sz w:val="21"/>
              <w:szCs w:val="21"/>
            </w:rPr>
            <w:tab/>
          </w:r>
          <w:r>
            <w:rPr>
              <w:sz w:val="21"/>
              <w:szCs w:val="21"/>
            </w:rPr>
            <w:fldChar w:fldCharType="begin"/>
          </w:r>
          <w:r>
            <w:rPr>
              <w:sz w:val="21"/>
              <w:szCs w:val="21"/>
            </w:rPr>
            <w:instrText xml:space="preserve"> PAGEREF _Toc7040 \h </w:instrText>
          </w:r>
          <w:r>
            <w:rPr>
              <w:sz w:val="21"/>
              <w:szCs w:val="21"/>
            </w:rPr>
            <w:fldChar w:fldCharType="separate"/>
          </w:r>
          <w:r>
            <w:rPr>
              <w:sz w:val="21"/>
              <w:szCs w:val="21"/>
            </w:rPr>
            <w:t>5</w:t>
          </w:r>
          <w:r>
            <w:rPr>
              <w:sz w:val="21"/>
              <w:szCs w:val="21"/>
            </w:rPr>
            <w:fldChar w:fldCharType="end"/>
          </w:r>
          <w:r>
            <w:rPr>
              <w:sz w:val="21"/>
              <w:szCs w:val="21"/>
              <w:highlight w:val="none"/>
            </w:rPr>
            <w:fldChar w:fldCharType="end"/>
          </w:r>
        </w:p>
        <w:p w14:paraId="7A537B8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_Toc12243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1.4.2生态环境分区管控符合性分析</w:t>
          </w:r>
          <w:r>
            <w:rPr>
              <w:sz w:val="21"/>
              <w:szCs w:val="21"/>
            </w:rPr>
            <w:tab/>
          </w:r>
          <w:r>
            <w:rPr>
              <w:sz w:val="21"/>
              <w:szCs w:val="21"/>
            </w:rPr>
            <w:fldChar w:fldCharType="begin"/>
          </w:r>
          <w:r>
            <w:rPr>
              <w:sz w:val="21"/>
              <w:szCs w:val="21"/>
            </w:rPr>
            <w:instrText xml:space="preserve"> PAGEREF _Toc12243 \h </w:instrText>
          </w:r>
          <w:r>
            <w:rPr>
              <w:sz w:val="21"/>
              <w:szCs w:val="21"/>
            </w:rPr>
            <w:fldChar w:fldCharType="separate"/>
          </w:r>
          <w:r>
            <w:rPr>
              <w:sz w:val="21"/>
              <w:szCs w:val="21"/>
            </w:rPr>
            <w:t>5</w:t>
          </w:r>
          <w:r>
            <w:rPr>
              <w:sz w:val="21"/>
              <w:szCs w:val="21"/>
            </w:rPr>
            <w:fldChar w:fldCharType="end"/>
          </w:r>
          <w:r>
            <w:rPr>
              <w:sz w:val="21"/>
              <w:szCs w:val="21"/>
              <w:highlight w:val="none"/>
            </w:rPr>
            <w:fldChar w:fldCharType="end"/>
          </w:r>
        </w:p>
        <w:p w14:paraId="68C1D7B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_Toc26580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1.4.3选址合理性及厂区布局合理性分析</w:t>
          </w:r>
          <w:r>
            <w:rPr>
              <w:sz w:val="21"/>
              <w:szCs w:val="21"/>
            </w:rPr>
            <w:tab/>
          </w:r>
          <w:r>
            <w:rPr>
              <w:sz w:val="21"/>
              <w:szCs w:val="21"/>
            </w:rPr>
            <w:fldChar w:fldCharType="begin"/>
          </w:r>
          <w:r>
            <w:rPr>
              <w:sz w:val="21"/>
              <w:szCs w:val="21"/>
            </w:rPr>
            <w:instrText xml:space="preserve"> PAGEREF _Toc26580 \h </w:instrText>
          </w:r>
          <w:r>
            <w:rPr>
              <w:sz w:val="21"/>
              <w:szCs w:val="21"/>
            </w:rPr>
            <w:fldChar w:fldCharType="separate"/>
          </w:r>
          <w:r>
            <w:rPr>
              <w:sz w:val="21"/>
              <w:szCs w:val="21"/>
            </w:rPr>
            <w:t>14</w:t>
          </w:r>
          <w:r>
            <w:rPr>
              <w:sz w:val="21"/>
              <w:szCs w:val="21"/>
            </w:rPr>
            <w:fldChar w:fldCharType="end"/>
          </w:r>
          <w:r>
            <w:rPr>
              <w:sz w:val="21"/>
              <w:szCs w:val="21"/>
              <w:highlight w:val="none"/>
            </w:rPr>
            <w:fldChar w:fldCharType="end"/>
          </w:r>
        </w:p>
        <w:p w14:paraId="1FFE372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_Toc19989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1.4.4</w:t>
          </w:r>
          <w:r>
            <w:rPr>
              <w:rFonts w:ascii="Times New Roman" w:hAnsi="Times New Roman" w:eastAsia="宋体" w:cs="Times New Roman"/>
              <w:bCs/>
              <w:sz w:val="21"/>
              <w:szCs w:val="21"/>
              <w:highlight w:val="none"/>
            </w:rPr>
            <w:t>与《关于做好环境影响评价制度与排污许可制衔接相关工作的通知》符合性分析</w:t>
          </w:r>
          <w:r>
            <w:rPr>
              <w:sz w:val="21"/>
              <w:szCs w:val="21"/>
            </w:rPr>
            <w:tab/>
          </w:r>
          <w:r>
            <w:rPr>
              <w:sz w:val="21"/>
              <w:szCs w:val="21"/>
            </w:rPr>
            <w:fldChar w:fldCharType="begin"/>
          </w:r>
          <w:r>
            <w:rPr>
              <w:sz w:val="21"/>
              <w:szCs w:val="21"/>
            </w:rPr>
            <w:instrText xml:space="preserve"> PAGEREF _Toc19989 \h </w:instrText>
          </w:r>
          <w:r>
            <w:rPr>
              <w:sz w:val="21"/>
              <w:szCs w:val="21"/>
            </w:rPr>
            <w:fldChar w:fldCharType="separate"/>
          </w:r>
          <w:r>
            <w:rPr>
              <w:sz w:val="21"/>
              <w:szCs w:val="21"/>
            </w:rPr>
            <w:t>14</w:t>
          </w:r>
          <w:r>
            <w:rPr>
              <w:sz w:val="21"/>
              <w:szCs w:val="21"/>
            </w:rPr>
            <w:fldChar w:fldCharType="end"/>
          </w:r>
          <w:r>
            <w:rPr>
              <w:sz w:val="21"/>
              <w:szCs w:val="21"/>
              <w:highlight w:val="none"/>
            </w:rPr>
            <w:fldChar w:fldCharType="end"/>
          </w:r>
        </w:p>
        <w:p w14:paraId="5D9F6FD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_Toc26871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1.4.5与《黑龙江省大气污染防治行动计划实施细则》符合性分析</w:t>
          </w:r>
          <w:r>
            <w:rPr>
              <w:sz w:val="21"/>
              <w:szCs w:val="21"/>
            </w:rPr>
            <w:tab/>
          </w:r>
          <w:r>
            <w:rPr>
              <w:sz w:val="21"/>
              <w:szCs w:val="21"/>
            </w:rPr>
            <w:fldChar w:fldCharType="begin"/>
          </w:r>
          <w:r>
            <w:rPr>
              <w:sz w:val="21"/>
              <w:szCs w:val="21"/>
            </w:rPr>
            <w:instrText xml:space="preserve"> PAGEREF _Toc26871 \h </w:instrText>
          </w:r>
          <w:r>
            <w:rPr>
              <w:sz w:val="21"/>
              <w:szCs w:val="21"/>
            </w:rPr>
            <w:fldChar w:fldCharType="separate"/>
          </w:r>
          <w:r>
            <w:rPr>
              <w:sz w:val="21"/>
              <w:szCs w:val="21"/>
            </w:rPr>
            <w:t>15</w:t>
          </w:r>
          <w:r>
            <w:rPr>
              <w:sz w:val="21"/>
              <w:szCs w:val="21"/>
            </w:rPr>
            <w:fldChar w:fldCharType="end"/>
          </w:r>
          <w:r>
            <w:rPr>
              <w:sz w:val="21"/>
              <w:szCs w:val="21"/>
              <w:highlight w:val="none"/>
            </w:rPr>
            <w:fldChar w:fldCharType="end"/>
          </w:r>
        </w:p>
        <w:p w14:paraId="1ABCAB0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_Toc1552 </w:instrText>
          </w:r>
          <w:r>
            <w:rPr>
              <w:sz w:val="21"/>
              <w:szCs w:val="21"/>
              <w:highlight w:val="none"/>
            </w:rPr>
            <w:fldChar w:fldCharType="separate"/>
          </w:r>
          <w:r>
            <w:rPr>
              <w:rFonts w:hint="default" w:ascii="Times New Roman" w:hAnsi="Times New Roman" w:eastAsia="宋体" w:cs="Times New Roman"/>
              <w:bCs/>
              <w:sz w:val="21"/>
              <w:szCs w:val="21"/>
              <w:highlight w:val="none"/>
              <w:lang w:val="en-US" w:eastAsia="zh-CN"/>
            </w:rPr>
            <w:t>1.4.</w:t>
          </w:r>
          <w:r>
            <w:rPr>
              <w:rFonts w:hint="eastAsia" w:ascii="Times New Roman" w:hAnsi="Times New Roman" w:eastAsia="宋体" w:cs="Times New Roman"/>
              <w:bCs/>
              <w:sz w:val="21"/>
              <w:szCs w:val="21"/>
              <w:highlight w:val="none"/>
              <w:lang w:val="en-US" w:eastAsia="zh-CN"/>
            </w:rPr>
            <w:t>6与《黑龙江省大气污染防治条例》符合性分析</w:t>
          </w:r>
          <w:r>
            <w:rPr>
              <w:sz w:val="21"/>
              <w:szCs w:val="21"/>
            </w:rPr>
            <w:tab/>
          </w:r>
          <w:r>
            <w:rPr>
              <w:sz w:val="21"/>
              <w:szCs w:val="21"/>
            </w:rPr>
            <w:fldChar w:fldCharType="begin"/>
          </w:r>
          <w:r>
            <w:rPr>
              <w:sz w:val="21"/>
              <w:szCs w:val="21"/>
            </w:rPr>
            <w:instrText xml:space="preserve"> PAGEREF _Toc1552 \h </w:instrText>
          </w:r>
          <w:r>
            <w:rPr>
              <w:sz w:val="21"/>
              <w:szCs w:val="21"/>
            </w:rPr>
            <w:fldChar w:fldCharType="separate"/>
          </w:r>
          <w:r>
            <w:rPr>
              <w:sz w:val="21"/>
              <w:szCs w:val="21"/>
            </w:rPr>
            <w:t>16</w:t>
          </w:r>
          <w:r>
            <w:rPr>
              <w:sz w:val="21"/>
              <w:szCs w:val="21"/>
            </w:rPr>
            <w:fldChar w:fldCharType="end"/>
          </w:r>
          <w:r>
            <w:rPr>
              <w:sz w:val="21"/>
              <w:szCs w:val="21"/>
              <w:highlight w:val="none"/>
            </w:rPr>
            <w:fldChar w:fldCharType="end"/>
          </w:r>
        </w:p>
        <w:p w14:paraId="7B3424E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_Toc8569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1.4.7与《黑龙江省人民政府关于全面加强生态环境保护坚决打好污染防治攻坚战的实施意见》（2018年9月14日）符合性分析</w:t>
          </w:r>
          <w:r>
            <w:rPr>
              <w:sz w:val="21"/>
              <w:szCs w:val="21"/>
            </w:rPr>
            <w:tab/>
          </w:r>
          <w:r>
            <w:rPr>
              <w:sz w:val="21"/>
              <w:szCs w:val="21"/>
            </w:rPr>
            <w:fldChar w:fldCharType="begin"/>
          </w:r>
          <w:r>
            <w:rPr>
              <w:sz w:val="21"/>
              <w:szCs w:val="21"/>
            </w:rPr>
            <w:instrText xml:space="preserve"> PAGEREF _Toc8569 \h </w:instrText>
          </w:r>
          <w:r>
            <w:rPr>
              <w:sz w:val="21"/>
              <w:szCs w:val="21"/>
            </w:rPr>
            <w:fldChar w:fldCharType="separate"/>
          </w:r>
          <w:r>
            <w:rPr>
              <w:sz w:val="21"/>
              <w:szCs w:val="21"/>
            </w:rPr>
            <w:t>16</w:t>
          </w:r>
          <w:r>
            <w:rPr>
              <w:sz w:val="21"/>
              <w:szCs w:val="21"/>
            </w:rPr>
            <w:fldChar w:fldCharType="end"/>
          </w:r>
          <w:r>
            <w:rPr>
              <w:sz w:val="21"/>
              <w:szCs w:val="21"/>
              <w:highlight w:val="none"/>
            </w:rPr>
            <w:fldChar w:fldCharType="end"/>
          </w:r>
        </w:p>
        <w:p w14:paraId="36F57E8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_Toc848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1.4.8与《商品煤质量管理暂行办法》的符合性分析</w:t>
          </w:r>
          <w:r>
            <w:rPr>
              <w:sz w:val="21"/>
              <w:szCs w:val="21"/>
            </w:rPr>
            <w:tab/>
          </w:r>
          <w:r>
            <w:rPr>
              <w:sz w:val="21"/>
              <w:szCs w:val="21"/>
            </w:rPr>
            <w:fldChar w:fldCharType="begin"/>
          </w:r>
          <w:r>
            <w:rPr>
              <w:sz w:val="21"/>
              <w:szCs w:val="21"/>
            </w:rPr>
            <w:instrText xml:space="preserve"> PAGEREF _Toc848 \h </w:instrText>
          </w:r>
          <w:r>
            <w:rPr>
              <w:sz w:val="21"/>
              <w:szCs w:val="21"/>
            </w:rPr>
            <w:fldChar w:fldCharType="separate"/>
          </w:r>
          <w:r>
            <w:rPr>
              <w:sz w:val="21"/>
              <w:szCs w:val="21"/>
            </w:rPr>
            <w:t>17</w:t>
          </w:r>
          <w:r>
            <w:rPr>
              <w:sz w:val="21"/>
              <w:szCs w:val="21"/>
            </w:rPr>
            <w:fldChar w:fldCharType="end"/>
          </w:r>
          <w:r>
            <w:rPr>
              <w:sz w:val="21"/>
              <w:szCs w:val="21"/>
              <w:highlight w:val="none"/>
            </w:rPr>
            <w:fldChar w:fldCharType="end"/>
          </w:r>
        </w:p>
        <w:p w14:paraId="62C803F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_Toc23817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1.4.9与《环境空气细颗粒物污染物污染综合防治技术政策》符合性分析</w:t>
          </w:r>
          <w:r>
            <w:rPr>
              <w:sz w:val="21"/>
              <w:szCs w:val="21"/>
            </w:rPr>
            <w:tab/>
          </w:r>
          <w:r>
            <w:rPr>
              <w:sz w:val="21"/>
              <w:szCs w:val="21"/>
            </w:rPr>
            <w:fldChar w:fldCharType="begin"/>
          </w:r>
          <w:r>
            <w:rPr>
              <w:sz w:val="21"/>
              <w:szCs w:val="21"/>
            </w:rPr>
            <w:instrText xml:space="preserve"> PAGEREF _Toc23817 \h </w:instrText>
          </w:r>
          <w:r>
            <w:rPr>
              <w:sz w:val="21"/>
              <w:szCs w:val="21"/>
            </w:rPr>
            <w:fldChar w:fldCharType="separate"/>
          </w:r>
          <w:r>
            <w:rPr>
              <w:sz w:val="21"/>
              <w:szCs w:val="21"/>
            </w:rPr>
            <w:t>18</w:t>
          </w:r>
          <w:r>
            <w:rPr>
              <w:sz w:val="21"/>
              <w:szCs w:val="21"/>
            </w:rPr>
            <w:fldChar w:fldCharType="end"/>
          </w:r>
          <w:r>
            <w:rPr>
              <w:sz w:val="21"/>
              <w:szCs w:val="21"/>
              <w:highlight w:val="none"/>
            </w:rPr>
            <w:fldChar w:fldCharType="end"/>
          </w:r>
        </w:p>
        <w:p w14:paraId="5CD68E7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_Toc16335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1.4.10与《黑龙江省“十四五”生态环境保护规划》符合性分析</w:t>
          </w:r>
          <w:r>
            <w:rPr>
              <w:sz w:val="21"/>
              <w:szCs w:val="21"/>
            </w:rPr>
            <w:tab/>
          </w:r>
          <w:r>
            <w:rPr>
              <w:sz w:val="21"/>
              <w:szCs w:val="21"/>
            </w:rPr>
            <w:fldChar w:fldCharType="begin"/>
          </w:r>
          <w:r>
            <w:rPr>
              <w:sz w:val="21"/>
              <w:szCs w:val="21"/>
            </w:rPr>
            <w:instrText xml:space="preserve"> PAGEREF _Toc16335 \h </w:instrText>
          </w:r>
          <w:r>
            <w:rPr>
              <w:sz w:val="21"/>
              <w:szCs w:val="21"/>
            </w:rPr>
            <w:fldChar w:fldCharType="separate"/>
          </w:r>
          <w:r>
            <w:rPr>
              <w:sz w:val="21"/>
              <w:szCs w:val="21"/>
            </w:rPr>
            <w:t>18</w:t>
          </w:r>
          <w:r>
            <w:rPr>
              <w:sz w:val="21"/>
              <w:szCs w:val="21"/>
            </w:rPr>
            <w:fldChar w:fldCharType="end"/>
          </w:r>
          <w:r>
            <w:rPr>
              <w:sz w:val="21"/>
              <w:szCs w:val="21"/>
              <w:highlight w:val="none"/>
            </w:rPr>
            <w:fldChar w:fldCharType="end"/>
          </w:r>
        </w:p>
        <w:p w14:paraId="795C62D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_Toc16026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1.4.11与供热规划的符合性分析</w:t>
          </w:r>
          <w:r>
            <w:rPr>
              <w:sz w:val="21"/>
              <w:szCs w:val="21"/>
            </w:rPr>
            <w:tab/>
          </w:r>
          <w:r>
            <w:rPr>
              <w:sz w:val="21"/>
              <w:szCs w:val="21"/>
            </w:rPr>
            <w:fldChar w:fldCharType="begin"/>
          </w:r>
          <w:r>
            <w:rPr>
              <w:sz w:val="21"/>
              <w:szCs w:val="21"/>
            </w:rPr>
            <w:instrText xml:space="preserve"> PAGEREF _Toc16026 \h </w:instrText>
          </w:r>
          <w:r>
            <w:rPr>
              <w:sz w:val="21"/>
              <w:szCs w:val="21"/>
            </w:rPr>
            <w:fldChar w:fldCharType="separate"/>
          </w:r>
          <w:r>
            <w:rPr>
              <w:sz w:val="21"/>
              <w:szCs w:val="21"/>
            </w:rPr>
            <w:t>19</w:t>
          </w:r>
          <w:r>
            <w:rPr>
              <w:sz w:val="21"/>
              <w:szCs w:val="21"/>
            </w:rPr>
            <w:fldChar w:fldCharType="end"/>
          </w:r>
          <w:r>
            <w:rPr>
              <w:sz w:val="21"/>
              <w:szCs w:val="21"/>
              <w:highlight w:val="none"/>
            </w:rPr>
            <w:fldChar w:fldCharType="end"/>
          </w:r>
        </w:p>
        <w:p w14:paraId="53A8692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_Toc10259 </w:instrText>
          </w:r>
          <w:r>
            <w:rPr>
              <w:sz w:val="21"/>
              <w:szCs w:val="21"/>
              <w:highlight w:val="none"/>
            </w:rPr>
            <w:fldChar w:fldCharType="separate"/>
          </w:r>
          <w:r>
            <w:rPr>
              <w:rFonts w:hint="eastAsia" w:ascii="Times New Roman" w:hAnsi="Times New Roman" w:eastAsia="宋体" w:cs="Times New Roman"/>
              <w:bCs/>
              <w:sz w:val="21"/>
              <w:szCs w:val="21"/>
              <w:highlight w:val="none"/>
              <w:lang w:val="en-US" w:eastAsia="zh-CN"/>
            </w:rPr>
            <w:t>1.4.12与《牡丹江市“十四五”生态环境保护规划》符合性分析</w:t>
          </w:r>
          <w:r>
            <w:rPr>
              <w:sz w:val="21"/>
              <w:szCs w:val="21"/>
            </w:rPr>
            <w:tab/>
          </w:r>
          <w:r>
            <w:rPr>
              <w:sz w:val="21"/>
              <w:szCs w:val="21"/>
            </w:rPr>
            <w:fldChar w:fldCharType="begin"/>
          </w:r>
          <w:r>
            <w:rPr>
              <w:sz w:val="21"/>
              <w:szCs w:val="21"/>
            </w:rPr>
            <w:instrText xml:space="preserve"> PAGEREF _Toc10259 \h </w:instrText>
          </w:r>
          <w:r>
            <w:rPr>
              <w:sz w:val="21"/>
              <w:szCs w:val="21"/>
            </w:rPr>
            <w:fldChar w:fldCharType="separate"/>
          </w:r>
          <w:r>
            <w:rPr>
              <w:sz w:val="21"/>
              <w:szCs w:val="21"/>
            </w:rPr>
            <w:t>19</w:t>
          </w:r>
          <w:r>
            <w:rPr>
              <w:sz w:val="21"/>
              <w:szCs w:val="21"/>
            </w:rPr>
            <w:fldChar w:fldCharType="end"/>
          </w:r>
          <w:r>
            <w:rPr>
              <w:sz w:val="21"/>
              <w:szCs w:val="21"/>
              <w:highlight w:val="none"/>
            </w:rPr>
            <w:fldChar w:fldCharType="end"/>
          </w:r>
        </w:p>
        <w:p w14:paraId="2086AED6">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_Toc26765 </w:instrText>
          </w:r>
          <w:r>
            <w:rPr>
              <w:sz w:val="21"/>
              <w:szCs w:val="21"/>
              <w:highlight w:val="none"/>
            </w:rPr>
            <w:fldChar w:fldCharType="separate"/>
          </w:r>
          <w:r>
            <w:rPr>
              <w:rFonts w:hint="eastAsia"/>
              <w:sz w:val="21"/>
              <w:szCs w:val="21"/>
              <w:highlight w:val="none"/>
              <w:lang w:val="en-US" w:eastAsia="zh-CN"/>
            </w:rPr>
            <w:t>1.4.13与《关于印发改善牡丹江市区空气质量实施方案的通知》符合性分析</w:t>
          </w:r>
          <w:r>
            <w:rPr>
              <w:sz w:val="21"/>
              <w:szCs w:val="21"/>
            </w:rPr>
            <w:tab/>
          </w:r>
          <w:r>
            <w:rPr>
              <w:sz w:val="21"/>
              <w:szCs w:val="21"/>
            </w:rPr>
            <w:fldChar w:fldCharType="begin"/>
          </w:r>
          <w:r>
            <w:rPr>
              <w:sz w:val="21"/>
              <w:szCs w:val="21"/>
            </w:rPr>
            <w:instrText xml:space="preserve"> PAGEREF _Toc26765 \h </w:instrText>
          </w:r>
          <w:r>
            <w:rPr>
              <w:sz w:val="21"/>
              <w:szCs w:val="21"/>
            </w:rPr>
            <w:fldChar w:fldCharType="separate"/>
          </w:r>
          <w:r>
            <w:rPr>
              <w:sz w:val="21"/>
              <w:szCs w:val="21"/>
            </w:rPr>
            <w:t>20</w:t>
          </w:r>
          <w:r>
            <w:rPr>
              <w:sz w:val="21"/>
              <w:szCs w:val="21"/>
            </w:rPr>
            <w:fldChar w:fldCharType="end"/>
          </w:r>
          <w:r>
            <w:rPr>
              <w:sz w:val="21"/>
              <w:szCs w:val="21"/>
              <w:highlight w:val="none"/>
            </w:rPr>
            <w:fldChar w:fldCharType="end"/>
          </w:r>
        </w:p>
        <w:p w14:paraId="74011CB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_Toc25888 </w:instrText>
          </w:r>
          <w:r>
            <w:rPr>
              <w:sz w:val="21"/>
              <w:szCs w:val="21"/>
              <w:highlight w:val="none"/>
            </w:rPr>
            <w:fldChar w:fldCharType="separate"/>
          </w:r>
          <w:r>
            <w:rPr>
              <w:rFonts w:hint="eastAsia"/>
              <w:sz w:val="21"/>
              <w:szCs w:val="21"/>
              <w:highlight w:val="none"/>
              <w:lang w:val="en-US" w:eastAsia="zh-CN"/>
            </w:rPr>
            <w:t>1.4.14与关于《绥芬河边境经济合作区（代管区）总体规划（2021-2035年）环境影响报告书》的审查意见</w:t>
          </w:r>
          <w:r>
            <w:rPr>
              <w:sz w:val="21"/>
              <w:szCs w:val="21"/>
            </w:rPr>
            <w:tab/>
          </w:r>
          <w:r>
            <w:rPr>
              <w:sz w:val="21"/>
              <w:szCs w:val="21"/>
            </w:rPr>
            <w:fldChar w:fldCharType="begin"/>
          </w:r>
          <w:r>
            <w:rPr>
              <w:sz w:val="21"/>
              <w:szCs w:val="21"/>
            </w:rPr>
            <w:instrText xml:space="preserve"> PAGEREF _Toc25888 \h </w:instrText>
          </w:r>
          <w:r>
            <w:rPr>
              <w:sz w:val="21"/>
              <w:szCs w:val="21"/>
            </w:rPr>
            <w:fldChar w:fldCharType="separate"/>
          </w:r>
          <w:r>
            <w:rPr>
              <w:sz w:val="21"/>
              <w:szCs w:val="21"/>
            </w:rPr>
            <w:t>21</w:t>
          </w:r>
          <w:r>
            <w:rPr>
              <w:sz w:val="21"/>
              <w:szCs w:val="21"/>
            </w:rPr>
            <w:fldChar w:fldCharType="end"/>
          </w:r>
          <w:r>
            <w:rPr>
              <w:sz w:val="21"/>
              <w:szCs w:val="21"/>
              <w:highlight w:val="none"/>
            </w:rPr>
            <w:fldChar w:fldCharType="end"/>
          </w:r>
        </w:p>
        <w:p w14:paraId="03237F5B">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_Toc22360 </w:instrText>
          </w:r>
          <w:r>
            <w:rPr>
              <w:sz w:val="21"/>
              <w:szCs w:val="21"/>
              <w:highlight w:val="none"/>
            </w:rPr>
            <w:fldChar w:fldCharType="separate"/>
          </w:r>
          <w:r>
            <w:rPr>
              <w:rFonts w:hint="eastAsia"/>
              <w:sz w:val="21"/>
              <w:szCs w:val="21"/>
              <w:highlight w:val="none"/>
              <w:lang w:val="en-US" w:eastAsia="zh-CN"/>
            </w:rPr>
            <w:t>1.5</w:t>
          </w:r>
          <w:r>
            <w:rPr>
              <w:rFonts w:ascii="Times New Roman" w:hAnsi="Times New Roman"/>
              <w:sz w:val="21"/>
              <w:szCs w:val="21"/>
              <w:highlight w:val="none"/>
            </w:rPr>
            <w:t>关注的主要环境问题及环境影响</w:t>
          </w:r>
          <w:r>
            <w:rPr>
              <w:sz w:val="21"/>
              <w:szCs w:val="21"/>
            </w:rPr>
            <w:tab/>
          </w:r>
          <w:r>
            <w:rPr>
              <w:sz w:val="21"/>
              <w:szCs w:val="21"/>
            </w:rPr>
            <w:fldChar w:fldCharType="begin"/>
          </w:r>
          <w:r>
            <w:rPr>
              <w:sz w:val="21"/>
              <w:szCs w:val="21"/>
            </w:rPr>
            <w:instrText xml:space="preserve"> PAGEREF _Toc22360 \h </w:instrText>
          </w:r>
          <w:r>
            <w:rPr>
              <w:sz w:val="21"/>
              <w:szCs w:val="21"/>
            </w:rPr>
            <w:fldChar w:fldCharType="separate"/>
          </w:r>
          <w:r>
            <w:rPr>
              <w:sz w:val="21"/>
              <w:szCs w:val="21"/>
            </w:rPr>
            <w:t>21</w:t>
          </w:r>
          <w:r>
            <w:rPr>
              <w:sz w:val="21"/>
              <w:szCs w:val="21"/>
            </w:rPr>
            <w:fldChar w:fldCharType="end"/>
          </w:r>
          <w:r>
            <w:rPr>
              <w:sz w:val="21"/>
              <w:szCs w:val="21"/>
              <w:highlight w:val="none"/>
            </w:rPr>
            <w:fldChar w:fldCharType="end"/>
          </w:r>
        </w:p>
        <w:p w14:paraId="0CA4779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_Toc8972 </w:instrText>
          </w:r>
          <w:r>
            <w:rPr>
              <w:sz w:val="21"/>
              <w:szCs w:val="21"/>
              <w:highlight w:val="none"/>
            </w:rPr>
            <w:fldChar w:fldCharType="separate"/>
          </w:r>
          <w:r>
            <w:rPr>
              <w:rFonts w:hint="eastAsia"/>
              <w:sz w:val="21"/>
              <w:szCs w:val="21"/>
              <w:highlight w:val="none"/>
              <w:lang w:val="en-US" w:eastAsia="zh-CN"/>
            </w:rPr>
            <w:t>1.6</w:t>
          </w:r>
          <w:r>
            <w:rPr>
              <w:rFonts w:ascii="Times New Roman" w:hAnsi="Times New Roman"/>
              <w:sz w:val="21"/>
              <w:szCs w:val="21"/>
              <w:highlight w:val="none"/>
            </w:rPr>
            <w:t>环境影响评价工作主要结论</w:t>
          </w:r>
          <w:r>
            <w:rPr>
              <w:sz w:val="21"/>
              <w:szCs w:val="21"/>
            </w:rPr>
            <w:tab/>
          </w:r>
          <w:r>
            <w:rPr>
              <w:sz w:val="21"/>
              <w:szCs w:val="21"/>
            </w:rPr>
            <w:fldChar w:fldCharType="begin"/>
          </w:r>
          <w:r>
            <w:rPr>
              <w:sz w:val="21"/>
              <w:szCs w:val="21"/>
            </w:rPr>
            <w:instrText xml:space="preserve"> PAGEREF _Toc8972 \h </w:instrText>
          </w:r>
          <w:r>
            <w:rPr>
              <w:sz w:val="21"/>
              <w:szCs w:val="21"/>
            </w:rPr>
            <w:fldChar w:fldCharType="separate"/>
          </w:r>
          <w:r>
            <w:rPr>
              <w:sz w:val="21"/>
              <w:szCs w:val="21"/>
            </w:rPr>
            <w:t>23</w:t>
          </w:r>
          <w:r>
            <w:rPr>
              <w:sz w:val="21"/>
              <w:szCs w:val="21"/>
            </w:rPr>
            <w:fldChar w:fldCharType="end"/>
          </w:r>
          <w:r>
            <w:rPr>
              <w:sz w:val="21"/>
              <w:szCs w:val="21"/>
              <w:highlight w:val="none"/>
            </w:rPr>
            <w:fldChar w:fldCharType="end"/>
          </w:r>
        </w:p>
        <w:p w14:paraId="0DCADAB4">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_Toc2630 </w:instrText>
          </w:r>
          <w:r>
            <w:rPr>
              <w:sz w:val="21"/>
              <w:szCs w:val="21"/>
              <w:highlight w:val="none"/>
            </w:rPr>
            <w:fldChar w:fldCharType="separate"/>
          </w:r>
          <w:r>
            <w:rPr>
              <w:rFonts w:hint="default" w:ascii="Times New Roman" w:hAnsi="Times New Roman" w:cs="Times New Roman"/>
              <w:sz w:val="21"/>
              <w:szCs w:val="21"/>
              <w:highlight w:val="none"/>
              <w:lang w:val="en-US" w:eastAsia="zh-CN"/>
            </w:rPr>
            <w:t>2</w:t>
          </w:r>
          <w:r>
            <w:rPr>
              <w:rFonts w:hint="eastAsia" w:ascii="Times New Roman" w:hAnsi="Times New Roman" w:cs="Times New Roman"/>
              <w:sz w:val="21"/>
              <w:szCs w:val="21"/>
              <w:highlight w:val="none"/>
              <w:lang w:val="en-US" w:eastAsia="zh-CN"/>
            </w:rPr>
            <w:t>总则</w:t>
          </w:r>
          <w:r>
            <w:rPr>
              <w:sz w:val="21"/>
              <w:szCs w:val="21"/>
            </w:rPr>
            <w:tab/>
          </w:r>
          <w:r>
            <w:rPr>
              <w:sz w:val="21"/>
              <w:szCs w:val="21"/>
            </w:rPr>
            <w:fldChar w:fldCharType="begin"/>
          </w:r>
          <w:r>
            <w:rPr>
              <w:sz w:val="21"/>
              <w:szCs w:val="21"/>
            </w:rPr>
            <w:instrText xml:space="preserve"> PAGEREF _Toc2630 \h </w:instrText>
          </w:r>
          <w:r>
            <w:rPr>
              <w:sz w:val="21"/>
              <w:szCs w:val="21"/>
            </w:rPr>
            <w:fldChar w:fldCharType="separate"/>
          </w:r>
          <w:r>
            <w:rPr>
              <w:sz w:val="21"/>
              <w:szCs w:val="21"/>
            </w:rPr>
            <w:t>24</w:t>
          </w:r>
          <w:r>
            <w:rPr>
              <w:sz w:val="21"/>
              <w:szCs w:val="21"/>
            </w:rPr>
            <w:fldChar w:fldCharType="end"/>
          </w:r>
          <w:r>
            <w:rPr>
              <w:sz w:val="21"/>
              <w:szCs w:val="21"/>
              <w:highlight w:val="none"/>
            </w:rPr>
            <w:fldChar w:fldCharType="end"/>
          </w:r>
        </w:p>
        <w:p w14:paraId="397C7BA0">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_Toc8515 </w:instrText>
          </w:r>
          <w:r>
            <w:rPr>
              <w:sz w:val="21"/>
              <w:szCs w:val="21"/>
              <w:highlight w:val="none"/>
            </w:rPr>
            <w:fldChar w:fldCharType="separate"/>
          </w:r>
          <w:r>
            <w:rPr>
              <w:rFonts w:hint="default" w:ascii="Times New Roman" w:hAnsi="Times New Roman" w:cs="Times New Roman"/>
              <w:sz w:val="21"/>
              <w:szCs w:val="21"/>
              <w:highlight w:val="none"/>
              <w:lang w:val="en-US" w:eastAsia="zh-CN"/>
            </w:rPr>
            <w:t>2.1</w:t>
          </w:r>
          <w:r>
            <w:rPr>
              <w:rFonts w:hint="eastAsia" w:ascii="宋体" w:hAnsi="宋体" w:eastAsia="宋体" w:cs="宋体"/>
              <w:sz w:val="21"/>
              <w:szCs w:val="21"/>
              <w:highlight w:val="none"/>
              <w:lang w:val="en-US" w:eastAsia="zh-CN"/>
            </w:rPr>
            <w:t>编制依据</w:t>
          </w:r>
          <w:r>
            <w:rPr>
              <w:sz w:val="21"/>
              <w:szCs w:val="21"/>
            </w:rPr>
            <w:tab/>
          </w:r>
          <w:r>
            <w:rPr>
              <w:sz w:val="21"/>
              <w:szCs w:val="21"/>
            </w:rPr>
            <w:fldChar w:fldCharType="begin"/>
          </w:r>
          <w:r>
            <w:rPr>
              <w:sz w:val="21"/>
              <w:szCs w:val="21"/>
            </w:rPr>
            <w:instrText xml:space="preserve"> PAGEREF _Toc8515 \h </w:instrText>
          </w:r>
          <w:r>
            <w:rPr>
              <w:sz w:val="21"/>
              <w:szCs w:val="21"/>
            </w:rPr>
            <w:fldChar w:fldCharType="separate"/>
          </w:r>
          <w:r>
            <w:rPr>
              <w:sz w:val="21"/>
              <w:szCs w:val="21"/>
            </w:rPr>
            <w:t>24</w:t>
          </w:r>
          <w:r>
            <w:rPr>
              <w:sz w:val="21"/>
              <w:szCs w:val="21"/>
            </w:rPr>
            <w:fldChar w:fldCharType="end"/>
          </w:r>
          <w:r>
            <w:rPr>
              <w:sz w:val="21"/>
              <w:szCs w:val="21"/>
              <w:highlight w:val="none"/>
            </w:rPr>
            <w:fldChar w:fldCharType="end"/>
          </w:r>
        </w:p>
        <w:p w14:paraId="2C33F95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_Toc13117 </w:instrText>
          </w:r>
          <w:r>
            <w:rPr>
              <w:sz w:val="21"/>
              <w:szCs w:val="21"/>
              <w:highlight w:val="none"/>
            </w:rPr>
            <w:fldChar w:fldCharType="separate"/>
          </w:r>
          <w:r>
            <w:rPr>
              <w:rFonts w:hint="default" w:ascii="Times New Roman" w:hAnsi="Times New Roman" w:cs="Times New Roman"/>
              <w:sz w:val="21"/>
              <w:szCs w:val="21"/>
              <w:highlight w:val="none"/>
              <w:lang w:val="en-US" w:eastAsia="zh-CN"/>
            </w:rPr>
            <w:t>2.1.1</w:t>
          </w:r>
          <w:r>
            <w:rPr>
              <w:rFonts w:hint="eastAsia"/>
              <w:sz w:val="21"/>
              <w:szCs w:val="21"/>
              <w:highlight w:val="none"/>
              <w:lang w:val="en-US" w:eastAsia="zh-CN"/>
            </w:rPr>
            <w:t>相关法律、法规及文件</w:t>
          </w:r>
          <w:r>
            <w:rPr>
              <w:sz w:val="21"/>
              <w:szCs w:val="21"/>
            </w:rPr>
            <w:tab/>
          </w:r>
          <w:r>
            <w:rPr>
              <w:sz w:val="21"/>
              <w:szCs w:val="21"/>
            </w:rPr>
            <w:fldChar w:fldCharType="begin"/>
          </w:r>
          <w:r>
            <w:rPr>
              <w:sz w:val="21"/>
              <w:szCs w:val="21"/>
            </w:rPr>
            <w:instrText xml:space="preserve"> PAGEREF _Toc13117 \h </w:instrText>
          </w:r>
          <w:r>
            <w:rPr>
              <w:sz w:val="21"/>
              <w:szCs w:val="21"/>
            </w:rPr>
            <w:fldChar w:fldCharType="separate"/>
          </w:r>
          <w:r>
            <w:rPr>
              <w:sz w:val="21"/>
              <w:szCs w:val="21"/>
            </w:rPr>
            <w:t>24</w:t>
          </w:r>
          <w:r>
            <w:rPr>
              <w:sz w:val="21"/>
              <w:szCs w:val="21"/>
            </w:rPr>
            <w:fldChar w:fldCharType="end"/>
          </w:r>
          <w:r>
            <w:rPr>
              <w:sz w:val="21"/>
              <w:szCs w:val="21"/>
              <w:highlight w:val="none"/>
            </w:rPr>
            <w:fldChar w:fldCharType="end"/>
          </w:r>
        </w:p>
        <w:p w14:paraId="6E19DAE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_Toc431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2.1.2有关技术导则规范</w:t>
          </w:r>
          <w:r>
            <w:rPr>
              <w:sz w:val="21"/>
              <w:szCs w:val="21"/>
            </w:rPr>
            <w:tab/>
          </w:r>
          <w:r>
            <w:rPr>
              <w:sz w:val="21"/>
              <w:szCs w:val="21"/>
            </w:rPr>
            <w:fldChar w:fldCharType="begin"/>
          </w:r>
          <w:r>
            <w:rPr>
              <w:sz w:val="21"/>
              <w:szCs w:val="21"/>
            </w:rPr>
            <w:instrText xml:space="preserve"> PAGEREF _Toc431 \h </w:instrText>
          </w:r>
          <w:r>
            <w:rPr>
              <w:sz w:val="21"/>
              <w:szCs w:val="21"/>
            </w:rPr>
            <w:fldChar w:fldCharType="separate"/>
          </w:r>
          <w:r>
            <w:rPr>
              <w:sz w:val="21"/>
              <w:szCs w:val="21"/>
            </w:rPr>
            <w:t>25</w:t>
          </w:r>
          <w:r>
            <w:rPr>
              <w:sz w:val="21"/>
              <w:szCs w:val="21"/>
            </w:rPr>
            <w:fldChar w:fldCharType="end"/>
          </w:r>
          <w:r>
            <w:rPr>
              <w:sz w:val="21"/>
              <w:szCs w:val="21"/>
              <w:highlight w:val="none"/>
            </w:rPr>
            <w:fldChar w:fldCharType="end"/>
          </w:r>
        </w:p>
        <w:p w14:paraId="3B2EF37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_Toc11693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2.1.3其他技术资料</w:t>
          </w:r>
          <w:r>
            <w:rPr>
              <w:sz w:val="21"/>
              <w:szCs w:val="21"/>
            </w:rPr>
            <w:tab/>
          </w:r>
          <w:r>
            <w:rPr>
              <w:sz w:val="21"/>
              <w:szCs w:val="21"/>
            </w:rPr>
            <w:fldChar w:fldCharType="begin"/>
          </w:r>
          <w:r>
            <w:rPr>
              <w:sz w:val="21"/>
              <w:szCs w:val="21"/>
            </w:rPr>
            <w:instrText xml:space="preserve"> PAGEREF _Toc11693 \h </w:instrText>
          </w:r>
          <w:r>
            <w:rPr>
              <w:sz w:val="21"/>
              <w:szCs w:val="21"/>
            </w:rPr>
            <w:fldChar w:fldCharType="separate"/>
          </w:r>
          <w:r>
            <w:rPr>
              <w:sz w:val="21"/>
              <w:szCs w:val="21"/>
            </w:rPr>
            <w:t>26</w:t>
          </w:r>
          <w:r>
            <w:rPr>
              <w:sz w:val="21"/>
              <w:szCs w:val="21"/>
            </w:rPr>
            <w:fldChar w:fldCharType="end"/>
          </w:r>
          <w:r>
            <w:rPr>
              <w:sz w:val="21"/>
              <w:szCs w:val="21"/>
              <w:highlight w:val="none"/>
            </w:rPr>
            <w:fldChar w:fldCharType="end"/>
          </w:r>
        </w:p>
        <w:p w14:paraId="62BD5314">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_Toc13923 </w:instrText>
          </w:r>
          <w:r>
            <w:rPr>
              <w:sz w:val="21"/>
              <w:szCs w:val="21"/>
              <w:highlight w:val="none"/>
            </w:rPr>
            <w:fldChar w:fldCharType="separate"/>
          </w:r>
          <w:r>
            <w:rPr>
              <w:rFonts w:hint="eastAsia" w:ascii="Times New Roman" w:hAnsi="Times New Roman" w:cs="Times New Roman"/>
              <w:sz w:val="21"/>
              <w:szCs w:val="21"/>
              <w:highlight w:val="none"/>
              <w:lang w:val="en-US" w:eastAsia="zh-CN"/>
            </w:rPr>
            <w:t>2.2评价目的与原则</w:t>
          </w:r>
          <w:r>
            <w:rPr>
              <w:sz w:val="21"/>
              <w:szCs w:val="21"/>
            </w:rPr>
            <w:tab/>
          </w:r>
          <w:r>
            <w:rPr>
              <w:sz w:val="21"/>
              <w:szCs w:val="21"/>
            </w:rPr>
            <w:fldChar w:fldCharType="begin"/>
          </w:r>
          <w:r>
            <w:rPr>
              <w:sz w:val="21"/>
              <w:szCs w:val="21"/>
            </w:rPr>
            <w:instrText xml:space="preserve"> PAGEREF _Toc13923 \h </w:instrText>
          </w:r>
          <w:r>
            <w:rPr>
              <w:sz w:val="21"/>
              <w:szCs w:val="21"/>
            </w:rPr>
            <w:fldChar w:fldCharType="separate"/>
          </w:r>
          <w:r>
            <w:rPr>
              <w:sz w:val="21"/>
              <w:szCs w:val="21"/>
            </w:rPr>
            <w:t>26</w:t>
          </w:r>
          <w:r>
            <w:rPr>
              <w:sz w:val="21"/>
              <w:szCs w:val="21"/>
            </w:rPr>
            <w:fldChar w:fldCharType="end"/>
          </w:r>
          <w:r>
            <w:rPr>
              <w:sz w:val="21"/>
              <w:szCs w:val="21"/>
              <w:highlight w:val="none"/>
            </w:rPr>
            <w:fldChar w:fldCharType="end"/>
          </w:r>
        </w:p>
        <w:p w14:paraId="6F54F4F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_Toc15903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2.2.1评价目的</w:t>
          </w:r>
          <w:r>
            <w:rPr>
              <w:sz w:val="21"/>
              <w:szCs w:val="21"/>
            </w:rPr>
            <w:tab/>
          </w:r>
          <w:r>
            <w:rPr>
              <w:sz w:val="21"/>
              <w:szCs w:val="21"/>
            </w:rPr>
            <w:fldChar w:fldCharType="begin"/>
          </w:r>
          <w:r>
            <w:rPr>
              <w:sz w:val="21"/>
              <w:szCs w:val="21"/>
            </w:rPr>
            <w:instrText xml:space="preserve"> PAGEREF _Toc15903 \h </w:instrText>
          </w:r>
          <w:r>
            <w:rPr>
              <w:sz w:val="21"/>
              <w:szCs w:val="21"/>
            </w:rPr>
            <w:fldChar w:fldCharType="separate"/>
          </w:r>
          <w:r>
            <w:rPr>
              <w:sz w:val="21"/>
              <w:szCs w:val="21"/>
            </w:rPr>
            <w:t>26</w:t>
          </w:r>
          <w:r>
            <w:rPr>
              <w:sz w:val="21"/>
              <w:szCs w:val="21"/>
            </w:rPr>
            <w:fldChar w:fldCharType="end"/>
          </w:r>
          <w:r>
            <w:rPr>
              <w:sz w:val="21"/>
              <w:szCs w:val="21"/>
              <w:highlight w:val="none"/>
            </w:rPr>
            <w:fldChar w:fldCharType="end"/>
          </w:r>
        </w:p>
        <w:p w14:paraId="7B57609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_Toc10629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2.2.2评价原则</w:t>
          </w:r>
          <w:r>
            <w:rPr>
              <w:sz w:val="21"/>
              <w:szCs w:val="21"/>
            </w:rPr>
            <w:tab/>
          </w:r>
          <w:r>
            <w:rPr>
              <w:sz w:val="21"/>
              <w:szCs w:val="21"/>
            </w:rPr>
            <w:fldChar w:fldCharType="begin"/>
          </w:r>
          <w:r>
            <w:rPr>
              <w:sz w:val="21"/>
              <w:szCs w:val="21"/>
            </w:rPr>
            <w:instrText xml:space="preserve"> PAGEREF _Toc10629 \h </w:instrText>
          </w:r>
          <w:r>
            <w:rPr>
              <w:sz w:val="21"/>
              <w:szCs w:val="21"/>
            </w:rPr>
            <w:fldChar w:fldCharType="separate"/>
          </w:r>
          <w:r>
            <w:rPr>
              <w:sz w:val="21"/>
              <w:szCs w:val="21"/>
            </w:rPr>
            <w:t>27</w:t>
          </w:r>
          <w:r>
            <w:rPr>
              <w:sz w:val="21"/>
              <w:szCs w:val="21"/>
            </w:rPr>
            <w:fldChar w:fldCharType="end"/>
          </w:r>
          <w:r>
            <w:rPr>
              <w:sz w:val="21"/>
              <w:szCs w:val="21"/>
              <w:highlight w:val="none"/>
            </w:rPr>
            <w:fldChar w:fldCharType="end"/>
          </w:r>
        </w:p>
        <w:p w14:paraId="72E26CE4">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_Toc26353 </w:instrText>
          </w:r>
          <w:r>
            <w:rPr>
              <w:sz w:val="21"/>
              <w:szCs w:val="21"/>
              <w:highlight w:val="none"/>
            </w:rPr>
            <w:fldChar w:fldCharType="separate"/>
          </w:r>
          <w:r>
            <w:rPr>
              <w:rFonts w:hint="eastAsia" w:ascii="Times New Roman" w:hAnsi="Times New Roman" w:cs="Times New Roman"/>
              <w:sz w:val="21"/>
              <w:szCs w:val="21"/>
              <w:highlight w:val="none"/>
              <w:lang w:val="en-US" w:eastAsia="zh-CN"/>
            </w:rPr>
            <w:t>2.3评价因子与评价标准</w:t>
          </w:r>
          <w:r>
            <w:rPr>
              <w:sz w:val="21"/>
              <w:szCs w:val="21"/>
            </w:rPr>
            <w:tab/>
          </w:r>
          <w:r>
            <w:rPr>
              <w:sz w:val="21"/>
              <w:szCs w:val="21"/>
            </w:rPr>
            <w:fldChar w:fldCharType="begin"/>
          </w:r>
          <w:r>
            <w:rPr>
              <w:sz w:val="21"/>
              <w:szCs w:val="21"/>
            </w:rPr>
            <w:instrText xml:space="preserve"> PAGEREF _Toc26353 \h </w:instrText>
          </w:r>
          <w:r>
            <w:rPr>
              <w:sz w:val="21"/>
              <w:szCs w:val="21"/>
            </w:rPr>
            <w:fldChar w:fldCharType="separate"/>
          </w:r>
          <w:r>
            <w:rPr>
              <w:sz w:val="21"/>
              <w:szCs w:val="21"/>
            </w:rPr>
            <w:t>27</w:t>
          </w:r>
          <w:r>
            <w:rPr>
              <w:sz w:val="21"/>
              <w:szCs w:val="21"/>
            </w:rPr>
            <w:fldChar w:fldCharType="end"/>
          </w:r>
          <w:r>
            <w:rPr>
              <w:sz w:val="21"/>
              <w:szCs w:val="21"/>
              <w:highlight w:val="none"/>
            </w:rPr>
            <w:fldChar w:fldCharType="end"/>
          </w:r>
        </w:p>
        <w:p w14:paraId="6DA800D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_Toc22913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2.3.1环境影响因素识别</w:t>
          </w:r>
          <w:r>
            <w:rPr>
              <w:sz w:val="21"/>
              <w:szCs w:val="21"/>
            </w:rPr>
            <w:tab/>
          </w:r>
          <w:r>
            <w:rPr>
              <w:sz w:val="21"/>
              <w:szCs w:val="21"/>
            </w:rPr>
            <w:fldChar w:fldCharType="begin"/>
          </w:r>
          <w:r>
            <w:rPr>
              <w:sz w:val="21"/>
              <w:szCs w:val="21"/>
            </w:rPr>
            <w:instrText xml:space="preserve"> PAGEREF _Toc22913 \h </w:instrText>
          </w:r>
          <w:r>
            <w:rPr>
              <w:sz w:val="21"/>
              <w:szCs w:val="21"/>
            </w:rPr>
            <w:fldChar w:fldCharType="separate"/>
          </w:r>
          <w:r>
            <w:rPr>
              <w:sz w:val="21"/>
              <w:szCs w:val="21"/>
            </w:rPr>
            <w:t>27</w:t>
          </w:r>
          <w:r>
            <w:rPr>
              <w:sz w:val="21"/>
              <w:szCs w:val="21"/>
            </w:rPr>
            <w:fldChar w:fldCharType="end"/>
          </w:r>
          <w:r>
            <w:rPr>
              <w:sz w:val="21"/>
              <w:szCs w:val="21"/>
              <w:highlight w:val="none"/>
            </w:rPr>
            <w:fldChar w:fldCharType="end"/>
          </w:r>
        </w:p>
        <w:p w14:paraId="45E5A6C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_Toc17479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2.3.2评价因子筛选</w:t>
          </w:r>
          <w:r>
            <w:rPr>
              <w:sz w:val="21"/>
              <w:szCs w:val="21"/>
            </w:rPr>
            <w:tab/>
          </w:r>
          <w:r>
            <w:rPr>
              <w:sz w:val="21"/>
              <w:szCs w:val="21"/>
            </w:rPr>
            <w:fldChar w:fldCharType="begin"/>
          </w:r>
          <w:r>
            <w:rPr>
              <w:sz w:val="21"/>
              <w:szCs w:val="21"/>
            </w:rPr>
            <w:instrText xml:space="preserve"> PAGEREF _Toc17479 \h </w:instrText>
          </w:r>
          <w:r>
            <w:rPr>
              <w:sz w:val="21"/>
              <w:szCs w:val="21"/>
            </w:rPr>
            <w:fldChar w:fldCharType="separate"/>
          </w:r>
          <w:r>
            <w:rPr>
              <w:sz w:val="21"/>
              <w:szCs w:val="21"/>
            </w:rPr>
            <w:t>29</w:t>
          </w:r>
          <w:r>
            <w:rPr>
              <w:sz w:val="21"/>
              <w:szCs w:val="21"/>
            </w:rPr>
            <w:fldChar w:fldCharType="end"/>
          </w:r>
          <w:r>
            <w:rPr>
              <w:sz w:val="21"/>
              <w:szCs w:val="21"/>
              <w:highlight w:val="none"/>
            </w:rPr>
            <w:fldChar w:fldCharType="end"/>
          </w:r>
        </w:p>
        <w:p w14:paraId="3C70B35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_Toc13255 </w:instrText>
          </w:r>
          <w:r>
            <w:rPr>
              <w:sz w:val="21"/>
              <w:szCs w:val="21"/>
              <w:highlight w:val="none"/>
            </w:rPr>
            <w:fldChar w:fldCharType="separate"/>
          </w:r>
          <w:r>
            <w:rPr>
              <w:rFonts w:hint="default" w:ascii="Times New Roman" w:hAnsi="Times New Roman" w:cs="Times New Roman"/>
              <w:sz w:val="21"/>
              <w:szCs w:val="21"/>
              <w:highlight w:val="none"/>
              <w:lang w:val="en-US" w:eastAsia="zh-CN"/>
            </w:rPr>
            <w:t>2.3.3</w:t>
          </w:r>
          <w:r>
            <w:rPr>
              <w:rFonts w:hint="eastAsia"/>
              <w:sz w:val="21"/>
              <w:szCs w:val="21"/>
              <w:highlight w:val="none"/>
              <w:lang w:val="en-US" w:eastAsia="zh-CN"/>
            </w:rPr>
            <w:t>环境功能划分</w:t>
          </w:r>
          <w:r>
            <w:rPr>
              <w:sz w:val="21"/>
              <w:szCs w:val="21"/>
            </w:rPr>
            <w:tab/>
          </w:r>
          <w:r>
            <w:rPr>
              <w:sz w:val="21"/>
              <w:szCs w:val="21"/>
            </w:rPr>
            <w:fldChar w:fldCharType="begin"/>
          </w:r>
          <w:r>
            <w:rPr>
              <w:sz w:val="21"/>
              <w:szCs w:val="21"/>
            </w:rPr>
            <w:instrText xml:space="preserve"> PAGEREF _Toc13255 \h </w:instrText>
          </w:r>
          <w:r>
            <w:rPr>
              <w:sz w:val="21"/>
              <w:szCs w:val="21"/>
            </w:rPr>
            <w:fldChar w:fldCharType="separate"/>
          </w:r>
          <w:r>
            <w:rPr>
              <w:sz w:val="21"/>
              <w:szCs w:val="21"/>
            </w:rPr>
            <w:t>31</w:t>
          </w:r>
          <w:r>
            <w:rPr>
              <w:sz w:val="21"/>
              <w:szCs w:val="21"/>
            </w:rPr>
            <w:fldChar w:fldCharType="end"/>
          </w:r>
          <w:r>
            <w:rPr>
              <w:sz w:val="21"/>
              <w:szCs w:val="21"/>
              <w:highlight w:val="none"/>
            </w:rPr>
            <w:fldChar w:fldCharType="end"/>
          </w:r>
        </w:p>
        <w:p w14:paraId="040EF95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_Toc12349 </w:instrText>
          </w:r>
          <w:r>
            <w:rPr>
              <w:sz w:val="21"/>
              <w:szCs w:val="21"/>
              <w:highlight w:val="none"/>
            </w:rPr>
            <w:fldChar w:fldCharType="separate"/>
          </w:r>
          <w:r>
            <w:rPr>
              <w:rFonts w:hint="default" w:ascii="Times New Roman" w:hAnsi="Times New Roman" w:cs="Times New Roman"/>
              <w:sz w:val="21"/>
              <w:szCs w:val="21"/>
              <w:highlight w:val="none"/>
              <w:lang w:val="en-US" w:eastAsia="zh-CN"/>
            </w:rPr>
            <w:t>2.3.4</w:t>
          </w:r>
          <w:r>
            <w:rPr>
              <w:rFonts w:hint="eastAsia"/>
              <w:sz w:val="21"/>
              <w:szCs w:val="21"/>
              <w:highlight w:val="none"/>
              <w:lang w:val="en-US" w:eastAsia="zh-CN"/>
            </w:rPr>
            <w:t>评价标准</w:t>
          </w:r>
          <w:r>
            <w:rPr>
              <w:sz w:val="21"/>
              <w:szCs w:val="21"/>
            </w:rPr>
            <w:tab/>
          </w:r>
          <w:r>
            <w:rPr>
              <w:sz w:val="21"/>
              <w:szCs w:val="21"/>
            </w:rPr>
            <w:fldChar w:fldCharType="begin"/>
          </w:r>
          <w:r>
            <w:rPr>
              <w:sz w:val="21"/>
              <w:szCs w:val="21"/>
            </w:rPr>
            <w:instrText xml:space="preserve"> PAGEREF _Toc12349 \h </w:instrText>
          </w:r>
          <w:r>
            <w:rPr>
              <w:sz w:val="21"/>
              <w:szCs w:val="21"/>
            </w:rPr>
            <w:fldChar w:fldCharType="separate"/>
          </w:r>
          <w:r>
            <w:rPr>
              <w:sz w:val="21"/>
              <w:szCs w:val="21"/>
            </w:rPr>
            <w:t>31</w:t>
          </w:r>
          <w:r>
            <w:rPr>
              <w:sz w:val="21"/>
              <w:szCs w:val="21"/>
            </w:rPr>
            <w:fldChar w:fldCharType="end"/>
          </w:r>
          <w:r>
            <w:rPr>
              <w:sz w:val="21"/>
              <w:szCs w:val="21"/>
              <w:highlight w:val="none"/>
            </w:rPr>
            <w:fldChar w:fldCharType="end"/>
          </w:r>
        </w:p>
        <w:p w14:paraId="215388C3">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_Toc2734 </w:instrText>
          </w:r>
          <w:r>
            <w:rPr>
              <w:sz w:val="21"/>
              <w:szCs w:val="21"/>
              <w:highlight w:val="none"/>
            </w:rPr>
            <w:fldChar w:fldCharType="separate"/>
          </w:r>
          <w:r>
            <w:rPr>
              <w:rFonts w:hint="default" w:ascii="Times New Roman" w:hAnsi="Times New Roman" w:cs="Times New Roman"/>
              <w:sz w:val="21"/>
              <w:szCs w:val="21"/>
              <w:highlight w:val="none"/>
              <w:lang w:val="en-US" w:eastAsia="zh-CN"/>
            </w:rPr>
            <w:t>2.4</w:t>
          </w:r>
          <w:r>
            <w:rPr>
              <w:rFonts w:hint="eastAsia"/>
              <w:sz w:val="21"/>
              <w:szCs w:val="21"/>
              <w:highlight w:val="none"/>
              <w:lang w:val="en-US" w:eastAsia="zh-CN"/>
            </w:rPr>
            <w:t>评价工作等级和评价范围</w:t>
          </w:r>
          <w:r>
            <w:rPr>
              <w:sz w:val="21"/>
              <w:szCs w:val="21"/>
            </w:rPr>
            <w:tab/>
          </w:r>
          <w:r>
            <w:rPr>
              <w:sz w:val="21"/>
              <w:szCs w:val="21"/>
            </w:rPr>
            <w:fldChar w:fldCharType="begin"/>
          </w:r>
          <w:r>
            <w:rPr>
              <w:sz w:val="21"/>
              <w:szCs w:val="21"/>
            </w:rPr>
            <w:instrText xml:space="preserve"> PAGEREF _Toc2734 \h </w:instrText>
          </w:r>
          <w:r>
            <w:rPr>
              <w:sz w:val="21"/>
              <w:szCs w:val="21"/>
            </w:rPr>
            <w:fldChar w:fldCharType="separate"/>
          </w:r>
          <w:r>
            <w:rPr>
              <w:sz w:val="21"/>
              <w:szCs w:val="21"/>
            </w:rPr>
            <w:t>36</w:t>
          </w:r>
          <w:r>
            <w:rPr>
              <w:sz w:val="21"/>
              <w:szCs w:val="21"/>
            </w:rPr>
            <w:fldChar w:fldCharType="end"/>
          </w:r>
          <w:r>
            <w:rPr>
              <w:sz w:val="21"/>
              <w:szCs w:val="21"/>
              <w:highlight w:val="none"/>
            </w:rPr>
            <w:fldChar w:fldCharType="end"/>
          </w:r>
        </w:p>
        <w:p w14:paraId="781C782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_Toc14803 </w:instrText>
          </w:r>
          <w:r>
            <w:rPr>
              <w:sz w:val="21"/>
              <w:szCs w:val="21"/>
              <w:highlight w:val="none"/>
            </w:rPr>
            <w:fldChar w:fldCharType="separate"/>
          </w:r>
          <w:r>
            <w:rPr>
              <w:rFonts w:hint="default" w:ascii="Times New Roman" w:hAnsi="Times New Roman" w:cs="Times New Roman"/>
              <w:sz w:val="21"/>
              <w:szCs w:val="21"/>
              <w:highlight w:val="none"/>
              <w:lang w:val="en-US" w:eastAsia="zh-CN"/>
            </w:rPr>
            <w:t>2.4.1</w:t>
          </w:r>
          <w:r>
            <w:rPr>
              <w:rFonts w:hint="eastAsia"/>
              <w:sz w:val="21"/>
              <w:szCs w:val="21"/>
              <w:highlight w:val="none"/>
              <w:lang w:val="en-US" w:eastAsia="zh-CN"/>
            </w:rPr>
            <w:t>环境空气评价</w:t>
          </w:r>
          <w:r>
            <w:rPr>
              <w:sz w:val="21"/>
              <w:szCs w:val="21"/>
            </w:rPr>
            <w:tab/>
          </w:r>
          <w:r>
            <w:rPr>
              <w:sz w:val="21"/>
              <w:szCs w:val="21"/>
            </w:rPr>
            <w:fldChar w:fldCharType="begin"/>
          </w:r>
          <w:r>
            <w:rPr>
              <w:sz w:val="21"/>
              <w:szCs w:val="21"/>
            </w:rPr>
            <w:instrText xml:space="preserve"> PAGEREF _Toc14803 \h </w:instrText>
          </w:r>
          <w:r>
            <w:rPr>
              <w:sz w:val="21"/>
              <w:szCs w:val="21"/>
            </w:rPr>
            <w:fldChar w:fldCharType="separate"/>
          </w:r>
          <w:r>
            <w:rPr>
              <w:sz w:val="21"/>
              <w:szCs w:val="21"/>
            </w:rPr>
            <w:t>36</w:t>
          </w:r>
          <w:r>
            <w:rPr>
              <w:sz w:val="21"/>
              <w:szCs w:val="21"/>
            </w:rPr>
            <w:fldChar w:fldCharType="end"/>
          </w:r>
          <w:r>
            <w:rPr>
              <w:sz w:val="21"/>
              <w:szCs w:val="21"/>
              <w:highlight w:val="none"/>
            </w:rPr>
            <w:fldChar w:fldCharType="end"/>
          </w:r>
        </w:p>
        <w:p w14:paraId="5C6C548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_Toc10027 </w:instrText>
          </w:r>
          <w:r>
            <w:rPr>
              <w:sz w:val="21"/>
              <w:szCs w:val="21"/>
              <w:highlight w:val="none"/>
            </w:rPr>
            <w:fldChar w:fldCharType="separate"/>
          </w:r>
          <w:r>
            <w:rPr>
              <w:rFonts w:hint="default" w:ascii="Times New Roman" w:hAnsi="Times New Roman" w:cs="Times New Roman"/>
              <w:sz w:val="21"/>
              <w:szCs w:val="21"/>
              <w:highlight w:val="none"/>
              <w:lang w:val="en-US" w:eastAsia="zh-CN"/>
            </w:rPr>
            <w:t>2.4.2</w:t>
          </w:r>
          <w:r>
            <w:rPr>
              <w:rFonts w:hint="eastAsia"/>
              <w:sz w:val="21"/>
              <w:szCs w:val="21"/>
              <w:highlight w:val="none"/>
              <w:lang w:val="en-US" w:eastAsia="zh-CN"/>
            </w:rPr>
            <w:t>地表水环境</w:t>
          </w:r>
          <w:r>
            <w:rPr>
              <w:sz w:val="21"/>
              <w:szCs w:val="21"/>
            </w:rPr>
            <w:tab/>
          </w:r>
          <w:r>
            <w:rPr>
              <w:sz w:val="21"/>
              <w:szCs w:val="21"/>
            </w:rPr>
            <w:fldChar w:fldCharType="begin"/>
          </w:r>
          <w:r>
            <w:rPr>
              <w:sz w:val="21"/>
              <w:szCs w:val="21"/>
            </w:rPr>
            <w:instrText xml:space="preserve"> PAGEREF _Toc10027 \h </w:instrText>
          </w:r>
          <w:r>
            <w:rPr>
              <w:sz w:val="21"/>
              <w:szCs w:val="21"/>
            </w:rPr>
            <w:fldChar w:fldCharType="separate"/>
          </w:r>
          <w:r>
            <w:rPr>
              <w:sz w:val="21"/>
              <w:szCs w:val="21"/>
            </w:rPr>
            <w:t>44</w:t>
          </w:r>
          <w:r>
            <w:rPr>
              <w:sz w:val="21"/>
              <w:szCs w:val="21"/>
            </w:rPr>
            <w:fldChar w:fldCharType="end"/>
          </w:r>
          <w:r>
            <w:rPr>
              <w:sz w:val="21"/>
              <w:szCs w:val="21"/>
              <w:highlight w:val="none"/>
            </w:rPr>
            <w:fldChar w:fldCharType="end"/>
          </w:r>
        </w:p>
        <w:p w14:paraId="1BB00D7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_Toc3129 </w:instrText>
          </w:r>
          <w:r>
            <w:rPr>
              <w:sz w:val="21"/>
              <w:szCs w:val="21"/>
              <w:highlight w:val="none"/>
            </w:rPr>
            <w:fldChar w:fldCharType="separate"/>
          </w:r>
          <w:r>
            <w:rPr>
              <w:rFonts w:hint="default" w:ascii="Times New Roman" w:hAnsi="Times New Roman" w:eastAsia="黑体" w:cs="Times New Roman"/>
              <w:sz w:val="21"/>
              <w:szCs w:val="21"/>
              <w:highlight w:val="none"/>
              <w:lang w:val="en-US" w:eastAsia="zh-CN"/>
            </w:rPr>
            <w:t>2.4.3</w:t>
          </w:r>
          <w:r>
            <w:rPr>
              <w:rFonts w:hint="eastAsia"/>
              <w:sz w:val="21"/>
              <w:szCs w:val="21"/>
              <w:highlight w:val="none"/>
              <w:lang w:val="en-US" w:eastAsia="zh-CN"/>
            </w:rPr>
            <w:t>地下水环境</w:t>
          </w:r>
          <w:r>
            <w:rPr>
              <w:sz w:val="21"/>
              <w:szCs w:val="21"/>
            </w:rPr>
            <w:tab/>
          </w:r>
          <w:r>
            <w:rPr>
              <w:sz w:val="21"/>
              <w:szCs w:val="21"/>
            </w:rPr>
            <w:fldChar w:fldCharType="begin"/>
          </w:r>
          <w:r>
            <w:rPr>
              <w:sz w:val="21"/>
              <w:szCs w:val="21"/>
            </w:rPr>
            <w:instrText xml:space="preserve"> PAGEREF _Toc3129 \h </w:instrText>
          </w:r>
          <w:r>
            <w:rPr>
              <w:sz w:val="21"/>
              <w:szCs w:val="21"/>
            </w:rPr>
            <w:fldChar w:fldCharType="separate"/>
          </w:r>
          <w:r>
            <w:rPr>
              <w:sz w:val="21"/>
              <w:szCs w:val="21"/>
            </w:rPr>
            <w:t>45</w:t>
          </w:r>
          <w:r>
            <w:rPr>
              <w:sz w:val="21"/>
              <w:szCs w:val="21"/>
            </w:rPr>
            <w:fldChar w:fldCharType="end"/>
          </w:r>
          <w:r>
            <w:rPr>
              <w:sz w:val="21"/>
              <w:szCs w:val="21"/>
              <w:highlight w:val="none"/>
            </w:rPr>
            <w:fldChar w:fldCharType="end"/>
          </w:r>
        </w:p>
        <w:p w14:paraId="1A8860C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_Toc15741 </w:instrText>
          </w:r>
          <w:r>
            <w:rPr>
              <w:sz w:val="21"/>
              <w:szCs w:val="21"/>
              <w:highlight w:val="none"/>
            </w:rPr>
            <w:fldChar w:fldCharType="separate"/>
          </w:r>
          <w:r>
            <w:rPr>
              <w:rFonts w:hint="default" w:ascii="Times New Roman" w:hAnsi="Times New Roman" w:cs="Times New Roman"/>
              <w:sz w:val="21"/>
              <w:szCs w:val="21"/>
              <w:highlight w:val="none"/>
              <w:lang w:val="en-US" w:eastAsia="zh-CN"/>
            </w:rPr>
            <w:t>2.4.4</w:t>
          </w:r>
          <w:r>
            <w:rPr>
              <w:rFonts w:hint="eastAsia"/>
              <w:sz w:val="21"/>
              <w:szCs w:val="21"/>
              <w:highlight w:val="none"/>
              <w:lang w:val="en-US" w:eastAsia="zh-CN"/>
            </w:rPr>
            <w:t>声环境</w:t>
          </w:r>
          <w:r>
            <w:rPr>
              <w:sz w:val="21"/>
              <w:szCs w:val="21"/>
            </w:rPr>
            <w:tab/>
          </w:r>
          <w:r>
            <w:rPr>
              <w:sz w:val="21"/>
              <w:szCs w:val="21"/>
            </w:rPr>
            <w:fldChar w:fldCharType="begin"/>
          </w:r>
          <w:r>
            <w:rPr>
              <w:sz w:val="21"/>
              <w:szCs w:val="21"/>
            </w:rPr>
            <w:instrText xml:space="preserve"> PAGEREF _Toc15741 \h </w:instrText>
          </w:r>
          <w:r>
            <w:rPr>
              <w:sz w:val="21"/>
              <w:szCs w:val="21"/>
            </w:rPr>
            <w:fldChar w:fldCharType="separate"/>
          </w:r>
          <w:r>
            <w:rPr>
              <w:sz w:val="21"/>
              <w:szCs w:val="21"/>
            </w:rPr>
            <w:t>45</w:t>
          </w:r>
          <w:r>
            <w:rPr>
              <w:sz w:val="21"/>
              <w:szCs w:val="21"/>
            </w:rPr>
            <w:fldChar w:fldCharType="end"/>
          </w:r>
          <w:r>
            <w:rPr>
              <w:sz w:val="21"/>
              <w:szCs w:val="21"/>
              <w:highlight w:val="none"/>
            </w:rPr>
            <w:fldChar w:fldCharType="end"/>
          </w:r>
        </w:p>
        <w:p w14:paraId="3CAF710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_Toc4441 </w:instrText>
          </w:r>
          <w:r>
            <w:rPr>
              <w:sz w:val="21"/>
              <w:szCs w:val="21"/>
              <w:highlight w:val="none"/>
            </w:rPr>
            <w:fldChar w:fldCharType="separate"/>
          </w:r>
          <w:r>
            <w:rPr>
              <w:rFonts w:hint="default" w:ascii="Times New Roman" w:hAnsi="Times New Roman" w:cs="Times New Roman"/>
              <w:sz w:val="21"/>
              <w:szCs w:val="21"/>
              <w:highlight w:val="none"/>
              <w:lang w:val="en-US" w:eastAsia="zh-CN"/>
            </w:rPr>
            <w:t>2.4.5</w:t>
          </w:r>
          <w:r>
            <w:rPr>
              <w:rFonts w:hint="eastAsia"/>
              <w:sz w:val="21"/>
              <w:szCs w:val="21"/>
              <w:highlight w:val="none"/>
              <w:lang w:val="en-US" w:eastAsia="zh-CN"/>
            </w:rPr>
            <w:t>土壤环境</w:t>
          </w:r>
          <w:r>
            <w:rPr>
              <w:sz w:val="21"/>
              <w:szCs w:val="21"/>
            </w:rPr>
            <w:tab/>
          </w:r>
          <w:r>
            <w:rPr>
              <w:sz w:val="21"/>
              <w:szCs w:val="21"/>
            </w:rPr>
            <w:fldChar w:fldCharType="begin"/>
          </w:r>
          <w:r>
            <w:rPr>
              <w:sz w:val="21"/>
              <w:szCs w:val="21"/>
            </w:rPr>
            <w:instrText xml:space="preserve"> PAGEREF _Toc4441 \h </w:instrText>
          </w:r>
          <w:r>
            <w:rPr>
              <w:sz w:val="21"/>
              <w:szCs w:val="21"/>
            </w:rPr>
            <w:fldChar w:fldCharType="separate"/>
          </w:r>
          <w:r>
            <w:rPr>
              <w:sz w:val="21"/>
              <w:szCs w:val="21"/>
            </w:rPr>
            <w:t>47</w:t>
          </w:r>
          <w:r>
            <w:rPr>
              <w:sz w:val="21"/>
              <w:szCs w:val="21"/>
            </w:rPr>
            <w:fldChar w:fldCharType="end"/>
          </w:r>
          <w:r>
            <w:rPr>
              <w:sz w:val="21"/>
              <w:szCs w:val="21"/>
              <w:highlight w:val="none"/>
            </w:rPr>
            <w:fldChar w:fldCharType="end"/>
          </w:r>
        </w:p>
        <w:p w14:paraId="14DD217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_Toc1022 </w:instrText>
          </w:r>
          <w:r>
            <w:rPr>
              <w:sz w:val="21"/>
              <w:szCs w:val="21"/>
              <w:highlight w:val="none"/>
            </w:rPr>
            <w:fldChar w:fldCharType="separate"/>
          </w:r>
          <w:r>
            <w:rPr>
              <w:rFonts w:hint="default" w:ascii="Times New Roman" w:hAnsi="Times New Roman" w:cs="Times New Roman"/>
              <w:sz w:val="21"/>
              <w:szCs w:val="21"/>
              <w:highlight w:val="none"/>
              <w:lang w:val="en-US" w:eastAsia="zh-CN"/>
            </w:rPr>
            <w:t>2.4.6</w:t>
          </w:r>
          <w:r>
            <w:rPr>
              <w:rFonts w:hint="eastAsia"/>
              <w:sz w:val="21"/>
              <w:szCs w:val="21"/>
              <w:highlight w:val="none"/>
              <w:lang w:val="en-US" w:eastAsia="zh-CN"/>
            </w:rPr>
            <w:t>生态环境</w:t>
          </w:r>
          <w:r>
            <w:rPr>
              <w:sz w:val="21"/>
              <w:szCs w:val="21"/>
            </w:rPr>
            <w:tab/>
          </w:r>
          <w:r>
            <w:rPr>
              <w:sz w:val="21"/>
              <w:szCs w:val="21"/>
            </w:rPr>
            <w:fldChar w:fldCharType="begin"/>
          </w:r>
          <w:r>
            <w:rPr>
              <w:sz w:val="21"/>
              <w:szCs w:val="21"/>
            </w:rPr>
            <w:instrText xml:space="preserve"> PAGEREF _Toc1022 \h </w:instrText>
          </w:r>
          <w:r>
            <w:rPr>
              <w:sz w:val="21"/>
              <w:szCs w:val="21"/>
            </w:rPr>
            <w:fldChar w:fldCharType="separate"/>
          </w:r>
          <w:r>
            <w:rPr>
              <w:sz w:val="21"/>
              <w:szCs w:val="21"/>
            </w:rPr>
            <w:t>48</w:t>
          </w:r>
          <w:r>
            <w:rPr>
              <w:sz w:val="21"/>
              <w:szCs w:val="21"/>
            </w:rPr>
            <w:fldChar w:fldCharType="end"/>
          </w:r>
          <w:r>
            <w:rPr>
              <w:sz w:val="21"/>
              <w:szCs w:val="21"/>
              <w:highlight w:val="none"/>
            </w:rPr>
            <w:fldChar w:fldCharType="end"/>
          </w:r>
        </w:p>
        <w:p w14:paraId="4DFF700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_Toc12755 </w:instrText>
          </w:r>
          <w:r>
            <w:rPr>
              <w:sz w:val="21"/>
              <w:szCs w:val="21"/>
              <w:highlight w:val="none"/>
            </w:rPr>
            <w:fldChar w:fldCharType="separate"/>
          </w:r>
          <w:r>
            <w:rPr>
              <w:rFonts w:hint="default" w:ascii="Times New Roman" w:hAnsi="Times New Roman" w:cs="Times New Roman"/>
              <w:sz w:val="21"/>
              <w:szCs w:val="21"/>
              <w:highlight w:val="none"/>
              <w:lang w:val="en-US" w:eastAsia="zh-CN"/>
            </w:rPr>
            <w:t>2.4.7</w:t>
          </w:r>
          <w:r>
            <w:rPr>
              <w:rFonts w:hint="eastAsia"/>
              <w:sz w:val="21"/>
              <w:szCs w:val="21"/>
              <w:highlight w:val="none"/>
              <w:lang w:val="en-US" w:eastAsia="zh-CN"/>
            </w:rPr>
            <w:t>环境风险</w:t>
          </w:r>
          <w:r>
            <w:rPr>
              <w:sz w:val="21"/>
              <w:szCs w:val="21"/>
            </w:rPr>
            <w:tab/>
          </w:r>
          <w:r>
            <w:rPr>
              <w:sz w:val="21"/>
              <w:szCs w:val="21"/>
            </w:rPr>
            <w:fldChar w:fldCharType="begin"/>
          </w:r>
          <w:r>
            <w:rPr>
              <w:sz w:val="21"/>
              <w:szCs w:val="21"/>
            </w:rPr>
            <w:instrText xml:space="preserve"> PAGEREF _Toc12755 \h </w:instrText>
          </w:r>
          <w:r>
            <w:rPr>
              <w:sz w:val="21"/>
              <w:szCs w:val="21"/>
            </w:rPr>
            <w:fldChar w:fldCharType="separate"/>
          </w:r>
          <w:r>
            <w:rPr>
              <w:sz w:val="21"/>
              <w:szCs w:val="21"/>
            </w:rPr>
            <w:t>49</w:t>
          </w:r>
          <w:r>
            <w:rPr>
              <w:sz w:val="21"/>
              <w:szCs w:val="21"/>
            </w:rPr>
            <w:fldChar w:fldCharType="end"/>
          </w:r>
          <w:r>
            <w:rPr>
              <w:sz w:val="21"/>
              <w:szCs w:val="21"/>
              <w:highlight w:val="none"/>
            </w:rPr>
            <w:fldChar w:fldCharType="end"/>
          </w:r>
        </w:p>
        <w:p w14:paraId="61BEE6A8">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_Toc26040 </w:instrText>
          </w:r>
          <w:r>
            <w:rPr>
              <w:sz w:val="21"/>
              <w:szCs w:val="21"/>
              <w:highlight w:val="none"/>
            </w:rPr>
            <w:fldChar w:fldCharType="separate"/>
          </w:r>
          <w:r>
            <w:rPr>
              <w:rFonts w:hint="default" w:ascii="Times New Roman" w:hAnsi="Times New Roman" w:cs="Times New Roman"/>
              <w:sz w:val="21"/>
              <w:szCs w:val="21"/>
              <w:highlight w:val="none"/>
              <w:lang w:val="en-US" w:eastAsia="zh-CN"/>
            </w:rPr>
            <w:t>2.5</w:t>
          </w:r>
          <w:r>
            <w:rPr>
              <w:rFonts w:hint="eastAsia"/>
              <w:sz w:val="21"/>
              <w:szCs w:val="21"/>
              <w:highlight w:val="none"/>
              <w:lang w:val="en-US" w:eastAsia="zh-CN"/>
            </w:rPr>
            <w:t>环境保护目标</w:t>
          </w:r>
          <w:r>
            <w:rPr>
              <w:sz w:val="21"/>
              <w:szCs w:val="21"/>
            </w:rPr>
            <w:tab/>
          </w:r>
          <w:r>
            <w:rPr>
              <w:sz w:val="21"/>
              <w:szCs w:val="21"/>
            </w:rPr>
            <w:fldChar w:fldCharType="begin"/>
          </w:r>
          <w:r>
            <w:rPr>
              <w:sz w:val="21"/>
              <w:szCs w:val="21"/>
            </w:rPr>
            <w:instrText xml:space="preserve"> PAGEREF _Toc26040 \h </w:instrText>
          </w:r>
          <w:r>
            <w:rPr>
              <w:sz w:val="21"/>
              <w:szCs w:val="21"/>
            </w:rPr>
            <w:fldChar w:fldCharType="separate"/>
          </w:r>
          <w:r>
            <w:rPr>
              <w:sz w:val="21"/>
              <w:szCs w:val="21"/>
            </w:rPr>
            <w:t>50</w:t>
          </w:r>
          <w:r>
            <w:rPr>
              <w:sz w:val="21"/>
              <w:szCs w:val="21"/>
            </w:rPr>
            <w:fldChar w:fldCharType="end"/>
          </w:r>
          <w:r>
            <w:rPr>
              <w:sz w:val="21"/>
              <w:szCs w:val="21"/>
              <w:highlight w:val="none"/>
            </w:rPr>
            <w:fldChar w:fldCharType="end"/>
          </w:r>
        </w:p>
        <w:p w14:paraId="3228012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_Toc26061 </w:instrText>
          </w:r>
          <w:r>
            <w:rPr>
              <w:sz w:val="21"/>
              <w:szCs w:val="21"/>
              <w:highlight w:val="none"/>
            </w:rPr>
            <w:fldChar w:fldCharType="separate"/>
          </w:r>
          <w:r>
            <w:rPr>
              <w:rFonts w:hint="eastAsia"/>
              <w:sz w:val="21"/>
              <w:szCs w:val="21"/>
              <w:highlight w:val="none"/>
              <w:lang w:val="en-US" w:eastAsia="zh-CN"/>
            </w:rPr>
            <w:t>3工程概况及工程分析</w:t>
          </w:r>
          <w:r>
            <w:rPr>
              <w:sz w:val="21"/>
              <w:szCs w:val="21"/>
            </w:rPr>
            <w:tab/>
          </w:r>
          <w:r>
            <w:rPr>
              <w:sz w:val="21"/>
              <w:szCs w:val="21"/>
            </w:rPr>
            <w:fldChar w:fldCharType="begin"/>
          </w:r>
          <w:r>
            <w:rPr>
              <w:sz w:val="21"/>
              <w:szCs w:val="21"/>
            </w:rPr>
            <w:instrText xml:space="preserve"> PAGEREF _Toc26061 \h </w:instrText>
          </w:r>
          <w:r>
            <w:rPr>
              <w:sz w:val="21"/>
              <w:szCs w:val="21"/>
            </w:rPr>
            <w:fldChar w:fldCharType="separate"/>
          </w:r>
          <w:r>
            <w:rPr>
              <w:sz w:val="21"/>
              <w:szCs w:val="21"/>
            </w:rPr>
            <w:t>58</w:t>
          </w:r>
          <w:r>
            <w:rPr>
              <w:sz w:val="21"/>
              <w:szCs w:val="21"/>
            </w:rPr>
            <w:fldChar w:fldCharType="end"/>
          </w:r>
          <w:r>
            <w:rPr>
              <w:sz w:val="21"/>
              <w:szCs w:val="21"/>
              <w:highlight w:val="none"/>
            </w:rPr>
            <w:fldChar w:fldCharType="end"/>
          </w:r>
        </w:p>
        <w:p w14:paraId="2E032415">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_Toc22131 </w:instrText>
          </w:r>
          <w:r>
            <w:rPr>
              <w:sz w:val="21"/>
              <w:szCs w:val="21"/>
              <w:highlight w:val="none"/>
            </w:rPr>
            <w:fldChar w:fldCharType="separate"/>
          </w:r>
          <w:r>
            <w:rPr>
              <w:rFonts w:hint="default" w:ascii="Times New Roman" w:hAnsi="Times New Roman" w:cs="Times New Roman"/>
              <w:sz w:val="21"/>
              <w:szCs w:val="21"/>
              <w:highlight w:val="none"/>
              <w:lang w:val="en-US" w:eastAsia="zh-CN"/>
            </w:rPr>
            <w:t>3.1</w:t>
          </w:r>
          <w:r>
            <w:rPr>
              <w:rFonts w:hint="eastAsia"/>
              <w:sz w:val="21"/>
              <w:szCs w:val="21"/>
              <w:highlight w:val="none"/>
              <w:lang w:val="en-US" w:eastAsia="zh-CN"/>
            </w:rPr>
            <w:t>建设项目概况</w:t>
          </w:r>
          <w:r>
            <w:rPr>
              <w:sz w:val="21"/>
              <w:szCs w:val="21"/>
            </w:rPr>
            <w:tab/>
          </w:r>
          <w:r>
            <w:rPr>
              <w:sz w:val="21"/>
              <w:szCs w:val="21"/>
            </w:rPr>
            <w:fldChar w:fldCharType="begin"/>
          </w:r>
          <w:r>
            <w:rPr>
              <w:sz w:val="21"/>
              <w:szCs w:val="21"/>
            </w:rPr>
            <w:instrText xml:space="preserve"> PAGEREF _Toc22131 \h </w:instrText>
          </w:r>
          <w:r>
            <w:rPr>
              <w:sz w:val="21"/>
              <w:szCs w:val="21"/>
            </w:rPr>
            <w:fldChar w:fldCharType="separate"/>
          </w:r>
          <w:r>
            <w:rPr>
              <w:sz w:val="21"/>
              <w:szCs w:val="21"/>
            </w:rPr>
            <w:t>58</w:t>
          </w:r>
          <w:r>
            <w:rPr>
              <w:sz w:val="21"/>
              <w:szCs w:val="21"/>
            </w:rPr>
            <w:fldChar w:fldCharType="end"/>
          </w:r>
          <w:r>
            <w:rPr>
              <w:sz w:val="21"/>
              <w:szCs w:val="21"/>
              <w:highlight w:val="none"/>
            </w:rPr>
            <w:fldChar w:fldCharType="end"/>
          </w:r>
        </w:p>
        <w:p w14:paraId="5959B43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_Toc9535 </w:instrText>
          </w:r>
          <w:r>
            <w:rPr>
              <w:sz w:val="21"/>
              <w:szCs w:val="21"/>
              <w:highlight w:val="none"/>
            </w:rPr>
            <w:fldChar w:fldCharType="separate"/>
          </w:r>
          <w:r>
            <w:rPr>
              <w:rFonts w:hint="eastAsia"/>
              <w:sz w:val="21"/>
              <w:szCs w:val="21"/>
              <w:highlight w:val="none"/>
              <w:lang w:val="en-US" w:eastAsia="zh-CN"/>
            </w:rPr>
            <w:t>3.1.1现有工程梳理</w:t>
          </w:r>
          <w:r>
            <w:rPr>
              <w:sz w:val="21"/>
              <w:szCs w:val="21"/>
            </w:rPr>
            <w:tab/>
          </w:r>
          <w:r>
            <w:rPr>
              <w:sz w:val="21"/>
              <w:szCs w:val="21"/>
            </w:rPr>
            <w:fldChar w:fldCharType="begin"/>
          </w:r>
          <w:r>
            <w:rPr>
              <w:sz w:val="21"/>
              <w:szCs w:val="21"/>
            </w:rPr>
            <w:instrText xml:space="preserve"> PAGEREF _Toc9535 \h </w:instrText>
          </w:r>
          <w:r>
            <w:rPr>
              <w:sz w:val="21"/>
              <w:szCs w:val="21"/>
            </w:rPr>
            <w:fldChar w:fldCharType="separate"/>
          </w:r>
          <w:r>
            <w:rPr>
              <w:sz w:val="21"/>
              <w:szCs w:val="21"/>
            </w:rPr>
            <w:t>58</w:t>
          </w:r>
          <w:r>
            <w:rPr>
              <w:sz w:val="21"/>
              <w:szCs w:val="21"/>
            </w:rPr>
            <w:fldChar w:fldCharType="end"/>
          </w:r>
          <w:r>
            <w:rPr>
              <w:sz w:val="21"/>
              <w:szCs w:val="21"/>
              <w:highlight w:val="none"/>
            </w:rPr>
            <w:fldChar w:fldCharType="end"/>
          </w:r>
        </w:p>
        <w:p w14:paraId="52E764A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_Toc15442 </w:instrText>
          </w:r>
          <w:r>
            <w:rPr>
              <w:sz w:val="21"/>
              <w:szCs w:val="21"/>
              <w:highlight w:val="none"/>
            </w:rPr>
            <w:fldChar w:fldCharType="separate"/>
          </w:r>
          <w:r>
            <w:rPr>
              <w:rFonts w:hint="default" w:ascii="Times New Roman" w:hAnsi="Times New Roman" w:cs="Times New Roman"/>
              <w:sz w:val="21"/>
              <w:szCs w:val="21"/>
              <w:highlight w:val="none"/>
              <w:lang w:val="en-US" w:eastAsia="zh-CN"/>
            </w:rPr>
            <w:t>3.1.</w:t>
          </w:r>
          <w:r>
            <w:rPr>
              <w:rFonts w:hint="eastAsia" w:ascii="Times New Roman" w:hAnsi="Times New Roman" w:cs="Times New Roman"/>
              <w:sz w:val="21"/>
              <w:szCs w:val="21"/>
              <w:highlight w:val="none"/>
              <w:lang w:val="en-US" w:eastAsia="zh-CN"/>
            </w:rPr>
            <w:t>2现有</w:t>
          </w:r>
          <w:r>
            <w:rPr>
              <w:rFonts w:hint="eastAsia"/>
              <w:sz w:val="21"/>
              <w:szCs w:val="21"/>
              <w:highlight w:val="none"/>
              <w:lang w:val="en-US" w:eastAsia="zh-CN"/>
            </w:rPr>
            <w:t>工程概况</w:t>
          </w:r>
          <w:r>
            <w:rPr>
              <w:sz w:val="21"/>
              <w:szCs w:val="21"/>
            </w:rPr>
            <w:tab/>
          </w:r>
          <w:r>
            <w:rPr>
              <w:sz w:val="21"/>
              <w:szCs w:val="21"/>
            </w:rPr>
            <w:fldChar w:fldCharType="begin"/>
          </w:r>
          <w:r>
            <w:rPr>
              <w:sz w:val="21"/>
              <w:szCs w:val="21"/>
            </w:rPr>
            <w:instrText xml:space="preserve"> PAGEREF _Toc15442 \h </w:instrText>
          </w:r>
          <w:r>
            <w:rPr>
              <w:sz w:val="21"/>
              <w:szCs w:val="21"/>
            </w:rPr>
            <w:fldChar w:fldCharType="separate"/>
          </w:r>
          <w:r>
            <w:rPr>
              <w:sz w:val="21"/>
              <w:szCs w:val="21"/>
            </w:rPr>
            <w:t>61</w:t>
          </w:r>
          <w:r>
            <w:rPr>
              <w:sz w:val="21"/>
              <w:szCs w:val="21"/>
            </w:rPr>
            <w:fldChar w:fldCharType="end"/>
          </w:r>
          <w:r>
            <w:rPr>
              <w:sz w:val="21"/>
              <w:szCs w:val="21"/>
              <w:highlight w:val="none"/>
            </w:rPr>
            <w:fldChar w:fldCharType="end"/>
          </w:r>
        </w:p>
        <w:p w14:paraId="3D9EBE7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_Toc31653 </w:instrText>
          </w:r>
          <w:r>
            <w:rPr>
              <w:sz w:val="21"/>
              <w:szCs w:val="21"/>
              <w:highlight w:val="none"/>
            </w:rPr>
            <w:fldChar w:fldCharType="separate"/>
          </w:r>
          <w:r>
            <w:rPr>
              <w:rFonts w:hint="default" w:ascii="Times New Roman" w:hAnsi="Times New Roman" w:cs="Times New Roman"/>
              <w:sz w:val="21"/>
              <w:szCs w:val="21"/>
              <w:highlight w:val="none"/>
              <w:lang w:val="en-US" w:eastAsia="zh-CN"/>
            </w:rPr>
            <w:t>3.1.</w:t>
          </w:r>
          <w:r>
            <w:rPr>
              <w:rFonts w:hint="eastAsia" w:ascii="Times New Roman" w:hAnsi="Times New Roman" w:cs="Times New Roman"/>
              <w:sz w:val="21"/>
              <w:szCs w:val="21"/>
              <w:highlight w:val="none"/>
              <w:lang w:val="en-US" w:eastAsia="zh-CN"/>
            </w:rPr>
            <w:t>3现有工程</w:t>
          </w:r>
          <w:r>
            <w:rPr>
              <w:rFonts w:hint="eastAsia"/>
              <w:sz w:val="21"/>
              <w:szCs w:val="21"/>
              <w:highlight w:val="none"/>
              <w:lang w:val="en-US" w:eastAsia="zh-CN"/>
            </w:rPr>
            <w:t>建设内容与规模</w:t>
          </w:r>
          <w:r>
            <w:rPr>
              <w:sz w:val="21"/>
              <w:szCs w:val="21"/>
            </w:rPr>
            <w:tab/>
          </w:r>
          <w:r>
            <w:rPr>
              <w:sz w:val="21"/>
              <w:szCs w:val="21"/>
            </w:rPr>
            <w:fldChar w:fldCharType="begin"/>
          </w:r>
          <w:r>
            <w:rPr>
              <w:sz w:val="21"/>
              <w:szCs w:val="21"/>
            </w:rPr>
            <w:instrText xml:space="preserve"> PAGEREF _Toc31653 \h </w:instrText>
          </w:r>
          <w:r>
            <w:rPr>
              <w:sz w:val="21"/>
              <w:szCs w:val="21"/>
            </w:rPr>
            <w:fldChar w:fldCharType="separate"/>
          </w:r>
          <w:r>
            <w:rPr>
              <w:sz w:val="21"/>
              <w:szCs w:val="21"/>
            </w:rPr>
            <w:t>61</w:t>
          </w:r>
          <w:r>
            <w:rPr>
              <w:sz w:val="21"/>
              <w:szCs w:val="21"/>
            </w:rPr>
            <w:fldChar w:fldCharType="end"/>
          </w:r>
          <w:r>
            <w:rPr>
              <w:sz w:val="21"/>
              <w:szCs w:val="21"/>
              <w:highlight w:val="none"/>
            </w:rPr>
            <w:fldChar w:fldCharType="end"/>
          </w:r>
        </w:p>
        <w:p w14:paraId="73536DF0">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_Toc17211 </w:instrText>
          </w:r>
          <w:r>
            <w:rPr>
              <w:sz w:val="21"/>
              <w:szCs w:val="21"/>
              <w:highlight w:val="none"/>
            </w:rPr>
            <w:fldChar w:fldCharType="separate"/>
          </w:r>
          <w:r>
            <w:rPr>
              <w:rFonts w:hint="default" w:ascii="Times New Roman" w:hAnsi="Times New Roman" w:cs="Times New Roman"/>
              <w:sz w:val="21"/>
              <w:szCs w:val="21"/>
              <w:highlight w:val="none"/>
              <w:lang w:val="en-US" w:eastAsia="zh-CN"/>
            </w:rPr>
            <w:t>3.1.</w:t>
          </w:r>
          <w:r>
            <w:rPr>
              <w:rFonts w:hint="eastAsia" w:ascii="Times New Roman" w:hAnsi="Times New Roman" w:cs="Times New Roman"/>
              <w:sz w:val="21"/>
              <w:szCs w:val="21"/>
              <w:highlight w:val="none"/>
              <w:lang w:val="en-US" w:eastAsia="zh-CN"/>
            </w:rPr>
            <w:t>4</w:t>
          </w:r>
          <w:r>
            <w:rPr>
              <w:rFonts w:hint="eastAsia"/>
              <w:sz w:val="21"/>
              <w:szCs w:val="21"/>
              <w:highlight w:val="none"/>
              <w:lang w:val="en-US" w:eastAsia="zh-CN"/>
            </w:rPr>
            <w:t>设备方案</w:t>
          </w:r>
          <w:r>
            <w:rPr>
              <w:sz w:val="21"/>
              <w:szCs w:val="21"/>
            </w:rPr>
            <w:tab/>
          </w:r>
          <w:r>
            <w:rPr>
              <w:sz w:val="21"/>
              <w:szCs w:val="21"/>
            </w:rPr>
            <w:fldChar w:fldCharType="begin"/>
          </w:r>
          <w:r>
            <w:rPr>
              <w:sz w:val="21"/>
              <w:szCs w:val="21"/>
            </w:rPr>
            <w:instrText xml:space="preserve"> PAGEREF _Toc17211 \h </w:instrText>
          </w:r>
          <w:r>
            <w:rPr>
              <w:sz w:val="21"/>
              <w:szCs w:val="21"/>
            </w:rPr>
            <w:fldChar w:fldCharType="separate"/>
          </w:r>
          <w:r>
            <w:rPr>
              <w:sz w:val="21"/>
              <w:szCs w:val="21"/>
            </w:rPr>
            <w:t>64</w:t>
          </w:r>
          <w:r>
            <w:rPr>
              <w:sz w:val="21"/>
              <w:szCs w:val="21"/>
            </w:rPr>
            <w:fldChar w:fldCharType="end"/>
          </w:r>
          <w:r>
            <w:rPr>
              <w:sz w:val="21"/>
              <w:szCs w:val="21"/>
              <w:highlight w:val="none"/>
            </w:rPr>
            <w:fldChar w:fldCharType="end"/>
          </w:r>
        </w:p>
        <w:p w14:paraId="426FD2D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_Toc25148 </w:instrText>
          </w:r>
          <w:r>
            <w:rPr>
              <w:sz w:val="21"/>
              <w:szCs w:val="21"/>
              <w:highlight w:val="none"/>
            </w:rPr>
            <w:fldChar w:fldCharType="separate"/>
          </w:r>
          <w:r>
            <w:rPr>
              <w:rFonts w:hint="default" w:ascii="Times New Roman" w:hAnsi="Times New Roman" w:eastAsia="宋体" w:cs="Times New Roman"/>
              <w:sz w:val="21"/>
              <w:szCs w:val="21"/>
              <w:highlight w:val="none"/>
              <w:lang w:val="en-US" w:eastAsia="zh-CN"/>
            </w:rPr>
            <w:t>3.1.</w:t>
          </w:r>
          <w:r>
            <w:rPr>
              <w:rFonts w:hint="eastAsia" w:ascii="Times New Roman" w:hAnsi="Times New Roman" w:cs="Times New Roman"/>
              <w:sz w:val="21"/>
              <w:szCs w:val="21"/>
              <w:highlight w:val="none"/>
              <w:lang w:val="en-US" w:eastAsia="zh-CN"/>
            </w:rPr>
            <w:t>5</w:t>
          </w:r>
          <w:r>
            <w:rPr>
              <w:rFonts w:hint="eastAsia"/>
              <w:sz w:val="21"/>
              <w:szCs w:val="21"/>
              <w:highlight w:val="none"/>
              <w:lang w:val="en-US" w:eastAsia="zh-CN"/>
            </w:rPr>
            <w:t>燃料消耗量及成分分析</w:t>
          </w:r>
          <w:r>
            <w:rPr>
              <w:sz w:val="21"/>
              <w:szCs w:val="21"/>
            </w:rPr>
            <w:tab/>
          </w:r>
          <w:r>
            <w:rPr>
              <w:sz w:val="21"/>
              <w:szCs w:val="21"/>
            </w:rPr>
            <w:fldChar w:fldCharType="begin"/>
          </w:r>
          <w:r>
            <w:rPr>
              <w:sz w:val="21"/>
              <w:szCs w:val="21"/>
            </w:rPr>
            <w:instrText xml:space="preserve"> PAGEREF _Toc25148 \h </w:instrText>
          </w:r>
          <w:r>
            <w:rPr>
              <w:sz w:val="21"/>
              <w:szCs w:val="21"/>
            </w:rPr>
            <w:fldChar w:fldCharType="separate"/>
          </w:r>
          <w:r>
            <w:rPr>
              <w:sz w:val="21"/>
              <w:szCs w:val="21"/>
            </w:rPr>
            <w:t>65</w:t>
          </w:r>
          <w:r>
            <w:rPr>
              <w:sz w:val="21"/>
              <w:szCs w:val="21"/>
            </w:rPr>
            <w:fldChar w:fldCharType="end"/>
          </w:r>
          <w:r>
            <w:rPr>
              <w:sz w:val="21"/>
              <w:szCs w:val="21"/>
              <w:highlight w:val="none"/>
            </w:rPr>
            <w:fldChar w:fldCharType="end"/>
          </w:r>
        </w:p>
        <w:p w14:paraId="1DB1D31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_Toc20637 </w:instrText>
          </w:r>
          <w:r>
            <w:rPr>
              <w:sz w:val="21"/>
              <w:szCs w:val="21"/>
              <w:highlight w:val="none"/>
            </w:rPr>
            <w:fldChar w:fldCharType="separate"/>
          </w:r>
          <w:r>
            <w:rPr>
              <w:rFonts w:hint="eastAsia"/>
              <w:sz w:val="21"/>
              <w:szCs w:val="21"/>
              <w:highlight w:val="none"/>
              <w:lang w:val="en-US" w:eastAsia="zh-CN"/>
            </w:rPr>
            <w:t>3.1.6燃料储存</w:t>
          </w:r>
          <w:r>
            <w:rPr>
              <w:sz w:val="21"/>
              <w:szCs w:val="21"/>
            </w:rPr>
            <w:tab/>
          </w:r>
          <w:r>
            <w:rPr>
              <w:sz w:val="21"/>
              <w:szCs w:val="21"/>
            </w:rPr>
            <w:fldChar w:fldCharType="begin"/>
          </w:r>
          <w:r>
            <w:rPr>
              <w:sz w:val="21"/>
              <w:szCs w:val="21"/>
            </w:rPr>
            <w:instrText xml:space="preserve"> PAGEREF _Toc20637 \h </w:instrText>
          </w:r>
          <w:r>
            <w:rPr>
              <w:sz w:val="21"/>
              <w:szCs w:val="21"/>
            </w:rPr>
            <w:fldChar w:fldCharType="separate"/>
          </w:r>
          <w:r>
            <w:rPr>
              <w:sz w:val="21"/>
              <w:szCs w:val="21"/>
            </w:rPr>
            <w:t>66</w:t>
          </w:r>
          <w:r>
            <w:rPr>
              <w:sz w:val="21"/>
              <w:szCs w:val="21"/>
            </w:rPr>
            <w:fldChar w:fldCharType="end"/>
          </w:r>
          <w:r>
            <w:rPr>
              <w:sz w:val="21"/>
              <w:szCs w:val="21"/>
              <w:highlight w:val="none"/>
            </w:rPr>
            <w:fldChar w:fldCharType="end"/>
          </w:r>
        </w:p>
        <w:p w14:paraId="493499C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_Toc23866 </w:instrText>
          </w:r>
          <w:r>
            <w:rPr>
              <w:sz w:val="21"/>
              <w:szCs w:val="21"/>
              <w:highlight w:val="none"/>
            </w:rPr>
            <w:fldChar w:fldCharType="separate"/>
          </w:r>
          <w:r>
            <w:rPr>
              <w:rFonts w:hint="eastAsia"/>
              <w:sz w:val="21"/>
              <w:szCs w:val="21"/>
              <w:highlight w:val="none"/>
              <w:lang w:val="en-US" w:eastAsia="zh-CN"/>
            </w:rPr>
            <w:t>3.1.7辅助材料</w:t>
          </w:r>
          <w:r>
            <w:rPr>
              <w:sz w:val="21"/>
              <w:szCs w:val="21"/>
            </w:rPr>
            <w:tab/>
          </w:r>
          <w:r>
            <w:rPr>
              <w:sz w:val="21"/>
              <w:szCs w:val="21"/>
            </w:rPr>
            <w:fldChar w:fldCharType="begin"/>
          </w:r>
          <w:r>
            <w:rPr>
              <w:sz w:val="21"/>
              <w:szCs w:val="21"/>
            </w:rPr>
            <w:instrText xml:space="preserve"> PAGEREF _Toc23866 \h </w:instrText>
          </w:r>
          <w:r>
            <w:rPr>
              <w:sz w:val="21"/>
              <w:szCs w:val="21"/>
            </w:rPr>
            <w:fldChar w:fldCharType="separate"/>
          </w:r>
          <w:r>
            <w:rPr>
              <w:sz w:val="21"/>
              <w:szCs w:val="21"/>
            </w:rPr>
            <w:t>66</w:t>
          </w:r>
          <w:r>
            <w:rPr>
              <w:sz w:val="21"/>
              <w:szCs w:val="21"/>
            </w:rPr>
            <w:fldChar w:fldCharType="end"/>
          </w:r>
          <w:r>
            <w:rPr>
              <w:sz w:val="21"/>
              <w:szCs w:val="21"/>
              <w:highlight w:val="none"/>
            </w:rPr>
            <w:fldChar w:fldCharType="end"/>
          </w:r>
        </w:p>
        <w:p w14:paraId="214E739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_Toc16981 </w:instrText>
          </w:r>
          <w:r>
            <w:rPr>
              <w:sz w:val="21"/>
              <w:szCs w:val="21"/>
              <w:highlight w:val="none"/>
            </w:rPr>
            <w:fldChar w:fldCharType="separate"/>
          </w:r>
          <w:r>
            <w:rPr>
              <w:rFonts w:hint="eastAsia"/>
              <w:sz w:val="21"/>
              <w:szCs w:val="21"/>
              <w:highlight w:val="none"/>
              <w:lang w:val="en-US" w:eastAsia="zh-CN"/>
            </w:rPr>
            <w:t>3.1.8公用工程</w:t>
          </w:r>
          <w:r>
            <w:rPr>
              <w:sz w:val="21"/>
              <w:szCs w:val="21"/>
            </w:rPr>
            <w:tab/>
          </w:r>
          <w:r>
            <w:rPr>
              <w:sz w:val="21"/>
              <w:szCs w:val="21"/>
            </w:rPr>
            <w:fldChar w:fldCharType="begin"/>
          </w:r>
          <w:r>
            <w:rPr>
              <w:sz w:val="21"/>
              <w:szCs w:val="21"/>
            </w:rPr>
            <w:instrText xml:space="preserve"> PAGEREF _Toc16981 \h </w:instrText>
          </w:r>
          <w:r>
            <w:rPr>
              <w:sz w:val="21"/>
              <w:szCs w:val="21"/>
            </w:rPr>
            <w:fldChar w:fldCharType="separate"/>
          </w:r>
          <w:r>
            <w:rPr>
              <w:sz w:val="21"/>
              <w:szCs w:val="21"/>
            </w:rPr>
            <w:t>66</w:t>
          </w:r>
          <w:r>
            <w:rPr>
              <w:sz w:val="21"/>
              <w:szCs w:val="21"/>
            </w:rPr>
            <w:fldChar w:fldCharType="end"/>
          </w:r>
          <w:r>
            <w:rPr>
              <w:sz w:val="21"/>
              <w:szCs w:val="21"/>
              <w:highlight w:val="none"/>
            </w:rPr>
            <w:fldChar w:fldCharType="end"/>
          </w:r>
        </w:p>
        <w:p w14:paraId="4A6DEDD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_Toc31642 </w:instrText>
          </w:r>
          <w:r>
            <w:rPr>
              <w:sz w:val="21"/>
              <w:szCs w:val="21"/>
              <w:highlight w:val="none"/>
            </w:rPr>
            <w:fldChar w:fldCharType="separate"/>
          </w:r>
          <w:r>
            <w:rPr>
              <w:rFonts w:hint="eastAsia"/>
              <w:sz w:val="21"/>
              <w:szCs w:val="21"/>
              <w:highlight w:val="none"/>
              <w:lang w:val="en-US" w:eastAsia="zh-CN"/>
            </w:rPr>
            <w:t>3.1.9依托工程</w:t>
          </w:r>
          <w:r>
            <w:rPr>
              <w:sz w:val="21"/>
              <w:szCs w:val="21"/>
            </w:rPr>
            <w:tab/>
          </w:r>
          <w:r>
            <w:rPr>
              <w:sz w:val="21"/>
              <w:szCs w:val="21"/>
            </w:rPr>
            <w:fldChar w:fldCharType="begin"/>
          </w:r>
          <w:r>
            <w:rPr>
              <w:sz w:val="21"/>
              <w:szCs w:val="21"/>
            </w:rPr>
            <w:instrText xml:space="preserve"> PAGEREF _Toc31642 \h </w:instrText>
          </w:r>
          <w:r>
            <w:rPr>
              <w:sz w:val="21"/>
              <w:szCs w:val="21"/>
            </w:rPr>
            <w:fldChar w:fldCharType="separate"/>
          </w:r>
          <w:r>
            <w:rPr>
              <w:sz w:val="21"/>
              <w:szCs w:val="21"/>
            </w:rPr>
            <w:t>70</w:t>
          </w:r>
          <w:r>
            <w:rPr>
              <w:sz w:val="21"/>
              <w:szCs w:val="21"/>
            </w:rPr>
            <w:fldChar w:fldCharType="end"/>
          </w:r>
          <w:r>
            <w:rPr>
              <w:sz w:val="21"/>
              <w:szCs w:val="21"/>
              <w:highlight w:val="none"/>
            </w:rPr>
            <w:fldChar w:fldCharType="end"/>
          </w:r>
        </w:p>
        <w:p w14:paraId="2739C2A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_Toc14781 </w:instrText>
          </w:r>
          <w:r>
            <w:rPr>
              <w:sz w:val="21"/>
              <w:szCs w:val="21"/>
              <w:highlight w:val="none"/>
            </w:rPr>
            <w:fldChar w:fldCharType="separate"/>
          </w:r>
          <w:r>
            <w:rPr>
              <w:rFonts w:hint="eastAsia"/>
              <w:sz w:val="21"/>
              <w:szCs w:val="21"/>
              <w:highlight w:val="none"/>
              <w:lang w:val="en-US" w:eastAsia="zh-CN"/>
            </w:rPr>
            <w:t>3.1.10总平面布置</w:t>
          </w:r>
          <w:r>
            <w:rPr>
              <w:sz w:val="21"/>
              <w:szCs w:val="21"/>
            </w:rPr>
            <w:tab/>
          </w:r>
          <w:r>
            <w:rPr>
              <w:sz w:val="21"/>
              <w:szCs w:val="21"/>
            </w:rPr>
            <w:fldChar w:fldCharType="begin"/>
          </w:r>
          <w:r>
            <w:rPr>
              <w:sz w:val="21"/>
              <w:szCs w:val="21"/>
            </w:rPr>
            <w:instrText xml:space="preserve"> PAGEREF _Toc14781 \h </w:instrText>
          </w:r>
          <w:r>
            <w:rPr>
              <w:sz w:val="21"/>
              <w:szCs w:val="21"/>
            </w:rPr>
            <w:fldChar w:fldCharType="separate"/>
          </w:r>
          <w:r>
            <w:rPr>
              <w:sz w:val="21"/>
              <w:szCs w:val="21"/>
            </w:rPr>
            <w:t>70</w:t>
          </w:r>
          <w:r>
            <w:rPr>
              <w:sz w:val="21"/>
              <w:szCs w:val="21"/>
            </w:rPr>
            <w:fldChar w:fldCharType="end"/>
          </w:r>
          <w:r>
            <w:rPr>
              <w:sz w:val="21"/>
              <w:szCs w:val="21"/>
              <w:highlight w:val="none"/>
            </w:rPr>
            <w:fldChar w:fldCharType="end"/>
          </w:r>
        </w:p>
        <w:p w14:paraId="2615DC6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_Toc5746 </w:instrText>
          </w:r>
          <w:r>
            <w:rPr>
              <w:sz w:val="21"/>
              <w:szCs w:val="21"/>
              <w:highlight w:val="none"/>
            </w:rPr>
            <w:fldChar w:fldCharType="separate"/>
          </w:r>
          <w:r>
            <w:rPr>
              <w:rFonts w:hint="eastAsia"/>
              <w:sz w:val="21"/>
              <w:szCs w:val="21"/>
              <w:highlight w:val="none"/>
              <w:lang w:val="en-US" w:eastAsia="zh-CN"/>
            </w:rPr>
            <w:t>3.1.11劳动人员及工作制度</w:t>
          </w:r>
          <w:r>
            <w:rPr>
              <w:sz w:val="21"/>
              <w:szCs w:val="21"/>
            </w:rPr>
            <w:tab/>
          </w:r>
          <w:r>
            <w:rPr>
              <w:sz w:val="21"/>
              <w:szCs w:val="21"/>
            </w:rPr>
            <w:fldChar w:fldCharType="begin"/>
          </w:r>
          <w:r>
            <w:rPr>
              <w:sz w:val="21"/>
              <w:szCs w:val="21"/>
            </w:rPr>
            <w:instrText xml:space="preserve"> PAGEREF _Toc5746 \h </w:instrText>
          </w:r>
          <w:r>
            <w:rPr>
              <w:sz w:val="21"/>
              <w:szCs w:val="21"/>
            </w:rPr>
            <w:fldChar w:fldCharType="separate"/>
          </w:r>
          <w:r>
            <w:rPr>
              <w:sz w:val="21"/>
              <w:szCs w:val="21"/>
            </w:rPr>
            <w:t>70</w:t>
          </w:r>
          <w:r>
            <w:rPr>
              <w:sz w:val="21"/>
              <w:szCs w:val="21"/>
            </w:rPr>
            <w:fldChar w:fldCharType="end"/>
          </w:r>
          <w:r>
            <w:rPr>
              <w:sz w:val="21"/>
              <w:szCs w:val="21"/>
              <w:highlight w:val="none"/>
            </w:rPr>
            <w:fldChar w:fldCharType="end"/>
          </w:r>
        </w:p>
        <w:p w14:paraId="34AE147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_Toc31784 </w:instrText>
          </w:r>
          <w:r>
            <w:rPr>
              <w:sz w:val="21"/>
              <w:szCs w:val="21"/>
              <w:highlight w:val="none"/>
            </w:rPr>
            <w:fldChar w:fldCharType="separate"/>
          </w:r>
          <w:r>
            <w:rPr>
              <w:rFonts w:hint="eastAsia"/>
              <w:sz w:val="21"/>
              <w:szCs w:val="21"/>
              <w:highlight w:val="none"/>
              <w:lang w:val="en-US" w:eastAsia="zh-CN"/>
            </w:rPr>
            <w:t>3.1.12建设周期</w:t>
          </w:r>
          <w:r>
            <w:rPr>
              <w:sz w:val="21"/>
              <w:szCs w:val="21"/>
            </w:rPr>
            <w:tab/>
          </w:r>
          <w:r>
            <w:rPr>
              <w:sz w:val="21"/>
              <w:szCs w:val="21"/>
            </w:rPr>
            <w:fldChar w:fldCharType="begin"/>
          </w:r>
          <w:r>
            <w:rPr>
              <w:sz w:val="21"/>
              <w:szCs w:val="21"/>
            </w:rPr>
            <w:instrText xml:space="preserve"> PAGEREF _Toc31784 \h </w:instrText>
          </w:r>
          <w:r>
            <w:rPr>
              <w:sz w:val="21"/>
              <w:szCs w:val="21"/>
            </w:rPr>
            <w:fldChar w:fldCharType="separate"/>
          </w:r>
          <w:r>
            <w:rPr>
              <w:sz w:val="21"/>
              <w:szCs w:val="21"/>
            </w:rPr>
            <w:t>70</w:t>
          </w:r>
          <w:r>
            <w:rPr>
              <w:sz w:val="21"/>
              <w:szCs w:val="21"/>
            </w:rPr>
            <w:fldChar w:fldCharType="end"/>
          </w:r>
          <w:r>
            <w:rPr>
              <w:sz w:val="21"/>
              <w:szCs w:val="21"/>
              <w:highlight w:val="none"/>
            </w:rPr>
            <w:fldChar w:fldCharType="end"/>
          </w:r>
        </w:p>
        <w:p w14:paraId="0B65624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_Toc21497 </w:instrText>
          </w:r>
          <w:r>
            <w:rPr>
              <w:sz w:val="21"/>
              <w:szCs w:val="21"/>
              <w:highlight w:val="none"/>
            </w:rPr>
            <w:fldChar w:fldCharType="separate"/>
          </w:r>
          <w:r>
            <w:rPr>
              <w:rFonts w:hint="eastAsia"/>
              <w:sz w:val="21"/>
              <w:szCs w:val="21"/>
              <w:highlight w:val="none"/>
              <w:lang w:val="en-US" w:eastAsia="zh-CN"/>
            </w:rPr>
            <w:t>3.1.13项目投资估算</w:t>
          </w:r>
          <w:r>
            <w:rPr>
              <w:sz w:val="21"/>
              <w:szCs w:val="21"/>
            </w:rPr>
            <w:tab/>
          </w:r>
          <w:r>
            <w:rPr>
              <w:sz w:val="21"/>
              <w:szCs w:val="21"/>
            </w:rPr>
            <w:fldChar w:fldCharType="begin"/>
          </w:r>
          <w:r>
            <w:rPr>
              <w:sz w:val="21"/>
              <w:szCs w:val="21"/>
            </w:rPr>
            <w:instrText xml:space="preserve"> PAGEREF _Toc21497 \h </w:instrText>
          </w:r>
          <w:r>
            <w:rPr>
              <w:sz w:val="21"/>
              <w:szCs w:val="21"/>
            </w:rPr>
            <w:fldChar w:fldCharType="separate"/>
          </w:r>
          <w:r>
            <w:rPr>
              <w:sz w:val="21"/>
              <w:szCs w:val="21"/>
            </w:rPr>
            <w:t>71</w:t>
          </w:r>
          <w:r>
            <w:rPr>
              <w:sz w:val="21"/>
              <w:szCs w:val="21"/>
            </w:rPr>
            <w:fldChar w:fldCharType="end"/>
          </w:r>
          <w:r>
            <w:rPr>
              <w:sz w:val="21"/>
              <w:szCs w:val="21"/>
              <w:highlight w:val="none"/>
            </w:rPr>
            <w:fldChar w:fldCharType="end"/>
          </w:r>
        </w:p>
        <w:p w14:paraId="7484DA3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_Toc31837 </w:instrText>
          </w:r>
          <w:r>
            <w:rPr>
              <w:sz w:val="21"/>
              <w:szCs w:val="21"/>
              <w:highlight w:val="none"/>
            </w:rPr>
            <w:fldChar w:fldCharType="separate"/>
          </w:r>
          <w:r>
            <w:rPr>
              <w:rFonts w:hint="eastAsia"/>
              <w:sz w:val="21"/>
              <w:szCs w:val="21"/>
              <w:highlight w:val="none"/>
              <w:lang w:val="en-US" w:eastAsia="zh-CN"/>
            </w:rPr>
            <w:t>3.1.14供热范围</w:t>
          </w:r>
          <w:r>
            <w:rPr>
              <w:sz w:val="21"/>
              <w:szCs w:val="21"/>
            </w:rPr>
            <w:tab/>
          </w:r>
          <w:r>
            <w:rPr>
              <w:sz w:val="21"/>
              <w:szCs w:val="21"/>
            </w:rPr>
            <w:fldChar w:fldCharType="begin"/>
          </w:r>
          <w:r>
            <w:rPr>
              <w:sz w:val="21"/>
              <w:szCs w:val="21"/>
            </w:rPr>
            <w:instrText xml:space="preserve"> PAGEREF _Toc31837 \h </w:instrText>
          </w:r>
          <w:r>
            <w:rPr>
              <w:sz w:val="21"/>
              <w:szCs w:val="21"/>
            </w:rPr>
            <w:fldChar w:fldCharType="separate"/>
          </w:r>
          <w:r>
            <w:rPr>
              <w:sz w:val="21"/>
              <w:szCs w:val="21"/>
            </w:rPr>
            <w:t>71</w:t>
          </w:r>
          <w:r>
            <w:rPr>
              <w:sz w:val="21"/>
              <w:szCs w:val="21"/>
            </w:rPr>
            <w:fldChar w:fldCharType="end"/>
          </w:r>
          <w:r>
            <w:rPr>
              <w:sz w:val="21"/>
              <w:szCs w:val="21"/>
              <w:highlight w:val="none"/>
            </w:rPr>
            <w:fldChar w:fldCharType="end"/>
          </w:r>
        </w:p>
        <w:p w14:paraId="1F932D3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_Toc21404 </w:instrText>
          </w:r>
          <w:r>
            <w:rPr>
              <w:sz w:val="21"/>
              <w:szCs w:val="21"/>
              <w:highlight w:val="none"/>
            </w:rPr>
            <w:fldChar w:fldCharType="separate"/>
          </w:r>
          <w:r>
            <w:rPr>
              <w:rFonts w:hint="eastAsia"/>
              <w:sz w:val="21"/>
              <w:szCs w:val="21"/>
              <w:lang w:val="en-US" w:eastAsia="zh-CN"/>
            </w:rPr>
            <w:t>3.1.15本项目工程概况</w:t>
          </w:r>
          <w:r>
            <w:rPr>
              <w:sz w:val="21"/>
              <w:szCs w:val="21"/>
            </w:rPr>
            <w:tab/>
          </w:r>
          <w:r>
            <w:rPr>
              <w:sz w:val="21"/>
              <w:szCs w:val="21"/>
            </w:rPr>
            <w:fldChar w:fldCharType="begin"/>
          </w:r>
          <w:r>
            <w:rPr>
              <w:sz w:val="21"/>
              <w:szCs w:val="21"/>
            </w:rPr>
            <w:instrText xml:space="preserve"> PAGEREF _Toc21404 \h </w:instrText>
          </w:r>
          <w:r>
            <w:rPr>
              <w:sz w:val="21"/>
              <w:szCs w:val="21"/>
            </w:rPr>
            <w:fldChar w:fldCharType="separate"/>
          </w:r>
          <w:r>
            <w:rPr>
              <w:sz w:val="21"/>
              <w:szCs w:val="21"/>
            </w:rPr>
            <w:t>71</w:t>
          </w:r>
          <w:r>
            <w:rPr>
              <w:sz w:val="21"/>
              <w:szCs w:val="21"/>
            </w:rPr>
            <w:fldChar w:fldCharType="end"/>
          </w:r>
          <w:r>
            <w:rPr>
              <w:sz w:val="21"/>
              <w:szCs w:val="21"/>
              <w:highlight w:val="none"/>
            </w:rPr>
            <w:fldChar w:fldCharType="end"/>
          </w:r>
        </w:p>
        <w:p w14:paraId="0290F090">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_Toc31951 </w:instrText>
          </w:r>
          <w:r>
            <w:rPr>
              <w:sz w:val="21"/>
              <w:szCs w:val="21"/>
              <w:highlight w:val="none"/>
            </w:rPr>
            <w:fldChar w:fldCharType="separate"/>
          </w:r>
          <w:r>
            <w:rPr>
              <w:rFonts w:hint="eastAsia"/>
              <w:sz w:val="21"/>
              <w:szCs w:val="21"/>
              <w:highlight w:val="none"/>
              <w:lang w:val="en-US" w:eastAsia="zh-CN"/>
            </w:rPr>
            <w:t>3.2工程分析</w:t>
          </w:r>
          <w:r>
            <w:rPr>
              <w:sz w:val="21"/>
              <w:szCs w:val="21"/>
            </w:rPr>
            <w:tab/>
          </w:r>
          <w:r>
            <w:rPr>
              <w:sz w:val="21"/>
              <w:szCs w:val="21"/>
            </w:rPr>
            <w:fldChar w:fldCharType="begin"/>
          </w:r>
          <w:r>
            <w:rPr>
              <w:sz w:val="21"/>
              <w:szCs w:val="21"/>
            </w:rPr>
            <w:instrText xml:space="preserve"> PAGEREF _Toc31951 \h </w:instrText>
          </w:r>
          <w:r>
            <w:rPr>
              <w:sz w:val="21"/>
              <w:szCs w:val="21"/>
            </w:rPr>
            <w:fldChar w:fldCharType="separate"/>
          </w:r>
          <w:r>
            <w:rPr>
              <w:sz w:val="21"/>
              <w:szCs w:val="21"/>
            </w:rPr>
            <w:t>71</w:t>
          </w:r>
          <w:r>
            <w:rPr>
              <w:sz w:val="21"/>
              <w:szCs w:val="21"/>
            </w:rPr>
            <w:fldChar w:fldCharType="end"/>
          </w:r>
          <w:r>
            <w:rPr>
              <w:sz w:val="21"/>
              <w:szCs w:val="21"/>
              <w:highlight w:val="none"/>
            </w:rPr>
            <w:fldChar w:fldCharType="end"/>
          </w:r>
        </w:p>
        <w:p w14:paraId="36C9DB0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_Toc21459 </w:instrText>
          </w:r>
          <w:r>
            <w:rPr>
              <w:sz w:val="21"/>
              <w:szCs w:val="21"/>
              <w:highlight w:val="none"/>
            </w:rPr>
            <w:fldChar w:fldCharType="separate"/>
          </w:r>
          <w:r>
            <w:rPr>
              <w:rFonts w:hint="eastAsia"/>
              <w:sz w:val="21"/>
              <w:szCs w:val="21"/>
              <w:highlight w:val="none"/>
              <w:lang w:val="en-US" w:eastAsia="zh-CN"/>
            </w:rPr>
            <w:t>3.2.1环境影响识别</w:t>
          </w:r>
          <w:r>
            <w:rPr>
              <w:sz w:val="21"/>
              <w:szCs w:val="21"/>
            </w:rPr>
            <w:tab/>
          </w:r>
          <w:r>
            <w:rPr>
              <w:sz w:val="21"/>
              <w:szCs w:val="21"/>
            </w:rPr>
            <w:fldChar w:fldCharType="begin"/>
          </w:r>
          <w:r>
            <w:rPr>
              <w:sz w:val="21"/>
              <w:szCs w:val="21"/>
            </w:rPr>
            <w:instrText xml:space="preserve"> PAGEREF _Toc21459 \h </w:instrText>
          </w:r>
          <w:r>
            <w:rPr>
              <w:sz w:val="21"/>
              <w:szCs w:val="21"/>
            </w:rPr>
            <w:fldChar w:fldCharType="separate"/>
          </w:r>
          <w:r>
            <w:rPr>
              <w:sz w:val="21"/>
              <w:szCs w:val="21"/>
            </w:rPr>
            <w:t>71</w:t>
          </w:r>
          <w:r>
            <w:rPr>
              <w:sz w:val="21"/>
              <w:szCs w:val="21"/>
            </w:rPr>
            <w:fldChar w:fldCharType="end"/>
          </w:r>
          <w:r>
            <w:rPr>
              <w:sz w:val="21"/>
              <w:szCs w:val="21"/>
              <w:highlight w:val="none"/>
            </w:rPr>
            <w:fldChar w:fldCharType="end"/>
          </w:r>
        </w:p>
        <w:p w14:paraId="239B68C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_Toc30880 </w:instrText>
          </w:r>
          <w:r>
            <w:rPr>
              <w:sz w:val="21"/>
              <w:szCs w:val="21"/>
              <w:highlight w:val="none"/>
            </w:rPr>
            <w:fldChar w:fldCharType="separate"/>
          </w:r>
          <w:r>
            <w:rPr>
              <w:rFonts w:hint="eastAsia"/>
              <w:sz w:val="21"/>
              <w:szCs w:val="21"/>
              <w:highlight w:val="none"/>
              <w:lang w:val="en-US" w:eastAsia="zh-CN"/>
            </w:rPr>
            <w:t>3.2.2施工期污染环节及污染因素分析</w:t>
          </w:r>
          <w:r>
            <w:rPr>
              <w:sz w:val="21"/>
              <w:szCs w:val="21"/>
            </w:rPr>
            <w:tab/>
          </w:r>
          <w:r>
            <w:rPr>
              <w:sz w:val="21"/>
              <w:szCs w:val="21"/>
            </w:rPr>
            <w:fldChar w:fldCharType="begin"/>
          </w:r>
          <w:r>
            <w:rPr>
              <w:sz w:val="21"/>
              <w:szCs w:val="21"/>
            </w:rPr>
            <w:instrText xml:space="preserve"> PAGEREF _Toc30880 \h </w:instrText>
          </w:r>
          <w:r>
            <w:rPr>
              <w:sz w:val="21"/>
              <w:szCs w:val="21"/>
            </w:rPr>
            <w:fldChar w:fldCharType="separate"/>
          </w:r>
          <w:r>
            <w:rPr>
              <w:sz w:val="21"/>
              <w:szCs w:val="21"/>
            </w:rPr>
            <w:t>72</w:t>
          </w:r>
          <w:r>
            <w:rPr>
              <w:sz w:val="21"/>
              <w:szCs w:val="21"/>
            </w:rPr>
            <w:fldChar w:fldCharType="end"/>
          </w:r>
          <w:r>
            <w:rPr>
              <w:sz w:val="21"/>
              <w:szCs w:val="21"/>
              <w:highlight w:val="none"/>
            </w:rPr>
            <w:fldChar w:fldCharType="end"/>
          </w:r>
        </w:p>
        <w:p w14:paraId="7BF72D9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_Toc26523 </w:instrText>
          </w:r>
          <w:r>
            <w:rPr>
              <w:sz w:val="21"/>
              <w:szCs w:val="21"/>
              <w:highlight w:val="none"/>
            </w:rPr>
            <w:fldChar w:fldCharType="separate"/>
          </w:r>
          <w:r>
            <w:rPr>
              <w:rFonts w:hint="eastAsia"/>
              <w:sz w:val="21"/>
              <w:szCs w:val="21"/>
              <w:highlight w:val="none"/>
              <w:lang w:val="en-US" w:eastAsia="zh-CN"/>
            </w:rPr>
            <w:t>3.2.3运营期污染环节及污染因素影响</w:t>
          </w:r>
          <w:r>
            <w:rPr>
              <w:sz w:val="21"/>
              <w:szCs w:val="21"/>
            </w:rPr>
            <w:tab/>
          </w:r>
          <w:r>
            <w:rPr>
              <w:sz w:val="21"/>
              <w:szCs w:val="21"/>
            </w:rPr>
            <w:fldChar w:fldCharType="begin"/>
          </w:r>
          <w:r>
            <w:rPr>
              <w:sz w:val="21"/>
              <w:szCs w:val="21"/>
            </w:rPr>
            <w:instrText xml:space="preserve"> PAGEREF _Toc26523 \h </w:instrText>
          </w:r>
          <w:r>
            <w:rPr>
              <w:sz w:val="21"/>
              <w:szCs w:val="21"/>
            </w:rPr>
            <w:fldChar w:fldCharType="separate"/>
          </w:r>
          <w:r>
            <w:rPr>
              <w:sz w:val="21"/>
              <w:szCs w:val="21"/>
            </w:rPr>
            <w:t>73</w:t>
          </w:r>
          <w:r>
            <w:rPr>
              <w:sz w:val="21"/>
              <w:szCs w:val="21"/>
            </w:rPr>
            <w:fldChar w:fldCharType="end"/>
          </w:r>
          <w:r>
            <w:rPr>
              <w:sz w:val="21"/>
              <w:szCs w:val="21"/>
              <w:highlight w:val="none"/>
            </w:rPr>
            <w:fldChar w:fldCharType="end"/>
          </w:r>
        </w:p>
        <w:p w14:paraId="0762920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_Toc12724 </w:instrText>
          </w:r>
          <w:r>
            <w:rPr>
              <w:sz w:val="21"/>
              <w:szCs w:val="21"/>
              <w:highlight w:val="none"/>
            </w:rPr>
            <w:fldChar w:fldCharType="separate"/>
          </w:r>
          <w:r>
            <w:rPr>
              <w:rFonts w:hint="eastAsia"/>
              <w:sz w:val="21"/>
              <w:szCs w:val="21"/>
              <w:highlight w:val="none"/>
              <w:lang w:val="en-US" w:eastAsia="zh-CN"/>
            </w:rPr>
            <w:t>3.3运营期工程污染源强分析</w:t>
          </w:r>
          <w:r>
            <w:rPr>
              <w:sz w:val="21"/>
              <w:szCs w:val="21"/>
            </w:rPr>
            <w:tab/>
          </w:r>
          <w:r>
            <w:rPr>
              <w:sz w:val="21"/>
              <w:szCs w:val="21"/>
            </w:rPr>
            <w:fldChar w:fldCharType="begin"/>
          </w:r>
          <w:r>
            <w:rPr>
              <w:sz w:val="21"/>
              <w:szCs w:val="21"/>
            </w:rPr>
            <w:instrText xml:space="preserve"> PAGEREF _Toc12724 \h </w:instrText>
          </w:r>
          <w:r>
            <w:rPr>
              <w:sz w:val="21"/>
              <w:szCs w:val="21"/>
            </w:rPr>
            <w:fldChar w:fldCharType="separate"/>
          </w:r>
          <w:r>
            <w:rPr>
              <w:sz w:val="21"/>
              <w:szCs w:val="21"/>
            </w:rPr>
            <w:t>76</w:t>
          </w:r>
          <w:r>
            <w:rPr>
              <w:sz w:val="21"/>
              <w:szCs w:val="21"/>
            </w:rPr>
            <w:fldChar w:fldCharType="end"/>
          </w:r>
          <w:r>
            <w:rPr>
              <w:sz w:val="21"/>
              <w:szCs w:val="21"/>
              <w:highlight w:val="none"/>
            </w:rPr>
            <w:fldChar w:fldCharType="end"/>
          </w:r>
        </w:p>
        <w:p w14:paraId="2A91B5D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_Toc16573 </w:instrText>
          </w:r>
          <w:r>
            <w:rPr>
              <w:sz w:val="21"/>
              <w:szCs w:val="21"/>
              <w:highlight w:val="none"/>
            </w:rPr>
            <w:fldChar w:fldCharType="separate"/>
          </w:r>
          <w:r>
            <w:rPr>
              <w:rFonts w:hint="eastAsia"/>
              <w:sz w:val="21"/>
              <w:szCs w:val="21"/>
              <w:highlight w:val="none"/>
              <w:lang w:val="en-US" w:eastAsia="zh-CN"/>
            </w:rPr>
            <w:t>3.3.1正常工况大气污染源强分析</w:t>
          </w:r>
          <w:r>
            <w:rPr>
              <w:sz w:val="21"/>
              <w:szCs w:val="21"/>
            </w:rPr>
            <w:tab/>
          </w:r>
          <w:r>
            <w:rPr>
              <w:sz w:val="21"/>
              <w:szCs w:val="21"/>
            </w:rPr>
            <w:fldChar w:fldCharType="begin"/>
          </w:r>
          <w:r>
            <w:rPr>
              <w:sz w:val="21"/>
              <w:szCs w:val="21"/>
            </w:rPr>
            <w:instrText xml:space="preserve"> PAGEREF _Toc16573 \h </w:instrText>
          </w:r>
          <w:r>
            <w:rPr>
              <w:sz w:val="21"/>
              <w:szCs w:val="21"/>
            </w:rPr>
            <w:fldChar w:fldCharType="separate"/>
          </w:r>
          <w:r>
            <w:rPr>
              <w:sz w:val="21"/>
              <w:szCs w:val="21"/>
            </w:rPr>
            <w:t>76</w:t>
          </w:r>
          <w:r>
            <w:rPr>
              <w:sz w:val="21"/>
              <w:szCs w:val="21"/>
            </w:rPr>
            <w:fldChar w:fldCharType="end"/>
          </w:r>
          <w:r>
            <w:rPr>
              <w:sz w:val="21"/>
              <w:szCs w:val="21"/>
              <w:highlight w:val="none"/>
            </w:rPr>
            <w:fldChar w:fldCharType="end"/>
          </w:r>
        </w:p>
        <w:p w14:paraId="20C0DA96">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_Toc29786 </w:instrText>
          </w:r>
          <w:r>
            <w:rPr>
              <w:sz w:val="21"/>
              <w:szCs w:val="21"/>
              <w:highlight w:val="none"/>
            </w:rPr>
            <w:fldChar w:fldCharType="separate"/>
          </w:r>
          <w:r>
            <w:rPr>
              <w:rFonts w:hint="eastAsia"/>
              <w:sz w:val="21"/>
              <w:szCs w:val="21"/>
              <w:highlight w:val="none"/>
              <w:lang w:val="en-US" w:eastAsia="zh-CN"/>
            </w:rPr>
            <w:t>3.3.2非正常工况大气污染源强分析</w:t>
          </w:r>
          <w:r>
            <w:rPr>
              <w:sz w:val="21"/>
              <w:szCs w:val="21"/>
            </w:rPr>
            <w:tab/>
          </w:r>
          <w:r>
            <w:rPr>
              <w:sz w:val="21"/>
              <w:szCs w:val="21"/>
            </w:rPr>
            <w:fldChar w:fldCharType="begin"/>
          </w:r>
          <w:r>
            <w:rPr>
              <w:sz w:val="21"/>
              <w:szCs w:val="21"/>
            </w:rPr>
            <w:instrText xml:space="preserve"> PAGEREF _Toc29786 \h </w:instrText>
          </w:r>
          <w:r>
            <w:rPr>
              <w:sz w:val="21"/>
              <w:szCs w:val="21"/>
            </w:rPr>
            <w:fldChar w:fldCharType="separate"/>
          </w:r>
          <w:r>
            <w:rPr>
              <w:sz w:val="21"/>
              <w:szCs w:val="21"/>
            </w:rPr>
            <w:t>87</w:t>
          </w:r>
          <w:r>
            <w:rPr>
              <w:sz w:val="21"/>
              <w:szCs w:val="21"/>
            </w:rPr>
            <w:fldChar w:fldCharType="end"/>
          </w:r>
          <w:r>
            <w:rPr>
              <w:sz w:val="21"/>
              <w:szCs w:val="21"/>
              <w:highlight w:val="none"/>
            </w:rPr>
            <w:fldChar w:fldCharType="end"/>
          </w:r>
        </w:p>
        <w:p w14:paraId="6DE56A6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_Toc32071 </w:instrText>
          </w:r>
          <w:r>
            <w:rPr>
              <w:sz w:val="21"/>
              <w:szCs w:val="21"/>
              <w:highlight w:val="none"/>
            </w:rPr>
            <w:fldChar w:fldCharType="separate"/>
          </w:r>
          <w:r>
            <w:rPr>
              <w:rFonts w:hint="eastAsia"/>
              <w:sz w:val="21"/>
              <w:szCs w:val="21"/>
              <w:highlight w:val="none"/>
              <w:lang w:val="en-US" w:eastAsia="zh-CN"/>
            </w:rPr>
            <w:t>3.3.3水污染源强分析</w:t>
          </w:r>
          <w:r>
            <w:rPr>
              <w:sz w:val="21"/>
              <w:szCs w:val="21"/>
            </w:rPr>
            <w:tab/>
          </w:r>
          <w:r>
            <w:rPr>
              <w:sz w:val="21"/>
              <w:szCs w:val="21"/>
            </w:rPr>
            <w:fldChar w:fldCharType="begin"/>
          </w:r>
          <w:r>
            <w:rPr>
              <w:sz w:val="21"/>
              <w:szCs w:val="21"/>
            </w:rPr>
            <w:instrText xml:space="preserve"> PAGEREF _Toc32071 \h </w:instrText>
          </w:r>
          <w:r>
            <w:rPr>
              <w:sz w:val="21"/>
              <w:szCs w:val="21"/>
            </w:rPr>
            <w:fldChar w:fldCharType="separate"/>
          </w:r>
          <w:r>
            <w:rPr>
              <w:sz w:val="21"/>
              <w:szCs w:val="21"/>
            </w:rPr>
            <w:t>96</w:t>
          </w:r>
          <w:r>
            <w:rPr>
              <w:sz w:val="21"/>
              <w:szCs w:val="21"/>
            </w:rPr>
            <w:fldChar w:fldCharType="end"/>
          </w:r>
          <w:r>
            <w:rPr>
              <w:sz w:val="21"/>
              <w:szCs w:val="21"/>
              <w:highlight w:val="none"/>
            </w:rPr>
            <w:fldChar w:fldCharType="end"/>
          </w:r>
        </w:p>
        <w:p w14:paraId="3337F58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_Toc25952 </w:instrText>
          </w:r>
          <w:r>
            <w:rPr>
              <w:sz w:val="21"/>
              <w:szCs w:val="21"/>
              <w:highlight w:val="none"/>
            </w:rPr>
            <w:fldChar w:fldCharType="separate"/>
          </w:r>
          <w:r>
            <w:rPr>
              <w:rFonts w:hint="eastAsia"/>
              <w:sz w:val="21"/>
              <w:szCs w:val="21"/>
              <w:highlight w:val="none"/>
              <w:lang w:val="en-US" w:eastAsia="zh-CN"/>
            </w:rPr>
            <w:t>3.3.4固体废物源强分析</w:t>
          </w:r>
          <w:r>
            <w:rPr>
              <w:sz w:val="21"/>
              <w:szCs w:val="21"/>
            </w:rPr>
            <w:tab/>
          </w:r>
          <w:r>
            <w:rPr>
              <w:sz w:val="21"/>
              <w:szCs w:val="21"/>
            </w:rPr>
            <w:fldChar w:fldCharType="begin"/>
          </w:r>
          <w:r>
            <w:rPr>
              <w:sz w:val="21"/>
              <w:szCs w:val="21"/>
            </w:rPr>
            <w:instrText xml:space="preserve"> PAGEREF _Toc25952 \h </w:instrText>
          </w:r>
          <w:r>
            <w:rPr>
              <w:sz w:val="21"/>
              <w:szCs w:val="21"/>
            </w:rPr>
            <w:fldChar w:fldCharType="separate"/>
          </w:r>
          <w:r>
            <w:rPr>
              <w:sz w:val="21"/>
              <w:szCs w:val="21"/>
            </w:rPr>
            <w:t>96</w:t>
          </w:r>
          <w:r>
            <w:rPr>
              <w:sz w:val="21"/>
              <w:szCs w:val="21"/>
            </w:rPr>
            <w:fldChar w:fldCharType="end"/>
          </w:r>
          <w:r>
            <w:rPr>
              <w:sz w:val="21"/>
              <w:szCs w:val="21"/>
              <w:highlight w:val="none"/>
            </w:rPr>
            <w:fldChar w:fldCharType="end"/>
          </w:r>
        </w:p>
        <w:p w14:paraId="26B98BA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_Toc6633 </w:instrText>
          </w:r>
          <w:r>
            <w:rPr>
              <w:sz w:val="21"/>
              <w:szCs w:val="21"/>
              <w:highlight w:val="none"/>
            </w:rPr>
            <w:fldChar w:fldCharType="separate"/>
          </w:r>
          <w:r>
            <w:rPr>
              <w:rFonts w:hint="eastAsia" w:ascii="Times New Roman" w:hAnsi="Times New Roman" w:cs="Times New Roman"/>
              <w:sz w:val="21"/>
              <w:szCs w:val="21"/>
              <w:highlight w:val="none"/>
              <w:lang w:val="en-US" w:eastAsia="zh-CN"/>
            </w:rPr>
            <w:t>3.3.6</w:t>
          </w:r>
          <w:r>
            <w:rPr>
              <w:rFonts w:hint="eastAsia"/>
              <w:sz w:val="21"/>
              <w:szCs w:val="21"/>
              <w:highlight w:val="none"/>
            </w:rPr>
            <w:t>燃料及灰渣运输环节移动源</w:t>
          </w:r>
          <w:r>
            <w:rPr>
              <w:sz w:val="21"/>
              <w:szCs w:val="21"/>
            </w:rPr>
            <w:tab/>
          </w:r>
          <w:r>
            <w:rPr>
              <w:sz w:val="21"/>
              <w:szCs w:val="21"/>
            </w:rPr>
            <w:fldChar w:fldCharType="begin"/>
          </w:r>
          <w:r>
            <w:rPr>
              <w:sz w:val="21"/>
              <w:szCs w:val="21"/>
            </w:rPr>
            <w:instrText xml:space="preserve"> PAGEREF _Toc6633 \h </w:instrText>
          </w:r>
          <w:r>
            <w:rPr>
              <w:sz w:val="21"/>
              <w:szCs w:val="21"/>
            </w:rPr>
            <w:fldChar w:fldCharType="separate"/>
          </w:r>
          <w:r>
            <w:rPr>
              <w:sz w:val="21"/>
              <w:szCs w:val="21"/>
            </w:rPr>
            <w:t>100</w:t>
          </w:r>
          <w:r>
            <w:rPr>
              <w:sz w:val="21"/>
              <w:szCs w:val="21"/>
            </w:rPr>
            <w:fldChar w:fldCharType="end"/>
          </w:r>
          <w:r>
            <w:rPr>
              <w:sz w:val="21"/>
              <w:szCs w:val="21"/>
              <w:highlight w:val="none"/>
            </w:rPr>
            <w:fldChar w:fldCharType="end"/>
          </w:r>
        </w:p>
        <w:p w14:paraId="3212496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_Toc5505 </w:instrText>
          </w:r>
          <w:r>
            <w:rPr>
              <w:sz w:val="21"/>
              <w:szCs w:val="21"/>
              <w:highlight w:val="none"/>
            </w:rPr>
            <w:fldChar w:fldCharType="separate"/>
          </w:r>
          <w:r>
            <w:rPr>
              <w:rFonts w:hint="default" w:ascii="Times New Roman" w:hAnsi="Times New Roman" w:cs="Times New Roman"/>
              <w:sz w:val="21"/>
              <w:szCs w:val="21"/>
              <w:highlight w:val="none"/>
              <w:lang w:val="en-US" w:eastAsia="zh-CN"/>
            </w:rPr>
            <w:t>3.3.6</w:t>
          </w:r>
          <w:r>
            <w:rPr>
              <w:rFonts w:hint="eastAsia"/>
              <w:sz w:val="21"/>
              <w:szCs w:val="21"/>
              <w:highlight w:val="none"/>
              <w:lang w:val="en-US" w:eastAsia="zh-CN"/>
            </w:rPr>
            <w:t>运营期风险识别</w:t>
          </w:r>
          <w:r>
            <w:rPr>
              <w:sz w:val="21"/>
              <w:szCs w:val="21"/>
            </w:rPr>
            <w:tab/>
          </w:r>
          <w:r>
            <w:rPr>
              <w:sz w:val="21"/>
              <w:szCs w:val="21"/>
            </w:rPr>
            <w:fldChar w:fldCharType="begin"/>
          </w:r>
          <w:r>
            <w:rPr>
              <w:sz w:val="21"/>
              <w:szCs w:val="21"/>
            </w:rPr>
            <w:instrText xml:space="preserve"> PAGEREF _Toc5505 \h </w:instrText>
          </w:r>
          <w:r>
            <w:rPr>
              <w:sz w:val="21"/>
              <w:szCs w:val="21"/>
            </w:rPr>
            <w:fldChar w:fldCharType="separate"/>
          </w:r>
          <w:r>
            <w:rPr>
              <w:sz w:val="21"/>
              <w:szCs w:val="21"/>
            </w:rPr>
            <w:t>101</w:t>
          </w:r>
          <w:r>
            <w:rPr>
              <w:sz w:val="21"/>
              <w:szCs w:val="21"/>
            </w:rPr>
            <w:fldChar w:fldCharType="end"/>
          </w:r>
          <w:r>
            <w:rPr>
              <w:sz w:val="21"/>
              <w:szCs w:val="21"/>
              <w:highlight w:val="none"/>
            </w:rPr>
            <w:fldChar w:fldCharType="end"/>
          </w:r>
        </w:p>
        <w:p w14:paraId="2EE72F8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_Toc30736 </w:instrText>
          </w:r>
          <w:r>
            <w:rPr>
              <w:sz w:val="21"/>
              <w:szCs w:val="21"/>
              <w:highlight w:val="none"/>
            </w:rPr>
            <w:fldChar w:fldCharType="separate"/>
          </w:r>
          <w:r>
            <w:rPr>
              <w:rFonts w:hint="eastAsia"/>
              <w:sz w:val="21"/>
              <w:szCs w:val="21"/>
              <w:highlight w:val="none"/>
              <w:lang w:val="en-US" w:eastAsia="zh-CN"/>
            </w:rPr>
            <w:t>3.3.7本项目投产后总量排放分析</w:t>
          </w:r>
          <w:r>
            <w:rPr>
              <w:sz w:val="21"/>
              <w:szCs w:val="21"/>
            </w:rPr>
            <w:tab/>
          </w:r>
          <w:r>
            <w:rPr>
              <w:sz w:val="21"/>
              <w:szCs w:val="21"/>
            </w:rPr>
            <w:fldChar w:fldCharType="begin"/>
          </w:r>
          <w:r>
            <w:rPr>
              <w:sz w:val="21"/>
              <w:szCs w:val="21"/>
            </w:rPr>
            <w:instrText xml:space="preserve"> PAGEREF _Toc30736 \h </w:instrText>
          </w:r>
          <w:r>
            <w:rPr>
              <w:sz w:val="21"/>
              <w:szCs w:val="21"/>
            </w:rPr>
            <w:fldChar w:fldCharType="separate"/>
          </w:r>
          <w:r>
            <w:rPr>
              <w:sz w:val="21"/>
              <w:szCs w:val="21"/>
            </w:rPr>
            <w:t>102</w:t>
          </w:r>
          <w:r>
            <w:rPr>
              <w:sz w:val="21"/>
              <w:szCs w:val="21"/>
            </w:rPr>
            <w:fldChar w:fldCharType="end"/>
          </w:r>
          <w:r>
            <w:rPr>
              <w:sz w:val="21"/>
              <w:szCs w:val="21"/>
              <w:highlight w:val="none"/>
            </w:rPr>
            <w:fldChar w:fldCharType="end"/>
          </w:r>
        </w:p>
        <w:p w14:paraId="5BFE9E61">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_Toc11665 </w:instrText>
          </w:r>
          <w:r>
            <w:rPr>
              <w:sz w:val="21"/>
              <w:szCs w:val="21"/>
              <w:highlight w:val="none"/>
            </w:rPr>
            <w:fldChar w:fldCharType="separate"/>
          </w:r>
          <w:r>
            <w:rPr>
              <w:rFonts w:hint="eastAsia"/>
              <w:sz w:val="21"/>
              <w:szCs w:val="21"/>
              <w:highlight w:val="none"/>
              <w:lang w:val="en-US" w:eastAsia="zh-CN"/>
            </w:rPr>
            <w:t>3.4排放总量控制</w:t>
          </w:r>
          <w:r>
            <w:rPr>
              <w:sz w:val="21"/>
              <w:szCs w:val="21"/>
            </w:rPr>
            <w:tab/>
          </w:r>
          <w:r>
            <w:rPr>
              <w:sz w:val="21"/>
              <w:szCs w:val="21"/>
            </w:rPr>
            <w:fldChar w:fldCharType="begin"/>
          </w:r>
          <w:r>
            <w:rPr>
              <w:sz w:val="21"/>
              <w:szCs w:val="21"/>
            </w:rPr>
            <w:instrText xml:space="preserve"> PAGEREF _Toc11665 \h </w:instrText>
          </w:r>
          <w:r>
            <w:rPr>
              <w:sz w:val="21"/>
              <w:szCs w:val="21"/>
            </w:rPr>
            <w:fldChar w:fldCharType="separate"/>
          </w:r>
          <w:r>
            <w:rPr>
              <w:sz w:val="21"/>
              <w:szCs w:val="21"/>
            </w:rPr>
            <w:t>103</w:t>
          </w:r>
          <w:r>
            <w:rPr>
              <w:sz w:val="21"/>
              <w:szCs w:val="21"/>
            </w:rPr>
            <w:fldChar w:fldCharType="end"/>
          </w:r>
          <w:r>
            <w:rPr>
              <w:sz w:val="21"/>
              <w:szCs w:val="21"/>
              <w:highlight w:val="none"/>
            </w:rPr>
            <w:fldChar w:fldCharType="end"/>
          </w:r>
        </w:p>
        <w:p w14:paraId="46755F8F">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_Toc7664 </w:instrText>
          </w:r>
          <w:r>
            <w:rPr>
              <w:sz w:val="21"/>
              <w:szCs w:val="21"/>
              <w:highlight w:val="none"/>
            </w:rPr>
            <w:fldChar w:fldCharType="separate"/>
          </w:r>
          <w:r>
            <w:rPr>
              <w:rFonts w:hint="eastAsia" w:ascii="Times New Roman" w:hAnsi="Times New Roman" w:cs="Times New Roman"/>
              <w:sz w:val="21"/>
              <w:szCs w:val="21"/>
              <w:highlight w:val="none"/>
              <w:lang w:val="en-US" w:eastAsia="zh-CN"/>
            </w:rPr>
            <w:t>3.5清洁生产分析</w:t>
          </w:r>
          <w:r>
            <w:rPr>
              <w:sz w:val="21"/>
              <w:szCs w:val="21"/>
            </w:rPr>
            <w:tab/>
          </w:r>
          <w:r>
            <w:rPr>
              <w:sz w:val="21"/>
              <w:szCs w:val="21"/>
            </w:rPr>
            <w:fldChar w:fldCharType="begin"/>
          </w:r>
          <w:r>
            <w:rPr>
              <w:sz w:val="21"/>
              <w:szCs w:val="21"/>
            </w:rPr>
            <w:instrText xml:space="preserve"> PAGEREF _Toc7664 \h </w:instrText>
          </w:r>
          <w:r>
            <w:rPr>
              <w:sz w:val="21"/>
              <w:szCs w:val="21"/>
            </w:rPr>
            <w:fldChar w:fldCharType="separate"/>
          </w:r>
          <w:r>
            <w:rPr>
              <w:sz w:val="21"/>
              <w:szCs w:val="21"/>
            </w:rPr>
            <w:t>104</w:t>
          </w:r>
          <w:r>
            <w:rPr>
              <w:sz w:val="21"/>
              <w:szCs w:val="21"/>
            </w:rPr>
            <w:fldChar w:fldCharType="end"/>
          </w:r>
          <w:r>
            <w:rPr>
              <w:sz w:val="21"/>
              <w:szCs w:val="21"/>
              <w:highlight w:val="none"/>
            </w:rPr>
            <w:fldChar w:fldCharType="end"/>
          </w:r>
        </w:p>
        <w:p w14:paraId="4356E90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_Toc24798 </w:instrText>
          </w:r>
          <w:r>
            <w:rPr>
              <w:sz w:val="21"/>
              <w:szCs w:val="21"/>
              <w:highlight w:val="none"/>
            </w:rPr>
            <w:fldChar w:fldCharType="separate"/>
          </w:r>
          <w:r>
            <w:rPr>
              <w:rFonts w:hint="eastAsia"/>
              <w:sz w:val="21"/>
              <w:szCs w:val="21"/>
              <w:highlight w:val="none"/>
              <w:lang w:val="en-US" w:eastAsia="zh-CN"/>
            </w:rPr>
            <w:t>3.5.1国家相关产业政策分析</w:t>
          </w:r>
          <w:r>
            <w:rPr>
              <w:sz w:val="21"/>
              <w:szCs w:val="21"/>
            </w:rPr>
            <w:tab/>
          </w:r>
          <w:r>
            <w:rPr>
              <w:sz w:val="21"/>
              <w:szCs w:val="21"/>
            </w:rPr>
            <w:fldChar w:fldCharType="begin"/>
          </w:r>
          <w:r>
            <w:rPr>
              <w:sz w:val="21"/>
              <w:szCs w:val="21"/>
            </w:rPr>
            <w:instrText xml:space="preserve"> PAGEREF _Toc24798 \h </w:instrText>
          </w:r>
          <w:r>
            <w:rPr>
              <w:sz w:val="21"/>
              <w:szCs w:val="21"/>
            </w:rPr>
            <w:fldChar w:fldCharType="separate"/>
          </w:r>
          <w:r>
            <w:rPr>
              <w:sz w:val="21"/>
              <w:szCs w:val="21"/>
            </w:rPr>
            <w:t>104</w:t>
          </w:r>
          <w:r>
            <w:rPr>
              <w:sz w:val="21"/>
              <w:szCs w:val="21"/>
            </w:rPr>
            <w:fldChar w:fldCharType="end"/>
          </w:r>
          <w:r>
            <w:rPr>
              <w:sz w:val="21"/>
              <w:szCs w:val="21"/>
              <w:highlight w:val="none"/>
            </w:rPr>
            <w:fldChar w:fldCharType="end"/>
          </w:r>
        </w:p>
        <w:p w14:paraId="7BAFDA6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_Toc18405 </w:instrText>
          </w:r>
          <w:r>
            <w:rPr>
              <w:sz w:val="21"/>
              <w:szCs w:val="21"/>
              <w:highlight w:val="none"/>
            </w:rPr>
            <w:fldChar w:fldCharType="separate"/>
          </w:r>
          <w:r>
            <w:rPr>
              <w:rFonts w:hint="eastAsia" w:ascii="Times New Roman" w:hAnsi="Times New Roman" w:cs="Times New Roman"/>
              <w:sz w:val="21"/>
              <w:szCs w:val="21"/>
              <w:highlight w:val="none"/>
              <w:lang w:val="en-US" w:eastAsia="zh-CN"/>
            </w:rPr>
            <w:t>3.5.2生产工艺先进性分析</w:t>
          </w:r>
          <w:r>
            <w:rPr>
              <w:sz w:val="21"/>
              <w:szCs w:val="21"/>
            </w:rPr>
            <w:tab/>
          </w:r>
          <w:r>
            <w:rPr>
              <w:sz w:val="21"/>
              <w:szCs w:val="21"/>
            </w:rPr>
            <w:fldChar w:fldCharType="begin"/>
          </w:r>
          <w:r>
            <w:rPr>
              <w:sz w:val="21"/>
              <w:szCs w:val="21"/>
            </w:rPr>
            <w:instrText xml:space="preserve"> PAGEREF _Toc18405 \h </w:instrText>
          </w:r>
          <w:r>
            <w:rPr>
              <w:sz w:val="21"/>
              <w:szCs w:val="21"/>
            </w:rPr>
            <w:fldChar w:fldCharType="separate"/>
          </w:r>
          <w:r>
            <w:rPr>
              <w:sz w:val="21"/>
              <w:szCs w:val="21"/>
            </w:rPr>
            <w:t>104</w:t>
          </w:r>
          <w:r>
            <w:rPr>
              <w:sz w:val="21"/>
              <w:szCs w:val="21"/>
            </w:rPr>
            <w:fldChar w:fldCharType="end"/>
          </w:r>
          <w:r>
            <w:rPr>
              <w:sz w:val="21"/>
              <w:szCs w:val="21"/>
              <w:highlight w:val="none"/>
            </w:rPr>
            <w:fldChar w:fldCharType="end"/>
          </w:r>
        </w:p>
        <w:p w14:paraId="1172812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_Toc32653 </w:instrText>
          </w:r>
          <w:r>
            <w:rPr>
              <w:sz w:val="21"/>
              <w:szCs w:val="21"/>
              <w:highlight w:val="none"/>
            </w:rPr>
            <w:fldChar w:fldCharType="separate"/>
          </w:r>
          <w:r>
            <w:rPr>
              <w:rFonts w:hint="eastAsia"/>
              <w:sz w:val="21"/>
              <w:szCs w:val="21"/>
              <w:highlight w:val="none"/>
              <w:lang w:val="en-US" w:eastAsia="zh-CN"/>
            </w:rPr>
            <w:t>3.5.3强化污染物的末端治理</w:t>
          </w:r>
          <w:r>
            <w:rPr>
              <w:sz w:val="21"/>
              <w:szCs w:val="21"/>
            </w:rPr>
            <w:tab/>
          </w:r>
          <w:r>
            <w:rPr>
              <w:sz w:val="21"/>
              <w:szCs w:val="21"/>
            </w:rPr>
            <w:fldChar w:fldCharType="begin"/>
          </w:r>
          <w:r>
            <w:rPr>
              <w:sz w:val="21"/>
              <w:szCs w:val="21"/>
            </w:rPr>
            <w:instrText xml:space="preserve"> PAGEREF _Toc32653 \h </w:instrText>
          </w:r>
          <w:r>
            <w:rPr>
              <w:sz w:val="21"/>
              <w:szCs w:val="21"/>
            </w:rPr>
            <w:fldChar w:fldCharType="separate"/>
          </w:r>
          <w:r>
            <w:rPr>
              <w:sz w:val="21"/>
              <w:szCs w:val="21"/>
            </w:rPr>
            <w:t>106</w:t>
          </w:r>
          <w:r>
            <w:rPr>
              <w:sz w:val="21"/>
              <w:szCs w:val="21"/>
            </w:rPr>
            <w:fldChar w:fldCharType="end"/>
          </w:r>
          <w:r>
            <w:rPr>
              <w:sz w:val="21"/>
              <w:szCs w:val="21"/>
              <w:highlight w:val="none"/>
            </w:rPr>
            <w:fldChar w:fldCharType="end"/>
          </w:r>
        </w:p>
        <w:p w14:paraId="5444787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_Toc24014 </w:instrText>
          </w:r>
          <w:r>
            <w:rPr>
              <w:sz w:val="21"/>
              <w:szCs w:val="21"/>
              <w:highlight w:val="none"/>
            </w:rPr>
            <w:fldChar w:fldCharType="separate"/>
          </w:r>
          <w:r>
            <w:rPr>
              <w:rFonts w:hint="default" w:ascii="Times New Roman" w:hAnsi="Times New Roman" w:cs="Times New Roman"/>
              <w:sz w:val="21"/>
              <w:szCs w:val="21"/>
              <w:highlight w:val="none"/>
              <w:lang w:val="en-US" w:eastAsia="zh-CN"/>
            </w:rPr>
            <w:t>3.5.4</w:t>
          </w:r>
          <w:r>
            <w:rPr>
              <w:rFonts w:hint="eastAsia"/>
              <w:sz w:val="21"/>
              <w:szCs w:val="21"/>
              <w:highlight w:val="none"/>
              <w:lang w:val="en-US" w:eastAsia="zh-CN"/>
            </w:rPr>
            <w:t>产品指标</w:t>
          </w:r>
          <w:r>
            <w:rPr>
              <w:sz w:val="21"/>
              <w:szCs w:val="21"/>
            </w:rPr>
            <w:tab/>
          </w:r>
          <w:r>
            <w:rPr>
              <w:sz w:val="21"/>
              <w:szCs w:val="21"/>
            </w:rPr>
            <w:fldChar w:fldCharType="begin"/>
          </w:r>
          <w:r>
            <w:rPr>
              <w:sz w:val="21"/>
              <w:szCs w:val="21"/>
            </w:rPr>
            <w:instrText xml:space="preserve"> PAGEREF _Toc24014 \h </w:instrText>
          </w:r>
          <w:r>
            <w:rPr>
              <w:sz w:val="21"/>
              <w:szCs w:val="21"/>
            </w:rPr>
            <w:fldChar w:fldCharType="separate"/>
          </w:r>
          <w:r>
            <w:rPr>
              <w:sz w:val="21"/>
              <w:szCs w:val="21"/>
            </w:rPr>
            <w:t>106</w:t>
          </w:r>
          <w:r>
            <w:rPr>
              <w:sz w:val="21"/>
              <w:szCs w:val="21"/>
            </w:rPr>
            <w:fldChar w:fldCharType="end"/>
          </w:r>
          <w:r>
            <w:rPr>
              <w:sz w:val="21"/>
              <w:szCs w:val="21"/>
              <w:highlight w:val="none"/>
            </w:rPr>
            <w:fldChar w:fldCharType="end"/>
          </w:r>
        </w:p>
        <w:p w14:paraId="1F47A26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_Toc4360 </w:instrText>
          </w:r>
          <w:r>
            <w:rPr>
              <w:sz w:val="21"/>
              <w:szCs w:val="21"/>
              <w:highlight w:val="none"/>
            </w:rPr>
            <w:fldChar w:fldCharType="separate"/>
          </w:r>
          <w:r>
            <w:rPr>
              <w:rFonts w:hint="default" w:ascii="Times New Roman" w:hAnsi="Times New Roman" w:cs="Times New Roman"/>
              <w:sz w:val="21"/>
              <w:szCs w:val="21"/>
              <w:highlight w:val="none"/>
              <w:lang w:val="en-US" w:eastAsia="zh-CN"/>
            </w:rPr>
            <w:t>3.5.5</w:t>
          </w:r>
          <w:r>
            <w:rPr>
              <w:rFonts w:hint="eastAsia"/>
              <w:sz w:val="21"/>
              <w:szCs w:val="21"/>
              <w:highlight w:val="none"/>
              <w:lang w:val="en-US" w:eastAsia="zh-CN"/>
            </w:rPr>
            <w:t>废物回收利用指标</w:t>
          </w:r>
          <w:r>
            <w:rPr>
              <w:sz w:val="21"/>
              <w:szCs w:val="21"/>
            </w:rPr>
            <w:tab/>
          </w:r>
          <w:r>
            <w:rPr>
              <w:sz w:val="21"/>
              <w:szCs w:val="21"/>
            </w:rPr>
            <w:fldChar w:fldCharType="begin"/>
          </w:r>
          <w:r>
            <w:rPr>
              <w:sz w:val="21"/>
              <w:szCs w:val="21"/>
            </w:rPr>
            <w:instrText xml:space="preserve"> PAGEREF _Toc4360 \h </w:instrText>
          </w:r>
          <w:r>
            <w:rPr>
              <w:sz w:val="21"/>
              <w:szCs w:val="21"/>
            </w:rPr>
            <w:fldChar w:fldCharType="separate"/>
          </w:r>
          <w:r>
            <w:rPr>
              <w:sz w:val="21"/>
              <w:szCs w:val="21"/>
            </w:rPr>
            <w:t>107</w:t>
          </w:r>
          <w:r>
            <w:rPr>
              <w:sz w:val="21"/>
              <w:szCs w:val="21"/>
            </w:rPr>
            <w:fldChar w:fldCharType="end"/>
          </w:r>
          <w:r>
            <w:rPr>
              <w:sz w:val="21"/>
              <w:szCs w:val="21"/>
              <w:highlight w:val="none"/>
            </w:rPr>
            <w:fldChar w:fldCharType="end"/>
          </w:r>
        </w:p>
        <w:p w14:paraId="7C5E40E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_Toc13396 </w:instrText>
          </w:r>
          <w:r>
            <w:rPr>
              <w:sz w:val="21"/>
              <w:szCs w:val="21"/>
              <w:highlight w:val="none"/>
            </w:rPr>
            <w:fldChar w:fldCharType="separate"/>
          </w:r>
          <w:r>
            <w:rPr>
              <w:rFonts w:hint="eastAsia" w:ascii="Times New Roman" w:hAnsi="Times New Roman" w:cs="Times New Roman"/>
              <w:sz w:val="21"/>
              <w:szCs w:val="21"/>
              <w:highlight w:val="none"/>
              <w:lang w:val="en-US" w:eastAsia="zh-CN"/>
            </w:rPr>
            <w:t>3.5.6环境管理要求</w:t>
          </w:r>
          <w:r>
            <w:rPr>
              <w:sz w:val="21"/>
              <w:szCs w:val="21"/>
            </w:rPr>
            <w:tab/>
          </w:r>
          <w:r>
            <w:rPr>
              <w:sz w:val="21"/>
              <w:szCs w:val="21"/>
            </w:rPr>
            <w:fldChar w:fldCharType="begin"/>
          </w:r>
          <w:r>
            <w:rPr>
              <w:sz w:val="21"/>
              <w:szCs w:val="21"/>
            </w:rPr>
            <w:instrText xml:space="preserve"> PAGEREF _Toc13396 \h </w:instrText>
          </w:r>
          <w:r>
            <w:rPr>
              <w:sz w:val="21"/>
              <w:szCs w:val="21"/>
            </w:rPr>
            <w:fldChar w:fldCharType="separate"/>
          </w:r>
          <w:r>
            <w:rPr>
              <w:sz w:val="21"/>
              <w:szCs w:val="21"/>
            </w:rPr>
            <w:t>107</w:t>
          </w:r>
          <w:r>
            <w:rPr>
              <w:sz w:val="21"/>
              <w:szCs w:val="21"/>
            </w:rPr>
            <w:fldChar w:fldCharType="end"/>
          </w:r>
          <w:r>
            <w:rPr>
              <w:sz w:val="21"/>
              <w:szCs w:val="21"/>
              <w:highlight w:val="none"/>
            </w:rPr>
            <w:fldChar w:fldCharType="end"/>
          </w:r>
        </w:p>
        <w:p w14:paraId="27D4BE3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_Toc24247 </w:instrText>
          </w:r>
          <w:r>
            <w:rPr>
              <w:sz w:val="21"/>
              <w:szCs w:val="21"/>
              <w:highlight w:val="none"/>
            </w:rPr>
            <w:fldChar w:fldCharType="separate"/>
          </w:r>
          <w:r>
            <w:rPr>
              <w:rFonts w:hint="eastAsia" w:ascii="Times New Roman" w:hAnsi="Times New Roman" w:cs="Times New Roman"/>
              <w:sz w:val="21"/>
              <w:szCs w:val="21"/>
              <w:highlight w:val="none"/>
              <w:lang w:val="en-US" w:eastAsia="zh-CN"/>
            </w:rPr>
            <w:t>3.5.7结论</w:t>
          </w:r>
          <w:r>
            <w:rPr>
              <w:sz w:val="21"/>
              <w:szCs w:val="21"/>
            </w:rPr>
            <w:tab/>
          </w:r>
          <w:r>
            <w:rPr>
              <w:sz w:val="21"/>
              <w:szCs w:val="21"/>
            </w:rPr>
            <w:fldChar w:fldCharType="begin"/>
          </w:r>
          <w:r>
            <w:rPr>
              <w:sz w:val="21"/>
              <w:szCs w:val="21"/>
            </w:rPr>
            <w:instrText xml:space="preserve"> PAGEREF _Toc24247 \h </w:instrText>
          </w:r>
          <w:r>
            <w:rPr>
              <w:sz w:val="21"/>
              <w:szCs w:val="21"/>
            </w:rPr>
            <w:fldChar w:fldCharType="separate"/>
          </w:r>
          <w:r>
            <w:rPr>
              <w:sz w:val="21"/>
              <w:szCs w:val="21"/>
            </w:rPr>
            <w:t>107</w:t>
          </w:r>
          <w:r>
            <w:rPr>
              <w:sz w:val="21"/>
              <w:szCs w:val="21"/>
            </w:rPr>
            <w:fldChar w:fldCharType="end"/>
          </w:r>
          <w:r>
            <w:rPr>
              <w:sz w:val="21"/>
              <w:szCs w:val="21"/>
              <w:highlight w:val="none"/>
            </w:rPr>
            <w:fldChar w:fldCharType="end"/>
          </w:r>
        </w:p>
        <w:p w14:paraId="3099C11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_Toc302 </w:instrText>
          </w:r>
          <w:r>
            <w:rPr>
              <w:sz w:val="21"/>
              <w:szCs w:val="21"/>
              <w:highlight w:val="none"/>
            </w:rPr>
            <w:fldChar w:fldCharType="separate"/>
          </w:r>
          <w:r>
            <w:rPr>
              <w:rFonts w:hint="eastAsia"/>
              <w:sz w:val="21"/>
              <w:szCs w:val="21"/>
              <w:highlight w:val="none"/>
              <w:lang w:val="en-US" w:eastAsia="zh-CN"/>
            </w:rPr>
            <w:t>4环境现状调查与评价</w:t>
          </w:r>
          <w:r>
            <w:rPr>
              <w:sz w:val="21"/>
              <w:szCs w:val="21"/>
            </w:rPr>
            <w:tab/>
          </w:r>
          <w:r>
            <w:rPr>
              <w:sz w:val="21"/>
              <w:szCs w:val="21"/>
            </w:rPr>
            <w:fldChar w:fldCharType="begin"/>
          </w:r>
          <w:r>
            <w:rPr>
              <w:sz w:val="21"/>
              <w:szCs w:val="21"/>
            </w:rPr>
            <w:instrText xml:space="preserve"> PAGEREF _Toc302 \h </w:instrText>
          </w:r>
          <w:r>
            <w:rPr>
              <w:sz w:val="21"/>
              <w:szCs w:val="21"/>
            </w:rPr>
            <w:fldChar w:fldCharType="separate"/>
          </w:r>
          <w:r>
            <w:rPr>
              <w:sz w:val="21"/>
              <w:szCs w:val="21"/>
            </w:rPr>
            <w:t>108</w:t>
          </w:r>
          <w:r>
            <w:rPr>
              <w:sz w:val="21"/>
              <w:szCs w:val="21"/>
            </w:rPr>
            <w:fldChar w:fldCharType="end"/>
          </w:r>
          <w:r>
            <w:rPr>
              <w:sz w:val="21"/>
              <w:szCs w:val="21"/>
              <w:highlight w:val="none"/>
            </w:rPr>
            <w:fldChar w:fldCharType="end"/>
          </w:r>
        </w:p>
        <w:p w14:paraId="1A22AD89">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_Toc22931 </w:instrText>
          </w:r>
          <w:r>
            <w:rPr>
              <w:sz w:val="21"/>
              <w:szCs w:val="21"/>
              <w:highlight w:val="none"/>
            </w:rPr>
            <w:fldChar w:fldCharType="separate"/>
          </w:r>
          <w:r>
            <w:rPr>
              <w:rFonts w:hint="default" w:ascii="Times New Roman" w:hAnsi="Times New Roman" w:cs="Times New Roman"/>
              <w:sz w:val="21"/>
              <w:szCs w:val="21"/>
              <w:highlight w:val="none"/>
              <w:lang w:val="en-US" w:eastAsia="zh-CN"/>
            </w:rPr>
            <w:t>4.1</w:t>
          </w:r>
          <w:r>
            <w:rPr>
              <w:rFonts w:hint="eastAsia"/>
              <w:sz w:val="21"/>
              <w:szCs w:val="21"/>
              <w:highlight w:val="none"/>
              <w:lang w:val="en-US" w:eastAsia="zh-CN"/>
            </w:rPr>
            <w:t>自然环境概括</w:t>
          </w:r>
          <w:r>
            <w:rPr>
              <w:sz w:val="21"/>
              <w:szCs w:val="21"/>
            </w:rPr>
            <w:tab/>
          </w:r>
          <w:r>
            <w:rPr>
              <w:sz w:val="21"/>
              <w:szCs w:val="21"/>
            </w:rPr>
            <w:fldChar w:fldCharType="begin"/>
          </w:r>
          <w:r>
            <w:rPr>
              <w:sz w:val="21"/>
              <w:szCs w:val="21"/>
            </w:rPr>
            <w:instrText xml:space="preserve"> PAGEREF _Toc22931 \h </w:instrText>
          </w:r>
          <w:r>
            <w:rPr>
              <w:sz w:val="21"/>
              <w:szCs w:val="21"/>
            </w:rPr>
            <w:fldChar w:fldCharType="separate"/>
          </w:r>
          <w:r>
            <w:rPr>
              <w:sz w:val="21"/>
              <w:szCs w:val="21"/>
            </w:rPr>
            <w:t>108</w:t>
          </w:r>
          <w:r>
            <w:rPr>
              <w:sz w:val="21"/>
              <w:szCs w:val="21"/>
            </w:rPr>
            <w:fldChar w:fldCharType="end"/>
          </w:r>
          <w:r>
            <w:rPr>
              <w:sz w:val="21"/>
              <w:szCs w:val="21"/>
              <w:highlight w:val="none"/>
            </w:rPr>
            <w:fldChar w:fldCharType="end"/>
          </w:r>
        </w:p>
        <w:p w14:paraId="517E601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_Toc25330 </w:instrText>
          </w:r>
          <w:r>
            <w:rPr>
              <w:sz w:val="21"/>
              <w:szCs w:val="21"/>
              <w:highlight w:val="none"/>
            </w:rPr>
            <w:fldChar w:fldCharType="separate"/>
          </w:r>
          <w:r>
            <w:rPr>
              <w:rFonts w:hint="default" w:ascii="Times New Roman" w:hAnsi="Times New Roman" w:cs="Times New Roman"/>
              <w:sz w:val="21"/>
              <w:szCs w:val="21"/>
              <w:highlight w:val="none"/>
              <w:lang w:val="en-US" w:eastAsia="zh-CN"/>
            </w:rPr>
            <w:t>4.1.1</w:t>
          </w:r>
          <w:r>
            <w:rPr>
              <w:rFonts w:hint="eastAsia"/>
              <w:sz w:val="21"/>
              <w:szCs w:val="21"/>
              <w:highlight w:val="none"/>
              <w:lang w:val="en-US" w:eastAsia="zh-CN"/>
            </w:rPr>
            <w:t>地理位置</w:t>
          </w:r>
          <w:r>
            <w:rPr>
              <w:sz w:val="21"/>
              <w:szCs w:val="21"/>
            </w:rPr>
            <w:tab/>
          </w:r>
          <w:r>
            <w:rPr>
              <w:sz w:val="21"/>
              <w:szCs w:val="21"/>
            </w:rPr>
            <w:fldChar w:fldCharType="begin"/>
          </w:r>
          <w:r>
            <w:rPr>
              <w:sz w:val="21"/>
              <w:szCs w:val="21"/>
            </w:rPr>
            <w:instrText xml:space="preserve"> PAGEREF _Toc25330 \h </w:instrText>
          </w:r>
          <w:r>
            <w:rPr>
              <w:sz w:val="21"/>
              <w:szCs w:val="21"/>
            </w:rPr>
            <w:fldChar w:fldCharType="separate"/>
          </w:r>
          <w:r>
            <w:rPr>
              <w:sz w:val="21"/>
              <w:szCs w:val="21"/>
            </w:rPr>
            <w:t>108</w:t>
          </w:r>
          <w:r>
            <w:rPr>
              <w:sz w:val="21"/>
              <w:szCs w:val="21"/>
            </w:rPr>
            <w:fldChar w:fldCharType="end"/>
          </w:r>
          <w:r>
            <w:rPr>
              <w:sz w:val="21"/>
              <w:szCs w:val="21"/>
              <w:highlight w:val="none"/>
            </w:rPr>
            <w:fldChar w:fldCharType="end"/>
          </w:r>
        </w:p>
        <w:p w14:paraId="5D3E68C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_Toc22880 </w:instrText>
          </w:r>
          <w:r>
            <w:rPr>
              <w:sz w:val="21"/>
              <w:szCs w:val="21"/>
              <w:highlight w:val="none"/>
            </w:rPr>
            <w:fldChar w:fldCharType="separate"/>
          </w:r>
          <w:r>
            <w:rPr>
              <w:rFonts w:hint="default" w:ascii="Times New Roman" w:hAnsi="Times New Roman" w:cs="Times New Roman"/>
              <w:sz w:val="21"/>
              <w:szCs w:val="21"/>
              <w:highlight w:val="none"/>
              <w:lang w:val="en-US" w:eastAsia="zh-CN"/>
            </w:rPr>
            <w:t>4.1.2</w:t>
          </w:r>
          <w:r>
            <w:rPr>
              <w:rFonts w:hint="eastAsia"/>
              <w:sz w:val="21"/>
              <w:szCs w:val="21"/>
              <w:highlight w:val="none"/>
              <w:lang w:val="en-US" w:eastAsia="zh-CN"/>
            </w:rPr>
            <w:t>地形地貌</w:t>
          </w:r>
          <w:r>
            <w:rPr>
              <w:sz w:val="21"/>
              <w:szCs w:val="21"/>
            </w:rPr>
            <w:tab/>
          </w:r>
          <w:r>
            <w:rPr>
              <w:sz w:val="21"/>
              <w:szCs w:val="21"/>
            </w:rPr>
            <w:fldChar w:fldCharType="begin"/>
          </w:r>
          <w:r>
            <w:rPr>
              <w:sz w:val="21"/>
              <w:szCs w:val="21"/>
            </w:rPr>
            <w:instrText xml:space="preserve"> PAGEREF _Toc22880 \h </w:instrText>
          </w:r>
          <w:r>
            <w:rPr>
              <w:sz w:val="21"/>
              <w:szCs w:val="21"/>
            </w:rPr>
            <w:fldChar w:fldCharType="separate"/>
          </w:r>
          <w:r>
            <w:rPr>
              <w:sz w:val="21"/>
              <w:szCs w:val="21"/>
            </w:rPr>
            <w:t>109</w:t>
          </w:r>
          <w:r>
            <w:rPr>
              <w:sz w:val="21"/>
              <w:szCs w:val="21"/>
            </w:rPr>
            <w:fldChar w:fldCharType="end"/>
          </w:r>
          <w:r>
            <w:rPr>
              <w:sz w:val="21"/>
              <w:szCs w:val="21"/>
              <w:highlight w:val="none"/>
            </w:rPr>
            <w:fldChar w:fldCharType="end"/>
          </w:r>
        </w:p>
        <w:p w14:paraId="102CC670">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_Toc8169 </w:instrText>
          </w:r>
          <w:r>
            <w:rPr>
              <w:sz w:val="21"/>
              <w:szCs w:val="21"/>
              <w:highlight w:val="none"/>
            </w:rPr>
            <w:fldChar w:fldCharType="separate"/>
          </w:r>
          <w:r>
            <w:rPr>
              <w:rFonts w:hint="default" w:ascii="Times New Roman" w:hAnsi="Times New Roman" w:cs="Times New Roman"/>
              <w:sz w:val="21"/>
              <w:szCs w:val="21"/>
              <w:highlight w:val="none"/>
              <w:lang w:val="en-US" w:eastAsia="zh-CN"/>
            </w:rPr>
            <w:t>4.1.3</w:t>
          </w:r>
          <w:r>
            <w:rPr>
              <w:rFonts w:hint="eastAsia"/>
              <w:sz w:val="21"/>
              <w:szCs w:val="21"/>
              <w:highlight w:val="none"/>
              <w:lang w:val="en-US" w:eastAsia="zh-CN"/>
            </w:rPr>
            <w:t>气候、气象</w:t>
          </w:r>
          <w:r>
            <w:rPr>
              <w:sz w:val="21"/>
              <w:szCs w:val="21"/>
            </w:rPr>
            <w:tab/>
          </w:r>
          <w:r>
            <w:rPr>
              <w:sz w:val="21"/>
              <w:szCs w:val="21"/>
            </w:rPr>
            <w:fldChar w:fldCharType="begin"/>
          </w:r>
          <w:r>
            <w:rPr>
              <w:sz w:val="21"/>
              <w:szCs w:val="21"/>
            </w:rPr>
            <w:instrText xml:space="preserve"> PAGEREF _Toc8169 \h </w:instrText>
          </w:r>
          <w:r>
            <w:rPr>
              <w:sz w:val="21"/>
              <w:szCs w:val="21"/>
            </w:rPr>
            <w:fldChar w:fldCharType="separate"/>
          </w:r>
          <w:r>
            <w:rPr>
              <w:sz w:val="21"/>
              <w:szCs w:val="21"/>
            </w:rPr>
            <w:t>110</w:t>
          </w:r>
          <w:r>
            <w:rPr>
              <w:sz w:val="21"/>
              <w:szCs w:val="21"/>
            </w:rPr>
            <w:fldChar w:fldCharType="end"/>
          </w:r>
          <w:r>
            <w:rPr>
              <w:sz w:val="21"/>
              <w:szCs w:val="21"/>
              <w:highlight w:val="none"/>
            </w:rPr>
            <w:fldChar w:fldCharType="end"/>
          </w:r>
        </w:p>
        <w:p w14:paraId="40556CB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_Toc27269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4.1.4水文地质情况</w:t>
          </w:r>
          <w:r>
            <w:rPr>
              <w:sz w:val="21"/>
              <w:szCs w:val="21"/>
            </w:rPr>
            <w:tab/>
          </w:r>
          <w:r>
            <w:rPr>
              <w:sz w:val="21"/>
              <w:szCs w:val="21"/>
            </w:rPr>
            <w:fldChar w:fldCharType="begin"/>
          </w:r>
          <w:r>
            <w:rPr>
              <w:sz w:val="21"/>
              <w:szCs w:val="21"/>
            </w:rPr>
            <w:instrText xml:space="preserve"> PAGEREF _Toc27269 \h </w:instrText>
          </w:r>
          <w:r>
            <w:rPr>
              <w:sz w:val="21"/>
              <w:szCs w:val="21"/>
            </w:rPr>
            <w:fldChar w:fldCharType="separate"/>
          </w:r>
          <w:r>
            <w:rPr>
              <w:sz w:val="21"/>
              <w:szCs w:val="21"/>
            </w:rPr>
            <w:t>110</w:t>
          </w:r>
          <w:r>
            <w:rPr>
              <w:sz w:val="21"/>
              <w:szCs w:val="21"/>
            </w:rPr>
            <w:fldChar w:fldCharType="end"/>
          </w:r>
          <w:r>
            <w:rPr>
              <w:sz w:val="21"/>
              <w:szCs w:val="21"/>
              <w:highlight w:val="none"/>
            </w:rPr>
            <w:fldChar w:fldCharType="end"/>
          </w:r>
        </w:p>
        <w:p w14:paraId="1C881CC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_Toc7421 </w:instrText>
          </w:r>
          <w:r>
            <w:rPr>
              <w:sz w:val="21"/>
              <w:szCs w:val="21"/>
              <w:highlight w:val="none"/>
            </w:rPr>
            <w:fldChar w:fldCharType="separate"/>
          </w:r>
          <w:r>
            <w:rPr>
              <w:rFonts w:hint="default" w:ascii="Times New Roman" w:hAnsi="Times New Roman" w:cs="Times New Roman"/>
              <w:sz w:val="21"/>
              <w:szCs w:val="21"/>
              <w:highlight w:val="none"/>
              <w:lang w:val="en-US" w:eastAsia="zh-CN"/>
            </w:rPr>
            <w:t>4.1.</w:t>
          </w:r>
          <w:r>
            <w:rPr>
              <w:rFonts w:hint="eastAsia" w:ascii="Times New Roman" w:hAnsi="Times New Roman" w:cs="Times New Roman"/>
              <w:sz w:val="21"/>
              <w:szCs w:val="21"/>
              <w:highlight w:val="none"/>
              <w:lang w:val="en-US" w:eastAsia="zh-CN"/>
            </w:rPr>
            <w:t>5</w:t>
          </w:r>
          <w:r>
            <w:rPr>
              <w:rFonts w:hint="eastAsia"/>
              <w:sz w:val="21"/>
              <w:szCs w:val="21"/>
              <w:highlight w:val="none"/>
              <w:lang w:val="en-US" w:eastAsia="zh-CN"/>
            </w:rPr>
            <w:t>土壤</w:t>
          </w:r>
          <w:r>
            <w:rPr>
              <w:sz w:val="21"/>
              <w:szCs w:val="21"/>
            </w:rPr>
            <w:tab/>
          </w:r>
          <w:r>
            <w:rPr>
              <w:sz w:val="21"/>
              <w:szCs w:val="21"/>
            </w:rPr>
            <w:fldChar w:fldCharType="begin"/>
          </w:r>
          <w:r>
            <w:rPr>
              <w:sz w:val="21"/>
              <w:szCs w:val="21"/>
            </w:rPr>
            <w:instrText xml:space="preserve"> PAGEREF _Toc7421 \h </w:instrText>
          </w:r>
          <w:r>
            <w:rPr>
              <w:sz w:val="21"/>
              <w:szCs w:val="21"/>
            </w:rPr>
            <w:fldChar w:fldCharType="separate"/>
          </w:r>
          <w:r>
            <w:rPr>
              <w:sz w:val="21"/>
              <w:szCs w:val="21"/>
            </w:rPr>
            <w:t>113</w:t>
          </w:r>
          <w:r>
            <w:rPr>
              <w:sz w:val="21"/>
              <w:szCs w:val="21"/>
            </w:rPr>
            <w:fldChar w:fldCharType="end"/>
          </w:r>
          <w:r>
            <w:rPr>
              <w:sz w:val="21"/>
              <w:szCs w:val="21"/>
              <w:highlight w:val="none"/>
            </w:rPr>
            <w:fldChar w:fldCharType="end"/>
          </w:r>
        </w:p>
        <w:p w14:paraId="2EA4EE00">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_Toc18399 </w:instrText>
          </w:r>
          <w:r>
            <w:rPr>
              <w:sz w:val="21"/>
              <w:szCs w:val="21"/>
              <w:highlight w:val="none"/>
            </w:rPr>
            <w:fldChar w:fldCharType="separate"/>
          </w:r>
          <w:r>
            <w:rPr>
              <w:rFonts w:hint="eastAsia"/>
              <w:sz w:val="21"/>
              <w:szCs w:val="21"/>
              <w:highlight w:val="none"/>
              <w:lang w:val="en-US" w:eastAsia="zh-CN"/>
            </w:rPr>
            <w:t>4.1.6自然资源</w:t>
          </w:r>
          <w:r>
            <w:rPr>
              <w:sz w:val="21"/>
              <w:szCs w:val="21"/>
            </w:rPr>
            <w:tab/>
          </w:r>
          <w:r>
            <w:rPr>
              <w:sz w:val="21"/>
              <w:szCs w:val="21"/>
            </w:rPr>
            <w:fldChar w:fldCharType="begin"/>
          </w:r>
          <w:r>
            <w:rPr>
              <w:sz w:val="21"/>
              <w:szCs w:val="21"/>
            </w:rPr>
            <w:instrText xml:space="preserve"> PAGEREF _Toc18399 \h </w:instrText>
          </w:r>
          <w:r>
            <w:rPr>
              <w:sz w:val="21"/>
              <w:szCs w:val="21"/>
            </w:rPr>
            <w:fldChar w:fldCharType="separate"/>
          </w:r>
          <w:r>
            <w:rPr>
              <w:sz w:val="21"/>
              <w:szCs w:val="21"/>
            </w:rPr>
            <w:t>114</w:t>
          </w:r>
          <w:r>
            <w:rPr>
              <w:sz w:val="21"/>
              <w:szCs w:val="21"/>
            </w:rPr>
            <w:fldChar w:fldCharType="end"/>
          </w:r>
          <w:r>
            <w:rPr>
              <w:sz w:val="21"/>
              <w:szCs w:val="21"/>
              <w:highlight w:val="none"/>
            </w:rPr>
            <w:fldChar w:fldCharType="end"/>
          </w:r>
        </w:p>
        <w:p w14:paraId="06FEAA4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_Toc21705 </w:instrText>
          </w:r>
          <w:r>
            <w:rPr>
              <w:sz w:val="21"/>
              <w:szCs w:val="21"/>
              <w:highlight w:val="none"/>
            </w:rPr>
            <w:fldChar w:fldCharType="separate"/>
          </w:r>
          <w:r>
            <w:rPr>
              <w:rFonts w:hint="eastAsia"/>
              <w:sz w:val="21"/>
              <w:szCs w:val="21"/>
              <w:highlight w:val="none"/>
              <w:lang w:val="en-US" w:eastAsia="zh-CN"/>
            </w:rPr>
            <w:t>4.2环境保护目标调查</w:t>
          </w:r>
          <w:r>
            <w:rPr>
              <w:sz w:val="21"/>
              <w:szCs w:val="21"/>
            </w:rPr>
            <w:tab/>
          </w:r>
          <w:r>
            <w:rPr>
              <w:sz w:val="21"/>
              <w:szCs w:val="21"/>
            </w:rPr>
            <w:fldChar w:fldCharType="begin"/>
          </w:r>
          <w:r>
            <w:rPr>
              <w:sz w:val="21"/>
              <w:szCs w:val="21"/>
            </w:rPr>
            <w:instrText xml:space="preserve"> PAGEREF _Toc21705 \h </w:instrText>
          </w:r>
          <w:r>
            <w:rPr>
              <w:sz w:val="21"/>
              <w:szCs w:val="21"/>
            </w:rPr>
            <w:fldChar w:fldCharType="separate"/>
          </w:r>
          <w:r>
            <w:rPr>
              <w:sz w:val="21"/>
              <w:szCs w:val="21"/>
            </w:rPr>
            <w:t>115</w:t>
          </w:r>
          <w:r>
            <w:rPr>
              <w:sz w:val="21"/>
              <w:szCs w:val="21"/>
            </w:rPr>
            <w:fldChar w:fldCharType="end"/>
          </w:r>
          <w:r>
            <w:rPr>
              <w:sz w:val="21"/>
              <w:szCs w:val="21"/>
              <w:highlight w:val="none"/>
            </w:rPr>
            <w:fldChar w:fldCharType="end"/>
          </w:r>
        </w:p>
        <w:p w14:paraId="7DEDB94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_Toc18441 </w:instrText>
          </w:r>
          <w:r>
            <w:rPr>
              <w:sz w:val="21"/>
              <w:szCs w:val="21"/>
              <w:highlight w:val="none"/>
            </w:rPr>
            <w:fldChar w:fldCharType="separate"/>
          </w:r>
          <w:r>
            <w:rPr>
              <w:rFonts w:hint="default" w:ascii="Times New Roman" w:hAnsi="Times New Roman" w:cs="Times New Roman"/>
              <w:sz w:val="21"/>
              <w:szCs w:val="21"/>
              <w:highlight w:val="none"/>
              <w:lang w:val="en-US" w:eastAsia="zh-CN"/>
            </w:rPr>
            <w:t>4.2.1</w:t>
          </w:r>
          <w:r>
            <w:rPr>
              <w:rFonts w:hint="eastAsia"/>
              <w:sz w:val="21"/>
              <w:szCs w:val="21"/>
              <w:highlight w:val="none"/>
              <w:lang w:val="en-US" w:eastAsia="zh-CN"/>
            </w:rPr>
            <w:t>环境功能区划</w:t>
          </w:r>
          <w:r>
            <w:rPr>
              <w:sz w:val="21"/>
              <w:szCs w:val="21"/>
            </w:rPr>
            <w:tab/>
          </w:r>
          <w:r>
            <w:rPr>
              <w:sz w:val="21"/>
              <w:szCs w:val="21"/>
            </w:rPr>
            <w:fldChar w:fldCharType="begin"/>
          </w:r>
          <w:r>
            <w:rPr>
              <w:sz w:val="21"/>
              <w:szCs w:val="21"/>
            </w:rPr>
            <w:instrText xml:space="preserve"> PAGEREF _Toc18441 \h </w:instrText>
          </w:r>
          <w:r>
            <w:rPr>
              <w:sz w:val="21"/>
              <w:szCs w:val="21"/>
            </w:rPr>
            <w:fldChar w:fldCharType="separate"/>
          </w:r>
          <w:r>
            <w:rPr>
              <w:sz w:val="21"/>
              <w:szCs w:val="21"/>
            </w:rPr>
            <w:t>115</w:t>
          </w:r>
          <w:r>
            <w:rPr>
              <w:sz w:val="21"/>
              <w:szCs w:val="21"/>
            </w:rPr>
            <w:fldChar w:fldCharType="end"/>
          </w:r>
          <w:r>
            <w:rPr>
              <w:sz w:val="21"/>
              <w:szCs w:val="21"/>
              <w:highlight w:val="none"/>
            </w:rPr>
            <w:fldChar w:fldCharType="end"/>
          </w:r>
        </w:p>
        <w:p w14:paraId="28D9857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_Toc6208 </w:instrText>
          </w:r>
          <w:r>
            <w:rPr>
              <w:sz w:val="21"/>
              <w:szCs w:val="21"/>
              <w:highlight w:val="none"/>
            </w:rPr>
            <w:fldChar w:fldCharType="separate"/>
          </w:r>
          <w:r>
            <w:rPr>
              <w:rFonts w:hint="eastAsia"/>
              <w:sz w:val="21"/>
              <w:szCs w:val="21"/>
              <w:highlight w:val="none"/>
              <w:lang w:val="en-US" w:eastAsia="zh-CN"/>
            </w:rPr>
            <w:t>4.2.2主要环境敏感区</w:t>
          </w:r>
          <w:r>
            <w:rPr>
              <w:sz w:val="21"/>
              <w:szCs w:val="21"/>
            </w:rPr>
            <w:tab/>
          </w:r>
          <w:r>
            <w:rPr>
              <w:sz w:val="21"/>
              <w:szCs w:val="21"/>
            </w:rPr>
            <w:fldChar w:fldCharType="begin"/>
          </w:r>
          <w:r>
            <w:rPr>
              <w:sz w:val="21"/>
              <w:szCs w:val="21"/>
            </w:rPr>
            <w:instrText xml:space="preserve"> PAGEREF _Toc6208 \h </w:instrText>
          </w:r>
          <w:r>
            <w:rPr>
              <w:sz w:val="21"/>
              <w:szCs w:val="21"/>
            </w:rPr>
            <w:fldChar w:fldCharType="separate"/>
          </w:r>
          <w:r>
            <w:rPr>
              <w:sz w:val="21"/>
              <w:szCs w:val="21"/>
            </w:rPr>
            <w:t>116</w:t>
          </w:r>
          <w:r>
            <w:rPr>
              <w:sz w:val="21"/>
              <w:szCs w:val="21"/>
            </w:rPr>
            <w:fldChar w:fldCharType="end"/>
          </w:r>
          <w:r>
            <w:rPr>
              <w:sz w:val="21"/>
              <w:szCs w:val="21"/>
              <w:highlight w:val="none"/>
            </w:rPr>
            <w:fldChar w:fldCharType="end"/>
          </w:r>
        </w:p>
        <w:p w14:paraId="03CCD679">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_Toc484 </w:instrText>
          </w:r>
          <w:r>
            <w:rPr>
              <w:sz w:val="21"/>
              <w:szCs w:val="21"/>
              <w:highlight w:val="none"/>
            </w:rPr>
            <w:fldChar w:fldCharType="separate"/>
          </w:r>
          <w:r>
            <w:rPr>
              <w:rFonts w:hint="eastAsia"/>
              <w:sz w:val="21"/>
              <w:szCs w:val="21"/>
              <w:highlight w:val="none"/>
              <w:lang w:val="en-US" w:eastAsia="zh-CN"/>
            </w:rPr>
            <w:t>4.3环境质量现状调查与评价</w:t>
          </w:r>
          <w:r>
            <w:rPr>
              <w:sz w:val="21"/>
              <w:szCs w:val="21"/>
            </w:rPr>
            <w:tab/>
          </w:r>
          <w:r>
            <w:rPr>
              <w:sz w:val="21"/>
              <w:szCs w:val="21"/>
            </w:rPr>
            <w:fldChar w:fldCharType="begin"/>
          </w:r>
          <w:r>
            <w:rPr>
              <w:sz w:val="21"/>
              <w:szCs w:val="21"/>
            </w:rPr>
            <w:instrText xml:space="preserve"> PAGEREF _Toc484 \h </w:instrText>
          </w:r>
          <w:r>
            <w:rPr>
              <w:sz w:val="21"/>
              <w:szCs w:val="21"/>
            </w:rPr>
            <w:fldChar w:fldCharType="separate"/>
          </w:r>
          <w:r>
            <w:rPr>
              <w:sz w:val="21"/>
              <w:szCs w:val="21"/>
            </w:rPr>
            <w:t>116</w:t>
          </w:r>
          <w:r>
            <w:rPr>
              <w:sz w:val="21"/>
              <w:szCs w:val="21"/>
            </w:rPr>
            <w:fldChar w:fldCharType="end"/>
          </w:r>
          <w:r>
            <w:rPr>
              <w:sz w:val="21"/>
              <w:szCs w:val="21"/>
              <w:highlight w:val="none"/>
            </w:rPr>
            <w:fldChar w:fldCharType="end"/>
          </w:r>
        </w:p>
        <w:p w14:paraId="48DD2ED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_Toc28050 </w:instrText>
          </w:r>
          <w:r>
            <w:rPr>
              <w:sz w:val="21"/>
              <w:szCs w:val="21"/>
              <w:highlight w:val="none"/>
            </w:rPr>
            <w:fldChar w:fldCharType="separate"/>
          </w:r>
          <w:r>
            <w:rPr>
              <w:rFonts w:hint="default" w:ascii="Times New Roman" w:hAnsi="Times New Roman" w:cs="Times New Roman"/>
              <w:sz w:val="21"/>
              <w:szCs w:val="21"/>
              <w:highlight w:val="none"/>
              <w:lang w:val="en-US" w:eastAsia="zh-CN"/>
            </w:rPr>
            <w:t>4.3.1</w:t>
          </w:r>
          <w:r>
            <w:rPr>
              <w:rFonts w:hint="eastAsia"/>
              <w:sz w:val="21"/>
              <w:szCs w:val="21"/>
              <w:highlight w:val="none"/>
              <w:lang w:val="en-US" w:eastAsia="zh-CN"/>
            </w:rPr>
            <w:t>环境空气质量现状评价</w:t>
          </w:r>
          <w:r>
            <w:rPr>
              <w:sz w:val="21"/>
              <w:szCs w:val="21"/>
            </w:rPr>
            <w:tab/>
          </w:r>
          <w:r>
            <w:rPr>
              <w:sz w:val="21"/>
              <w:szCs w:val="21"/>
            </w:rPr>
            <w:fldChar w:fldCharType="begin"/>
          </w:r>
          <w:r>
            <w:rPr>
              <w:sz w:val="21"/>
              <w:szCs w:val="21"/>
            </w:rPr>
            <w:instrText xml:space="preserve"> PAGEREF _Toc28050 \h </w:instrText>
          </w:r>
          <w:r>
            <w:rPr>
              <w:sz w:val="21"/>
              <w:szCs w:val="21"/>
            </w:rPr>
            <w:fldChar w:fldCharType="separate"/>
          </w:r>
          <w:r>
            <w:rPr>
              <w:sz w:val="21"/>
              <w:szCs w:val="21"/>
            </w:rPr>
            <w:t>116</w:t>
          </w:r>
          <w:r>
            <w:rPr>
              <w:sz w:val="21"/>
              <w:szCs w:val="21"/>
            </w:rPr>
            <w:fldChar w:fldCharType="end"/>
          </w:r>
          <w:r>
            <w:rPr>
              <w:sz w:val="21"/>
              <w:szCs w:val="21"/>
              <w:highlight w:val="none"/>
            </w:rPr>
            <w:fldChar w:fldCharType="end"/>
          </w:r>
        </w:p>
        <w:p w14:paraId="33DACA0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_Toc19048 </w:instrText>
          </w:r>
          <w:r>
            <w:rPr>
              <w:sz w:val="21"/>
              <w:szCs w:val="21"/>
              <w:highlight w:val="none"/>
            </w:rPr>
            <w:fldChar w:fldCharType="separate"/>
          </w:r>
          <w:r>
            <w:rPr>
              <w:rFonts w:hint="default" w:ascii="Times New Roman" w:hAnsi="Times New Roman" w:cs="Times New Roman"/>
              <w:sz w:val="21"/>
              <w:szCs w:val="21"/>
              <w:highlight w:val="none"/>
              <w:lang w:val="en-US" w:eastAsia="zh-CN"/>
            </w:rPr>
            <w:t>4.3.2</w:t>
          </w:r>
          <w:r>
            <w:rPr>
              <w:rFonts w:hint="eastAsia"/>
              <w:sz w:val="21"/>
              <w:szCs w:val="21"/>
              <w:highlight w:val="none"/>
              <w:lang w:val="en-US" w:eastAsia="zh-CN"/>
            </w:rPr>
            <w:t>地表水环境质量现状评价</w:t>
          </w:r>
          <w:r>
            <w:rPr>
              <w:sz w:val="21"/>
              <w:szCs w:val="21"/>
            </w:rPr>
            <w:tab/>
          </w:r>
          <w:r>
            <w:rPr>
              <w:sz w:val="21"/>
              <w:szCs w:val="21"/>
            </w:rPr>
            <w:fldChar w:fldCharType="begin"/>
          </w:r>
          <w:r>
            <w:rPr>
              <w:sz w:val="21"/>
              <w:szCs w:val="21"/>
            </w:rPr>
            <w:instrText xml:space="preserve"> PAGEREF _Toc19048 \h </w:instrText>
          </w:r>
          <w:r>
            <w:rPr>
              <w:sz w:val="21"/>
              <w:szCs w:val="21"/>
            </w:rPr>
            <w:fldChar w:fldCharType="separate"/>
          </w:r>
          <w:r>
            <w:rPr>
              <w:sz w:val="21"/>
              <w:szCs w:val="21"/>
            </w:rPr>
            <w:t>120</w:t>
          </w:r>
          <w:r>
            <w:rPr>
              <w:sz w:val="21"/>
              <w:szCs w:val="21"/>
            </w:rPr>
            <w:fldChar w:fldCharType="end"/>
          </w:r>
          <w:r>
            <w:rPr>
              <w:sz w:val="21"/>
              <w:szCs w:val="21"/>
              <w:highlight w:val="none"/>
            </w:rPr>
            <w:fldChar w:fldCharType="end"/>
          </w:r>
        </w:p>
        <w:p w14:paraId="70A0D51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_Toc18231 </w:instrText>
          </w:r>
          <w:r>
            <w:rPr>
              <w:sz w:val="21"/>
              <w:szCs w:val="21"/>
              <w:highlight w:val="none"/>
            </w:rPr>
            <w:fldChar w:fldCharType="separate"/>
          </w:r>
          <w:r>
            <w:rPr>
              <w:rFonts w:hint="eastAsia"/>
              <w:sz w:val="21"/>
              <w:szCs w:val="21"/>
              <w:highlight w:val="none"/>
              <w:lang w:val="en-US" w:eastAsia="zh-CN"/>
            </w:rPr>
            <w:t>4.3.3声环境质量现状评价</w:t>
          </w:r>
          <w:r>
            <w:rPr>
              <w:sz w:val="21"/>
              <w:szCs w:val="21"/>
            </w:rPr>
            <w:tab/>
          </w:r>
          <w:r>
            <w:rPr>
              <w:sz w:val="21"/>
              <w:szCs w:val="21"/>
            </w:rPr>
            <w:fldChar w:fldCharType="begin"/>
          </w:r>
          <w:r>
            <w:rPr>
              <w:sz w:val="21"/>
              <w:szCs w:val="21"/>
            </w:rPr>
            <w:instrText xml:space="preserve"> PAGEREF _Toc18231 \h </w:instrText>
          </w:r>
          <w:r>
            <w:rPr>
              <w:sz w:val="21"/>
              <w:szCs w:val="21"/>
            </w:rPr>
            <w:fldChar w:fldCharType="separate"/>
          </w:r>
          <w:r>
            <w:rPr>
              <w:sz w:val="21"/>
              <w:szCs w:val="21"/>
            </w:rPr>
            <w:t>121</w:t>
          </w:r>
          <w:r>
            <w:rPr>
              <w:sz w:val="21"/>
              <w:szCs w:val="21"/>
            </w:rPr>
            <w:fldChar w:fldCharType="end"/>
          </w:r>
          <w:r>
            <w:rPr>
              <w:sz w:val="21"/>
              <w:szCs w:val="21"/>
              <w:highlight w:val="none"/>
            </w:rPr>
            <w:fldChar w:fldCharType="end"/>
          </w:r>
        </w:p>
        <w:p w14:paraId="14576F1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_Toc32265 </w:instrText>
          </w:r>
          <w:r>
            <w:rPr>
              <w:sz w:val="21"/>
              <w:szCs w:val="21"/>
              <w:highlight w:val="none"/>
            </w:rPr>
            <w:fldChar w:fldCharType="separate"/>
          </w:r>
          <w:r>
            <w:rPr>
              <w:rFonts w:hint="default" w:ascii="Times New Roman" w:hAnsi="Times New Roman" w:cs="Times New Roman"/>
              <w:sz w:val="21"/>
              <w:szCs w:val="21"/>
              <w:highlight w:val="none"/>
              <w:lang w:val="en-US" w:eastAsia="zh-CN"/>
            </w:rPr>
            <w:t>4.3.4</w:t>
          </w:r>
          <w:r>
            <w:rPr>
              <w:rFonts w:hint="eastAsia"/>
              <w:sz w:val="21"/>
              <w:szCs w:val="21"/>
              <w:highlight w:val="none"/>
              <w:lang w:val="en-US" w:eastAsia="zh-CN"/>
            </w:rPr>
            <w:t>土壤环境质量现状评价</w:t>
          </w:r>
          <w:r>
            <w:rPr>
              <w:sz w:val="21"/>
              <w:szCs w:val="21"/>
            </w:rPr>
            <w:tab/>
          </w:r>
          <w:r>
            <w:rPr>
              <w:sz w:val="21"/>
              <w:szCs w:val="21"/>
            </w:rPr>
            <w:fldChar w:fldCharType="begin"/>
          </w:r>
          <w:r>
            <w:rPr>
              <w:sz w:val="21"/>
              <w:szCs w:val="21"/>
            </w:rPr>
            <w:instrText xml:space="preserve"> PAGEREF _Toc32265 \h </w:instrText>
          </w:r>
          <w:r>
            <w:rPr>
              <w:sz w:val="21"/>
              <w:szCs w:val="21"/>
            </w:rPr>
            <w:fldChar w:fldCharType="separate"/>
          </w:r>
          <w:r>
            <w:rPr>
              <w:sz w:val="21"/>
              <w:szCs w:val="21"/>
            </w:rPr>
            <w:t>124</w:t>
          </w:r>
          <w:r>
            <w:rPr>
              <w:sz w:val="21"/>
              <w:szCs w:val="21"/>
            </w:rPr>
            <w:fldChar w:fldCharType="end"/>
          </w:r>
          <w:r>
            <w:rPr>
              <w:sz w:val="21"/>
              <w:szCs w:val="21"/>
              <w:highlight w:val="none"/>
            </w:rPr>
            <w:fldChar w:fldCharType="end"/>
          </w:r>
        </w:p>
        <w:p w14:paraId="7F9FD9F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_Toc23619 </w:instrText>
          </w:r>
          <w:r>
            <w:rPr>
              <w:sz w:val="21"/>
              <w:szCs w:val="21"/>
              <w:highlight w:val="none"/>
            </w:rPr>
            <w:fldChar w:fldCharType="separate"/>
          </w:r>
          <w:r>
            <w:rPr>
              <w:rFonts w:hint="eastAsia"/>
              <w:sz w:val="21"/>
              <w:szCs w:val="21"/>
              <w:highlight w:val="none"/>
              <w:lang w:val="en-US" w:eastAsia="zh-CN"/>
            </w:rPr>
            <w:t>4.3.5生态环境</w:t>
          </w:r>
          <w:r>
            <w:rPr>
              <w:sz w:val="21"/>
              <w:szCs w:val="21"/>
            </w:rPr>
            <w:tab/>
          </w:r>
          <w:r>
            <w:rPr>
              <w:sz w:val="21"/>
              <w:szCs w:val="21"/>
            </w:rPr>
            <w:fldChar w:fldCharType="begin"/>
          </w:r>
          <w:r>
            <w:rPr>
              <w:sz w:val="21"/>
              <w:szCs w:val="21"/>
            </w:rPr>
            <w:instrText xml:space="preserve"> PAGEREF _Toc23619 \h </w:instrText>
          </w:r>
          <w:r>
            <w:rPr>
              <w:sz w:val="21"/>
              <w:szCs w:val="21"/>
            </w:rPr>
            <w:fldChar w:fldCharType="separate"/>
          </w:r>
          <w:r>
            <w:rPr>
              <w:sz w:val="21"/>
              <w:szCs w:val="21"/>
            </w:rPr>
            <w:t>129</w:t>
          </w:r>
          <w:r>
            <w:rPr>
              <w:sz w:val="21"/>
              <w:szCs w:val="21"/>
            </w:rPr>
            <w:fldChar w:fldCharType="end"/>
          </w:r>
          <w:r>
            <w:rPr>
              <w:sz w:val="21"/>
              <w:szCs w:val="21"/>
              <w:highlight w:val="none"/>
            </w:rPr>
            <w:fldChar w:fldCharType="end"/>
          </w:r>
        </w:p>
        <w:p w14:paraId="4C903A60">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_Toc23092 </w:instrText>
          </w:r>
          <w:r>
            <w:rPr>
              <w:sz w:val="21"/>
              <w:szCs w:val="21"/>
              <w:highlight w:val="none"/>
            </w:rPr>
            <w:fldChar w:fldCharType="separate"/>
          </w:r>
          <w:r>
            <w:rPr>
              <w:rFonts w:hint="default" w:ascii="Times New Roman" w:hAnsi="Times New Roman" w:cs="Times New Roman"/>
              <w:sz w:val="21"/>
              <w:szCs w:val="21"/>
              <w:highlight w:val="none"/>
              <w:lang w:val="en-US" w:eastAsia="zh-CN"/>
            </w:rPr>
            <w:t>4.4</w:t>
          </w:r>
          <w:r>
            <w:rPr>
              <w:rFonts w:hint="eastAsia"/>
              <w:sz w:val="21"/>
              <w:szCs w:val="21"/>
              <w:highlight w:val="none"/>
              <w:lang w:val="en-US" w:eastAsia="zh-CN"/>
            </w:rPr>
            <w:t>区域污染源调查</w:t>
          </w:r>
          <w:r>
            <w:rPr>
              <w:sz w:val="21"/>
              <w:szCs w:val="21"/>
            </w:rPr>
            <w:tab/>
          </w:r>
          <w:r>
            <w:rPr>
              <w:sz w:val="21"/>
              <w:szCs w:val="21"/>
            </w:rPr>
            <w:fldChar w:fldCharType="begin"/>
          </w:r>
          <w:r>
            <w:rPr>
              <w:sz w:val="21"/>
              <w:szCs w:val="21"/>
            </w:rPr>
            <w:instrText xml:space="preserve"> PAGEREF _Toc23092 \h </w:instrText>
          </w:r>
          <w:r>
            <w:rPr>
              <w:sz w:val="21"/>
              <w:szCs w:val="21"/>
            </w:rPr>
            <w:fldChar w:fldCharType="separate"/>
          </w:r>
          <w:r>
            <w:rPr>
              <w:sz w:val="21"/>
              <w:szCs w:val="21"/>
            </w:rPr>
            <w:t>129</w:t>
          </w:r>
          <w:r>
            <w:rPr>
              <w:sz w:val="21"/>
              <w:szCs w:val="21"/>
            </w:rPr>
            <w:fldChar w:fldCharType="end"/>
          </w:r>
          <w:r>
            <w:rPr>
              <w:sz w:val="21"/>
              <w:szCs w:val="21"/>
              <w:highlight w:val="none"/>
            </w:rPr>
            <w:fldChar w:fldCharType="end"/>
          </w:r>
        </w:p>
        <w:p w14:paraId="66BC7108">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_Toc29812 </w:instrText>
          </w:r>
          <w:r>
            <w:rPr>
              <w:sz w:val="21"/>
              <w:szCs w:val="21"/>
              <w:highlight w:val="none"/>
            </w:rPr>
            <w:fldChar w:fldCharType="separate"/>
          </w:r>
          <w:r>
            <w:rPr>
              <w:rFonts w:hint="eastAsia"/>
              <w:sz w:val="21"/>
              <w:szCs w:val="21"/>
              <w:highlight w:val="none"/>
              <w:lang w:val="en-US" w:eastAsia="zh-CN"/>
            </w:rPr>
            <w:t>5环境影响预测与评价</w:t>
          </w:r>
          <w:r>
            <w:rPr>
              <w:sz w:val="21"/>
              <w:szCs w:val="21"/>
            </w:rPr>
            <w:tab/>
          </w:r>
          <w:r>
            <w:rPr>
              <w:sz w:val="21"/>
              <w:szCs w:val="21"/>
            </w:rPr>
            <w:fldChar w:fldCharType="begin"/>
          </w:r>
          <w:r>
            <w:rPr>
              <w:sz w:val="21"/>
              <w:szCs w:val="21"/>
            </w:rPr>
            <w:instrText xml:space="preserve"> PAGEREF _Toc29812 \h </w:instrText>
          </w:r>
          <w:r>
            <w:rPr>
              <w:sz w:val="21"/>
              <w:szCs w:val="21"/>
            </w:rPr>
            <w:fldChar w:fldCharType="separate"/>
          </w:r>
          <w:r>
            <w:rPr>
              <w:sz w:val="21"/>
              <w:szCs w:val="21"/>
            </w:rPr>
            <w:t>131</w:t>
          </w:r>
          <w:r>
            <w:rPr>
              <w:sz w:val="21"/>
              <w:szCs w:val="21"/>
            </w:rPr>
            <w:fldChar w:fldCharType="end"/>
          </w:r>
          <w:r>
            <w:rPr>
              <w:sz w:val="21"/>
              <w:szCs w:val="21"/>
              <w:highlight w:val="none"/>
            </w:rPr>
            <w:fldChar w:fldCharType="end"/>
          </w:r>
        </w:p>
        <w:p w14:paraId="04510811">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_Toc4010 </w:instrText>
          </w:r>
          <w:r>
            <w:rPr>
              <w:sz w:val="21"/>
              <w:szCs w:val="21"/>
              <w:highlight w:val="none"/>
            </w:rPr>
            <w:fldChar w:fldCharType="separate"/>
          </w:r>
          <w:r>
            <w:rPr>
              <w:rFonts w:hint="default" w:ascii="Times New Roman" w:hAnsi="Times New Roman" w:cs="Times New Roman"/>
              <w:sz w:val="21"/>
              <w:szCs w:val="21"/>
              <w:highlight w:val="none"/>
              <w:lang w:val="en-US" w:eastAsia="zh-CN"/>
            </w:rPr>
            <w:t>5.1</w:t>
          </w:r>
          <w:r>
            <w:rPr>
              <w:rFonts w:hint="eastAsia"/>
              <w:sz w:val="21"/>
              <w:szCs w:val="21"/>
              <w:highlight w:val="none"/>
              <w:lang w:val="en-US" w:eastAsia="zh-CN"/>
            </w:rPr>
            <w:t>施工期环境影响分析</w:t>
          </w:r>
          <w:r>
            <w:rPr>
              <w:sz w:val="21"/>
              <w:szCs w:val="21"/>
            </w:rPr>
            <w:tab/>
          </w:r>
          <w:r>
            <w:rPr>
              <w:sz w:val="21"/>
              <w:szCs w:val="21"/>
            </w:rPr>
            <w:fldChar w:fldCharType="begin"/>
          </w:r>
          <w:r>
            <w:rPr>
              <w:sz w:val="21"/>
              <w:szCs w:val="21"/>
            </w:rPr>
            <w:instrText xml:space="preserve"> PAGEREF _Toc4010 \h </w:instrText>
          </w:r>
          <w:r>
            <w:rPr>
              <w:sz w:val="21"/>
              <w:szCs w:val="21"/>
            </w:rPr>
            <w:fldChar w:fldCharType="separate"/>
          </w:r>
          <w:r>
            <w:rPr>
              <w:sz w:val="21"/>
              <w:szCs w:val="21"/>
            </w:rPr>
            <w:t>131</w:t>
          </w:r>
          <w:r>
            <w:rPr>
              <w:sz w:val="21"/>
              <w:szCs w:val="21"/>
            </w:rPr>
            <w:fldChar w:fldCharType="end"/>
          </w:r>
          <w:r>
            <w:rPr>
              <w:sz w:val="21"/>
              <w:szCs w:val="21"/>
              <w:highlight w:val="none"/>
            </w:rPr>
            <w:fldChar w:fldCharType="end"/>
          </w:r>
        </w:p>
        <w:p w14:paraId="43B1884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_Toc19865 </w:instrText>
          </w:r>
          <w:r>
            <w:rPr>
              <w:sz w:val="21"/>
              <w:szCs w:val="21"/>
              <w:highlight w:val="none"/>
            </w:rPr>
            <w:fldChar w:fldCharType="separate"/>
          </w:r>
          <w:r>
            <w:rPr>
              <w:rFonts w:hint="default" w:ascii="Times New Roman" w:hAnsi="Times New Roman" w:cs="Times New Roman"/>
              <w:sz w:val="21"/>
              <w:szCs w:val="21"/>
              <w:highlight w:val="none"/>
              <w:lang w:val="en-US" w:eastAsia="zh-CN"/>
            </w:rPr>
            <w:t>5.1.1</w:t>
          </w:r>
          <w:r>
            <w:rPr>
              <w:rFonts w:hint="eastAsia" w:ascii="Times New Roman" w:hAnsi="Times New Roman" w:cs="Times New Roman"/>
              <w:sz w:val="21"/>
              <w:szCs w:val="21"/>
              <w:highlight w:val="none"/>
              <w:lang w:val="en-US" w:eastAsia="zh-CN"/>
            </w:rPr>
            <w:t>水环境影响分析</w:t>
          </w:r>
          <w:r>
            <w:rPr>
              <w:sz w:val="21"/>
              <w:szCs w:val="21"/>
            </w:rPr>
            <w:tab/>
          </w:r>
          <w:r>
            <w:rPr>
              <w:sz w:val="21"/>
              <w:szCs w:val="21"/>
            </w:rPr>
            <w:fldChar w:fldCharType="begin"/>
          </w:r>
          <w:r>
            <w:rPr>
              <w:sz w:val="21"/>
              <w:szCs w:val="21"/>
            </w:rPr>
            <w:instrText xml:space="preserve"> PAGEREF _Toc19865 \h </w:instrText>
          </w:r>
          <w:r>
            <w:rPr>
              <w:sz w:val="21"/>
              <w:szCs w:val="21"/>
            </w:rPr>
            <w:fldChar w:fldCharType="separate"/>
          </w:r>
          <w:r>
            <w:rPr>
              <w:sz w:val="21"/>
              <w:szCs w:val="21"/>
            </w:rPr>
            <w:t>131</w:t>
          </w:r>
          <w:r>
            <w:rPr>
              <w:sz w:val="21"/>
              <w:szCs w:val="21"/>
            </w:rPr>
            <w:fldChar w:fldCharType="end"/>
          </w:r>
          <w:r>
            <w:rPr>
              <w:sz w:val="21"/>
              <w:szCs w:val="21"/>
              <w:highlight w:val="none"/>
            </w:rPr>
            <w:fldChar w:fldCharType="end"/>
          </w:r>
        </w:p>
        <w:p w14:paraId="0B92453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_Toc15559 </w:instrText>
          </w:r>
          <w:r>
            <w:rPr>
              <w:sz w:val="21"/>
              <w:szCs w:val="21"/>
              <w:highlight w:val="none"/>
            </w:rPr>
            <w:fldChar w:fldCharType="separate"/>
          </w:r>
          <w:r>
            <w:rPr>
              <w:rFonts w:hint="default" w:ascii="Times New Roman" w:hAnsi="Times New Roman" w:cs="Times New Roman"/>
              <w:sz w:val="21"/>
              <w:szCs w:val="21"/>
              <w:highlight w:val="none"/>
              <w:lang w:val="en-US" w:eastAsia="zh-CN"/>
            </w:rPr>
            <w:t>5.1.2</w:t>
          </w:r>
          <w:r>
            <w:rPr>
              <w:rFonts w:hint="eastAsia"/>
              <w:sz w:val="21"/>
              <w:szCs w:val="21"/>
              <w:highlight w:val="none"/>
              <w:lang w:val="en-US" w:eastAsia="zh-CN"/>
            </w:rPr>
            <w:t>环境空气影响分析</w:t>
          </w:r>
          <w:r>
            <w:rPr>
              <w:sz w:val="21"/>
              <w:szCs w:val="21"/>
            </w:rPr>
            <w:tab/>
          </w:r>
          <w:r>
            <w:rPr>
              <w:sz w:val="21"/>
              <w:szCs w:val="21"/>
            </w:rPr>
            <w:fldChar w:fldCharType="begin"/>
          </w:r>
          <w:r>
            <w:rPr>
              <w:sz w:val="21"/>
              <w:szCs w:val="21"/>
            </w:rPr>
            <w:instrText xml:space="preserve"> PAGEREF _Toc15559 \h </w:instrText>
          </w:r>
          <w:r>
            <w:rPr>
              <w:sz w:val="21"/>
              <w:szCs w:val="21"/>
            </w:rPr>
            <w:fldChar w:fldCharType="separate"/>
          </w:r>
          <w:r>
            <w:rPr>
              <w:sz w:val="21"/>
              <w:szCs w:val="21"/>
            </w:rPr>
            <w:t>131</w:t>
          </w:r>
          <w:r>
            <w:rPr>
              <w:sz w:val="21"/>
              <w:szCs w:val="21"/>
            </w:rPr>
            <w:fldChar w:fldCharType="end"/>
          </w:r>
          <w:r>
            <w:rPr>
              <w:sz w:val="21"/>
              <w:szCs w:val="21"/>
              <w:highlight w:val="none"/>
            </w:rPr>
            <w:fldChar w:fldCharType="end"/>
          </w:r>
        </w:p>
        <w:p w14:paraId="0DAA8F2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_Toc11585 </w:instrText>
          </w:r>
          <w:r>
            <w:rPr>
              <w:sz w:val="21"/>
              <w:szCs w:val="21"/>
              <w:highlight w:val="none"/>
            </w:rPr>
            <w:fldChar w:fldCharType="separate"/>
          </w:r>
          <w:r>
            <w:rPr>
              <w:rFonts w:hint="default" w:ascii="Times New Roman" w:hAnsi="Times New Roman" w:cs="Times New Roman"/>
              <w:sz w:val="21"/>
              <w:szCs w:val="21"/>
              <w:highlight w:val="none"/>
              <w:lang w:val="en-US" w:eastAsia="zh-CN"/>
            </w:rPr>
            <w:t>5.1.3</w:t>
          </w:r>
          <w:r>
            <w:rPr>
              <w:rFonts w:hint="eastAsia"/>
              <w:sz w:val="21"/>
              <w:szCs w:val="21"/>
              <w:highlight w:val="none"/>
              <w:lang w:val="en-US" w:eastAsia="zh-CN"/>
            </w:rPr>
            <w:t>噪声影响分析</w:t>
          </w:r>
          <w:r>
            <w:rPr>
              <w:sz w:val="21"/>
              <w:szCs w:val="21"/>
            </w:rPr>
            <w:tab/>
          </w:r>
          <w:r>
            <w:rPr>
              <w:sz w:val="21"/>
              <w:szCs w:val="21"/>
            </w:rPr>
            <w:fldChar w:fldCharType="begin"/>
          </w:r>
          <w:r>
            <w:rPr>
              <w:sz w:val="21"/>
              <w:szCs w:val="21"/>
            </w:rPr>
            <w:instrText xml:space="preserve"> PAGEREF _Toc11585 \h </w:instrText>
          </w:r>
          <w:r>
            <w:rPr>
              <w:sz w:val="21"/>
              <w:szCs w:val="21"/>
            </w:rPr>
            <w:fldChar w:fldCharType="separate"/>
          </w:r>
          <w:r>
            <w:rPr>
              <w:sz w:val="21"/>
              <w:szCs w:val="21"/>
            </w:rPr>
            <w:t>132</w:t>
          </w:r>
          <w:r>
            <w:rPr>
              <w:sz w:val="21"/>
              <w:szCs w:val="21"/>
            </w:rPr>
            <w:fldChar w:fldCharType="end"/>
          </w:r>
          <w:r>
            <w:rPr>
              <w:sz w:val="21"/>
              <w:szCs w:val="21"/>
              <w:highlight w:val="none"/>
            </w:rPr>
            <w:fldChar w:fldCharType="end"/>
          </w:r>
        </w:p>
        <w:p w14:paraId="08F8295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_Toc14071 </w:instrText>
          </w:r>
          <w:r>
            <w:rPr>
              <w:sz w:val="21"/>
              <w:szCs w:val="21"/>
              <w:highlight w:val="none"/>
            </w:rPr>
            <w:fldChar w:fldCharType="separate"/>
          </w:r>
          <w:r>
            <w:rPr>
              <w:rFonts w:hint="default" w:ascii="Times New Roman" w:hAnsi="Times New Roman" w:cs="Times New Roman"/>
              <w:sz w:val="21"/>
              <w:szCs w:val="21"/>
              <w:highlight w:val="none"/>
              <w:lang w:val="en-US" w:eastAsia="zh-CN"/>
            </w:rPr>
            <w:t>5.1.4</w:t>
          </w:r>
          <w:r>
            <w:rPr>
              <w:rFonts w:hint="eastAsia"/>
              <w:sz w:val="21"/>
              <w:szCs w:val="21"/>
              <w:highlight w:val="none"/>
              <w:lang w:val="en-US" w:eastAsia="zh-CN"/>
            </w:rPr>
            <w:t>固体废物影响分析</w:t>
          </w:r>
          <w:r>
            <w:rPr>
              <w:sz w:val="21"/>
              <w:szCs w:val="21"/>
            </w:rPr>
            <w:tab/>
          </w:r>
          <w:r>
            <w:rPr>
              <w:sz w:val="21"/>
              <w:szCs w:val="21"/>
            </w:rPr>
            <w:fldChar w:fldCharType="begin"/>
          </w:r>
          <w:r>
            <w:rPr>
              <w:sz w:val="21"/>
              <w:szCs w:val="21"/>
            </w:rPr>
            <w:instrText xml:space="preserve"> PAGEREF _Toc14071 \h </w:instrText>
          </w:r>
          <w:r>
            <w:rPr>
              <w:sz w:val="21"/>
              <w:szCs w:val="21"/>
            </w:rPr>
            <w:fldChar w:fldCharType="separate"/>
          </w:r>
          <w:r>
            <w:rPr>
              <w:sz w:val="21"/>
              <w:szCs w:val="21"/>
            </w:rPr>
            <w:t>133</w:t>
          </w:r>
          <w:r>
            <w:rPr>
              <w:sz w:val="21"/>
              <w:szCs w:val="21"/>
            </w:rPr>
            <w:fldChar w:fldCharType="end"/>
          </w:r>
          <w:r>
            <w:rPr>
              <w:sz w:val="21"/>
              <w:szCs w:val="21"/>
              <w:highlight w:val="none"/>
            </w:rPr>
            <w:fldChar w:fldCharType="end"/>
          </w:r>
        </w:p>
        <w:p w14:paraId="3A94E44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_Toc2261 </w:instrText>
          </w:r>
          <w:r>
            <w:rPr>
              <w:sz w:val="21"/>
              <w:szCs w:val="21"/>
              <w:highlight w:val="none"/>
            </w:rPr>
            <w:fldChar w:fldCharType="separate"/>
          </w:r>
          <w:r>
            <w:rPr>
              <w:rFonts w:hint="default" w:ascii="Times New Roman" w:hAnsi="Times New Roman" w:cs="Times New Roman"/>
              <w:sz w:val="21"/>
              <w:szCs w:val="21"/>
              <w:highlight w:val="none"/>
              <w:lang w:val="en-US" w:eastAsia="zh-CN"/>
            </w:rPr>
            <w:t>5.1.5</w:t>
          </w:r>
          <w:r>
            <w:rPr>
              <w:rFonts w:hint="eastAsia"/>
              <w:sz w:val="21"/>
              <w:szCs w:val="21"/>
              <w:highlight w:val="none"/>
              <w:lang w:val="en-US" w:eastAsia="zh-CN"/>
            </w:rPr>
            <w:t>生态环境影响分析</w:t>
          </w:r>
          <w:r>
            <w:rPr>
              <w:sz w:val="21"/>
              <w:szCs w:val="21"/>
            </w:rPr>
            <w:tab/>
          </w:r>
          <w:r>
            <w:rPr>
              <w:sz w:val="21"/>
              <w:szCs w:val="21"/>
            </w:rPr>
            <w:fldChar w:fldCharType="begin"/>
          </w:r>
          <w:r>
            <w:rPr>
              <w:sz w:val="21"/>
              <w:szCs w:val="21"/>
            </w:rPr>
            <w:instrText xml:space="preserve"> PAGEREF _Toc2261 \h </w:instrText>
          </w:r>
          <w:r>
            <w:rPr>
              <w:sz w:val="21"/>
              <w:szCs w:val="21"/>
            </w:rPr>
            <w:fldChar w:fldCharType="separate"/>
          </w:r>
          <w:r>
            <w:rPr>
              <w:sz w:val="21"/>
              <w:szCs w:val="21"/>
            </w:rPr>
            <w:t>133</w:t>
          </w:r>
          <w:r>
            <w:rPr>
              <w:sz w:val="21"/>
              <w:szCs w:val="21"/>
            </w:rPr>
            <w:fldChar w:fldCharType="end"/>
          </w:r>
          <w:r>
            <w:rPr>
              <w:sz w:val="21"/>
              <w:szCs w:val="21"/>
              <w:highlight w:val="none"/>
            </w:rPr>
            <w:fldChar w:fldCharType="end"/>
          </w:r>
        </w:p>
        <w:p w14:paraId="4207D8FA">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_Toc1260 </w:instrText>
          </w:r>
          <w:r>
            <w:rPr>
              <w:sz w:val="21"/>
              <w:szCs w:val="21"/>
              <w:highlight w:val="none"/>
            </w:rPr>
            <w:fldChar w:fldCharType="separate"/>
          </w:r>
          <w:r>
            <w:rPr>
              <w:rFonts w:hint="default" w:ascii="Times New Roman" w:hAnsi="Times New Roman" w:cs="Times New Roman"/>
              <w:sz w:val="21"/>
              <w:szCs w:val="21"/>
              <w:highlight w:val="none"/>
              <w:lang w:val="en-US" w:eastAsia="zh-CN"/>
            </w:rPr>
            <w:t>5.2</w:t>
          </w:r>
          <w:r>
            <w:rPr>
              <w:rFonts w:hint="eastAsia"/>
              <w:sz w:val="21"/>
              <w:szCs w:val="21"/>
              <w:highlight w:val="none"/>
              <w:lang w:val="en-US" w:eastAsia="zh-CN"/>
            </w:rPr>
            <w:t>运营期环境空气影响预测与评价</w:t>
          </w:r>
          <w:r>
            <w:rPr>
              <w:sz w:val="21"/>
              <w:szCs w:val="21"/>
            </w:rPr>
            <w:tab/>
          </w:r>
          <w:r>
            <w:rPr>
              <w:sz w:val="21"/>
              <w:szCs w:val="21"/>
            </w:rPr>
            <w:fldChar w:fldCharType="begin"/>
          </w:r>
          <w:r>
            <w:rPr>
              <w:sz w:val="21"/>
              <w:szCs w:val="21"/>
            </w:rPr>
            <w:instrText xml:space="preserve"> PAGEREF _Toc1260 \h </w:instrText>
          </w:r>
          <w:r>
            <w:rPr>
              <w:sz w:val="21"/>
              <w:szCs w:val="21"/>
            </w:rPr>
            <w:fldChar w:fldCharType="separate"/>
          </w:r>
          <w:r>
            <w:rPr>
              <w:sz w:val="21"/>
              <w:szCs w:val="21"/>
            </w:rPr>
            <w:t>134</w:t>
          </w:r>
          <w:r>
            <w:rPr>
              <w:sz w:val="21"/>
              <w:szCs w:val="21"/>
            </w:rPr>
            <w:fldChar w:fldCharType="end"/>
          </w:r>
          <w:r>
            <w:rPr>
              <w:sz w:val="21"/>
              <w:szCs w:val="21"/>
              <w:highlight w:val="none"/>
            </w:rPr>
            <w:fldChar w:fldCharType="end"/>
          </w:r>
        </w:p>
        <w:p w14:paraId="3F48AAE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_Toc16263 </w:instrText>
          </w:r>
          <w:r>
            <w:rPr>
              <w:sz w:val="21"/>
              <w:szCs w:val="21"/>
              <w:highlight w:val="none"/>
            </w:rPr>
            <w:fldChar w:fldCharType="separate"/>
          </w:r>
          <w:r>
            <w:rPr>
              <w:rFonts w:hint="default" w:ascii="Times New Roman" w:hAnsi="Times New Roman" w:eastAsia="宋体" w:cs="Times New Roman"/>
              <w:sz w:val="21"/>
              <w:szCs w:val="21"/>
              <w:highlight w:val="none"/>
              <w:lang w:val="en-US" w:eastAsia="zh-CN"/>
            </w:rPr>
            <w:t>5.2.1</w:t>
          </w:r>
          <w:r>
            <w:rPr>
              <w:rFonts w:hint="eastAsia"/>
              <w:sz w:val="21"/>
              <w:szCs w:val="21"/>
              <w:highlight w:val="none"/>
              <w:lang w:val="en-US" w:eastAsia="zh-CN"/>
            </w:rPr>
            <w:t>预测气象</w:t>
          </w:r>
          <w:r>
            <w:rPr>
              <w:sz w:val="21"/>
              <w:szCs w:val="21"/>
            </w:rPr>
            <w:tab/>
          </w:r>
          <w:r>
            <w:rPr>
              <w:sz w:val="21"/>
              <w:szCs w:val="21"/>
            </w:rPr>
            <w:fldChar w:fldCharType="begin"/>
          </w:r>
          <w:r>
            <w:rPr>
              <w:sz w:val="21"/>
              <w:szCs w:val="21"/>
            </w:rPr>
            <w:instrText xml:space="preserve"> PAGEREF _Toc16263 \h </w:instrText>
          </w:r>
          <w:r>
            <w:rPr>
              <w:sz w:val="21"/>
              <w:szCs w:val="21"/>
            </w:rPr>
            <w:fldChar w:fldCharType="separate"/>
          </w:r>
          <w:r>
            <w:rPr>
              <w:sz w:val="21"/>
              <w:szCs w:val="21"/>
            </w:rPr>
            <w:t>134</w:t>
          </w:r>
          <w:r>
            <w:rPr>
              <w:sz w:val="21"/>
              <w:szCs w:val="21"/>
            </w:rPr>
            <w:fldChar w:fldCharType="end"/>
          </w:r>
          <w:r>
            <w:rPr>
              <w:sz w:val="21"/>
              <w:szCs w:val="21"/>
              <w:highlight w:val="none"/>
            </w:rPr>
            <w:fldChar w:fldCharType="end"/>
          </w:r>
        </w:p>
        <w:p w14:paraId="5C1140E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_Toc14151 </w:instrText>
          </w:r>
          <w:r>
            <w:rPr>
              <w:sz w:val="21"/>
              <w:szCs w:val="21"/>
              <w:highlight w:val="none"/>
            </w:rPr>
            <w:fldChar w:fldCharType="separate"/>
          </w:r>
          <w:r>
            <w:rPr>
              <w:rFonts w:hint="default" w:ascii="Times New Roman" w:hAnsi="Times New Roman" w:cs="Times New Roman"/>
              <w:sz w:val="21"/>
              <w:szCs w:val="21"/>
              <w:highlight w:val="none"/>
              <w:lang w:val="en-US" w:eastAsia="zh-CN"/>
            </w:rPr>
            <w:t>5.2.2</w:t>
          </w:r>
          <w:r>
            <w:rPr>
              <w:rFonts w:hint="eastAsia"/>
              <w:sz w:val="21"/>
              <w:szCs w:val="21"/>
              <w:highlight w:val="none"/>
              <w:lang w:val="en-US" w:eastAsia="zh-CN"/>
            </w:rPr>
            <w:t>大气环境影响预测和评价</w:t>
          </w:r>
          <w:r>
            <w:rPr>
              <w:sz w:val="21"/>
              <w:szCs w:val="21"/>
            </w:rPr>
            <w:tab/>
          </w:r>
          <w:r>
            <w:rPr>
              <w:sz w:val="21"/>
              <w:szCs w:val="21"/>
            </w:rPr>
            <w:fldChar w:fldCharType="begin"/>
          </w:r>
          <w:r>
            <w:rPr>
              <w:sz w:val="21"/>
              <w:szCs w:val="21"/>
            </w:rPr>
            <w:instrText xml:space="preserve"> PAGEREF _Toc14151 \h </w:instrText>
          </w:r>
          <w:r>
            <w:rPr>
              <w:sz w:val="21"/>
              <w:szCs w:val="21"/>
            </w:rPr>
            <w:fldChar w:fldCharType="separate"/>
          </w:r>
          <w:r>
            <w:rPr>
              <w:sz w:val="21"/>
              <w:szCs w:val="21"/>
            </w:rPr>
            <w:t>137</w:t>
          </w:r>
          <w:r>
            <w:rPr>
              <w:sz w:val="21"/>
              <w:szCs w:val="21"/>
            </w:rPr>
            <w:fldChar w:fldCharType="end"/>
          </w:r>
          <w:r>
            <w:rPr>
              <w:sz w:val="21"/>
              <w:szCs w:val="21"/>
              <w:highlight w:val="none"/>
            </w:rPr>
            <w:fldChar w:fldCharType="end"/>
          </w:r>
        </w:p>
        <w:p w14:paraId="3305926F">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_Toc31935 </w:instrText>
          </w:r>
          <w:r>
            <w:rPr>
              <w:sz w:val="21"/>
              <w:szCs w:val="21"/>
              <w:highlight w:val="none"/>
            </w:rPr>
            <w:fldChar w:fldCharType="separate"/>
          </w:r>
          <w:r>
            <w:rPr>
              <w:rFonts w:hint="default" w:ascii="Times New Roman" w:hAnsi="Times New Roman" w:cs="Times New Roman"/>
              <w:sz w:val="21"/>
              <w:szCs w:val="21"/>
              <w:highlight w:val="none"/>
              <w:lang w:val="en-US" w:eastAsia="zh-CN"/>
            </w:rPr>
            <w:t>5.3</w:t>
          </w:r>
          <w:r>
            <w:rPr>
              <w:rFonts w:hint="eastAsia"/>
              <w:sz w:val="21"/>
              <w:szCs w:val="21"/>
              <w:highlight w:val="none"/>
              <w:lang w:val="en-US" w:eastAsia="zh-CN"/>
            </w:rPr>
            <w:t>地表水环境影响分析</w:t>
          </w:r>
          <w:r>
            <w:rPr>
              <w:sz w:val="21"/>
              <w:szCs w:val="21"/>
            </w:rPr>
            <w:tab/>
          </w:r>
          <w:r>
            <w:rPr>
              <w:sz w:val="21"/>
              <w:szCs w:val="21"/>
            </w:rPr>
            <w:fldChar w:fldCharType="begin"/>
          </w:r>
          <w:r>
            <w:rPr>
              <w:sz w:val="21"/>
              <w:szCs w:val="21"/>
            </w:rPr>
            <w:instrText xml:space="preserve"> PAGEREF _Toc31935 \h </w:instrText>
          </w:r>
          <w:r>
            <w:rPr>
              <w:sz w:val="21"/>
              <w:szCs w:val="21"/>
            </w:rPr>
            <w:fldChar w:fldCharType="separate"/>
          </w:r>
          <w:r>
            <w:rPr>
              <w:sz w:val="21"/>
              <w:szCs w:val="21"/>
            </w:rPr>
            <w:t>184</w:t>
          </w:r>
          <w:r>
            <w:rPr>
              <w:sz w:val="21"/>
              <w:szCs w:val="21"/>
            </w:rPr>
            <w:fldChar w:fldCharType="end"/>
          </w:r>
          <w:r>
            <w:rPr>
              <w:sz w:val="21"/>
              <w:szCs w:val="21"/>
              <w:highlight w:val="none"/>
            </w:rPr>
            <w:fldChar w:fldCharType="end"/>
          </w:r>
        </w:p>
        <w:p w14:paraId="05214F6C">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_Toc31707 </w:instrText>
          </w:r>
          <w:r>
            <w:rPr>
              <w:sz w:val="21"/>
              <w:szCs w:val="21"/>
              <w:highlight w:val="none"/>
            </w:rPr>
            <w:fldChar w:fldCharType="separate"/>
          </w:r>
          <w:r>
            <w:rPr>
              <w:rFonts w:hint="default" w:ascii="Times New Roman" w:hAnsi="Times New Roman" w:cs="Times New Roman"/>
              <w:sz w:val="21"/>
              <w:szCs w:val="21"/>
              <w:highlight w:val="none"/>
              <w:lang w:val="en-US" w:eastAsia="zh-CN"/>
            </w:rPr>
            <w:t>5.4</w:t>
          </w:r>
          <w:r>
            <w:rPr>
              <w:rFonts w:hint="eastAsia"/>
              <w:sz w:val="21"/>
              <w:szCs w:val="21"/>
              <w:highlight w:val="none"/>
              <w:lang w:val="en-US" w:eastAsia="zh-CN"/>
            </w:rPr>
            <w:t>声环境影响预测与评价</w:t>
          </w:r>
          <w:r>
            <w:rPr>
              <w:sz w:val="21"/>
              <w:szCs w:val="21"/>
            </w:rPr>
            <w:tab/>
          </w:r>
          <w:r>
            <w:rPr>
              <w:sz w:val="21"/>
              <w:szCs w:val="21"/>
            </w:rPr>
            <w:fldChar w:fldCharType="begin"/>
          </w:r>
          <w:r>
            <w:rPr>
              <w:sz w:val="21"/>
              <w:szCs w:val="21"/>
            </w:rPr>
            <w:instrText xml:space="preserve"> PAGEREF _Toc31707 \h </w:instrText>
          </w:r>
          <w:r>
            <w:rPr>
              <w:sz w:val="21"/>
              <w:szCs w:val="21"/>
            </w:rPr>
            <w:fldChar w:fldCharType="separate"/>
          </w:r>
          <w:r>
            <w:rPr>
              <w:sz w:val="21"/>
              <w:szCs w:val="21"/>
            </w:rPr>
            <w:t>185</w:t>
          </w:r>
          <w:r>
            <w:rPr>
              <w:sz w:val="21"/>
              <w:szCs w:val="21"/>
            </w:rPr>
            <w:fldChar w:fldCharType="end"/>
          </w:r>
          <w:r>
            <w:rPr>
              <w:sz w:val="21"/>
              <w:szCs w:val="21"/>
              <w:highlight w:val="none"/>
            </w:rPr>
            <w:fldChar w:fldCharType="end"/>
          </w:r>
        </w:p>
        <w:p w14:paraId="6357989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_Toc20206 </w:instrText>
          </w:r>
          <w:r>
            <w:rPr>
              <w:sz w:val="21"/>
              <w:szCs w:val="21"/>
              <w:highlight w:val="none"/>
            </w:rPr>
            <w:fldChar w:fldCharType="separate"/>
          </w:r>
          <w:r>
            <w:rPr>
              <w:rFonts w:hint="default" w:ascii="Times New Roman" w:hAnsi="Times New Roman" w:cs="Times New Roman"/>
              <w:sz w:val="21"/>
              <w:szCs w:val="21"/>
              <w:highlight w:val="none"/>
              <w:lang w:val="en-US" w:eastAsia="zh-CN"/>
            </w:rPr>
            <w:t>5.4.1</w:t>
          </w:r>
          <w:r>
            <w:rPr>
              <w:rFonts w:hint="eastAsia"/>
              <w:sz w:val="21"/>
              <w:szCs w:val="21"/>
              <w:highlight w:val="none"/>
              <w:lang w:val="en-US" w:eastAsia="zh-CN"/>
            </w:rPr>
            <w:t>预测因子</w:t>
          </w:r>
          <w:r>
            <w:rPr>
              <w:sz w:val="21"/>
              <w:szCs w:val="21"/>
            </w:rPr>
            <w:tab/>
          </w:r>
          <w:r>
            <w:rPr>
              <w:sz w:val="21"/>
              <w:szCs w:val="21"/>
            </w:rPr>
            <w:fldChar w:fldCharType="begin"/>
          </w:r>
          <w:r>
            <w:rPr>
              <w:sz w:val="21"/>
              <w:szCs w:val="21"/>
            </w:rPr>
            <w:instrText xml:space="preserve"> PAGEREF _Toc20206 \h </w:instrText>
          </w:r>
          <w:r>
            <w:rPr>
              <w:sz w:val="21"/>
              <w:szCs w:val="21"/>
            </w:rPr>
            <w:fldChar w:fldCharType="separate"/>
          </w:r>
          <w:r>
            <w:rPr>
              <w:sz w:val="21"/>
              <w:szCs w:val="21"/>
            </w:rPr>
            <w:t>185</w:t>
          </w:r>
          <w:r>
            <w:rPr>
              <w:sz w:val="21"/>
              <w:szCs w:val="21"/>
            </w:rPr>
            <w:fldChar w:fldCharType="end"/>
          </w:r>
          <w:r>
            <w:rPr>
              <w:sz w:val="21"/>
              <w:szCs w:val="21"/>
              <w:highlight w:val="none"/>
            </w:rPr>
            <w:fldChar w:fldCharType="end"/>
          </w:r>
        </w:p>
        <w:p w14:paraId="58B0318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_Toc26544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5.4.2预测范围</w:t>
          </w:r>
          <w:r>
            <w:rPr>
              <w:sz w:val="21"/>
              <w:szCs w:val="21"/>
            </w:rPr>
            <w:tab/>
          </w:r>
          <w:r>
            <w:rPr>
              <w:sz w:val="21"/>
              <w:szCs w:val="21"/>
            </w:rPr>
            <w:fldChar w:fldCharType="begin"/>
          </w:r>
          <w:r>
            <w:rPr>
              <w:sz w:val="21"/>
              <w:szCs w:val="21"/>
            </w:rPr>
            <w:instrText xml:space="preserve"> PAGEREF _Toc26544 \h </w:instrText>
          </w:r>
          <w:r>
            <w:rPr>
              <w:sz w:val="21"/>
              <w:szCs w:val="21"/>
            </w:rPr>
            <w:fldChar w:fldCharType="separate"/>
          </w:r>
          <w:r>
            <w:rPr>
              <w:sz w:val="21"/>
              <w:szCs w:val="21"/>
            </w:rPr>
            <w:t>185</w:t>
          </w:r>
          <w:r>
            <w:rPr>
              <w:sz w:val="21"/>
              <w:szCs w:val="21"/>
            </w:rPr>
            <w:fldChar w:fldCharType="end"/>
          </w:r>
          <w:r>
            <w:rPr>
              <w:sz w:val="21"/>
              <w:szCs w:val="21"/>
              <w:highlight w:val="none"/>
            </w:rPr>
            <w:fldChar w:fldCharType="end"/>
          </w:r>
        </w:p>
        <w:p w14:paraId="5BFFEFA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_Toc7659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5.4.3噪声源资料</w:t>
          </w:r>
          <w:r>
            <w:rPr>
              <w:sz w:val="21"/>
              <w:szCs w:val="21"/>
            </w:rPr>
            <w:tab/>
          </w:r>
          <w:r>
            <w:rPr>
              <w:sz w:val="21"/>
              <w:szCs w:val="21"/>
            </w:rPr>
            <w:fldChar w:fldCharType="begin"/>
          </w:r>
          <w:r>
            <w:rPr>
              <w:sz w:val="21"/>
              <w:szCs w:val="21"/>
            </w:rPr>
            <w:instrText xml:space="preserve"> PAGEREF _Toc7659 \h </w:instrText>
          </w:r>
          <w:r>
            <w:rPr>
              <w:sz w:val="21"/>
              <w:szCs w:val="21"/>
            </w:rPr>
            <w:fldChar w:fldCharType="separate"/>
          </w:r>
          <w:r>
            <w:rPr>
              <w:sz w:val="21"/>
              <w:szCs w:val="21"/>
            </w:rPr>
            <w:t>185</w:t>
          </w:r>
          <w:r>
            <w:rPr>
              <w:sz w:val="21"/>
              <w:szCs w:val="21"/>
            </w:rPr>
            <w:fldChar w:fldCharType="end"/>
          </w:r>
          <w:r>
            <w:rPr>
              <w:sz w:val="21"/>
              <w:szCs w:val="21"/>
              <w:highlight w:val="none"/>
            </w:rPr>
            <w:fldChar w:fldCharType="end"/>
          </w:r>
        </w:p>
        <w:p w14:paraId="766E247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_Toc5739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5.4.4预测模式</w:t>
          </w:r>
          <w:r>
            <w:rPr>
              <w:sz w:val="21"/>
              <w:szCs w:val="21"/>
            </w:rPr>
            <w:tab/>
          </w:r>
          <w:r>
            <w:rPr>
              <w:sz w:val="21"/>
              <w:szCs w:val="21"/>
            </w:rPr>
            <w:fldChar w:fldCharType="begin"/>
          </w:r>
          <w:r>
            <w:rPr>
              <w:sz w:val="21"/>
              <w:szCs w:val="21"/>
            </w:rPr>
            <w:instrText xml:space="preserve"> PAGEREF _Toc5739 \h </w:instrText>
          </w:r>
          <w:r>
            <w:rPr>
              <w:sz w:val="21"/>
              <w:szCs w:val="21"/>
            </w:rPr>
            <w:fldChar w:fldCharType="separate"/>
          </w:r>
          <w:r>
            <w:rPr>
              <w:sz w:val="21"/>
              <w:szCs w:val="21"/>
            </w:rPr>
            <w:t>188</w:t>
          </w:r>
          <w:r>
            <w:rPr>
              <w:sz w:val="21"/>
              <w:szCs w:val="21"/>
            </w:rPr>
            <w:fldChar w:fldCharType="end"/>
          </w:r>
          <w:r>
            <w:rPr>
              <w:sz w:val="21"/>
              <w:szCs w:val="21"/>
              <w:highlight w:val="none"/>
            </w:rPr>
            <w:fldChar w:fldCharType="end"/>
          </w:r>
        </w:p>
        <w:p w14:paraId="0CCBB0F6">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_Toc17734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5.4.5预测</w:t>
          </w:r>
          <w:r>
            <w:rPr>
              <w:rFonts w:hint="eastAsia" w:ascii="Times New Roman" w:hAnsi="Times New Roman" w:cs="Times New Roman"/>
              <w:sz w:val="21"/>
              <w:szCs w:val="21"/>
              <w:highlight w:val="none"/>
              <w:lang w:val="en-US" w:eastAsia="zh-CN"/>
            </w:rPr>
            <w:t>结果及分析</w:t>
          </w:r>
          <w:r>
            <w:rPr>
              <w:sz w:val="21"/>
              <w:szCs w:val="21"/>
            </w:rPr>
            <w:tab/>
          </w:r>
          <w:r>
            <w:rPr>
              <w:sz w:val="21"/>
              <w:szCs w:val="21"/>
            </w:rPr>
            <w:fldChar w:fldCharType="begin"/>
          </w:r>
          <w:r>
            <w:rPr>
              <w:sz w:val="21"/>
              <w:szCs w:val="21"/>
            </w:rPr>
            <w:instrText xml:space="preserve"> PAGEREF _Toc17734 \h </w:instrText>
          </w:r>
          <w:r>
            <w:rPr>
              <w:sz w:val="21"/>
              <w:szCs w:val="21"/>
            </w:rPr>
            <w:fldChar w:fldCharType="separate"/>
          </w:r>
          <w:r>
            <w:rPr>
              <w:sz w:val="21"/>
              <w:szCs w:val="21"/>
            </w:rPr>
            <w:t>189</w:t>
          </w:r>
          <w:r>
            <w:rPr>
              <w:sz w:val="21"/>
              <w:szCs w:val="21"/>
            </w:rPr>
            <w:fldChar w:fldCharType="end"/>
          </w:r>
          <w:r>
            <w:rPr>
              <w:sz w:val="21"/>
              <w:szCs w:val="21"/>
              <w:highlight w:val="none"/>
            </w:rPr>
            <w:fldChar w:fldCharType="end"/>
          </w:r>
        </w:p>
        <w:p w14:paraId="4C1EE66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_Toc29140 </w:instrText>
          </w:r>
          <w:r>
            <w:rPr>
              <w:sz w:val="21"/>
              <w:szCs w:val="21"/>
              <w:highlight w:val="none"/>
            </w:rPr>
            <w:fldChar w:fldCharType="separate"/>
          </w:r>
          <w:r>
            <w:rPr>
              <w:rFonts w:hint="eastAsia" w:ascii="Times New Roman" w:hAnsi="Times New Roman" w:eastAsia="宋体" w:cs="Times New Roman"/>
              <w:sz w:val="21"/>
              <w:szCs w:val="21"/>
              <w:highlight w:val="none"/>
              <w:lang w:val="en-US" w:eastAsia="zh-CN"/>
            </w:rPr>
            <w:t>5.4.</w:t>
          </w:r>
          <w:r>
            <w:rPr>
              <w:rFonts w:hint="eastAsia" w:ascii="Times New Roman" w:hAnsi="Times New Roman" w:cs="Times New Roman"/>
              <w:sz w:val="21"/>
              <w:szCs w:val="21"/>
              <w:highlight w:val="none"/>
              <w:lang w:val="en-US" w:eastAsia="zh-CN"/>
            </w:rPr>
            <w:t>6</w:t>
          </w:r>
          <w:r>
            <w:rPr>
              <w:rFonts w:hint="eastAsia" w:ascii="Times New Roman" w:hAnsi="Times New Roman" w:eastAsia="宋体" w:cs="Times New Roman"/>
              <w:sz w:val="21"/>
              <w:szCs w:val="21"/>
              <w:highlight w:val="none"/>
              <w:lang w:val="en-US" w:eastAsia="zh-CN"/>
            </w:rPr>
            <w:t>声环境影响评价结论</w:t>
          </w:r>
          <w:r>
            <w:rPr>
              <w:sz w:val="21"/>
              <w:szCs w:val="21"/>
            </w:rPr>
            <w:tab/>
          </w:r>
          <w:r>
            <w:rPr>
              <w:sz w:val="21"/>
              <w:szCs w:val="21"/>
            </w:rPr>
            <w:fldChar w:fldCharType="begin"/>
          </w:r>
          <w:r>
            <w:rPr>
              <w:sz w:val="21"/>
              <w:szCs w:val="21"/>
            </w:rPr>
            <w:instrText xml:space="preserve"> PAGEREF _Toc29140 \h </w:instrText>
          </w:r>
          <w:r>
            <w:rPr>
              <w:sz w:val="21"/>
              <w:szCs w:val="21"/>
            </w:rPr>
            <w:fldChar w:fldCharType="separate"/>
          </w:r>
          <w:r>
            <w:rPr>
              <w:sz w:val="21"/>
              <w:szCs w:val="21"/>
            </w:rPr>
            <w:t>191</w:t>
          </w:r>
          <w:r>
            <w:rPr>
              <w:sz w:val="21"/>
              <w:szCs w:val="21"/>
            </w:rPr>
            <w:fldChar w:fldCharType="end"/>
          </w:r>
          <w:r>
            <w:rPr>
              <w:sz w:val="21"/>
              <w:szCs w:val="21"/>
              <w:highlight w:val="none"/>
            </w:rPr>
            <w:fldChar w:fldCharType="end"/>
          </w:r>
        </w:p>
        <w:p w14:paraId="2EC105AC">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_Toc31291 </w:instrText>
          </w:r>
          <w:r>
            <w:rPr>
              <w:sz w:val="21"/>
              <w:szCs w:val="21"/>
              <w:highlight w:val="none"/>
            </w:rPr>
            <w:fldChar w:fldCharType="separate"/>
          </w:r>
          <w:r>
            <w:rPr>
              <w:rFonts w:hint="eastAsia" w:ascii="Times New Roman" w:hAnsi="Times New Roman" w:cs="Times New Roman"/>
              <w:sz w:val="21"/>
              <w:szCs w:val="21"/>
              <w:highlight w:val="none"/>
              <w:lang w:val="en-US" w:eastAsia="zh-CN"/>
            </w:rPr>
            <w:t>5.5固废影响</w:t>
          </w:r>
          <w:r>
            <w:rPr>
              <w:sz w:val="21"/>
              <w:szCs w:val="21"/>
            </w:rPr>
            <w:tab/>
          </w:r>
          <w:r>
            <w:rPr>
              <w:sz w:val="21"/>
              <w:szCs w:val="21"/>
            </w:rPr>
            <w:fldChar w:fldCharType="begin"/>
          </w:r>
          <w:r>
            <w:rPr>
              <w:sz w:val="21"/>
              <w:szCs w:val="21"/>
            </w:rPr>
            <w:instrText xml:space="preserve"> PAGEREF _Toc31291 \h </w:instrText>
          </w:r>
          <w:r>
            <w:rPr>
              <w:sz w:val="21"/>
              <w:szCs w:val="21"/>
            </w:rPr>
            <w:fldChar w:fldCharType="separate"/>
          </w:r>
          <w:r>
            <w:rPr>
              <w:sz w:val="21"/>
              <w:szCs w:val="21"/>
            </w:rPr>
            <w:t>191</w:t>
          </w:r>
          <w:r>
            <w:rPr>
              <w:sz w:val="21"/>
              <w:szCs w:val="21"/>
            </w:rPr>
            <w:fldChar w:fldCharType="end"/>
          </w:r>
          <w:r>
            <w:rPr>
              <w:sz w:val="21"/>
              <w:szCs w:val="21"/>
              <w:highlight w:val="none"/>
            </w:rPr>
            <w:fldChar w:fldCharType="end"/>
          </w:r>
        </w:p>
        <w:p w14:paraId="253CD931">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_Toc19075 </w:instrText>
          </w:r>
          <w:r>
            <w:rPr>
              <w:sz w:val="21"/>
              <w:szCs w:val="21"/>
              <w:highlight w:val="none"/>
            </w:rPr>
            <w:fldChar w:fldCharType="separate"/>
          </w:r>
          <w:r>
            <w:rPr>
              <w:rFonts w:hint="eastAsia"/>
              <w:sz w:val="21"/>
              <w:szCs w:val="21"/>
              <w:highlight w:val="none"/>
              <w:lang w:val="en-US" w:eastAsia="zh-CN"/>
            </w:rPr>
            <w:t>5.6土壤环境影响分析</w:t>
          </w:r>
          <w:r>
            <w:rPr>
              <w:sz w:val="21"/>
              <w:szCs w:val="21"/>
            </w:rPr>
            <w:tab/>
          </w:r>
          <w:r>
            <w:rPr>
              <w:sz w:val="21"/>
              <w:szCs w:val="21"/>
            </w:rPr>
            <w:fldChar w:fldCharType="begin"/>
          </w:r>
          <w:r>
            <w:rPr>
              <w:sz w:val="21"/>
              <w:szCs w:val="21"/>
            </w:rPr>
            <w:instrText xml:space="preserve"> PAGEREF _Toc19075 \h </w:instrText>
          </w:r>
          <w:r>
            <w:rPr>
              <w:sz w:val="21"/>
              <w:szCs w:val="21"/>
            </w:rPr>
            <w:fldChar w:fldCharType="separate"/>
          </w:r>
          <w:r>
            <w:rPr>
              <w:sz w:val="21"/>
              <w:szCs w:val="21"/>
            </w:rPr>
            <w:t>193</w:t>
          </w:r>
          <w:r>
            <w:rPr>
              <w:sz w:val="21"/>
              <w:szCs w:val="21"/>
            </w:rPr>
            <w:fldChar w:fldCharType="end"/>
          </w:r>
          <w:r>
            <w:rPr>
              <w:sz w:val="21"/>
              <w:szCs w:val="21"/>
              <w:highlight w:val="none"/>
            </w:rPr>
            <w:fldChar w:fldCharType="end"/>
          </w:r>
        </w:p>
        <w:p w14:paraId="48C22648">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_Toc8742 </w:instrText>
          </w:r>
          <w:r>
            <w:rPr>
              <w:sz w:val="21"/>
              <w:szCs w:val="21"/>
              <w:highlight w:val="none"/>
            </w:rPr>
            <w:fldChar w:fldCharType="separate"/>
          </w:r>
          <w:r>
            <w:rPr>
              <w:rFonts w:hint="eastAsia"/>
              <w:sz w:val="21"/>
              <w:szCs w:val="21"/>
              <w:highlight w:val="none"/>
              <w:lang w:val="en-US" w:eastAsia="zh-CN"/>
            </w:rPr>
            <w:t>5.7环境风险评价</w:t>
          </w:r>
          <w:r>
            <w:rPr>
              <w:sz w:val="21"/>
              <w:szCs w:val="21"/>
            </w:rPr>
            <w:tab/>
          </w:r>
          <w:r>
            <w:rPr>
              <w:sz w:val="21"/>
              <w:szCs w:val="21"/>
            </w:rPr>
            <w:fldChar w:fldCharType="begin"/>
          </w:r>
          <w:r>
            <w:rPr>
              <w:sz w:val="21"/>
              <w:szCs w:val="21"/>
            </w:rPr>
            <w:instrText xml:space="preserve"> PAGEREF _Toc8742 \h </w:instrText>
          </w:r>
          <w:r>
            <w:rPr>
              <w:sz w:val="21"/>
              <w:szCs w:val="21"/>
            </w:rPr>
            <w:fldChar w:fldCharType="separate"/>
          </w:r>
          <w:r>
            <w:rPr>
              <w:sz w:val="21"/>
              <w:szCs w:val="21"/>
            </w:rPr>
            <w:t>194</w:t>
          </w:r>
          <w:r>
            <w:rPr>
              <w:sz w:val="21"/>
              <w:szCs w:val="21"/>
            </w:rPr>
            <w:fldChar w:fldCharType="end"/>
          </w:r>
          <w:r>
            <w:rPr>
              <w:sz w:val="21"/>
              <w:szCs w:val="21"/>
              <w:highlight w:val="none"/>
            </w:rPr>
            <w:fldChar w:fldCharType="end"/>
          </w:r>
        </w:p>
        <w:p w14:paraId="15B8995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_Toc29437 </w:instrText>
          </w:r>
          <w:r>
            <w:rPr>
              <w:sz w:val="21"/>
              <w:szCs w:val="21"/>
              <w:highlight w:val="none"/>
            </w:rPr>
            <w:fldChar w:fldCharType="separate"/>
          </w:r>
          <w:r>
            <w:rPr>
              <w:rFonts w:hint="eastAsia"/>
              <w:sz w:val="21"/>
              <w:szCs w:val="21"/>
              <w:highlight w:val="none"/>
              <w:lang w:val="en-US" w:eastAsia="zh-CN"/>
            </w:rPr>
            <w:t>5.8生态环境影响分析</w:t>
          </w:r>
          <w:r>
            <w:rPr>
              <w:sz w:val="21"/>
              <w:szCs w:val="21"/>
            </w:rPr>
            <w:tab/>
          </w:r>
          <w:r>
            <w:rPr>
              <w:sz w:val="21"/>
              <w:szCs w:val="21"/>
            </w:rPr>
            <w:fldChar w:fldCharType="begin"/>
          </w:r>
          <w:r>
            <w:rPr>
              <w:sz w:val="21"/>
              <w:szCs w:val="21"/>
            </w:rPr>
            <w:instrText xml:space="preserve"> PAGEREF _Toc29437 \h </w:instrText>
          </w:r>
          <w:r>
            <w:rPr>
              <w:sz w:val="21"/>
              <w:szCs w:val="21"/>
            </w:rPr>
            <w:fldChar w:fldCharType="separate"/>
          </w:r>
          <w:r>
            <w:rPr>
              <w:sz w:val="21"/>
              <w:szCs w:val="21"/>
            </w:rPr>
            <w:t>195</w:t>
          </w:r>
          <w:r>
            <w:rPr>
              <w:sz w:val="21"/>
              <w:szCs w:val="21"/>
            </w:rPr>
            <w:fldChar w:fldCharType="end"/>
          </w:r>
          <w:r>
            <w:rPr>
              <w:sz w:val="21"/>
              <w:szCs w:val="21"/>
              <w:highlight w:val="none"/>
            </w:rPr>
            <w:fldChar w:fldCharType="end"/>
          </w:r>
        </w:p>
        <w:p w14:paraId="5F9113E6">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_Toc9637 </w:instrText>
          </w:r>
          <w:r>
            <w:rPr>
              <w:sz w:val="21"/>
              <w:szCs w:val="21"/>
              <w:highlight w:val="none"/>
            </w:rPr>
            <w:fldChar w:fldCharType="separate"/>
          </w:r>
          <w:r>
            <w:rPr>
              <w:rFonts w:hint="eastAsia"/>
              <w:sz w:val="21"/>
              <w:szCs w:val="21"/>
              <w:highlight w:val="none"/>
              <w:lang w:val="en-US" w:eastAsia="zh-CN"/>
            </w:rPr>
            <w:t>5.9燃煤、灰渣运输环节环境影响分析</w:t>
          </w:r>
          <w:r>
            <w:rPr>
              <w:sz w:val="21"/>
              <w:szCs w:val="21"/>
            </w:rPr>
            <w:tab/>
          </w:r>
          <w:r>
            <w:rPr>
              <w:sz w:val="21"/>
              <w:szCs w:val="21"/>
            </w:rPr>
            <w:fldChar w:fldCharType="begin"/>
          </w:r>
          <w:r>
            <w:rPr>
              <w:sz w:val="21"/>
              <w:szCs w:val="21"/>
            </w:rPr>
            <w:instrText xml:space="preserve"> PAGEREF _Toc9637 \h </w:instrText>
          </w:r>
          <w:r>
            <w:rPr>
              <w:sz w:val="21"/>
              <w:szCs w:val="21"/>
            </w:rPr>
            <w:fldChar w:fldCharType="separate"/>
          </w:r>
          <w:r>
            <w:rPr>
              <w:sz w:val="21"/>
              <w:szCs w:val="21"/>
            </w:rPr>
            <w:t>196</w:t>
          </w:r>
          <w:r>
            <w:rPr>
              <w:sz w:val="21"/>
              <w:szCs w:val="21"/>
            </w:rPr>
            <w:fldChar w:fldCharType="end"/>
          </w:r>
          <w:r>
            <w:rPr>
              <w:sz w:val="21"/>
              <w:szCs w:val="21"/>
              <w:highlight w:val="none"/>
            </w:rPr>
            <w:fldChar w:fldCharType="end"/>
          </w:r>
        </w:p>
        <w:p w14:paraId="7B91E26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_Toc22737 </w:instrText>
          </w:r>
          <w:r>
            <w:rPr>
              <w:sz w:val="21"/>
              <w:szCs w:val="21"/>
              <w:highlight w:val="none"/>
            </w:rPr>
            <w:fldChar w:fldCharType="separate"/>
          </w:r>
          <w:r>
            <w:rPr>
              <w:rFonts w:hint="eastAsia"/>
              <w:sz w:val="21"/>
              <w:szCs w:val="21"/>
              <w:highlight w:val="none"/>
              <w:lang w:val="en-US" w:eastAsia="zh-CN"/>
            </w:rPr>
            <w:t>5.10碳排放影响评价</w:t>
          </w:r>
          <w:r>
            <w:rPr>
              <w:sz w:val="21"/>
              <w:szCs w:val="21"/>
            </w:rPr>
            <w:tab/>
          </w:r>
          <w:r>
            <w:rPr>
              <w:sz w:val="21"/>
              <w:szCs w:val="21"/>
            </w:rPr>
            <w:fldChar w:fldCharType="begin"/>
          </w:r>
          <w:r>
            <w:rPr>
              <w:sz w:val="21"/>
              <w:szCs w:val="21"/>
            </w:rPr>
            <w:instrText xml:space="preserve"> PAGEREF _Toc22737 \h </w:instrText>
          </w:r>
          <w:r>
            <w:rPr>
              <w:sz w:val="21"/>
              <w:szCs w:val="21"/>
            </w:rPr>
            <w:fldChar w:fldCharType="separate"/>
          </w:r>
          <w:r>
            <w:rPr>
              <w:sz w:val="21"/>
              <w:szCs w:val="21"/>
            </w:rPr>
            <w:t>197</w:t>
          </w:r>
          <w:r>
            <w:rPr>
              <w:sz w:val="21"/>
              <w:szCs w:val="21"/>
            </w:rPr>
            <w:fldChar w:fldCharType="end"/>
          </w:r>
          <w:r>
            <w:rPr>
              <w:sz w:val="21"/>
              <w:szCs w:val="21"/>
              <w:highlight w:val="none"/>
            </w:rPr>
            <w:fldChar w:fldCharType="end"/>
          </w:r>
        </w:p>
        <w:p w14:paraId="0BD9F70D">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_Toc28114 </w:instrText>
          </w:r>
          <w:r>
            <w:rPr>
              <w:sz w:val="21"/>
              <w:szCs w:val="21"/>
              <w:highlight w:val="none"/>
            </w:rPr>
            <w:fldChar w:fldCharType="separate"/>
          </w:r>
          <w:r>
            <w:rPr>
              <w:rFonts w:hint="eastAsia"/>
              <w:sz w:val="21"/>
              <w:szCs w:val="21"/>
              <w:highlight w:val="none"/>
              <w:lang w:val="en-US" w:eastAsia="zh-CN"/>
            </w:rPr>
            <w:t>6环境保护措施及可行性论证</w:t>
          </w:r>
          <w:r>
            <w:rPr>
              <w:sz w:val="21"/>
              <w:szCs w:val="21"/>
            </w:rPr>
            <w:tab/>
          </w:r>
          <w:r>
            <w:rPr>
              <w:sz w:val="21"/>
              <w:szCs w:val="21"/>
            </w:rPr>
            <w:fldChar w:fldCharType="begin"/>
          </w:r>
          <w:r>
            <w:rPr>
              <w:sz w:val="21"/>
              <w:szCs w:val="21"/>
            </w:rPr>
            <w:instrText xml:space="preserve"> PAGEREF _Toc28114 \h </w:instrText>
          </w:r>
          <w:r>
            <w:rPr>
              <w:sz w:val="21"/>
              <w:szCs w:val="21"/>
            </w:rPr>
            <w:fldChar w:fldCharType="separate"/>
          </w:r>
          <w:r>
            <w:rPr>
              <w:sz w:val="21"/>
              <w:szCs w:val="21"/>
            </w:rPr>
            <w:t>201</w:t>
          </w:r>
          <w:r>
            <w:rPr>
              <w:sz w:val="21"/>
              <w:szCs w:val="21"/>
            </w:rPr>
            <w:fldChar w:fldCharType="end"/>
          </w:r>
          <w:r>
            <w:rPr>
              <w:sz w:val="21"/>
              <w:szCs w:val="21"/>
              <w:highlight w:val="none"/>
            </w:rPr>
            <w:fldChar w:fldCharType="end"/>
          </w:r>
        </w:p>
        <w:p w14:paraId="1AFB28E0">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_Toc13165 </w:instrText>
          </w:r>
          <w:r>
            <w:rPr>
              <w:sz w:val="21"/>
              <w:szCs w:val="21"/>
              <w:highlight w:val="none"/>
            </w:rPr>
            <w:fldChar w:fldCharType="separate"/>
          </w:r>
          <w:r>
            <w:rPr>
              <w:rFonts w:hint="eastAsia"/>
              <w:sz w:val="21"/>
              <w:szCs w:val="21"/>
              <w:highlight w:val="none"/>
              <w:lang w:val="en-US" w:eastAsia="zh-CN"/>
            </w:rPr>
            <w:t>6.1施工期环境保护措施</w:t>
          </w:r>
          <w:r>
            <w:rPr>
              <w:sz w:val="21"/>
              <w:szCs w:val="21"/>
            </w:rPr>
            <w:tab/>
          </w:r>
          <w:r>
            <w:rPr>
              <w:sz w:val="21"/>
              <w:szCs w:val="21"/>
            </w:rPr>
            <w:fldChar w:fldCharType="begin"/>
          </w:r>
          <w:r>
            <w:rPr>
              <w:sz w:val="21"/>
              <w:szCs w:val="21"/>
            </w:rPr>
            <w:instrText xml:space="preserve"> PAGEREF _Toc13165 \h </w:instrText>
          </w:r>
          <w:r>
            <w:rPr>
              <w:sz w:val="21"/>
              <w:szCs w:val="21"/>
            </w:rPr>
            <w:fldChar w:fldCharType="separate"/>
          </w:r>
          <w:r>
            <w:rPr>
              <w:sz w:val="21"/>
              <w:szCs w:val="21"/>
            </w:rPr>
            <w:t>201</w:t>
          </w:r>
          <w:r>
            <w:rPr>
              <w:sz w:val="21"/>
              <w:szCs w:val="21"/>
            </w:rPr>
            <w:fldChar w:fldCharType="end"/>
          </w:r>
          <w:r>
            <w:rPr>
              <w:sz w:val="21"/>
              <w:szCs w:val="21"/>
              <w:highlight w:val="none"/>
            </w:rPr>
            <w:fldChar w:fldCharType="end"/>
          </w:r>
        </w:p>
        <w:p w14:paraId="04A98AE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_Toc25654 </w:instrText>
          </w:r>
          <w:r>
            <w:rPr>
              <w:sz w:val="21"/>
              <w:szCs w:val="21"/>
              <w:highlight w:val="none"/>
            </w:rPr>
            <w:fldChar w:fldCharType="separate"/>
          </w:r>
          <w:r>
            <w:rPr>
              <w:rFonts w:hint="eastAsia"/>
              <w:sz w:val="21"/>
              <w:szCs w:val="21"/>
              <w:highlight w:val="none"/>
              <w:lang w:val="en-US" w:eastAsia="zh-CN"/>
            </w:rPr>
            <w:t>6.1.1地表水污染防治措施</w:t>
          </w:r>
          <w:r>
            <w:rPr>
              <w:sz w:val="21"/>
              <w:szCs w:val="21"/>
            </w:rPr>
            <w:tab/>
          </w:r>
          <w:r>
            <w:rPr>
              <w:sz w:val="21"/>
              <w:szCs w:val="21"/>
            </w:rPr>
            <w:fldChar w:fldCharType="begin"/>
          </w:r>
          <w:r>
            <w:rPr>
              <w:sz w:val="21"/>
              <w:szCs w:val="21"/>
            </w:rPr>
            <w:instrText xml:space="preserve"> PAGEREF _Toc25654 \h </w:instrText>
          </w:r>
          <w:r>
            <w:rPr>
              <w:sz w:val="21"/>
              <w:szCs w:val="21"/>
            </w:rPr>
            <w:fldChar w:fldCharType="separate"/>
          </w:r>
          <w:r>
            <w:rPr>
              <w:sz w:val="21"/>
              <w:szCs w:val="21"/>
            </w:rPr>
            <w:t>201</w:t>
          </w:r>
          <w:r>
            <w:rPr>
              <w:sz w:val="21"/>
              <w:szCs w:val="21"/>
            </w:rPr>
            <w:fldChar w:fldCharType="end"/>
          </w:r>
          <w:r>
            <w:rPr>
              <w:sz w:val="21"/>
              <w:szCs w:val="21"/>
              <w:highlight w:val="none"/>
            </w:rPr>
            <w:fldChar w:fldCharType="end"/>
          </w:r>
        </w:p>
        <w:p w14:paraId="58A055BF">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_Toc24255 </w:instrText>
          </w:r>
          <w:r>
            <w:rPr>
              <w:sz w:val="21"/>
              <w:szCs w:val="21"/>
              <w:highlight w:val="none"/>
            </w:rPr>
            <w:fldChar w:fldCharType="separate"/>
          </w:r>
          <w:r>
            <w:rPr>
              <w:rFonts w:hint="eastAsia"/>
              <w:sz w:val="21"/>
              <w:szCs w:val="21"/>
              <w:highlight w:val="none"/>
              <w:lang w:val="en-US" w:eastAsia="zh-CN"/>
            </w:rPr>
            <w:t>6.1.2大气污染防治措施</w:t>
          </w:r>
          <w:r>
            <w:rPr>
              <w:sz w:val="21"/>
              <w:szCs w:val="21"/>
            </w:rPr>
            <w:tab/>
          </w:r>
          <w:r>
            <w:rPr>
              <w:sz w:val="21"/>
              <w:szCs w:val="21"/>
            </w:rPr>
            <w:fldChar w:fldCharType="begin"/>
          </w:r>
          <w:r>
            <w:rPr>
              <w:sz w:val="21"/>
              <w:szCs w:val="21"/>
            </w:rPr>
            <w:instrText xml:space="preserve"> PAGEREF _Toc24255 \h </w:instrText>
          </w:r>
          <w:r>
            <w:rPr>
              <w:sz w:val="21"/>
              <w:szCs w:val="21"/>
            </w:rPr>
            <w:fldChar w:fldCharType="separate"/>
          </w:r>
          <w:r>
            <w:rPr>
              <w:sz w:val="21"/>
              <w:szCs w:val="21"/>
            </w:rPr>
            <w:t>201</w:t>
          </w:r>
          <w:r>
            <w:rPr>
              <w:sz w:val="21"/>
              <w:szCs w:val="21"/>
            </w:rPr>
            <w:fldChar w:fldCharType="end"/>
          </w:r>
          <w:r>
            <w:rPr>
              <w:sz w:val="21"/>
              <w:szCs w:val="21"/>
              <w:highlight w:val="none"/>
            </w:rPr>
            <w:fldChar w:fldCharType="end"/>
          </w:r>
        </w:p>
        <w:p w14:paraId="5D40516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_Toc21346 </w:instrText>
          </w:r>
          <w:r>
            <w:rPr>
              <w:sz w:val="21"/>
              <w:szCs w:val="21"/>
              <w:highlight w:val="none"/>
            </w:rPr>
            <w:fldChar w:fldCharType="separate"/>
          </w:r>
          <w:r>
            <w:rPr>
              <w:rFonts w:hint="eastAsia"/>
              <w:sz w:val="21"/>
              <w:szCs w:val="21"/>
              <w:highlight w:val="none"/>
              <w:lang w:val="en-US" w:eastAsia="zh-CN"/>
            </w:rPr>
            <w:t>6.1.3噪声污染防治措施</w:t>
          </w:r>
          <w:r>
            <w:rPr>
              <w:sz w:val="21"/>
              <w:szCs w:val="21"/>
            </w:rPr>
            <w:tab/>
          </w:r>
          <w:r>
            <w:rPr>
              <w:sz w:val="21"/>
              <w:szCs w:val="21"/>
            </w:rPr>
            <w:fldChar w:fldCharType="begin"/>
          </w:r>
          <w:r>
            <w:rPr>
              <w:sz w:val="21"/>
              <w:szCs w:val="21"/>
            </w:rPr>
            <w:instrText xml:space="preserve"> PAGEREF _Toc21346 \h </w:instrText>
          </w:r>
          <w:r>
            <w:rPr>
              <w:sz w:val="21"/>
              <w:szCs w:val="21"/>
            </w:rPr>
            <w:fldChar w:fldCharType="separate"/>
          </w:r>
          <w:r>
            <w:rPr>
              <w:sz w:val="21"/>
              <w:szCs w:val="21"/>
            </w:rPr>
            <w:t>202</w:t>
          </w:r>
          <w:r>
            <w:rPr>
              <w:sz w:val="21"/>
              <w:szCs w:val="21"/>
            </w:rPr>
            <w:fldChar w:fldCharType="end"/>
          </w:r>
          <w:r>
            <w:rPr>
              <w:sz w:val="21"/>
              <w:szCs w:val="21"/>
              <w:highlight w:val="none"/>
            </w:rPr>
            <w:fldChar w:fldCharType="end"/>
          </w:r>
        </w:p>
        <w:p w14:paraId="354C7BF0">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_Toc26607 </w:instrText>
          </w:r>
          <w:r>
            <w:rPr>
              <w:sz w:val="21"/>
              <w:szCs w:val="21"/>
              <w:highlight w:val="none"/>
            </w:rPr>
            <w:fldChar w:fldCharType="separate"/>
          </w:r>
          <w:r>
            <w:rPr>
              <w:rFonts w:hint="eastAsia"/>
              <w:sz w:val="21"/>
              <w:szCs w:val="21"/>
              <w:highlight w:val="none"/>
              <w:lang w:val="en-US" w:eastAsia="zh-CN"/>
            </w:rPr>
            <w:t>6.1.4固体废物处置措施</w:t>
          </w:r>
          <w:r>
            <w:rPr>
              <w:sz w:val="21"/>
              <w:szCs w:val="21"/>
            </w:rPr>
            <w:tab/>
          </w:r>
          <w:r>
            <w:rPr>
              <w:sz w:val="21"/>
              <w:szCs w:val="21"/>
            </w:rPr>
            <w:fldChar w:fldCharType="begin"/>
          </w:r>
          <w:r>
            <w:rPr>
              <w:sz w:val="21"/>
              <w:szCs w:val="21"/>
            </w:rPr>
            <w:instrText xml:space="preserve"> PAGEREF _Toc26607 \h </w:instrText>
          </w:r>
          <w:r>
            <w:rPr>
              <w:sz w:val="21"/>
              <w:szCs w:val="21"/>
            </w:rPr>
            <w:fldChar w:fldCharType="separate"/>
          </w:r>
          <w:r>
            <w:rPr>
              <w:sz w:val="21"/>
              <w:szCs w:val="21"/>
            </w:rPr>
            <w:t>204</w:t>
          </w:r>
          <w:r>
            <w:rPr>
              <w:sz w:val="21"/>
              <w:szCs w:val="21"/>
            </w:rPr>
            <w:fldChar w:fldCharType="end"/>
          </w:r>
          <w:r>
            <w:rPr>
              <w:sz w:val="21"/>
              <w:szCs w:val="21"/>
              <w:highlight w:val="none"/>
            </w:rPr>
            <w:fldChar w:fldCharType="end"/>
          </w:r>
        </w:p>
        <w:p w14:paraId="022770F6">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_Toc13655 </w:instrText>
          </w:r>
          <w:r>
            <w:rPr>
              <w:sz w:val="21"/>
              <w:szCs w:val="21"/>
              <w:highlight w:val="none"/>
            </w:rPr>
            <w:fldChar w:fldCharType="separate"/>
          </w:r>
          <w:r>
            <w:rPr>
              <w:rFonts w:hint="eastAsia"/>
              <w:sz w:val="21"/>
              <w:szCs w:val="21"/>
              <w:highlight w:val="none"/>
              <w:lang w:val="en-US" w:eastAsia="zh-CN"/>
            </w:rPr>
            <w:t>6.1.5施工生态保护措施</w:t>
          </w:r>
          <w:r>
            <w:rPr>
              <w:sz w:val="21"/>
              <w:szCs w:val="21"/>
            </w:rPr>
            <w:tab/>
          </w:r>
          <w:r>
            <w:rPr>
              <w:sz w:val="21"/>
              <w:szCs w:val="21"/>
            </w:rPr>
            <w:fldChar w:fldCharType="begin"/>
          </w:r>
          <w:r>
            <w:rPr>
              <w:sz w:val="21"/>
              <w:szCs w:val="21"/>
            </w:rPr>
            <w:instrText xml:space="preserve"> PAGEREF _Toc13655 \h </w:instrText>
          </w:r>
          <w:r>
            <w:rPr>
              <w:sz w:val="21"/>
              <w:szCs w:val="21"/>
            </w:rPr>
            <w:fldChar w:fldCharType="separate"/>
          </w:r>
          <w:r>
            <w:rPr>
              <w:sz w:val="21"/>
              <w:szCs w:val="21"/>
            </w:rPr>
            <w:t>204</w:t>
          </w:r>
          <w:r>
            <w:rPr>
              <w:sz w:val="21"/>
              <w:szCs w:val="21"/>
            </w:rPr>
            <w:fldChar w:fldCharType="end"/>
          </w:r>
          <w:r>
            <w:rPr>
              <w:sz w:val="21"/>
              <w:szCs w:val="21"/>
              <w:highlight w:val="none"/>
            </w:rPr>
            <w:fldChar w:fldCharType="end"/>
          </w:r>
        </w:p>
        <w:p w14:paraId="6390371D">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_Toc17571 </w:instrText>
          </w:r>
          <w:r>
            <w:rPr>
              <w:sz w:val="21"/>
              <w:szCs w:val="21"/>
              <w:highlight w:val="none"/>
            </w:rPr>
            <w:fldChar w:fldCharType="separate"/>
          </w:r>
          <w:r>
            <w:rPr>
              <w:rFonts w:hint="eastAsia"/>
              <w:sz w:val="21"/>
              <w:szCs w:val="21"/>
              <w:highlight w:val="none"/>
              <w:lang w:val="en-US" w:eastAsia="zh-CN"/>
            </w:rPr>
            <w:t>6.2运营期环境保护措施</w:t>
          </w:r>
          <w:r>
            <w:rPr>
              <w:sz w:val="21"/>
              <w:szCs w:val="21"/>
            </w:rPr>
            <w:tab/>
          </w:r>
          <w:r>
            <w:rPr>
              <w:sz w:val="21"/>
              <w:szCs w:val="21"/>
            </w:rPr>
            <w:fldChar w:fldCharType="begin"/>
          </w:r>
          <w:r>
            <w:rPr>
              <w:sz w:val="21"/>
              <w:szCs w:val="21"/>
            </w:rPr>
            <w:instrText xml:space="preserve"> PAGEREF _Toc17571 \h </w:instrText>
          </w:r>
          <w:r>
            <w:rPr>
              <w:sz w:val="21"/>
              <w:szCs w:val="21"/>
            </w:rPr>
            <w:fldChar w:fldCharType="separate"/>
          </w:r>
          <w:r>
            <w:rPr>
              <w:sz w:val="21"/>
              <w:szCs w:val="21"/>
            </w:rPr>
            <w:t>204</w:t>
          </w:r>
          <w:r>
            <w:rPr>
              <w:sz w:val="21"/>
              <w:szCs w:val="21"/>
            </w:rPr>
            <w:fldChar w:fldCharType="end"/>
          </w:r>
          <w:r>
            <w:rPr>
              <w:sz w:val="21"/>
              <w:szCs w:val="21"/>
              <w:highlight w:val="none"/>
            </w:rPr>
            <w:fldChar w:fldCharType="end"/>
          </w:r>
        </w:p>
        <w:p w14:paraId="4E85747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_Toc9761 </w:instrText>
          </w:r>
          <w:r>
            <w:rPr>
              <w:sz w:val="21"/>
              <w:szCs w:val="21"/>
              <w:highlight w:val="none"/>
            </w:rPr>
            <w:fldChar w:fldCharType="separate"/>
          </w:r>
          <w:r>
            <w:rPr>
              <w:rFonts w:hint="eastAsia"/>
              <w:sz w:val="21"/>
              <w:szCs w:val="21"/>
              <w:highlight w:val="none"/>
              <w:lang w:val="en-US" w:eastAsia="zh-CN"/>
            </w:rPr>
            <w:t>6.2.1运营期废气污染防治措施</w:t>
          </w:r>
          <w:r>
            <w:rPr>
              <w:sz w:val="21"/>
              <w:szCs w:val="21"/>
            </w:rPr>
            <w:tab/>
          </w:r>
          <w:r>
            <w:rPr>
              <w:sz w:val="21"/>
              <w:szCs w:val="21"/>
            </w:rPr>
            <w:fldChar w:fldCharType="begin"/>
          </w:r>
          <w:r>
            <w:rPr>
              <w:sz w:val="21"/>
              <w:szCs w:val="21"/>
            </w:rPr>
            <w:instrText xml:space="preserve"> PAGEREF _Toc9761 \h </w:instrText>
          </w:r>
          <w:r>
            <w:rPr>
              <w:sz w:val="21"/>
              <w:szCs w:val="21"/>
            </w:rPr>
            <w:fldChar w:fldCharType="separate"/>
          </w:r>
          <w:r>
            <w:rPr>
              <w:sz w:val="21"/>
              <w:szCs w:val="21"/>
            </w:rPr>
            <w:t>204</w:t>
          </w:r>
          <w:r>
            <w:rPr>
              <w:sz w:val="21"/>
              <w:szCs w:val="21"/>
            </w:rPr>
            <w:fldChar w:fldCharType="end"/>
          </w:r>
          <w:r>
            <w:rPr>
              <w:sz w:val="21"/>
              <w:szCs w:val="21"/>
              <w:highlight w:val="none"/>
            </w:rPr>
            <w:fldChar w:fldCharType="end"/>
          </w:r>
        </w:p>
        <w:p w14:paraId="6B42E6E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_Toc12722 </w:instrText>
          </w:r>
          <w:r>
            <w:rPr>
              <w:sz w:val="21"/>
              <w:szCs w:val="21"/>
              <w:highlight w:val="none"/>
            </w:rPr>
            <w:fldChar w:fldCharType="separate"/>
          </w:r>
          <w:r>
            <w:rPr>
              <w:rFonts w:hint="eastAsia"/>
              <w:sz w:val="21"/>
              <w:szCs w:val="21"/>
              <w:highlight w:val="none"/>
              <w:lang w:val="en-US" w:eastAsia="zh-CN"/>
            </w:rPr>
            <w:t>6.2.2运营期废水污染防治措施</w:t>
          </w:r>
          <w:r>
            <w:rPr>
              <w:sz w:val="21"/>
              <w:szCs w:val="21"/>
            </w:rPr>
            <w:tab/>
          </w:r>
          <w:r>
            <w:rPr>
              <w:sz w:val="21"/>
              <w:szCs w:val="21"/>
            </w:rPr>
            <w:fldChar w:fldCharType="begin"/>
          </w:r>
          <w:r>
            <w:rPr>
              <w:sz w:val="21"/>
              <w:szCs w:val="21"/>
            </w:rPr>
            <w:instrText xml:space="preserve"> PAGEREF _Toc12722 \h </w:instrText>
          </w:r>
          <w:r>
            <w:rPr>
              <w:sz w:val="21"/>
              <w:szCs w:val="21"/>
            </w:rPr>
            <w:fldChar w:fldCharType="separate"/>
          </w:r>
          <w:r>
            <w:rPr>
              <w:sz w:val="21"/>
              <w:szCs w:val="21"/>
            </w:rPr>
            <w:t>217</w:t>
          </w:r>
          <w:r>
            <w:rPr>
              <w:sz w:val="21"/>
              <w:szCs w:val="21"/>
            </w:rPr>
            <w:fldChar w:fldCharType="end"/>
          </w:r>
          <w:r>
            <w:rPr>
              <w:sz w:val="21"/>
              <w:szCs w:val="21"/>
              <w:highlight w:val="none"/>
            </w:rPr>
            <w:fldChar w:fldCharType="end"/>
          </w:r>
        </w:p>
        <w:p w14:paraId="20071CE5">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_Toc9296 </w:instrText>
          </w:r>
          <w:r>
            <w:rPr>
              <w:sz w:val="21"/>
              <w:szCs w:val="21"/>
              <w:highlight w:val="none"/>
            </w:rPr>
            <w:fldChar w:fldCharType="separate"/>
          </w:r>
          <w:r>
            <w:rPr>
              <w:rFonts w:hint="eastAsia"/>
              <w:sz w:val="21"/>
              <w:szCs w:val="21"/>
              <w:highlight w:val="none"/>
              <w:lang w:val="en-US" w:eastAsia="zh-CN"/>
            </w:rPr>
            <w:t>6.2.3运营期噪声污染防治措施</w:t>
          </w:r>
          <w:r>
            <w:rPr>
              <w:sz w:val="21"/>
              <w:szCs w:val="21"/>
            </w:rPr>
            <w:tab/>
          </w:r>
          <w:r>
            <w:rPr>
              <w:sz w:val="21"/>
              <w:szCs w:val="21"/>
            </w:rPr>
            <w:fldChar w:fldCharType="begin"/>
          </w:r>
          <w:r>
            <w:rPr>
              <w:sz w:val="21"/>
              <w:szCs w:val="21"/>
            </w:rPr>
            <w:instrText xml:space="preserve"> PAGEREF _Toc9296 \h </w:instrText>
          </w:r>
          <w:r>
            <w:rPr>
              <w:sz w:val="21"/>
              <w:szCs w:val="21"/>
            </w:rPr>
            <w:fldChar w:fldCharType="separate"/>
          </w:r>
          <w:r>
            <w:rPr>
              <w:sz w:val="21"/>
              <w:szCs w:val="21"/>
            </w:rPr>
            <w:t>218</w:t>
          </w:r>
          <w:r>
            <w:rPr>
              <w:sz w:val="21"/>
              <w:szCs w:val="21"/>
            </w:rPr>
            <w:fldChar w:fldCharType="end"/>
          </w:r>
          <w:r>
            <w:rPr>
              <w:sz w:val="21"/>
              <w:szCs w:val="21"/>
              <w:highlight w:val="none"/>
            </w:rPr>
            <w:fldChar w:fldCharType="end"/>
          </w:r>
        </w:p>
        <w:p w14:paraId="27FC85F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_Toc23606 </w:instrText>
          </w:r>
          <w:r>
            <w:rPr>
              <w:sz w:val="21"/>
              <w:szCs w:val="21"/>
              <w:highlight w:val="none"/>
            </w:rPr>
            <w:fldChar w:fldCharType="separate"/>
          </w:r>
          <w:r>
            <w:rPr>
              <w:rFonts w:hint="eastAsia"/>
              <w:sz w:val="21"/>
              <w:szCs w:val="21"/>
              <w:highlight w:val="none"/>
              <w:lang w:val="en-US" w:eastAsia="zh-CN"/>
            </w:rPr>
            <w:t>6.2.4运营期固体废物污染防治措施</w:t>
          </w:r>
          <w:r>
            <w:rPr>
              <w:sz w:val="21"/>
              <w:szCs w:val="21"/>
            </w:rPr>
            <w:tab/>
          </w:r>
          <w:r>
            <w:rPr>
              <w:sz w:val="21"/>
              <w:szCs w:val="21"/>
            </w:rPr>
            <w:fldChar w:fldCharType="begin"/>
          </w:r>
          <w:r>
            <w:rPr>
              <w:sz w:val="21"/>
              <w:szCs w:val="21"/>
            </w:rPr>
            <w:instrText xml:space="preserve"> PAGEREF _Toc23606 \h </w:instrText>
          </w:r>
          <w:r>
            <w:rPr>
              <w:sz w:val="21"/>
              <w:szCs w:val="21"/>
            </w:rPr>
            <w:fldChar w:fldCharType="separate"/>
          </w:r>
          <w:r>
            <w:rPr>
              <w:sz w:val="21"/>
              <w:szCs w:val="21"/>
            </w:rPr>
            <w:t>219</w:t>
          </w:r>
          <w:r>
            <w:rPr>
              <w:sz w:val="21"/>
              <w:szCs w:val="21"/>
            </w:rPr>
            <w:fldChar w:fldCharType="end"/>
          </w:r>
          <w:r>
            <w:rPr>
              <w:sz w:val="21"/>
              <w:szCs w:val="21"/>
              <w:highlight w:val="none"/>
            </w:rPr>
            <w:fldChar w:fldCharType="end"/>
          </w:r>
        </w:p>
        <w:p w14:paraId="49896C5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_Toc22068 </w:instrText>
          </w:r>
          <w:r>
            <w:rPr>
              <w:sz w:val="21"/>
              <w:szCs w:val="21"/>
              <w:highlight w:val="none"/>
            </w:rPr>
            <w:fldChar w:fldCharType="separate"/>
          </w:r>
          <w:r>
            <w:rPr>
              <w:rFonts w:hint="eastAsia"/>
              <w:sz w:val="21"/>
              <w:szCs w:val="21"/>
              <w:highlight w:val="none"/>
              <w:lang w:val="en-US" w:eastAsia="zh-CN"/>
            </w:rPr>
            <w:t>6.2.5地下水污染防治措施</w:t>
          </w:r>
          <w:r>
            <w:rPr>
              <w:sz w:val="21"/>
              <w:szCs w:val="21"/>
            </w:rPr>
            <w:tab/>
          </w:r>
          <w:r>
            <w:rPr>
              <w:sz w:val="21"/>
              <w:szCs w:val="21"/>
            </w:rPr>
            <w:fldChar w:fldCharType="begin"/>
          </w:r>
          <w:r>
            <w:rPr>
              <w:sz w:val="21"/>
              <w:szCs w:val="21"/>
            </w:rPr>
            <w:instrText xml:space="preserve"> PAGEREF _Toc22068 \h </w:instrText>
          </w:r>
          <w:r>
            <w:rPr>
              <w:sz w:val="21"/>
              <w:szCs w:val="21"/>
            </w:rPr>
            <w:fldChar w:fldCharType="separate"/>
          </w:r>
          <w:r>
            <w:rPr>
              <w:sz w:val="21"/>
              <w:szCs w:val="21"/>
            </w:rPr>
            <w:t>220</w:t>
          </w:r>
          <w:r>
            <w:rPr>
              <w:sz w:val="21"/>
              <w:szCs w:val="21"/>
            </w:rPr>
            <w:fldChar w:fldCharType="end"/>
          </w:r>
          <w:r>
            <w:rPr>
              <w:sz w:val="21"/>
              <w:szCs w:val="21"/>
              <w:highlight w:val="none"/>
            </w:rPr>
            <w:fldChar w:fldCharType="end"/>
          </w:r>
        </w:p>
        <w:p w14:paraId="2184235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_Toc20567 </w:instrText>
          </w:r>
          <w:r>
            <w:rPr>
              <w:sz w:val="21"/>
              <w:szCs w:val="21"/>
              <w:highlight w:val="none"/>
            </w:rPr>
            <w:fldChar w:fldCharType="separate"/>
          </w:r>
          <w:r>
            <w:rPr>
              <w:rFonts w:hint="eastAsia"/>
              <w:sz w:val="21"/>
              <w:szCs w:val="21"/>
              <w:highlight w:val="none"/>
              <w:lang w:val="en-US" w:eastAsia="zh-CN"/>
            </w:rPr>
            <w:t>6.2.6</w:t>
          </w:r>
          <w:r>
            <w:rPr>
              <w:rFonts w:hint="eastAsia" w:ascii="Times New Roman" w:hAnsi="Times New Roman"/>
              <w:sz w:val="21"/>
              <w:szCs w:val="21"/>
              <w:highlight w:val="none"/>
              <w:lang w:val="en-US" w:eastAsia="zh-CN"/>
            </w:rPr>
            <w:t>燃煤、</w:t>
          </w:r>
          <w:r>
            <w:rPr>
              <w:rFonts w:ascii="Times New Roman" w:hAnsi="Times New Roman"/>
              <w:sz w:val="21"/>
              <w:szCs w:val="21"/>
              <w:highlight w:val="none"/>
            </w:rPr>
            <w:t>灰渣运输环节污染防治措施</w:t>
          </w:r>
          <w:r>
            <w:rPr>
              <w:sz w:val="21"/>
              <w:szCs w:val="21"/>
            </w:rPr>
            <w:tab/>
          </w:r>
          <w:r>
            <w:rPr>
              <w:sz w:val="21"/>
              <w:szCs w:val="21"/>
            </w:rPr>
            <w:fldChar w:fldCharType="begin"/>
          </w:r>
          <w:r>
            <w:rPr>
              <w:sz w:val="21"/>
              <w:szCs w:val="21"/>
            </w:rPr>
            <w:instrText xml:space="preserve"> PAGEREF _Toc20567 \h </w:instrText>
          </w:r>
          <w:r>
            <w:rPr>
              <w:sz w:val="21"/>
              <w:szCs w:val="21"/>
            </w:rPr>
            <w:fldChar w:fldCharType="separate"/>
          </w:r>
          <w:r>
            <w:rPr>
              <w:sz w:val="21"/>
              <w:szCs w:val="21"/>
            </w:rPr>
            <w:t>225</w:t>
          </w:r>
          <w:r>
            <w:rPr>
              <w:sz w:val="21"/>
              <w:szCs w:val="21"/>
            </w:rPr>
            <w:fldChar w:fldCharType="end"/>
          </w:r>
          <w:r>
            <w:rPr>
              <w:sz w:val="21"/>
              <w:szCs w:val="21"/>
              <w:highlight w:val="none"/>
            </w:rPr>
            <w:fldChar w:fldCharType="end"/>
          </w:r>
        </w:p>
        <w:p w14:paraId="4C222190">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_Toc522 </w:instrText>
          </w:r>
          <w:r>
            <w:rPr>
              <w:sz w:val="21"/>
              <w:szCs w:val="21"/>
              <w:highlight w:val="none"/>
            </w:rPr>
            <w:fldChar w:fldCharType="separate"/>
          </w:r>
          <w:r>
            <w:rPr>
              <w:rFonts w:hint="eastAsia"/>
              <w:sz w:val="21"/>
              <w:szCs w:val="21"/>
              <w:highlight w:val="none"/>
              <w:lang w:val="en-US" w:eastAsia="zh-CN"/>
            </w:rPr>
            <w:t>7环境影响经济损益分析</w:t>
          </w:r>
          <w:r>
            <w:rPr>
              <w:sz w:val="21"/>
              <w:szCs w:val="21"/>
            </w:rPr>
            <w:tab/>
          </w:r>
          <w:r>
            <w:rPr>
              <w:sz w:val="21"/>
              <w:szCs w:val="21"/>
            </w:rPr>
            <w:fldChar w:fldCharType="begin"/>
          </w:r>
          <w:r>
            <w:rPr>
              <w:sz w:val="21"/>
              <w:szCs w:val="21"/>
            </w:rPr>
            <w:instrText xml:space="preserve"> PAGEREF _Toc522 \h </w:instrText>
          </w:r>
          <w:r>
            <w:rPr>
              <w:sz w:val="21"/>
              <w:szCs w:val="21"/>
            </w:rPr>
            <w:fldChar w:fldCharType="separate"/>
          </w:r>
          <w:r>
            <w:rPr>
              <w:sz w:val="21"/>
              <w:szCs w:val="21"/>
            </w:rPr>
            <w:t>225</w:t>
          </w:r>
          <w:r>
            <w:rPr>
              <w:sz w:val="21"/>
              <w:szCs w:val="21"/>
            </w:rPr>
            <w:fldChar w:fldCharType="end"/>
          </w:r>
          <w:r>
            <w:rPr>
              <w:sz w:val="21"/>
              <w:szCs w:val="21"/>
              <w:highlight w:val="none"/>
            </w:rPr>
            <w:fldChar w:fldCharType="end"/>
          </w:r>
        </w:p>
        <w:p w14:paraId="161A697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_Toc17224 </w:instrText>
          </w:r>
          <w:r>
            <w:rPr>
              <w:sz w:val="21"/>
              <w:szCs w:val="21"/>
              <w:highlight w:val="none"/>
            </w:rPr>
            <w:fldChar w:fldCharType="separate"/>
          </w:r>
          <w:r>
            <w:rPr>
              <w:rFonts w:hint="eastAsia"/>
              <w:sz w:val="21"/>
              <w:szCs w:val="21"/>
              <w:highlight w:val="none"/>
              <w:lang w:val="en-US" w:eastAsia="zh-CN"/>
            </w:rPr>
            <w:t>7.1经济效益分析</w:t>
          </w:r>
          <w:r>
            <w:rPr>
              <w:sz w:val="21"/>
              <w:szCs w:val="21"/>
            </w:rPr>
            <w:tab/>
          </w:r>
          <w:r>
            <w:rPr>
              <w:sz w:val="21"/>
              <w:szCs w:val="21"/>
            </w:rPr>
            <w:fldChar w:fldCharType="begin"/>
          </w:r>
          <w:r>
            <w:rPr>
              <w:sz w:val="21"/>
              <w:szCs w:val="21"/>
            </w:rPr>
            <w:instrText xml:space="preserve"> PAGEREF _Toc17224 \h </w:instrText>
          </w:r>
          <w:r>
            <w:rPr>
              <w:sz w:val="21"/>
              <w:szCs w:val="21"/>
            </w:rPr>
            <w:fldChar w:fldCharType="separate"/>
          </w:r>
          <w:r>
            <w:rPr>
              <w:sz w:val="21"/>
              <w:szCs w:val="21"/>
            </w:rPr>
            <w:t>226</w:t>
          </w:r>
          <w:r>
            <w:rPr>
              <w:sz w:val="21"/>
              <w:szCs w:val="21"/>
            </w:rPr>
            <w:fldChar w:fldCharType="end"/>
          </w:r>
          <w:r>
            <w:rPr>
              <w:sz w:val="21"/>
              <w:szCs w:val="21"/>
              <w:highlight w:val="none"/>
            </w:rPr>
            <w:fldChar w:fldCharType="end"/>
          </w:r>
        </w:p>
        <w:p w14:paraId="35355A3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_Toc6268 </w:instrText>
          </w:r>
          <w:r>
            <w:rPr>
              <w:sz w:val="21"/>
              <w:szCs w:val="21"/>
              <w:highlight w:val="none"/>
            </w:rPr>
            <w:fldChar w:fldCharType="separate"/>
          </w:r>
          <w:r>
            <w:rPr>
              <w:rFonts w:hint="eastAsia"/>
              <w:sz w:val="21"/>
              <w:szCs w:val="21"/>
              <w:highlight w:val="none"/>
              <w:lang w:val="en-US" w:eastAsia="zh-CN"/>
            </w:rPr>
            <w:t>7.1.1直接经济效益分析</w:t>
          </w:r>
          <w:r>
            <w:rPr>
              <w:sz w:val="21"/>
              <w:szCs w:val="21"/>
            </w:rPr>
            <w:tab/>
          </w:r>
          <w:r>
            <w:rPr>
              <w:sz w:val="21"/>
              <w:szCs w:val="21"/>
            </w:rPr>
            <w:fldChar w:fldCharType="begin"/>
          </w:r>
          <w:r>
            <w:rPr>
              <w:sz w:val="21"/>
              <w:szCs w:val="21"/>
            </w:rPr>
            <w:instrText xml:space="preserve"> PAGEREF _Toc6268 \h </w:instrText>
          </w:r>
          <w:r>
            <w:rPr>
              <w:sz w:val="21"/>
              <w:szCs w:val="21"/>
            </w:rPr>
            <w:fldChar w:fldCharType="separate"/>
          </w:r>
          <w:r>
            <w:rPr>
              <w:sz w:val="21"/>
              <w:szCs w:val="21"/>
            </w:rPr>
            <w:t>226</w:t>
          </w:r>
          <w:r>
            <w:rPr>
              <w:sz w:val="21"/>
              <w:szCs w:val="21"/>
            </w:rPr>
            <w:fldChar w:fldCharType="end"/>
          </w:r>
          <w:r>
            <w:rPr>
              <w:sz w:val="21"/>
              <w:szCs w:val="21"/>
              <w:highlight w:val="none"/>
            </w:rPr>
            <w:fldChar w:fldCharType="end"/>
          </w:r>
        </w:p>
        <w:p w14:paraId="16390C5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_Toc14921 </w:instrText>
          </w:r>
          <w:r>
            <w:rPr>
              <w:sz w:val="21"/>
              <w:szCs w:val="21"/>
              <w:highlight w:val="none"/>
            </w:rPr>
            <w:fldChar w:fldCharType="separate"/>
          </w:r>
          <w:r>
            <w:rPr>
              <w:rFonts w:hint="eastAsia"/>
              <w:sz w:val="21"/>
              <w:szCs w:val="21"/>
              <w:highlight w:val="none"/>
              <w:lang w:val="en-US" w:eastAsia="zh-CN"/>
            </w:rPr>
            <w:t>7.1.2间接经济损益分析</w:t>
          </w:r>
          <w:r>
            <w:rPr>
              <w:sz w:val="21"/>
              <w:szCs w:val="21"/>
            </w:rPr>
            <w:tab/>
          </w:r>
          <w:r>
            <w:rPr>
              <w:sz w:val="21"/>
              <w:szCs w:val="21"/>
            </w:rPr>
            <w:fldChar w:fldCharType="begin"/>
          </w:r>
          <w:r>
            <w:rPr>
              <w:sz w:val="21"/>
              <w:szCs w:val="21"/>
            </w:rPr>
            <w:instrText xml:space="preserve"> PAGEREF _Toc14921 \h </w:instrText>
          </w:r>
          <w:r>
            <w:rPr>
              <w:sz w:val="21"/>
              <w:szCs w:val="21"/>
            </w:rPr>
            <w:fldChar w:fldCharType="separate"/>
          </w:r>
          <w:r>
            <w:rPr>
              <w:sz w:val="21"/>
              <w:szCs w:val="21"/>
            </w:rPr>
            <w:t>226</w:t>
          </w:r>
          <w:r>
            <w:rPr>
              <w:sz w:val="21"/>
              <w:szCs w:val="21"/>
            </w:rPr>
            <w:fldChar w:fldCharType="end"/>
          </w:r>
          <w:r>
            <w:rPr>
              <w:sz w:val="21"/>
              <w:szCs w:val="21"/>
              <w:highlight w:val="none"/>
            </w:rPr>
            <w:fldChar w:fldCharType="end"/>
          </w:r>
        </w:p>
        <w:p w14:paraId="13CA96EF">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_Toc27673 </w:instrText>
          </w:r>
          <w:r>
            <w:rPr>
              <w:sz w:val="21"/>
              <w:szCs w:val="21"/>
              <w:highlight w:val="none"/>
            </w:rPr>
            <w:fldChar w:fldCharType="separate"/>
          </w:r>
          <w:r>
            <w:rPr>
              <w:rFonts w:hint="eastAsia"/>
              <w:sz w:val="21"/>
              <w:szCs w:val="21"/>
              <w:highlight w:val="none"/>
              <w:lang w:val="en-US" w:eastAsia="zh-CN"/>
            </w:rPr>
            <w:t>7.2社会效益分析</w:t>
          </w:r>
          <w:r>
            <w:rPr>
              <w:sz w:val="21"/>
              <w:szCs w:val="21"/>
            </w:rPr>
            <w:tab/>
          </w:r>
          <w:r>
            <w:rPr>
              <w:sz w:val="21"/>
              <w:szCs w:val="21"/>
            </w:rPr>
            <w:fldChar w:fldCharType="begin"/>
          </w:r>
          <w:r>
            <w:rPr>
              <w:sz w:val="21"/>
              <w:szCs w:val="21"/>
            </w:rPr>
            <w:instrText xml:space="preserve"> PAGEREF _Toc27673 \h </w:instrText>
          </w:r>
          <w:r>
            <w:rPr>
              <w:sz w:val="21"/>
              <w:szCs w:val="21"/>
            </w:rPr>
            <w:fldChar w:fldCharType="separate"/>
          </w:r>
          <w:r>
            <w:rPr>
              <w:sz w:val="21"/>
              <w:szCs w:val="21"/>
            </w:rPr>
            <w:t>226</w:t>
          </w:r>
          <w:r>
            <w:rPr>
              <w:sz w:val="21"/>
              <w:szCs w:val="21"/>
            </w:rPr>
            <w:fldChar w:fldCharType="end"/>
          </w:r>
          <w:r>
            <w:rPr>
              <w:sz w:val="21"/>
              <w:szCs w:val="21"/>
              <w:highlight w:val="none"/>
            </w:rPr>
            <w:fldChar w:fldCharType="end"/>
          </w:r>
        </w:p>
        <w:p w14:paraId="3886E63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_Toc24242 </w:instrText>
          </w:r>
          <w:r>
            <w:rPr>
              <w:sz w:val="21"/>
              <w:szCs w:val="21"/>
              <w:highlight w:val="none"/>
            </w:rPr>
            <w:fldChar w:fldCharType="separate"/>
          </w:r>
          <w:r>
            <w:rPr>
              <w:rFonts w:hint="eastAsia"/>
              <w:sz w:val="21"/>
              <w:szCs w:val="21"/>
              <w:highlight w:val="none"/>
              <w:lang w:val="en-US" w:eastAsia="zh-CN"/>
            </w:rPr>
            <w:t>7.3环境效益分析</w:t>
          </w:r>
          <w:r>
            <w:rPr>
              <w:sz w:val="21"/>
              <w:szCs w:val="21"/>
            </w:rPr>
            <w:tab/>
          </w:r>
          <w:r>
            <w:rPr>
              <w:sz w:val="21"/>
              <w:szCs w:val="21"/>
            </w:rPr>
            <w:fldChar w:fldCharType="begin"/>
          </w:r>
          <w:r>
            <w:rPr>
              <w:sz w:val="21"/>
              <w:szCs w:val="21"/>
            </w:rPr>
            <w:instrText xml:space="preserve"> PAGEREF _Toc24242 \h </w:instrText>
          </w:r>
          <w:r>
            <w:rPr>
              <w:sz w:val="21"/>
              <w:szCs w:val="21"/>
            </w:rPr>
            <w:fldChar w:fldCharType="separate"/>
          </w:r>
          <w:r>
            <w:rPr>
              <w:sz w:val="21"/>
              <w:szCs w:val="21"/>
            </w:rPr>
            <w:t>227</w:t>
          </w:r>
          <w:r>
            <w:rPr>
              <w:sz w:val="21"/>
              <w:szCs w:val="21"/>
            </w:rPr>
            <w:fldChar w:fldCharType="end"/>
          </w:r>
          <w:r>
            <w:rPr>
              <w:sz w:val="21"/>
              <w:szCs w:val="21"/>
              <w:highlight w:val="none"/>
            </w:rPr>
            <w:fldChar w:fldCharType="end"/>
          </w:r>
        </w:p>
        <w:p w14:paraId="1BCE14A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_Toc17853 </w:instrText>
          </w:r>
          <w:r>
            <w:rPr>
              <w:sz w:val="21"/>
              <w:szCs w:val="21"/>
              <w:highlight w:val="none"/>
            </w:rPr>
            <w:fldChar w:fldCharType="separate"/>
          </w:r>
          <w:r>
            <w:rPr>
              <w:rFonts w:hint="eastAsia"/>
              <w:sz w:val="21"/>
              <w:szCs w:val="21"/>
              <w:highlight w:val="none"/>
              <w:lang w:val="en-US" w:eastAsia="zh-CN"/>
            </w:rPr>
            <w:t>7.4小结</w:t>
          </w:r>
          <w:r>
            <w:rPr>
              <w:sz w:val="21"/>
              <w:szCs w:val="21"/>
            </w:rPr>
            <w:tab/>
          </w:r>
          <w:r>
            <w:rPr>
              <w:sz w:val="21"/>
              <w:szCs w:val="21"/>
            </w:rPr>
            <w:fldChar w:fldCharType="begin"/>
          </w:r>
          <w:r>
            <w:rPr>
              <w:sz w:val="21"/>
              <w:szCs w:val="21"/>
            </w:rPr>
            <w:instrText xml:space="preserve"> PAGEREF _Toc17853 \h </w:instrText>
          </w:r>
          <w:r>
            <w:rPr>
              <w:sz w:val="21"/>
              <w:szCs w:val="21"/>
            </w:rPr>
            <w:fldChar w:fldCharType="separate"/>
          </w:r>
          <w:r>
            <w:rPr>
              <w:sz w:val="21"/>
              <w:szCs w:val="21"/>
            </w:rPr>
            <w:t>228</w:t>
          </w:r>
          <w:r>
            <w:rPr>
              <w:sz w:val="21"/>
              <w:szCs w:val="21"/>
            </w:rPr>
            <w:fldChar w:fldCharType="end"/>
          </w:r>
          <w:r>
            <w:rPr>
              <w:sz w:val="21"/>
              <w:szCs w:val="21"/>
              <w:highlight w:val="none"/>
            </w:rPr>
            <w:fldChar w:fldCharType="end"/>
          </w:r>
        </w:p>
        <w:p w14:paraId="5B42C839">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_Toc3917 </w:instrText>
          </w:r>
          <w:r>
            <w:rPr>
              <w:sz w:val="21"/>
              <w:szCs w:val="21"/>
              <w:highlight w:val="none"/>
            </w:rPr>
            <w:fldChar w:fldCharType="separate"/>
          </w:r>
          <w:r>
            <w:rPr>
              <w:rFonts w:hint="eastAsia"/>
              <w:sz w:val="21"/>
              <w:szCs w:val="21"/>
              <w:highlight w:val="none"/>
              <w:lang w:val="en-US" w:eastAsia="zh-CN"/>
            </w:rPr>
            <w:t>8环境管理与监测计划</w:t>
          </w:r>
          <w:r>
            <w:rPr>
              <w:sz w:val="21"/>
              <w:szCs w:val="21"/>
            </w:rPr>
            <w:tab/>
          </w:r>
          <w:r>
            <w:rPr>
              <w:sz w:val="21"/>
              <w:szCs w:val="21"/>
            </w:rPr>
            <w:fldChar w:fldCharType="begin"/>
          </w:r>
          <w:r>
            <w:rPr>
              <w:sz w:val="21"/>
              <w:szCs w:val="21"/>
            </w:rPr>
            <w:instrText xml:space="preserve"> PAGEREF _Toc3917 \h </w:instrText>
          </w:r>
          <w:r>
            <w:rPr>
              <w:sz w:val="21"/>
              <w:szCs w:val="21"/>
            </w:rPr>
            <w:fldChar w:fldCharType="separate"/>
          </w:r>
          <w:r>
            <w:rPr>
              <w:sz w:val="21"/>
              <w:szCs w:val="21"/>
            </w:rPr>
            <w:t>229</w:t>
          </w:r>
          <w:r>
            <w:rPr>
              <w:sz w:val="21"/>
              <w:szCs w:val="21"/>
            </w:rPr>
            <w:fldChar w:fldCharType="end"/>
          </w:r>
          <w:r>
            <w:rPr>
              <w:sz w:val="21"/>
              <w:szCs w:val="21"/>
              <w:highlight w:val="none"/>
            </w:rPr>
            <w:fldChar w:fldCharType="end"/>
          </w:r>
        </w:p>
        <w:p w14:paraId="49E0BDFF">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_Toc17657 </w:instrText>
          </w:r>
          <w:r>
            <w:rPr>
              <w:sz w:val="21"/>
              <w:szCs w:val="21"/>
              <w:highlight w:val="none"/>
            </w:rPr>
            <w:fldChar w:fldCharType="separate"/>
          </w:r>
          <w:r>
            <w:rPr>
              <w:rFonts w:hint="eastAsia"/>
              <w:sz w:val="21"/>
              <w:szCs w:val="21"/>
              <w:highlight w:val="none"/>
              <w:lang w:val="en-US" w:eastAsia="zh-CN"/>
            </w:rPr>
            <w:t>8.1环境管理计划</w:t>
          </w:r>
          <w:r>
            <w:rPr>
              <w:sz w:val="21"/>
              <w:szCs w:val="21"/>
            </w:rPr>
            <w:tab/>
          </w:r>
          <w:r>
            <w:rPr>
              <w:sz w:val="21"/>
              <w:szCs w:val="21"/>
            </w:rPr>
            <w:fldChar w:fldCharType="begin"/>
          </w:r>
          <w:r>
            <w:rPr>
              <w:sz w:val="21"/>
              <w:szCs w:val="21"/>
            </w:rPr>
            <w:instrText xml:space="preserve"> PAGEREF _Toc17657 \h </w:instrText>
          </w:r>
          <w:r>
            <w:rPr>
              <w:sz w:val="21"/>
              <w:szCs w:val="21"/>
            </w:rPr>
            <w:fldChar w:fldCharType="separate"/>
          </w:r>
          <w:r>
            <w:rPr>
              <w:sz w:val="21"/>
              <w:szCs w:val="21"/>
            </w:rPr>
            <w:t>229</w:t>
          </w:r>
          <w:r>
            <w:rPr>
              <w:sz w:val="21"/>
              <w:szCs w:val="21"/>
            </w:rPr>
            <w:fldChar w:fldCharType="end"/>
          </w:r>
          <w:r>
            <w:rPr>
              <w:sz w:val="21"/>
              <w:szCs w:val="21"/>
              <w:highlight w:val="none"/>
            </w:rPr>
            <w:fldChar w:fldCharType="end"/>
          </w:r>
        </w:p>
        <w:p w14:paraId="484C9AE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_Toc395 </w:instrText>
          </w:r>
          <w:r>
            <w:rPr>
              <w:sz w:val="21"/>
              <w:szCs w:val="21"/>
              <w:highlight w:val="none"/>
            </w:rPr>
            <w:fldChar w:fldCharType="separate"/>
          </w:r>
          <w:r>
            <w:rPr>
              <w:rFonts w:hint="eastAsia"/>
              <w:sz w:val="21"/>
              <w:szCs w:val="21"/>
              <w:highlight w:val="none"/>
              <w:lang w:val="en-US" w:eastAsia="zh-CN"/>
            </w:rPr>
            <w:t>8.1.1环境管理的意义</w:t>
          </w:r>
          <w:r>
            <w:rPr>
              <w:sz w:val="21"/>
              <w:szCs w:val="21"/>
            </w:rPr>
            <w:tab/>
          </w:r>
          <w:r>
            <w:rPr>
              <w:sz w:val="21"/>
              <w:szCs w:val="21"/>
            </w:rPr>
            <w:fldChar w:fldCharType="begin"/>
          </w:r>
          <w:r>
            <w:rPr>
              <w:sz w:val="21"/>
              <w:szCs w:val="21"/>
            </w:rPr>
            <w:instrText xml:space="preserve"> PAGEREF _Toc395 \h </w:instrText>
          </w:r>
          <w:r>
            <w:rPr>
              <w:sz w:val="21"/>
              <w:szCs w:val="21"/>
            </w:rPr>
            <w:fldChar w:fldCharType="separate"/>
          </w:r>
          <w:r>
            <w:rPr>
              <w:sz w:val="21"/>
              <w:szCs w:val="21"/>
            </w:rPr>
            <w:t>229</w:t>
          </w:r>
          <w:r>
            <w:rPr>
              <w:sz w:val="21"/>
              <w:szCs w:val="21"/>
            </w:rPr>
            <w:fldChar w:fldCharType="end"/>
          </w:r>
          <w:r>
            <w:rPr>
              <w:sz w:val="21"/>
              <w:szCs w:val="21"/>
              <w:highlight w:val="none"/>
            </w:rPr>
            <w:fldChar w:fldCharType="end"/>
          </w:r>
        </w:p>
        <w:p w14:paraId="6758B862">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_Toc13567 </w:instrText>
          </w:r>
          <w:r>
            <w:rPr>
              <w:sz w:val="21"/>
              <w:szCs w:val="21"/>
              <w:highlight w:val="none"/>
            </w:rPr>
            <w:fldChar w:fldCharType="separate"/>
          </w:r>
          <w:r>
            <w:rPr>
              <w:rFonts w:hint="eastAsia"/>
              <w:sz w:val="21"/>
              <w:szCs w:val="21"/>
              <w:highlight w:val="none"/>
              <w:lang w:val="en-US" w:eastAsia="zh-CN"/>
            </w:rPr>
            <w:t>8.1.2</w:t>
          </w:r>
          <w:r>
            <w:rPr>
              <w:rFonts w:ascii="Times New Roman" w:hAnsi="Times New Roman"/>
              <w:sz w:val="21"/>
              <w:szCs w:val="21"/>
              <w:highlight w:val="none"/>
            </w:rPr>
            <w:t>环境管理组织机构</w:t>
          </w:r>
          <w:r>
            <w:rPr>
              <w:sz w:val="21"/>
              <w:szCs w:val="21"/>
            </w:rPr>
            <w:tab/>
          </w:r>
          <w:r>
            <w:rPr>
              <w:sz w:val="21"/>
              <w:szCs w:val="21"/>
            </w:rPr>
            <w:fldChar w:fldCharType="begin"/>
          </w:r>
          <w:r>
            <w:rPr>
              <w:sz w:val="21"/>
              <w:szCs w:val="21"/>
            </w:rPr>
            <w:instrText xml:space="preserve"> PAGEREF _Toc13567 \h </w:instrText>
          </w:r>
          <w:r>
            <w:rPr>
              <w:sz w:val="21"/>
              <w:szCs w:val="21"/>
            </w:rPr>
            <w:fldChar w:fldCharType="separate"/>
          </w:r>
          <w:r>
            <w:rPr>
              <w:sz w:val="21"/>
              <w:szCs w:val="21"/>
            </w:rPr>
            <w:t>230</w:t>
          </w:r>
          <w:r>
            <w:rPr>
              <w:sz w:val="21"/>
              <w:szCs w:val="21"/>
            </w:rPr>
            <w:fldChar w:fldCharType="end"/>
          </w:r>
          <w:r>
            <w:rPr>
              <w:sz w:val="21"/>
              <w:szCs w:val="21"/>
              <w:highlight w:val="none"/>
            </w:rPr>
            <w:fldChar w:fldCharType="end"/>
          </w:r>
        </w:p>
        <w:p w14:paraId="3A986B3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_Toc6490 </w:instrText>
          </w:r>
          <w:r>
            <w:rPr>
              <w:sz w:val="21"/>
              <w:szCs w:val="21"/>
              <w:highlight w:val="none"/>
            </w:rPr>
            <w:fldChar w:fldCharType="separate"/>
          </w:r>
          <w:r>
            <w:rPr>
              <w:rFonts w:hint="eastAsia"/>
              <w:sz w:val="21"/>
              <w:szCs w:val="21"/>
              <w:highlight w:val="none"/>
              <w:lang w:val="en-US" w:eastAsia="zh-CN"/>
            </w:rPr>
            <w:t>8.1.3环境管理职责</w:t>
          </w:r>
          <w:r>
            <w:rPr>
              <w:sz w:val="21"/>
              <w:szCs w:val="21"/>
            </w:rPr>
            <w:tab/>
          </w:r>
          <w:r>
            <w:rPr>
              <w:sz w:val="21"/>
              <w:szCs w:val="21"/>
            </w:rPr>
            <w:fldChar w:fldCharType="begin"/>
          </w:r>
          <w:r>
            <w:rPr>
              <w:sz w:val="21"/>
              <w:szCs w:val="21"/>
            </w:rPr>
            <w:instrText xml:space="preserve"> PAGEREF _Toc6490 \h </w:instrText>
          </w:r>
          <w:r>
            <w:rPr>
              <w:sz w:val="21"/>
              <w:szCs w:val="21"/>
            </w:rPr>
            <w:fldChar w:fldCharType="separate"/>
          </w:r>
          <w:r>
            <w:rPr>
              <w:sz w:val="21"/>
              <w:szCs w:val="21"/>
            </w:rPr>
            <w:t>230</w:t>
          </w:r>
          <w:r>
            <w:rPr>
              <w:sz w:val="21"/>
              <w:szCs w:val="21"/>
            </w:rPr>
            <w:fldChar w:fldCharType="end"/>
          </w:r>
          <w:r>
            <w:rPr>
              <w:sz w:val="21"/>
              <w:szCs w:val="21"/>
              <w:highlight w:val="none"/>
            </w:rPr>
            <w:fldChar w:fldCharType="end"/>
          </w:r>
        </w:p>
        <w:p w14:paraId="6CFE7DB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_Toc408 </w:instrText>
          </w:r>
          <w:r>
            <w:rPr>
              <w:sz w:val="21"/>
              <w:szCs w:val="21"/>
              <w:highlight w:val="none"/>
            </w:rPr>
            <w:fldChar w:fldCharType="separate"/>
          </w:r>
          <w:r>
            <w:rPr>
              <w:rFonts w:hint="eastAsia"/>
              <w:sz w:val="21"/>
              <w:szCs w:val="21"/>
              <w:highlight w:val="none"/>
              <w:lang w:val="en-US" w:eastAsia="zh-CN"/>
            </w:rPr>
            <w:t>8.1.4环境管理内容</w:t>
          </w:r>
          <w:r>
            <w:rPr>
              <w:sz w:val="21"/>
              <w:szCs w:val="21"/>
            </w:rPr>
            <w:tab/>
          </w:r>
          <w:r>
            <w:rPr>
              <w:sz w:val="21"/>
              <w:szCs w:val="21"/>
            </w:rPr>
            <w:fldChar w:fldCharType="begin"/>
          </w:r>
          <w:r>
            <w:rPr>
              <w:sz w:val="21"/>
              <w:szCs w:val="21"/>
            </w:rPr>
            <w:instrText xml:space="preserve"> PAGEREF _Toc408 \h </w:instrText>
          </w:r>
          <w:r>
            <w:rPr>
              <w:sz w:val="21"/>
              <w:szCs w:val="21"/>
            </w:rPr>
            <w:fldChar w:fldCharType="separate"/>
          </w:r>
          <w:r>
            <w:rPr>
              <w:sz w:val="21"/>
              <w:szCs w:val="21"/>
            </w:rPr>
            <w:t>231</w:t>
          </w:r>
          <w:r>
            <w:rPr>
              <w:sz w:val="21"/>
              <w:szCs w:val="21"/>
            </w:rPr>
            <w:fldChar w:fldCharType="end"/>
          </w:r>
          <w:r>
            <w:rPr>
              <w:sz w:val="21"/>
              <w:szCs w:val="21"/>
              <w:highlight w:val="none"/>
            </w:rPr>
            <w:fldChar w:fldCharType="end"/>
          </w:r>
        </w:p>
        <w:p w14:paraId="66F605C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_Toc5279 </w:instrText>
          </w:r>
          <w:r>
            <w:rPr>
              <w:sz w:val="21"/>
              <w:szCs w:val="21"/>
              <w:highlight w:val="none"/>
            </w:rPr>
            <w:fldChar w:fldCharType="separate"/>
          </w:r>
          <w:r>
            <w:rPr>
              <w:rFonts w:hint="eastAsia"/>
              <w:sz w:val="21"/>
              <w:szCs w:val="21"/>
              <w:highlight w:val="none"/>
              <w:lang w:val="en-US" w:eastAsia="zh-CN"/>
            </w:rPr>
            <w:t>8.1.5污染物排放清单</w:t>
          </w:r>
          <w:r>
            <w:rPr>
              <w:sz w:val="21"/>
              <w:szCs w:val="21"/>
            </w:rPr>
            <w:tab/>
          </w:r>
          <w:r>
            <w:rPr>
              <w:sz w:val="21"/>
              <w:szCs w:val="21"/>
            </w:rPr>
            <w:fldChar w:fldCharType="begin"/>
          </w:r>
          <w:r>
            <w:rPr>
              <w:sz w:val="21"/>
              <w:szCs w:val="21"/>
            </w:rPr>
            <w:instrText xml:space="preserve"> PAGEREF _Toc5279 \h </w:instrText>
          </w:r>
          <w:r>
            <w:rPr>
              <w:sz w:val="21"/>
              <w:szCs w:val="21"/>
            </w:rPr>
            <w:fldChar w:fldCharType="separate"/>
          </w:r>
          <w:r>
            <w:rPr>
              <w:sz w:val="21"/>
              <w:szCs w:val="21"/>
            </w:rPr>
            <w:t>231</w:t>
          </w:r>
          <w:r>
            <w:rPr>
              <w:sz w:val="21"/>
              <w:szCs w:val="21"/>
            </w:rPr>
            <w:fldChar w:fldCharType="end"/>
          </w:r>
          <w:r>
            <w:rPr>
              <w:sz w:val="21"/>
              <w:szCs w:val="21"/>
              <w:highlight w:val="none"/>
            </w:rPr>
            <w:fldChar w:fldCharType="end"/>
          </w:r>
        </w:p>
        <w:p w14:paraId="24836643">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_Toc5428 </w:instrText>
          </w:r>
          <w:r>
            <w:rPr>
              <w:sz w:val="21"/>
              <w:szCs w:val="21"/>
              <w:highlight w:val="none"/>
            </w:rPr>
            <w:fldChar w:fldCharType="separate"/>
          </w:r>
          <w:r>
            <w:rPr>
              <w:rFonts w:hint="eastAsia"/>
              <w:sz w:val="21"/>
              <w:szCs w:val="21"/>
              <w:highlight w:val="none"/>
              <w:lang w:val="en-US" w:eastAsia="zh-CN"/>
            </w:rPr>
            <w:t>8.2污染物排放情况</w:t>
          </w:r>
          <w:r>
            <w:rPr>
              <w:sz w:val="21"/>
              <w:szCs w:val="21"/>
            </w:rPr>
            <w:tab/>
          </w:r>
          <w:r>
            <w:rPr>
              <w:sz w:val="21"/>
              <w:szCs w:val="21"/>
            </w:rPr>
            <w:fldChar w:fldCharType="begin"/>
          </w:r>
          <w:r>
            <w:rPr>
              <w:sz w:val="21"/>
              <w:szCs w:val="21"/>
            </w:rPr>
            <w:instrText xml:space="preserve"> PAGEREF _Toc5428 \h </w:instrText>
          </w:r>
          <w:r>
            <w:rPr>
              <w:sz w:val="21"/>
              <w:szCs w:val="21"/>
            </w:rPr>
            <w:fldChar w:fldCharType="separate"/>
          </w:r>
          <w:r>
            <w:rPr>
              <w:sz w:val="21"/>
              <w:szCs w:val="21"/>
            </w:rPr>
            <w:t>234</w:t>
          </w:r>
          <w:r>
            <w:rPr>
              <w:sz w:val="21"/>
              <w:szCs w:val="21"/>
            </w:rPr>
            <w:fldChar w:fldCharType="end"/>
          </w:r>
          <w:r>
            <w:rPr>
              <w:sz w:val="21"/>
              <w:szCs w:val="21"/>
              <w:highlight w:val="none"/>
            </w:rPr>
            <w:fldChar w:fldCharType="end"/>
          </w:r>
        </w:p>
        <w:p w14:paraId="74520F66">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_Toc20394 </w:instrText>
          </w:r>
          <w:r>
            <w:rPr>
              <w:sz w:val="21"/>
              <w:szCs w:val="21"/>
              <w:highlight w:val="none"/>
            </w:rPr>
            <w:fldChar w:fldCharType="separate"/>
          </w:r>
          <w:r>
            <w:rPr>
              <w:rFonts w:hint="default" w:ascii="Times New Roman" w:hAnsi="Times New Roman" w:cs="Times New Roman"/>
              <w:sz w:val="21"/>
              <w:szCs w:val="21"/>
              <w:highlight w:val="none"/>
              <w:lang w:val="en-US" w:eastAsia="zh-CN"/>
            </w:rPr>
            <w:t>8.2.1</w:t>
          </w:r>
          <w:r>
            <w:rPr>
              <w:rFonts w:hint="eastAsia"/>
              <w:sz w:val="21"/>
              <w:szCs w:val="21"/>
              <w:highlight w:val="none"/>
              <w:lang w:val="en-US" w:eastAsia="zh-CN"/>
            </w:rPr>
            <w:t>污染源排放管理要求</w:t>
          </w:r>
          <w:r>
            <w:rPr>
              <w:sz w:val="21"/>
              <w:szCs w:val="21"/>
            </w:rPr>
            <w:tab/>
          </w:r>
          <w:r>
            <w:rPr>
              <w:sz w:val="21"/>
              <w:szCs w:val="21"/>
            </w:rPr>
            <w:fldChar w:fldCharType="begin"/>
          </w:r>
          <w:r>
            <w:rPr>
              <w:sz w:val="21"/>
              <w:szCs w:val="21"/>
            </w:rPr>
            <w:instrText xml:space="preserve"> PAGEREF _Toc20394 \h </w:instrText>
          </w:r>
          <w:r>
            <w:rPr>
              <w:sz w:val="21"/>
              <w:szCs w:val="21"/>
            </w:rPr>
            <w:fldChar w:fldCharType="separate"/>
          </w:r>
          <w:r>
            <w:rPr>
              <w:sz w:val="21"/>
              <w:szCs w:val="21"/>
            </w:rPr>
            <w:t>234</w:t>
          </w:r>
          <w:r>
            <w:rPr>
              <w:sz w:val="21"/>
              <w:szCs w:val="21"/>
            </w:rPr>
            <w:fldChar w:fldCharType="end"/>
          </w:r>
          <w:r>
            <w:rPr>
              <w:sz w:val="21"/>
              <w:szCs w:val="21"/>
              <w:highlight w:val="none"/>
            </w:rPr>
            <w:fldChar w:fldCharType="end"/>
          </w:r>
        </w:p>
        <w:p w14:paraId="1836C4D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_Toc28693 </w:instrText>
          </w:r>
          <w:r>
            <w:rPr>
              <w:sz w:val="21"/>
              <w:szCs w:val="21"/>
              <w:highlight w:val="none"/>
            </w:rPr>
            <w:fldChar w:fldCharType="separate"/>
          </w:r>
          <w:r>
            <w:rPr>
              <w:rFonts w:hint="default" w:ascii="Times New Roman" w:hAnsi="Times New Roman" w:cs="Times New Roman"/>
              <w:sz w:val="21"/>
              <w:szCs w:val="21"/>
              <w:highlight w:val="none"/>
              <w:lang w:val="en-US" w:eastAsia="zh-CN"/>
            </w:rPr>
            <w:t>8.2.2</w:t>
          </w:r>
          <w:r>
            <w:rPr>
              <w:rFonts w:hint="eastAsia"/>
              <w:sz w:val="21"/>
              <w:szCs w:val="21"/>
              <w:highlight w:val="none"/>
              <w:lang w:val="en-US" w:eastAsia="zh-CN"/>
            </w:rPr>
            <w:t>污染物排放总量控制分析</w:t>
          </w:r>
          <w:r>
            <w:rPr>
              <w:sz w:val="21"/>
              <w:szCs w:val="21"/>
            </w:rPr>
            <w:tab/>
          </w:r>
          <w:r>
            <w:rPr>
              <w:sz w:val="21"/>
              <w:szCs w:val="21"/>
            </w:rPr>
            <w:fldChar w:fldCharType="begin"/>
          </w:r>
          <w:r>
            <w:rPr>
              <w:sz w:val="21"/>
              <w:szCs w:val="21"/>
            </w:rPr>
            <w:instrText xml:space="preserve"> PAGEREF _Toc28693 \h </w:instrText>
          </w:r>
          <w:r>
            <w:rPr>
              <w:sz w:val="21"/>
              <w:szCs w:val="21"/>
            </w:rPr>
            <w:fldChar w:fldCharType="separate"/>
          </w:r>
          <w:r>
            <w:rPr>
              <w:sz w:val="21"/>
              <w:szCs w:val="21"/>
            </w:rPr>
            <w:t>234</w:t>
          </w:r>
          <w:r>
            <w:rPr>
              <w:sz w:val="21"/>
              <w:szCs w:val="21"/>
            </w:rPr>
            <w:fldChar w:fldCharType="end"/>
          </w:r>
          <w:r>
            <w:rPr>
              <w:sz w:val="21"/>
              <w:szCs w:val="21"/>
              <w:highlight w:val="none"/>
            </w:rPr>
            <w:fldChar w:fldCharType="end"/>
          </w:r>
        </w:p>
        <w:p w14:paraId="26F31BA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_Toc21020 </w:instrText>
          </w:r>
          <w:r>
            <w:rPr>
              <w:sz w:val="21"/>
              <w:szCs w:val="21"/>
              <w:highlight w:val="none"/>
            </w:rPr>
            <w:fldChar w:fldCharType="separate"/>
          </w:r>
          <w:r>
            <w:rPr>
              <w:rFonts w:hint="default" w:ascii="Times New Roman" w:hAnsi="Times New Roman" w:cs="Times New Roman"/>
              <w:sz w:val="21"/>
              <w:szCs w:val="21"/>
              <w:highlight w:val="none"/>
              <w:lang w:val="en-US" w:eastAsia="zh-CN"/>
            </w:rPr>
            <w:t>8.2.3</w:t>
          </w:r>
          <w:r>
            <w:rPr>
              <w:rFonts w:hint="eastAsia"/>
              <w:sz w:val="21"/>
              <w:szCs w:val="21"/>
              <w:highlight w:val="none"/>
              <w:lang w:val="en-US" w:eastAsia="zh-CN"/>
            </w:rPr>
            <w:t>项目污染物排放“三本账”分析</w:t>
          </w:r>
          <w:r>
            <w:rPr>
              <w:sz w:val="21"/>
              <w:szCs w:val="21"/>
            </w:rPr>
            <w:tab/>
          </w:r>
          <w:r>
            <w:rPr>
              <w:sz w:val="21"/>
              <w:szCs w:val="21"/>
            </w:rPr>
            <w:fldChar w:fldCharType="begin"/>
          </w:r>
          <w:r>
            <w:rPr>
              <w:sz w:val="21"/>
              <w:szCs w:val="21"/>
            </w:rPr>
            <w:instrText xml:space="preserve"> PAGEREF _Toc21020 \h </w:instrText>
          </w:r>
          <w:r>
            <w:rPr>
              <w:sz w:val="21"/>
              <w:szCs w:val="21"/>
            </w:rPr>
            <w:fldChar w:fldCharType="separate"/>
          </w:r>
          <w:r>
            <w:rPr>
              <w:sz w:val="21"/>
              <w:szCs w:val="21"/>
            </w:rPr>
            <w:t>235</w:t>
          </w:r>
          <w:r>
            <w:rPr>
              <w:sz w:val="21"/>
              <w:szCs w:val="21"/>
            </w:rPr>
            <w:fldChar w:fldCharType="end"/>
          </w:r>
          <w:r>
            <w:rPr>
              <w:sz w:val="21"/>
              <w:szCs w:val="21"/>
              <w:highlight w:val="none"/>
            </w:rPr>
            <w:fldChar w:fldCharType="end"/>
          </w:r>
        </w:p>
        <w:p w14:paraId="394CC8CB">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_Toc2588 </w:instrText>
          </w:r>
          <w:r>
            <w:rPr>
              <w:sz w:val="21"/>
              <w:szCs w:val="21"/>
              <w:highlight w:val="none"/>
            </w:rPr>
            <w:fldChar w:fldCharType="separate"/>
          </w:r>
          <w:r>
            <w:rPr>
              <w:rFonts w:hint="eastAsia"/>
              <w:sz w:val="21"/>
              <w:szCs w:val="21"/>
              <w:highlight w:val="none"/>
              <w:lang w:val="en-US" w:eastAsia="zh-CN"/>
            </w:rPr>
            <w:t>8.3环境监测计划</w:t>
          </w:r>
          <w:r>
            <w:rPr>
              <w:sz w:val="21"/>
              <w:szCs w:val="21"/>
            </w:rPr>
            <w:tab/>
          </w:r>
          <w:r>
            <w:rPr>
              <w:sz w:val="21"/>
              <w:szCs w:val="21"/>
            </w:rPr>
            <w:fldChar w:fldCharType="begin"/>
          </w:r>
          <w:r>
            <w:rPr>
              <w:sz w:val="21"/>
              <w:szCs w:val="21"/>
            </w:rPr>
            <w:instrText xml:space="preserve"> PAGEREF _Toc2588 \h </w:instrText>
          </w:r>
          <w:r>
            <w:rPr>
              <w:sz w:val="21"/>
              <w:szCs w:val="21"/>
            </w:rPr>
            <w:fldChar w:fldCharType="separate"/>
          </w:r>
          <w:r>
            <w:rPr>
              <w:sz w:val="21"/>
              <w:szCs w:val="21"/>
            </w:rPr>
            <w:t>235</w:t>
          </w:r>
          <w:r>
            <w:rPr>
              <w:sz w:val="21"/>
              <w:szCs w:val="21"/>
            </w:rPr>
            <w:fldChar w:fldCharType="end"/>
          </w:r>
          <w:r>
            <w:rPr>
              <w:sz w:val="21"/>
              <w:szCs w:val="21"/>
              <w:highlight w:val="none"/>
            </w:rPr>
            <w:fldChar w:fldCharType="end"/>
          </w:r>
        </w:p>
        <w:p w14:paraId="31DB6AD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_Toc4113 </w:instrText>
          </w:r>
          <w:r>
            <w:rPr>
              <w:sz w:val="21"/>
              <w:szCs w:val="21"/>
              <w:highlight w:val="none"/>
            </w:rPr>
            <w:fldChar w:fldCharType="separate"/>
          </w:r>
          <w:r>
            <w:rPr>
              <w:rFonts w:hint="default" w:ascii="Times New Roman" w:hAnsi="Times New Roman" w:cs="Times New Roman"/>
              <w:sz w:val="21"/>
              <w:szCs w:val="21"/>
              <w:highlight w:val="none"/>
              <w:lang w:val="en-US" w:eastAsia="zh-CN"/>
            </w:rPr>
            <w:t>8.3.1</w:t>
          </w:r>
          <w:r>
            <w:rPr>
              <w:rFonts w:hint="eastAsia"/>
              <w:sz w:val="21"/>
              <w:szCs w:val="21"/>
              <w:highlight w:val="none"/>
              <w:lang w:val="en-US" w:eastAsia="zh-CN"/>
            </w:rPr>
            <w:t>环境监测意义</w:t>
          </w:r>
          <w:r>
            <w:rPr>
              <w:sz w:val="21"/>
              <w:szCs w:val="21"/>
            </w:rPr>
            <w:tab/>
          </w:r>
          <w:r>
            <w:rPr>
              <w:sz w:val="21"/>
              <w:szCs w:val="21"/>
            </w:rPr>
            <w:fldChar w:fldCharType="begin"/>
          </w:r>
          <w:r>
            <w:rPr>
              <w:sz w:val="21"/>
              <w:szCs w:val="21"/>
            </w:rPr>
            <w:instrText xml:space="preserve"> PAGEREF _Toc4113 \h </w:instrText>
          </w:r>
          <w:r>
            <w:rPr>
              <w:sz w:val="21"/>
              <w:szCs w:val="21"/>
            </w:rPr>
            <w:fldChar w:fldCharType="separate"/>
          </w:r>
          <w:r>
            <w:rPr>
              <w:sz w:val="21"/>
              <w:szCs w:val="21"/>
            </w:rPr>
            <w:t>235</w:t>
          </w:r>
          <w:r>
            <w:rPr>
              <w:sz w:val="21"/>
              <w:szCs w:val="21"/>
            </w:rPr>
            <w:fldChar w:fldCharType="end"/>
          </w:r>
          <w:r>
            <w:rPr>
              <w:sz w:val="21"/>
              <w:szCs w:val="21"/>
              <w:highlight w:val="none"/>
            </w:rPr>
            <w:fldChar w:fldCharType="end"/>
          </w:r>
        </w:p>
        <w:p w14:paraId="2BD96B2C">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_Toc23496 </w:instrText>
          </w:r>
          <w:r>
            <w:rPr>
              <w:sz w:val="21"/>
              <w:szCs w:val="21"/>
              <w:highlight w:val="none"/>
            </w:rPr>
            <w:fldChar w:fldCharType="separate"/>
          </w:r>
          <w:r>
            <w:rPr>
              <w:rFonts w:hint="default" w:ascii="Times New Roman" w:hAnsi="Times New Roman" w:cs="Times New Roman"/>
              <w:sz w:val="21"/>
              <w:szCs w:val="21"/>
              <w:highlight w:val="none"/>
              <w:lang w:val="en-US" w:eastAsia="zh-CN"/>
            </w:rPr>
            <w:t>8.3.2</w:t>
          </w:r>
          <w:r>
            <w:rPr>
              <w:rFonts w:hint="eastAsia"/>
              <w:sz w:val="21"/>
              <w:szCs w:val="21"/>
              <w:highlight w:val="none"/>
              <w:lang w:val="en-US" w:eastAsia="zh-CN"/>
            </w:rPr>
            <w:t>环境监测工作</w:t>
          </w:r>
          <w:r>
            <w:rPr>
              <w:sz w:val="21"/>
              <w:szCs w:val="21"/>
            </w:rPr>
            <w:tab/>
          </w:r>
          <w:r>
            <w:rPr>
              <w:sz w:val="21"/>
              <w:szCs w:val="21"/>
            </w:rPr>
            <w:fldChar w:fldCharType="begin"/>
          </w:r>
          <w:r>
            <w:rPr>
              <w:sz w:val="21"/>
              <w:szCs w:val="21"/>
            </w:rPr>
            <w:instrText xml:space="preserve"> PAGEREF _Toc23496 \h </w:instrText>
          </w:r>
          <w:r>
            <w:rPr>
              <w:sz w:val="21"/>
              <w:szCs w:val="21"/>
            </w:rPr>
            <w:fldChar w:fldCharType="separate"/>
          </w:r>
          <w:r>
            <w:rPr>
              <w:sz w:val="21"/>
              <w:szCs w:val="21"/>
            </w:rPr>
            <w:t>235</w:t>
          </w:r>
          <w:r>
            <w:rPr>
              <w:sz w:val="21"/>
              <w:szCs w:val="21"/>
            </w:rPr>
            <w:fldChar w:fldCharType="end"/>
          </w:r>
          <w:r>
            <w:rPr>
              <w:sz w:val="21"/>
              <w:szCs w:val="21"/>
              <w:highlight w:val="none"/>
            </w:rPr>
            <w:fldChar w:fldCharType="end"/>
          </w:r>
        </w:p>
        <w:p w14:paraId="7998115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_Toc27023 </w:instrText>
          </w:r>
          <w:r>
            <w:rPr>
              <w:sz w:val="21"/>
              <w:szCs w:val="21"/>
              <w:highlight w:val="none"/>
            </w:rPr>
            <w:fldChar w:fldCharType="separate"/>
          </w:r>
          <w:r>
            <w:rPr>
              <w:rFonts w:hint="default" w:ascii="Times New Roman" w:hAnsi="Times New Roman" w:cs="Times New Roman"/>
              <w:sz w:val="21"/>
              <w:szCs w:val="21"/>
              <w:highlight w:val="none"/>
              <w:lang w:val="en-US" w:eastAsia="zh-CN"/>
            </w:rPr>
            <w:t>8.3.3</w:t>
          </w:r>
          <w:r>
            <w:rPr>
              <w:rFonts w:hint="eastAsia"/>
              <w:sz w:val="21"/>
              <w:szCs w:val="21"/>
              <w:highlight w:val="none"/>
              <w:lang w:val="en-US" w:eastAsia="zh-CN"/>
            </w:rPr>
            <w:t>环境监测职责</w:t>
          </w:r>
          <w:r>
            <w:rPr>
              <w:sz w:val="21"/>
              <w:szCs w:val="21"/>
            </w:rPr>
            <w:tab/>
          </w:r>
          <w:r>
            <w:rPr>
              <w:sz w:val="21"/>
              <w:szCs w:val="21"/>
            </w:rPr>
            <w:fldChar w:fldCharType="begin"/>
          </w:r>
          <w:r>
            <w:rPr>
              <w:sz w:val="21"/>
              <w:szCs w:val="21"/>
            </w:rPr>
            <w:instrText xml:space="preserve"> PAGEREF _Toc27023 \h </w:instrText>
          </w:r>
          <w:r>
            <w:rPr>
              <w:sz w:val="21"/>
              <w:szCs w:val="21"/>
            </w:rPr>
            <w:fldChar w:fldCharType="separate"/>
          </w:r>
          <w:r>
            <w:rPr>
              <w:sz w:val="21"/>
              <w:szCs w:val="21"/>
            </w:rPr>
            <w:t>236</w:t>
          </w:r>
          <w:r>
            <w:rPr>
              <w:sz w:val="21"/>
              <w:szCs w:val="21"/>
            </w:rPr>
            <w:fldChar w:fldCharType="end"/>
          </w:r>
          <w:r>
            <w:rPr>
              <w:sz w:val="21"/>
              <w:szCs w:val="21"/>
              <w:highlight w:val="none"/>
            </w:rPr>
            <w:fldChar w:fldCharType="end"/>
          </w:r>
        </w:p>
        <w:p w14:paraId="5075B2A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_Toc4198 </w:instrText>
          </w:r>
          <w:r>
            <w:rPr>
              <w:sz w:val="21"/>
              <w:szCs w:val="21"/>
              <w:highlight w:val="none"/>
            </w:rPr>
            <w:fldChar w:fldCharType="separate"/>
          </w:r>
          <w:r>
            <w:rPr>
              <w:rFonts w:hint="default" w:ascii="Times New Roman" w:hAnsi="Times New Roman" w:cs="Times New Roman"/>
              <w:sz w:val="21"/>
              <w:szCs w:val="21"/>
              <w:highlight w:val="none"/>
              <w:lang w:val="en-US" w:eastAsia="zh-CN"/>
            </w:rPr>
            <w:t>8.3.4</w:t>
          </w:r>
          <w:r>
            <w:rPr>
              <w:rFonts w:hint="eastAsia"/>
              <w:sz w:val="21"/>
              <w:szCs w:val="21"/>
              <w:highlight w:val="none"/>
              <w:lang w:val="en-US" w:eastAsia="zh-CN"/>
            </w:rPr>
            <w:t>环境监理内容</w:t>
          </w:r>
          <w:r>
            <w:rPr>
              <w:sz w:val="21"/>
              <w:szCs w:val="21"/>
            </w:rPr>
            <w:tab/>
          </w:r>
          <w:r>
            <w:rPr>
              <w:sz w:val="21"/>
              <w:szCs w:val="21"/>
            </w:rPr>
            <w:fldChar w:fldCharType="begin"/>
          </w:r>
          <w:r>
            <w:rPr>
              <w:sz w:val="21"/>
              <w:szCs w:val="21"/>
            </w:rPr>
            <w:instrText xml:space="preserve"> PAGEREF _Toc4198 \h </w:instrText>
          </w:r>
          <w:r>
            <w:rPr>
              <w:sz w:val="21"/>
              <w:szCs w:val="21"/>
            </w:rPr>
            <w:fldChar w:fldCharType="separate"/>
          </w:r>
          <w:r>
            <w:rPr>
              <w:sz w:val="21"/>
              <w:szCs w:val="21"/>
            </w:rPr>
            <w:t>236</w:t>
          </w:r>
          <w:r>
            <w:rPr>
              <w:sz w:val="21"/>
              <w:szCs w:val="21"/>
            </w:rPr>
            <w:fldChar w:fldCharType="end"/>
          </w:r>
          <w:r>
            <w:rPr>
              <w:sz w:val="21"/>
              <w:szCs w:val="21"/>
              <w:highlight w:val="none"/>
            </w:rPr>
            <w:fldChar w:fldCharType="end"/>
          </w:r>
        </w:p>
        <w:p w14:paraId="25CBBDD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_Toc654 </w:instrText>
          </w:r>
          <w:r>
            <w:rPr>
              <w:sz w:val="21"/>
              <w:szCs w:val="21"/>
              <w:highlight w:val="none"/>
            </w:rPr>
            <w:fldChar w:fldCharType="separate"/>
          </w:r>
          <w:r>
            <w:rPr>
              <w:rFonts w:hint="eastAsia"/>
              <w:sz w:val="21"/>
              <w:szCs w:val="21"/>
              <w:highlight w:val="none"/>
              <w:lang w:val="en-US" w:eastAsia="zh-CN"/>
            </w:rPr>
            <w:t>8.3.5信息公开</w:t>
          </w:r>
          <w:r>
            <w:rPr>
              <w:sz w:val="21"/>
              <w:szCs w:val="21"/>
            </w:rPr>
            <w:tab/>
          </w:r>
          <w:r>
            <w:rPr>
              <w:sz w:val="21"/>
              <w:szCs w:val="21"/>
            </w:rPr>
            <w:fldChar w:fldCharType="begin"/>
          </w:r>
          <w:r>
            <w:rPr>
              <w:sz w:val="21"/>
              <w:szCs w:val="21"/>
            </w:rPr>
            <w:instrText xml:space="preserve"> PAGEREF _Toc654 \h </w:instrText>
          </w:r>
          <w:r>
            <w:rPr>
              <w:sz w:val="21"/>
              <w:szCs w:val="21"/>
            </w:rPr>
            <w:fldChar w:fldCharType="separate"/>
          </w:r>
          <w:r>
            <w:rPr>
              <w:sz w:val="21"/>
              <w:szCs w:val="21"/>
            </w:rPr>
            <w:t>237</w:t>
          </w:r>
          <w:r>
            <w:rPr>
              <w:sz w:val="21"/>
              <w:szCs w:val="21"/>
            </w:rPr>
            <w:fldChar w:fldCharType="end"/>
          </w:r>
          <w:r>
            <w:rPr>
              <w:sz w:val="21"/>
              <w:szCs w:val="21"/>
              <w:highlight w:val="none"/>
            </w:rPr>
            <w:fldChar w:fldCharType="end"/>
          </w:r>
        </w:p>
        <w:p w14:paraId="722B1916">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_Toc12930 </w:instrText>
          </w:r>
          <w:r>
            <w:rPr>
              <w:sz w:val="21"/>
              <w:szCs w:val="21"/>
              <w:highlight w:val="none"/>
            </w:rPr>
            <w:fldChar w:fldCharType="separate"/>
          </w:r>
          <w:r>
            <w:rPr>
              <w:rFonts w:hint="eastAsia"/>
              <w:sz w:val="21"/>
              <w:szCs w:val="21"/>
              <w:highlight w:val="none"/>
              <w:lang w:val="en-US" w:eastAsia="zh-CN"/>
            </w:rPr>
            <w:t>8.4排污口规范化管理</w:t>
          </w:r>
          <w:r>
            <w:rPr>
              <w:sz w:val="21"/>
              <w:szCs w:val="21"/>
            </w:rPr>
            <w:tab/>
          </w:r>
          <w:r>
            <w:rPr>
              <w:sz w:val="21"/>
              <w:szCs w:val="21"/>
            </w:rPr>
            <w:fldChar w:fldCharType="begin"/>
          </w:r>
          <w:r>
            <w:rPr>
              <w:sz w:val="21"/>
              <w:szCs w:val="21"/>
            </w:rPr>
            <w:instrText xml:space="preserve"> PAGEREF _Toc12930 \h </w:instrText>
          </w:r>
          <w:r>
            <w:rPr>
              <w:sz w:val="21"/>
              <w:szCs w:val="21"/>
            </w:rPr>
            <w:fldChar w:fldCharType="separate"/>
          </w:r>
          <w:r>
            <w:rPr>
              <w:sz w:val="21"/>
              <w:szCs w:val="21"/>
            </w:rPr>
            <w:t>238</w:t>
          </w:r>
          <w:r>
            <w:rPr>
              <w:sz w:val="21"/>
              <w:szCs w:val="21"/>
            </w:rPr>
            <w:fldChar w:fldCharType="end"/>
          </w:r>
          <w:r>
            <w:rPr>
              <w:sz w:val="21"/>
              <w:szCs w:val="21"/>
              <w:highlight w:val="none"/>
            </w:rPr>
            <w:fldChar w:fldCharType="end"/>
          </w:r>
        </w:p>
        <w:p w14:paraId="6F6AA1BB">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_Toc8207 </w:instrText>
          </w:r>
          <w:r>
            <w:rPr>
              <w:sz w:val="21"/>
              <w:szCs w:val="21"/>
              <w:highlight w:val="none"/>
            </w:rPr>
            <w:fldChar w:fldCharType="separate"/>
          </w:r>
          <w:r>
            <w:rPr>
              <w:rFonts w:hint="default" w:ascii="Times New Roman" w:hAnsi="Times New Roman" w:cs="Times New Roman"/>
              <w:sz w:val="21"/>
              <w:szCs w:val="21"/>
              <w:highlight w:val="none"/>
              <w:lang w:val="en-US" w:eastAsia="zh-CN"/>
            </w:rPr>
            <w:t>8.4.1</w:t>
          </w:r>
          <w:r>
            <w:rPr>
              <w:rFonts w:hint="eastAsia"/>
              <w:sz w:val="21"/>
              <w:szCs w:val="21"/>
              <w:highlight w:val="none"/>
              <w:lang w:val="en-US" w:eastAsia="zh-CN"/>
            </w:rPr>
            <w:t>排污口规范化管理的基本原则</w:t>
          </w:r>
          <w:r>
            <w:rPr>
              <w:sz w:val="21"/>
              <w:szCs w:val="21"/>
            </w:rPr>
            <w:tab/>
          </w:r>
          <w:r>
            <w:rPr>
              <w:sz w:val="21"/>
              <w:szCs w:val="21"/>
            </w:rPr>
            <w:fldChar w:fldCharType="begin"/>
          </w:r>
          <w:r>
            <w:rPr>
              <w:sz w:val="21"/>
              <w:szCs w:val="21"/>
            </w:rPr>
            <w:instrText xml:space="preserve"> PAGEREF _Toc8207 \h </w:instrText>
          </w:r>
          <w:r>
            <w:rPr>
              <w:sz w:val="21"/>
              <w:szCs w:val="21"/>
            </w:rPr>
            <w:fldChar w:fldCharType="separate"/>
          </w:r>
          <w:r>
            <w:rPr>
              <w:sz w:val="21"/>
              <w:szCs w:val="21"/>
            </w:rPr>
            <w:t>238</w:t>
          </w:r>
          <w:r>
            <w:rPr>
              <w:sz w:val="21"/>
              <w:szCs w:val="21"/>
            </w:rPr>
            <w:fldChar w:fldCharType="end"/>
          </w:r>
          <w:r>
            <w:rPr>
              <w:sz w:val="21"/>
              <w:szCs w:val="21"/>
              <w:highlight w:val="none"/>
            </w:rPr>
            <w:fldChar w:fldCharType="end"/>
          </w:r>
        </w:p>
        <w:p w14:paraId="4BE41433">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_Toc27928 </w:instrText>
          </w:r>
          <w:r>
            <w:rPr>
              <w:sz w:val="21"/>
              <w:szCs w:val="21"/>
              <w:highlight w:val="none"/>
            </w:rPr>
            <w:fldChar w:fldCharType="separate"/>
          </w:r>
          <w:r>
            <w:rPr>
              <w:rFonts w:hint="default" w:ascii="Times New Roman" w:hAnsi="Times New Roman" w:cs="Times New Roman"/>
              <w:sz w:val="21"/>
              <w:szCs w:val="21"/>
              <w:highlight w:val="none"/>
              <w:lang w:val="en-US" w:eastAsia="zh-CN"/>
            </w:rPr>
            <w:t>8.4.2</w:t>
          </w:r>
          <w:r>
            <w:rPr>
              <w:rFonts w:hint="eastAsia"/>
              <w:sz w:val="21"/>
              <w:szCs w:val="21"/>
              <w:highlight w:val="none"/>
              <w:lang w:val="en-US" w:eastAsia="zh-CN"/>
            </w:rPr>
            <w:t>排污口的技术要求</w:t>
          </w:r>
          <w:r>
            <w:rPr>
              <w:sz w:val="21"/>
              <w:szCs w:val="21"/>
            </w:rPr>
            <w:tab/>
          </w:r>
          <w:r>
            <w:rPr>
              <w:sz w:val="21"/>
              <w:szCs w:val="21"/>
            </w:rPr>
            <w:fldChar w:fldCharType="begin"/>
          </w:r>
          <w:r>
            <w:rPr>
              <w:sz w:val="21"/>
              <w:szCs w:val="21"/>
            </w:rPr>
            <w:instrText xml:space="preserve"> PAGEREF _Toc27928 \h </w:instrText>
          </w:r>
          <w:r>
            <w:rPr>
              <w:sz w:val="21"/>
              <w:szCs w:val="21"/>
            </w:rPr>
            <w:fldChar w:fldCharType="separate"/>
          </w:r>
          <w:r>
            <w:rPr>
              <w:sz w:val="21"/>
              <w:szCs w:val="21"/>
            </w:rPr>
            <w:t>238</w:t>
          </w:r>
          <w:r>
            <w:rPr>
              <w:sz w:val="21"/>
              <w:szCs w:val="21"/>
            </w:rPr>
            <w:fldChar w:fldCharType="end"/>
          </w:r>
          <w:r>
            <w:rPr>
              <w:sz w:val="21"/>
              <w:szCs w:val="21"/>
              <w:highlight w:val="none"/>
            </w:rPr>
            <w:fldChar w:fldCharType="end"/>
          </w:r>
        </w:p>
        <w:p w14:paraId="67AA5857">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_Toc23328 </w:instrText>
          </w:r>
          <w:r>
            <w:rPr>
              <w:sz w:val="21"/>
              <w:szCs w:val="21"/>
              <w:highlight w:val="none"/>
            </w:rPr>
            <w:fldChar w:fldCharType="separate"/>
          </w:r>
          <w:r>
            <w:rPr>
              <w:rFonts w:hint="default" w:ascii="Times New Roman" w:hAnsi="Times New Roman" w:cs="Times New Roman"/>
              <w:sz w:val="21"/>
              <w:szCs w:val="21"/>
              <w:highlight w:val="none"/>
              <w:lang w:val="en-US" w:eastAsia="zh-CN"/>
            </w:rPr>
            <w:t>8.4.3</w:t>
          </w:r>
          <w:r>
            <w:rPr>
              <w:rFonts w:hint="eastAsia"/>
              <w:sz w:val="21"/>
              <w:szCs w:val="21"/>
              <w:highlight w:val="none"/>
              <w:lang w:val="en-US" w:eastAsia="zh-CN"/>
            </w:rPr>
            <w:t>排污口立标管理</w:t>
          </w:r>
          <w:r>
            <w:rPr>
              <w:sz w:val="21"/>
              <w:szCs w:val="21"/>
            </w:rPr>
            <w:tab/>
          </w:r>
          <w:r>
            <w:rPr>
              <w:sz w:val="21"/>
              <w:szCs w:val="21"/>
            </w:rPr>
            <w:fldChar w:fldCharType="begin"/>
          </w:r>
          <w:r>
            <w:rPr>
              <w:sz w:val="21"/>
              <w:szCs w:val="21"/>
            </w:rPr>
            <w:instrText xml:space="preserve"> PAGEREF _Toc23328 \h </w:instrText>
          </w:r>
          <w:r>
            <w:rPr>
              <w:sz w:val="21"/>
              <w:szCs w:val="21"/>
            </w:rPr>
            <w:fldChar w:fldCharType="separate"/>
          </w:r>
          <w:r>
            <w:rPr>
              <w:sz w:val="21"/>
              <w:szCs w:val="21"/>
            </w:rPr>
            <w:t>238</w:t>
          </w:r>
          <w:r>
            <w:rPr>
              <w:sz w:val="21"/>
              <w:szCs w:val="21"/>
            </w:rPr>
            <w:fldChar w:fldCharType="end"/>
          </w:r>
          <w:r>
            <w:rPr>
              <w:sz w:val="21"/>
              <w:szCs w:val="21"/>
              <w:highlight w:val="none"/>
            </w:rPr>
            <w:fldChar w:fldCharType="end"/>
          </w:r>
        </w:p>
        <w:p w14:paraId="088AD7CD">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_Toc3862 </w:instrText>
          </w:r>
          <w:r>
            <w:rPr>
              <w:sz w:val="21"/>
              <w:szCs w:val="21"/>
              <w:highlight w:val="none"/>
            </w:rPr>
            <w:fldChar w:fldCharType="separate"/>
          </w:r>
          <w:r>
            <w:rPr>
              <w:rFonts w:hint="default" w:ascii="Times New Roman" w:hAnsi="Times New Roman" w:cs="Times New Roman"/>
              <w:sz w:val="21"/>
              <w:szCs w:val="21"/>
              <w:highlight w:val="none"/>
              <w:lang w:val="en-US" w:eastAsia="zh-CN"/>
            </w:rPr>
            <w:t>8.4.4</w:t>
          </w:r>
          <w:r>
            <w:rPr>
              <w:rFonts w:hint="eastAsia"/>
              <w:sz w:val="21"/>
              <w:szCs w:val="21"/>
              <w:highlight w:val="none"/>
              <w:lang w:val="en-US" w:eastAsia="zh-CN"/>
            </w:rPr>
            <w:t>排污口建档管理</w:t>
          </w:r>
          <w:r>
            <w:rPr>
              <w:sz w:val="21"/>
              <w:szCs w:val="21"/>
            </w:rPr>
            <w:tab/>
          </w:r>
          <w:r>
            <w:rPr>
              <w:sz w:val="21"/>
              <w:szCs w:val="21"/>
            </w:rPr>
            <w:fldChar w:fldCharType="begin"/>
          </w:r>
          <w:r>
            <w:rPr>
              <w:sz w:val="21"/>
              <w:szCs w:val="21"/>
            </w:rPr>
            <w:instrText xml:space="preserve"> PAGEREF _Toc3862 \h </w:instrText>
          </w:r>
          <w:r>
            <w:rPr>
              <w:sz w:val="21"/>
              <w:szCs w:val="21"/>
            </w:rPr>
            <w:fldChar w:fldCharType="separate"/>
          </w:r>
          <w:r>
            <w:rPr>
              <w:sz w:val="21"/>
              <w:szCs w:val="21"/>
            </w:rPr>
            <w:t>239</w:t>
          </w:r>
          <w:r>
            <w:rPr>
              <w:sz w:val="21"/>
              <w:szCs w:val="21"/>
            </w:rPr>
            <w:fldChar w:fldCharType="end"/>
          </w:r>
          <w:r>
            <w:rPr>
              <w:sz w:val="21"/>
              <w:szCs w:val="21"/>
              <w:highlight w:val="none"/>
            </w:rPr>
            <w:fldChar w:fldCharType="end"/>
          </w:r>
        </w:p>
        <w:p w14:paraId="34BAC9F6">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_Toc16568 </w:instrText>
          </w:r>
          <w:r>
            <w:rPr>
              <w:sz w:val="21"/>
              <w:szCs w:val="21"/>
              <w:highlight w:val="none"/>
            </w:rPr>
            <w:fldChar w:fldCharType="separate"/>
          </w:r>
          <w:r>
            <w:rPr>
              <w:rFonts w:hint="eastAsia"/>
              <w:sz w:val="21"/>
              <w:szCs w:val="21"/>
              <w:highlight w:val="none"/>
              <w:lang w:val="en-US" w:eastAsia="zh-CN"/>
            </w:rPr>
            <w:t>8.5竣工环境保护验收内容</w:t>
          </w:r>
          <w:r>
            <w:rPr>
              <w:sz w:val="21"/>
              <w:szCs w:val="21"/>
            </w:rPr>
            <w:tab/>
          </w:r>
          <w:r>
            <w:rPr>
              <w:sz w:val="21"/>
              <w:szCs w:val="21"/>
            </w:rPr>
            <w:fldChar w:fldCharType="begin"/>
          </w:r>
          <w:r>
            <w:rPr>
              <w:sz w:val="21"/>
              <w:szCs w:val="21"/>
            </w:rPr>
            <w:instrText xml:space="preserve"> PAGEREF _Toc16568 \h </w:instrText>
          </w:r>
          <w:r>
            <w:rPr>
              <w:sz w:val="21"/>
              <w:szCs w:val="21"/>
            </w:rPr>
            <w:fldChar w:fldCharType="separate"/>
          </w:r>
          <w:r>
            <w:rPr>
              <w:sz w:val="21"/>
              <w:szCs w:val="21"/>
            </w:rPr>
            <w:t>240</w:t>
          </w:r>
          <w:r>
            <w:rPr>
              <w:sz w:val="21"/>
              <w:szCs w:val="21"/>
            </w:rPr>
            <w:fldChar w:fldCharType="end"/>
          </w:r>
          <w:r>
            <w:rPr>
              <w:sz w:val="21"/>
              <w:szCs w:val="21"/>
              <w:highlight w:val="none"/>
            </w:rPr>
            <w:fldChar w:fldCharType="end"/>
          </w:r>
        </w:p>
        <w:p w14:paraId="21838B6E">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_Toc11312 </w:instrText>
          </w:r>
          <w:r>
            <w:rPr>
              <w:sz w:val="21"/>
              <w:szCs w:val="21"/>
              <w:highlight w:val="none"/>
            </w:rPr>
            <w:fldChar w:fldCharType="separate"/>
          </w:r>
          <w:r>
            <w:rPr>
              <w:rFonts w:hint="eastAsia"/>
              <w:sz w:val="21"/>
              <w:szCs w:val="21"/>
              <w:highlight w:val="none"/>
              <w:lang w:val="en-US" w:eastAsia="zh-CN"/>
            </w:rPr>
            <w:t>8.6与排污许可证衔接</w:t>
          </w:r>
          <w:r>
            <w:rPr>
              <w:sz w:val="21"/>
              <w:szCs w:val="21"/>
            </w:rPr>
            <w:tab/>
          </w:r>
          <w:r>
            <w:rPr>
              <w:sz w:val="21"/>
              <w:szCs w:val="21"/>
            </w:rPr>
            <w:fldChar w:fldCharType="begin"/>
          </w:r>
          <w:r>
            <w:rPr>
              <w:sz w:val="21"/>
              <w:szCs w:val="21"/>
            </w:rPr>
            <w:instrText xml:space="preserve"> PAGEREF _Toc11312 \h </w:instrText>
          </w:r>
          <w:r>
            <w:rPr>
              <w:sz w:val="21"/>
              <w:szCs w:val="21"/>
            </w:rPr>
            <w:fldChar w:fldCharType="separate"/>
          </w:r>
          <w:r>
            <w:rPr>
              <w:sz w:val="21"/>
              <w:szCs w:val="21"/>
            </w:rPr>
            <w:t>242</w:t>
          </w:r>
          <w:r>
            <w:rPr>
              <w:sz w:val="21"/>
              <w:szCs w:val="21"/>
            </w:rPr>
            <w:fldChar w:fldCharType="end"/>
          </w:r>
          <w:r>
            <w:rPr>
              <w:sz w:val="21"/>
              <w:szCs w:val="21"/>
              <w:highlight w:val="none"/>
            </w:rPr>
            <w:fldChar w:fldCharType="end"/>
          </w:r>
        </w:p>
        <w:p w14:paraId="2506A7AD">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_Toc28122 </w:instrText>
          </w:r>
          <w:r>
            <w:rPr>
              <w:sz w:val="21"/>
              <w:szCs w:val="21"/>
              <w:highlight w:val="none"/>
            </w:rPr>
            <w:fldChar w:fldCharType="separate"/>
          </w:r>
          <w:r>
            <w:rPr>
              <w:rFonts w:hint="eastAsia"/>
              <w:sz w:val="21"/>
              <w:szCs w:val="21"/>
              <w:highlight w:val="none"/>
              <w:lang w:val="en-US" w:eastAsia="zh-CN"/>
            </w:rPr>
            <w:t>9环境影响评价结论</w:t>
          </w:r>
          <w:r>
            <w:rPr>
              <w:sz w:val="21"/>
              <w:szCs w:val="21"/>
            </w:rPr>
            <w:tab/>
          </w:r>
          <w:r>
            <w:rPr>
              <w:sz w:val="21"/>
              <w:szCs w:val="21"/>
            </w:rPr>
            <w:fldChar w:fldCharType="begin"/>
          </w:r>
          <w:r>
            <w:rPr>
              <w:sz w:val="21"/>
              <w:szCs w:val="21"/>
            </w:rPr>
            <w:instrText xml:space="preserve"> PAGEREF _Toc28122 \h </w:instrText>
          </w:r>
          <w:r>
            <w:rPr>
              <w:sz w:val="21"/>
              <w:szCs w:val="21"/>
            </w:rPr>
            <w:fldChar w:fldCharType="separate"/>
          </w:r>
          <w:r>
            <w:rPr>
              <w:sz w:val="21"/>
              <w:szCs w:val="21"/>
            </w:rPr>
            <w:t>244</w:t>
          </w:r>
          <w:r>
            <w:rPr>
              <w:sz w:val="21"/>
              <w:szCs w:val="21"/>
            </w:rPr>
            <w:fldChar w:fldCharType="end"/>
          </w:r>
          <w:r>
            <w:rPr>
              <w:sz w:val="21"/>
              <w:szCs w:val="21"/>
              <w:highlight w:val="none"/>
            </w:rPr>
            <w:fldChar w:fldCharType="end"/>
          </w:r>
        </w:p>
        <w:p w14:paraId="33D9781E">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_Toc19736 </w:instrText>
          </w:r>
          <w:r>
            <w:rPr>
              <w:sz w:val="21"/>
              <w:szCs w:val="21"/>
              <w:highlight w:val="none"/>
            </w:rPr>
            <w:fldChar w:fldCharType="separate"/>
          </w:r>
          <w:r>
            <w:rPr>
              <w:rFonts w:hint="eastAsia"/>
              <w:sz w:val="21"/>
              <w:szCs w:val="21"/>
              <w:highlight w:val="none"/>
              <w:lang w:val="en-US" w:eastAsia="zh-CN"/>
            </w:rPr>
            <w:t>9.1项目概况</w:t>
          </w:r>
          <w:r>
            <w:rPr>
              <w:sz w:val="21"/>
              <w:szCs w:val="21"/>
            </w:rPr>
            <w:tab/>
          </w:r>
          <w:r>
            <w:rPr>
              <w:sz w:val="21"/>
              <w:szCs w:val="21"/>
            </w:rPr>
            <w:fldChar w:fldCharType="begin"/>
          </w:r>
          <w:r>
            <w:rPr>
              <w:sz w:val="21"/>
              <w:szCs w:val="21"/>
            </w:rPr>
            <w:instrText xml:space="preserve"> PAGEREF _Toc19736 \h </w:instrText>
          </w:r>
          <w:r>
            <w:rPr>
              <w:sz w:val="21"/>
              <w:szCs w:val="21"/>
            </w:rPr>
            <w:fldChar w:fldCharType="separate"/>
          </w:r>
          <w:r>
            <w:rPr>
              <w:sz w:val="21"/>
              <w:szCs w:val="21"/>
            </w:rPr>
            <w:t>244</w:t>
          </w:r>
          <w:r>
            <w:rPr>
              <w:sz w:val="21"/>
              <w:szCs w:val="21"/>
            </w:rPr>
            <w:fldChar w:fldCharType="end"/>
          </w:r>
          <w:r>
            <w:rPr>
              <w:sz w:val="21"/>
              <w:szCs w:val="21"/>
              <w:highlight w:val="none"/>
            </w:rPr>
            <w:fldChar w:fldCharType="end"/>
          </w:r>
        </w:p>
        <w:p w14:paraId="526563F7">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_Toc29020 </w:instrText>
          </w:r>
          <w:r>
            <w:rPr>
              <w:sz w:val="21"/>
              <w:szCs w:val="21"/>
              <w:highlight w:val="none"/>
            </w:rPr>
            <w:fldChar w:fldCharType="separate"/>
          </w:r>
          <w:r>
            <w:rPr>
              <w:rFonts w:hint="eastAsia"/>
              <w:sz w:val="21"/>
              <w:szCs w:val="21"/>
              <w:highlight w:val="none"/>
              <w:lang w:val="en-US" w:eastAsia="zh-CN"/>
            </w:rPr>
            <w:t>9.2产业政策符合性分析</w:t>
          </w:r>
          <w:r>
            <w:rPr>
              <w:sz w:val="21"/>
              <w:szCs w:val="21"/>
            </w:rPr>
            <w:tab/>
          </w:r>
          <w:r>
            <w:rPr>
              <w:sz w:val="21"/>
              <w:szCs w:val="21"/>
            </w:rPr>
            <w:fldChar w:fldCharType="begin"/>
          </w:r>
          <w:r>
            <w:rPr>
              <w:sz w:val="21"/>
              <w:szCs w:val="21"/>
            </w:rPr>
            <w:instrText xml:space="preserve"> PAGEREF _Toc29020 \h </w:instrText>
          </w:r>
          <w:r>
            <w:rPr>
              <w:sz w:val="21"/>
              <w:szCs w:val="21"/>
            </w:rPr>
            <w:fldChar w:fldCharType="separate"/>
          </w:r>
          <w:r>
            <w:rPr>
              <w:sz w:val="21"/>
              <w:szCs w:val="21"/>
            </w:rPr>
            <w:t>244</w:t>
          </w:r>
          <w:r>
            <w:rPr>
              <w:sz w:val="21"/>
              <w:szCs w:val="21"/>
            </w:rPr>
            <w:fldChar w:fldCharType="end"/>
          </w:r>
          <w:r>
            <w:rPr>
              <w:sz w:val="21"/>
              <w:szCs w:val="21"/>
              <w:highlight w:val="none"/>
            </w:rPr>
            <w:fldChar w:fldCharType="end"/>
          </w:r>
        </w:p>
        <w:p w14:paraId="0F374CA2">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_Toc29323 </w:instrText>
          </w:r>
          <w:r>
            <w:rPr>
              <w:sz w:val="21"/>
              <w:szCs w:val="21"/>
              <w:highlight w:val="none"/>
            </w:rPr>
            <w:fldChar w:fldCharType="separate"/>
          </w:r>
          <w:r>
            <w:rPr>
              <w:rFonts w:hint="eastAsia"/>
              <w:sz w:val="21"/>
              <w:szCs w:val="21"/>
              <w:highlight w:val="none"/>
              <w:lang w:val="en-US" w:eastAsia="zh-CN"/>
            </w:rPr>
            <w:t>9.3选址合理性分析</w:t>
          </w:r>
          <w:r>
            <w:rPr>
              <w:sz w:val="21"/>
              <w:szCs w:val="21"/>
            </w:rPr>
            <w:tab/>
          </w:r>
          <w:r>
            <w:rPr>
              <w:sz w:val="21"/>
              <w:szCs w:val="21"/>
            </w:rPr>
            <w:fldChar w:fldCharType="begin"/>
          </w:r>
          <w:r>
            <w:rPr>
              <w:sz w:val="21"/>
              <w:szCs w:val="21"/>
            </w:rPr>
            <w:instrText xml:space="preserve"> PAGEREF _Toc29323 \h </w:instrText>
          </w:r>
          <w:r>
            <w:rPr>
              <w:sz w:val="21"/>
              <w:szCs w:val="21"/>
            </w:rPr>
            <w:fldChar w:fldCharType="separate"/>
          </w:r>
          <w:r>
            <w:rPr>
              <w:sz w:val="21"/>
              <w:szCs w:val="21"/>
            </w:rPr>
            <w:t>244</w:t>
          </w:r>
          <w:r>
            <w:rPr>
              <w:sz w:val="21"/>
              <w:szCs w:val="21"/>
            </w:rPr>
            <w:fldChar w:fldCharType="end"/>
          </w:r>
          <w:r>
            <w:rPr>
              <w:sz w:val="21"/>
              <w:szCs w:val="21"/>
              <w:highlight w:val="none"/>
            </w:rPr>
            <w:fldChar w:fldCharType="end"/>
          </w:r>
        </w:p>
        <w:p w14:paraId="2B499734">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_Toc18746 </w:instrText>
          </w:r>
          <w:r>
            <w:rPr>
              <w:sz w:val="21"/>
              <w:szCs w:val="21"/>
              <w:highlight w:val="none"/>
            </w:rPr>
            <w:fldChar w:fldCharType="separate"/>
          </w:r>
          <w:r>
            <w:rPr>
              <w:rFonts w:hint="eastAsia"/>
              <w:sz w:val="21"/>
              <w:szCs w:val="21"/>
              <w:highlight w:val="none"/>
              <w:lang w:val="en-US" w:eastAsia="zh-CN"/>
            </w:rPr>
            <w:t>9.4环境质量现状评价结论</w:t>
          </w:r>
          <w:r>
            <w:rPr>
              <w:sz w:val="21"/>
              <w:szCs w:val="21"/>
            </w:rPr>
            <w:tab/>
          </w:r>
          <w:r>
            <w:rPr>
              <w:sz w:val="21"/>
              <w:szCs w:val="21"/>
            </w:rPr>
            <w:fldChar w:fldCharType="begin"/>
          </w:r>
          <w:r>
            <w:rPr>
              <w:sz w:val="21"/>
              <w:szCs w:val="21"/>
            </w:rPr>
            <w:instrText xml:space="preserve"> PAGEREF _Toc18746 \h </w:instrText>
          </w:r>
          <w:r>
            <w:rPr>
              <w:sz w:val="21"/>
              <w:szCs w:val="21"/>
            </w:rPr>
            <w:fldChar w:fldCharType="separate"/>
          </w:r>
          <w:r>
            <w:rPr>
              <w:sz w:val="21"/>
              <w:szCs w:val="21"/>
            </w:rPr>
            <w:t>245</w:t>
          </w:r>
          <w:r>
            <w:rPr>
              <w:sz w:val="21"/>
              <w:szCs w:val="21"/>
            </w:rPr>
            <w:fldChar w:fldCharType="end"/>
          </w:r>
          <w:r>
            <w:rPr>
              <w:sz w:val="21"/>
              <w:szCs w:val="21"/>
              <w:highlight w:val="none"/>
            </w:rPr>
            <w:fldChar w:fldCharType="end"/>
          </w:r>
        </w:p>
        <w:p w14:paraId="60DEC104">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_Toc2532 </w:instrText>
          </w:r>
          <w:r>
            <w:rPr>
              <w:sz w:val="21"/>
              <w:szCs w:val="21"/>
              <w:highlight w:val="none"/>
            </w:rPr>
            <w:fldChar w:fldCharType="separate"/>
          </w:r>
          <w:r>
            <w:rPr>
              <w:rFonts w:hint="eastAsia"/>
              <w:sz w:val="21"/>
              <w:szCs w:val="21"/>
              <w:highlight w:val="none"/>
              <w:lang w:val="en-US" w:eastAsia="zh-CN"/>
            </w:rPr>
            <w:t>9.4.1环境空气质量现状评价结论</w:t>
          </w:r>
          <w:r>
            <w:rPr>
              <w:sz w:val="21"/>
              <w:szCs w:val="21"/>
            </w:rPr>
            <w:tab/>
          </w:r>
          <w:r>
            <w:rPr>
              <w:sz w:val="21"/>
              <w:szCs w:val="21"/>
            </w:rPr>
            <w:fldChar w:fldCharType="begin"/>
          </w:r>
          <w:r>
            <w:rPr>
              <w:sz w:val="21"/>
              <w:szCs w:val="21"/>
            </w:rPr>
            <w:instrText xml:space="preserve"> PAGEREF _Toc2532 \h </w:instrText>
          </w:r>
          <w:r>
            <w:rPr>
              <w:sz w:val="21"/>
              <w:szCs w:val="21"/>
            </w:rPr>
            <w:fldChar w:fldCharType="separate"/>
          </w:r>
          <w:r>
            <w:rPr>
              <w:sz w:val="21"/>
              <w:szCs w:val="21"/>
            </w:rPr>
            <w:t>245</w:t>
          </w:r>
          <w:r>
            <w:rPr>
              <w:sz w:val="21"/>
              <w:szCs w:val="21"/>
            </w:rPr>
            <w:fldChar w:fldCharType="end"/>
          </w:r>
          <w:r>
            <w:rPr>
              <w:sz w:val="21"/>
              <w:szCs w:val="21"/>
              <w:highlight w:val="none"/>
            </w:rPr>
            <w:fldChar w:fldCharType="end"/>
          </w:r>
        </w:p>
        <w:p w14:paraId="69F75FC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_Toc16244 </w:instrText>
          </w:r>
          <w:r>
            <w:rPr>
              <w:sz w:val="21"/>
              <w:szCs w:val="21"/>
              <w:highlight w:val="none"/>
            </w:rPr>
            <w:fldChar w:fldCharType="separate"/>
          </w:r>
          <w:r>
            <w:rPr>
              <w:rFonts w:hint="eastAsia"/>
              <w:sz w:val="21"/>
              <w:szCs w:val="21"/>
              <w:highlight w:val="none"/>
              <w:lang w:val="en-US" w:eastAsia="zh-CN"/>
            </w:rPr>
            <w:t>9.4.2地表水环境质量现状评价结论</w:t>
          </w:r>
          <w:r>
            <w:rPr>
              <w:sz w:val="21"/>
              <w:szCs w:val="21"/>
            </w:rPr>
            <w:tab/>
          </w:r>
          <w:r>
            <w:rPr>
              <w:sz w:val="21"/>
              <w:szCs w:val="21"/>
            </w:rPr>
            <w:fldChar w:fldCharType="begin"/>
          </w:r>
          <w:r>
            <w:rPr>
              <w:sz w:val="21"/>
              <w:szCs w:val="21"/>
            </w:rPr>
            <w:instrText xml:space="preserve"> PAGEREF _Toc16244 \h </w:instrText>
          </w:r>
          <w:r>
            <w:rPr>
              <w:sz w:val="21"/>
              <w:szCs w:val="21"/>
            </w:rPr>
            <w:fldChar w:fldCharType="separate"/>
          </w:r>
          <w:r>
            <w:rPr>
              <w:sz w:val="21"/>
              <w:szCs w:val="21"/>
            </w:rPr>
            <w:t>246</w:t>
          </w:r>
          <w:r>
            <w:rPr>
              <w:sz w:val="21"/>
              <w:szCs w:val="21"/>
            </w:rPr>
            <w:fldChar w:fldCharType="end"/>
          </w:r>
          <w:r>
            <w:rPr>
              <w:sz w:val="21"/>
              <w:szCs w:val="21"/>
              <w:highlight w:val="none"/>
            </w:rPr>
            <w:fldChar w:fldCharType="end"/>
          </w:r>
        </w:p>
        <w:p w14:paraId="194C0E9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_Toc9991 </w:instrText>
          </w:r>
          <w:r>
            <w:rPr>
              <w:sz w:val="21"/>
              <w:szCs w:val="21"/>
              <w:highlight w:val="none"/>
            </w:rPr>
            <w:fldChar w:fldCharType="separate"/>
          </w:r>
          <w:r>
            <w:rPr>
              <w:rFonts w:hint="eastAsia"/>
              <w:sz w:val="21"/>
              <w:szCs w:val="21"/>
              <w:highlight w:val="none"/>
              <w:lang w:val="en-US" w:eastAsia="zh-CN"/>
            </w:rPr>
            <w:t>9.4.3声环境质量现状评价结论</w:t>
          </w:r>
          <w:r>
            <w:rPr>
              <w:sz w:val="21"/>
              <w:szCs w:val="21"/>
            </w:rPr>
            <w:tab/>
          </w:r>
          <w:r>
            <w:rPr>
              <w:sz w:val="21"/>
              <w:szCs w:val="21"/>
            </w:rPr>
            <w:fldChar w:fldCharType="begin"/>
          </w:r>
          <w:r>
            <w:rPr>
              <w:sz w:val="21"/>
              <w:szCs w:val="21"/>
            </w:rPr>
            <w:instrText xml:space="preserve"> PAGEREF _Toc9991 \h </w:instrText>
          </w:r>
          <w:r>
            <w:rPr>
              <w:sz w:val="21"/>
              <w:szCs w:val="21"/>
            </w:rPr>
            <w:fldChar w:fldCharType="separate"/>
          </w:r>
          <w:r>
            <w:rPr>
              <w:sz w:val="21"/>
              <w:szCs w:val="21"/>
            </w:rPr>
            <w:t>246</w:t>
          </w:r>
          <w:r>
            <w:rPr>
              <w:sz w:val="21"/>
              <w:szCs w:val="21"/>
            </w:rPr>
            <w:fldChar w:fldCharType="end"/>
          </w:r>
          <w:r>
            <w:rPr>
              <w:sz w:val="21"/>
              <w:szCs w:val="21"/>
              <w:highlight w:val="none"/>
            </w:rPr>
            <w:fldChar w:fldCharType="end"/>
          </w:r>
        </w:p>
        <w:p w14:paraId="19D5D029">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_Toc19127 </w:instrText>
          </w:r>
          <w:r>
            <w:rPr>
              <w:sz w:val="21"/>
              <w:szCs w:val="21"/>
              <w:highlight w:val="none"/>
            </w:rPr>
            <w:fldChar w:fldCharType="separate"/>
          </w:r>
          <w:r>
            <w:rPr>
              <w:rFonts w:hint="eastAsia"/>
              <w:sz w:val="21"/>
              <w:szCs w:val="21"/>
              <w:highlight w:val="none"/>
              <w:lang w:val="en-US" w:eastAsia="zh-CN"/>
            </w:rPr>
            <w:t>9.4.4土壤环境质量现状评价结论</w:t>
          </w:r>
          <w:r>
            <w:rPr>
              <w:sz w:val="21"/>
              <w:szCs w:val="21"/>
            </w:rPr>
            <w:tab/>
          </w:r>
          <w:r>
            <w:rPr>
              <w:sz w:val="21"/>
              <w:szCs w:val="21"/>
            </w:rPr>
            <w:fldChar w:fldCharType="begin"/>
          </w:r>
          <w:r>
            <w:rPr>
              <w:sz w:val="21"/>
              <w:szCs w:val="21"/>
            </w:rPr>
            <w:instrText xml:space="preserve"> PAGEREF _Toc19127 \h </w:instrText>
          </w:r>
          <w:r>
            <w:rPr>
              <w:sz w:val="21"/>
              <w:szCs w:val="21"/>
            </w:rPr>
            <w:fldChar w:fldCharType="separate"/>
          </w:r>
          <w:r>
            <w:rPr>
              <w:sz w:val="21"/>
              <w:szCs w:val="21"/>
            </w:rPr>
            <w:t>246</w:t>
          </w:r>
          <w:r>
            <w:rPr>
              <w:sz w:val="21"/>
              <w:szCs w:val="21"/>
            </w:rPr>
            <w:fldChar w:fldCharType="end"/>
          </w:r>
          <w:r>
            <w:rPr>
              <w:sz w:val="21"/>
              <w:szCs w:val="21"/>
              <w:highlight w:val="none"/>
            </w:rPr>
            <w:fldChar w:fldCharType="end"/>
          </w:r>
        </w:p>
        <w:p w14:paraId="7A283014">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_Toc14050 </w:instrText>
          </w:r>
          <w:r>
            <w:rPr>
              <w:sz w:val="21"/>
              <w:szCs w:val="21"/>
              <w:highlight w:val="none"/>
            </w:rPr>
            <w:fldChar w:fldCharType="separate"/>
          </w:r>
          <w:r>
            <w:rPr>
              <w:rFonts w:hint="eastAsia"/>
              <w:sz w:val="21"/>
              <w:szCs w:val="21"/>
              <w:highlight w:val="none"/>
              <w:lang w:val="en-US" w:eastAsia="zh-CN"/>
            </w:rPr>
            <w:t>9.5污染物排放、影响及采取的污染防治措施</w:t>
          </w:r>
          <w:r>
            <w:rPr>
              <w:sz w:val="21"/>
              <w:szCs w:val="21"/>
            </w:rPr>
            <w:tab/>
          </w:r>
          <w:r>
            <w:rPr>
              <w:sz w:val="21"/>
              <w:szCs w:val="21"/>
            </w:rPr>
            <w:fldChar w:fldCharType="begin"/>
          </w:r>
          <w:r>
            <w:rPr>
              <w:sz w:val="21"/>
              <w:szCs w:val="21"/>
            </w:rPr>
            <w:instrText xml:space="preserve"> PAGEREF _Toc14050 \h </w:instrText>
          </w:r>
          <w:r>
            <w:rPr>
              <w:sz w:val="21"/>
              <w:szCs w:val="21"/>
            </w:rPr>
            <w:fldChar w:fldCharType="separate"/>
          </w:r>
          <w:r>
            <w:rPr>
              <w:sz w:val="21"/>
              <w:szCs w:val="21"/>
            </w:rPr>
            <w:t>246</w:t>
          </w:r>
          <w:r>
            <w:rPr>
              <w:sz w:val="21"/>
              <w:szCs w:val="21"/>
            </w:rPr>
            <w:fldChar w:fldCharType="end"/>
          </w:r>
          <w:r>
            <w:rPr>
              <w:sz w:val="21"/>
              <w:szCs w:val="21"/>
              <w:highlight w:val="none"/>
            </w:rPr>
            <w:fldChar w:fldCharType="end"/>
          </w:r>
        </w:p>
        <w:p w14:paraId="5B3C9E68">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_Toc31069 </w:instrText>
          </w:r>
          <w:r>
            <w:rPr>
              <w:sz w:val="21"/>
              <w:szCs w:val="21"/>
              <w:highlight w:val="none"/>
            </w:rPr>
            <w:fldChar w:fldCharType="separate"/>
          </w:r>
          <w:r>
            <w:rPr>
              <w:rFonts w:hint="eastAsia"/>
              <w:sz w:val="21"/>
              <w:szCs w:val="21"/>
              <w:highlight w:val="none"/>
              <w:lang w:val="en-US" w:eastAsia="zh-CN"/>
            </w:rPr>
            <w:t>9.5.1废气</w:t>
          </w:r>
          <w:r>
            <w:rPr>
              <w:sz w:val="21"/>
              <w:szCs w:val="21"/>
            </w:rPr>
            <w:tab/>
          </w:r>
          <w:r>
            <w:rPr>
              <w:sz w:val="21"/>
              <w:szCs w:val="21"/>
            </w:rPr>
            <w:fldChar w:fldCharType="begin"/>
          </w:r>
          <w:r>
            <w:rPr>
              <w:sz w:val="21"/>
              <w:szCs w:val="21"/>
            </w:rPr>
            <w:instrText xml:space="preserve"> PAGEREF _Toc31069 \h </w:instrText>
          </w:r>
          <w:r>
            <w:rPr>
              <w:sz w:val="21"/>
              <w:szCs w:val="21"/>
            </w:rPr>
            <w:fldChar w:fldCharType="separate"/>
          </w:r>
          <w:r>
            <w:rPr>
              <w:sz w:val="21"/>
              <w:szCs w:val="21"/>
            </w:rPr>
            <w:t>246</w:t>
          </w:r>
          <w:r>
            <w:rPr>
              <w:sz w:val="21"/>
              <w:szCs w:val="21"/>
            </w:rPr>
            <w:fldChar w:fldCharType="end"/>
          </w:r>
          <w:r>
            <w:rPr>
              <w:sz w:val="21"/>
              <w:szCs w:val="21"/>
              <w:highlight w:val="none"/>
            </w:rPr>
            <w:fldChar w:fldCharType="end"/>
          </w:r>
        </w:p>
        <w:p w14:paraId="4497BE0A">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_Toc14053 </w:instrText>
          </w:r>
          <w:r>
            <w:rPr>
              <w:sz w:val="21"/>
              <w:szCs w:val="21"/>
              <w:highlight w:val="none"/>
            </w:rPr>
            <w:fldChar w:fldCharType="separate"/>
          </w:r>
          <w:r>
            <w:rPr>
              <w:rFonts w:hint="eastAsia"/>
              <w:sz w:val="21"/>
              <w:szCs w:val="21"/>
              <w:highlight w:val="none"/>
              <w:lang w:val="en-US" w:eastAsia="zh-CN"/>
            </w:rPr>
            <w:t>9.5.2废水</w:t>
          </w:r>
          <w:r>
            <w:rPr>
              <w:sz w:val="21"/>
              <w:szCs w:val="21"/>
            </w:rPr>
            <w:tab/>
          </w:r>
          <w:r>
            <w:rPr>
              <w:sz w:val="21"/>
              <w:szCs w:val="21"/>
            </w:rPr>
            <w:fldChar w:fldCharType="begin"/>
          </w:r>
          <w:r>
            <w:rPr>
              <w:sz w:val="21"/>
              <w:szCs w:val="21"/>
            </w:rPr>
            <w:instrText xml:space="preserve"> PAGEREF _Toc14053 \h </w:instrText>
          </w:r>
          <w:r>
            <w:rPr>
              <w:sz w:val="21"/>
              <w:szCs w:val="21"/>
            </w:rPr>
            <w:fldChar w:fldCharType="separate"/>
          </w:r>
          <w:r>
            <w:rPr>
              <w:sz w:val="21"/>
              <w:szCs w:val="21"/>
            </w:rPr>
            <w:t>248</w:t>
          </w:r>
          <w:r>
            <w:rPr>
              <w:sz w:val="21"/>
              <w:szCs w:val="21"/>
            </w:rPr>
            <w:fldChar w:fldCharType="end"/>
          </w:r>
          <w:r>
            <w:rPr>
              <w:sz w:val="21"/>
              <w:szCs w:val="21"/>
              <w:highlight w:val="none"/>
            </w:rPr>
            <w:fldChar w:fldCharType="end"/>
          </w:r>
        </w:p>
        <w:p w14:paraId="3DE0CCDE">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_Toc24985 </w:instrText>
          </w:r>
          <w:r>
            <w:rPr>
              <w:sz w:val="21"/>
              <w:szCs w:val="21"/>
              <w:highlight w:val="none"/>
            </w:rPr>
            <w:fldChar w:fldCharType="separate"/>
          </w:r>
          <w:r>
            <w:rPr>
              <w:rFonts w:hint="eastAsia"/>
              <w:sz w:val="21"/>
              <w:szCs w:val="21"/>
              <w:highlight w:val="none"/>
              <w:lang w:val="en-US" w:eastAsia="zh-CN"/>
            </w:rPr>
            <w:t>9.5.3噪声</w:t>
          </w:r>
          <w:r>
            <w:rPr>
              <w:sz w:val="21"/>
              <w:szCs w:val="21"/>
            </w:rPr>
            <w:tab/>
          </w:r>
          <w:r>
            <w:rPr>
              <w:sz w:val="21"/>
              <w:szCs w:val="21"/>
            </w:rPr>
            <w:fldChar w:fldCharType="begin"/>
          </w:r>
          <w:r>
            <w:rPr>
              <w:sz w:val="21"/>
              <w:szCs w:val="21"/>
            </w:rPr>
            <w:instrText xml:space="preserve"> PAGEREF _Toc24985 \h </w:instrText>
          </w:r>
          <w:r>
            <w:rPr>
              <w:sz w:val="21"/>
              <w:szCs w:val="21"/>
            </w:rPr>
            <w:fldChar w:fldCharType="separate"/>
          </w:r>
          <w:r>
            <w:rPr>
              <w:sz w:val="21"/>
              <w:szCs w:val="21"/>
            </w:rPr>
            <w:t>249</w:t>
          </w:r>
          <w:r>
            <w:rPr>
              <w:sz w:val="21"/>
              <w:szCs w:val="21"/>
            </w:rPr>
            <w:fldChar w:fldCharType="end"/>
          </w:r>
          <w:r>
            <w:rPr>
              <w:sz w:val="21"/>
              <w:szCs w:val="21"/>
              <w:highlight w:val="none"/>
            </w:rPr>
            <w:fldChar w:fldCharType="end"/>
          </w:r>
        </w:p>
        <w:p w14:paraId="4870F181">
          <w:pPr>
            <w:pStyle w:val="9"/>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_Toc8457 </w:instrText>
          </w:r>
          <w:r>
            <w:rPr>
              <w:sz w:val="21"/>
              <w:szCs w:val="21"/>
              <w:highlight w:val="none"/>
            </w:rPr>
            <w:fldChar w:fldCharType="separate"/>
          </w:r>
          <w:r>
            <w:rPr>
              <w:rFonts w:hint="eastAsia"/>
              <w:sz w:val="21"/>
              <w:szCs w:val="21"/>
              <w:highlight w:val="none"/>
              <w:lang w:val="en-US" w:eastAsia="zh-CN"/>
            </w:rPr>
            <w:t>9.5.4固体废物</w:t>
          </w:r>
          <w:r>
            <w:rPr>
              <w:sz w:val="21"/>
              <w:szCs w:val="21"/>
            </w:rPr>
            <w:tab/>
          </w:r>
          <w:r>
            <w:rPr>
              <w:sz w:val="21"/>
              <w:szCs w:val="21"/>
            </w:rPr>
            <w:fldChar w:fldCharType="begin"/>
          </w:r>
          <w:r>
            <w:rPr>
              <w:sz w:val="21"/>
              <w:szCs w:val="21"/>
            </w:rPr>
            <w:instrText xml:space="preserve"> PAGEREF _Toc8457 \h </w:instrText>
          </w:r>
          <w:r>
            <w:rPr>
              <w:sz w:val="21"/>
              <w:szCs w:val="21"/>
            </w:rPr>
            <w:fldChar w:fldCharType="separate"/>
          </w:r>
          <w:r>
            <w:rPr>
              <w:sz w:val="21"/>
              <w:szCs w:val="21"/>
            </w:rPr>
            <w:t>249</w:t>
          </w:r>
          <w:r>
            <w:rPr>
              <w:sz w:val="21"/>
              <w:szCs w:val="21"/>
            </w:rPr>
            <w:fldChar w:fldCharType="end"/>
          </w:r>
          <w:r>
            <w:rPr>
              <w:sz w:val="21"/>
              <w:szCs w:val="21"/>
              <w:highlight w:val="none"/>
            </w:rPr>
            <w:fldChar w:fldCharType="end"/>
          </w:r>
        </w:p>
        <w:p w14:paraId="5461CAF6">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_Toc10177 </w:instrText>
          </w:r>
          <w:r>
            <w:rPr>
              <w:sz w:val="21"/>
              <w:szCs w:val="21"/>
              <w:highlight w:val="none"/>
            </w:rPr>
            <w:fldChar w:fldCharType="separate"/>
          </w:r>
          <w:r>
            <w:rPr>
              <w:rFonts w:hint="eastAsia"/>
              <w:sz w:val="21"/>
              <w:szCs w:val="21"/>
              <w:highlight w:val="none"/>
              <w:lang w:val="en-US" w:eastAsia="zh-CN"/>
            </w:rPr>
            <w:t>9.6环境风险评价结论</w:t>
          </w:r>
          <w:r>
            <w:rPr>
              <w:sz w:val="21"/>
              <w:szCs w:val="21"/>
            </w:rPr>
            <w:tab/>
          </w:r>
          <w:r>
            <w:rPr>
              <w:sz w:val="21"/>
              <w:szCs w:val="21"/>
            </w:rPr>
            <w:fldChar w:fldCharType="begin"/>
          </w:r>
          <w:r>
            <w:rPr>
              <w:sz w:val="21"/>
              <w:szCs w:val="21"/>
            </w:rPr>
            <w:instrText xml:space="preserve"> PAGEREF _Toc10177 \h </w:instrText>
          </w:r>
          <w:r>
            <w:rPr>
              <w:sz w:val="21"/>
              <w:szCs w:val="21"/>
            </w:rPr>
            <w:fldChar w:fldCharType="separate"/>
          </w:r>
          <w:r>
            <w:rPr>
              <w:sz w:val="21"/>
              <w:szCs w:val="21"/>
            </w:rPr>
            <w:t>250</w:t>
          </w:r>
          <w:r>
            <w:rPr>
              <w:sz w:val="21"/>
              <w:szCs w:val="21"/>
            </w:rPr>
            <w:fldChar w:fldCharType="end"/>
          </w:r>
          <w:r>
            <w:rPr>
              <w:sz w:val="21"/>
              <w:szCs w:val="21"/>
              <w:highlight w:val="none"/>
            </w:rPr>
            <w:fldChar w:fldCharType="end"/>
          </w:r>
        </w:p>
        <w:p w14:paraId="453675B1">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_Toc31089 </w:instrText>
          </w:r>
          <w:r>
            <w:rPr>
              <w:sz w:val="21"/>
              <w:szCs w:val="21"/>
              <w:highlight w:val="none"/>
            </w:rPr>
            <w:fldChar w:fldCharType="separate"/>
          </w:r>
          <w:r>
            <w:rPr>
              <w:rFonts w:hint="eastAsia"/>
              <w:sz w:val="21"/>
              <w:szCs w:val="21"/>
              <w:highlight w:val="none"/>
              <w:lang w:val="en-US" w:eastAsia="zh-CN"/>
            </w:rPr>
            <w:t>9.7总量控制</w:t>
          </w:r>
          <w:r>
            <w:rPr>
              <w:sz w:val="21"/>
              <w:szCs w:val="21"/>
            </w:rPr>
            <w:tab/>
          </w:r>
          <w:r>
            <w:rPr>
              <w:sz w:val="21"/>
              <w:szCs w:val="21"/>
            </w:rPr>
            <w:fldChar w:fldCharType="begin"/>
          </w:r>
          <w:r>
            <w:rPr>
              <w:sz w:val="21"/>
              <w:szCs w:val="21"/>
            </w:rPr>
            <w:instrText xml:space="preserve"> PAGEREF _Toc31089 \h </w:instrText>
          </w:r>
          <w:r>
            <w:rPr>
              <w:sz w:val="21"/>
              <w:szCs w:val="21"/>
            </w:rPr>
            <w:fldChar w:fldCharType="separate"/>
          </w:r>
          <w:r>
            <w:rPr>
              <w:sz w:val="21"/>
              <w:szCs w:val="21"/>
            </w:rPr>
            <w:t>250</w:t>
          </w:r>
          <w:r>
            <w:rPr>
              <w:sz w:val="21"/>
              <w:szCs w:val="21"/>
            </w:rPr>
            <w:fldChar w:fldCharType="end"/>
          </w:r>
          <w:r>
            <w:rPr>
              <w:sz w:val="21"/>
              <w:szCs w:val="21"/>
              <w:highlight w:val="none"/>
            </w:rPr>
            <w:fldChar w:fldCharType="end"/>
          </w:r>
        </w:p>
        <w:p w14:paraId="0B070A7C">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_Toc29709 </w:instrText>
          </w:r>
          <w:r>
            <w:rPr>
              <w:sz w:val="21"/>
              <w:szCs w:val="21"/>
              <w:highlight w:val="none"/>
            </w:rPr>
            <w:fldChar w:fldCharType="separate"/>
          </w:r>
          <w:r>
            <w:rPr>
              <w:rFonts w:hint="eastAsia"/>
              <w:sz w:val="21"/>
              <w:szCs w:val="21"/>
              <w:highlight w:val="none"/>
              <w:lang w:val="en-US" w:eastAsia="zh-CN"/>
            </w:rPr>
            <w:t>9.8公众参与意见采纳情况说明</w:t>
          </w:r>
          <w:r>
            <w:rPr>
              <w:sz w:val="21"/>
              <w:szCs w:val="21"/>
            </w:rPr>
            <w:tab/>
          </w:r>
          <w:r>
            <w:rPr>
              <w:sz w:val="21"/>
              <w:szCs w:val="21"/>
            </w:rPr>
            <w:fldChar w:fldCharType="begin"/>
          </w:r>
          <w:r>
            <w:rPr>
              <w:sz w:val="21"/>
              <w:szCs w:val="21"/>
            </w:rPr>
            <w:instrText xml:space="preserve"> PAGEREF _Toc29709 \h </w:instrText>
          </w:r>
          <w:r>
            <w:rPr>
              <w:sz w:val="21"/>
              <w:szCs w:val="21"/>
            </w:rPr>
            <w:fldChar w:fldCharType="separate"/>
          </w:r>
          <w:r>
            <w:rPr>
              <w:sz w:val="21"/>
              <w:szCs w:val="21"/>
            </w:rPr>
            <w:t>250</w:t>
          </w:r>
          <w:r>
            <w:rPr>
              <w:sz w:val="21"/>
              <w:szCs w:val="21"/>
            </w:rPr>
            <w:fldChar w:fldCharType="end"/>
          </w:r>
          <w:r>
            <w:rPr>
              <w:sz w:val="21"/>
              <w:szCs w:val="21"/>
              <w:highlight w:val="none"/>
            </w:rPr>
            <w:fldChar w:fldCharType="end"/>
          </w:r>
        </w:p>
        <w:p w14:paraId="6E1668AA">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_Toc4514 </w:instrText>
          </w:r>
          <w:r>
            <w:rPr>
              <w:sz w:val="21"/>
              <w:szCs w:val="21"/>
              <w:highlight w:val="none"/>
            </w:rPr>
            <w:fldChar w:fldCharType="separate"/>
          </w:r>
          <w:r>
            <w:rPr>
              <w:rFonts w:hint="eastAsia"/>
              <w:sz w:val="21"/>
              <w:szCs w:val="21"/>
              <w:highlight w:val="none"/>
              <w:lang w:val="en-US" w:eastAsia="zh-CN"/>
            </w:rPr>
            <w:t>9.9综合评价结论</w:t>
          </w:r>
          <w:r>
            <w:rPr>
              <w:sz w:val="21"/>
              <w:szCs w:val="21"/>
            </w:rPr>
            <w:tab/>
          </w:r>
          <w:r>
            <w:rPr>
              <w:sz w:val="21"/>
              <w:szCs w:val="21"/>
            </w:rPr>
            <w:fldChar w:fldCharType="begin"/>
          </w:r>
          <w:r>
            <w:rPr>
              <w:sz w:val="21"/>
              <w:szCs w:val="21"/>
            </w:rPr>
            <w:instrText xml:space="preserve"> PAGEREF _Toc4514 \h </w:instrText>
          </w:r>
          <w:r>
            <w:rPr>
              <w:sz w:val="21"/>
              <w:szCs w:val="21"/>
            </w:rPr>
            <w:fldChar w:fldCharType="separate"/>
          </w:r>
          <w:r>
            <w:rPr>
              <w:sz w:val="21"/>
              <w:szCs w:val="21"/>
            </w:rPr>
            <w:t>250</w:t>
          </w:r>
          <w:r>
            <w:rPr>
              <w:sz w:val="21"/>
              <w:szCs w:val="21"/>
            </w:rPr>
            <w:fldChar w:fldCharType="end"/>
          </w:r>
          <w:r>
            <w:rPr>
              <w:sz w:val="21"/>
              <w:szCs w:val="21"/>
              <w:highlight w:val="none"/>
            </w:rPr>
            <w:fldChar w:fldCharType="end"/>
          </w:r>
        </w:p>
        <w:p w14:paraId="71DE357B">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_Toc15187 </w:instrText>
          </w:r>
          <w:r>
            <w:rPr>
              <w:sz w:val="21"/>
              <w:szCs w:val="21"/>
              <w:highlight w:val="none"/>
            </w:rPr>
            <w:fldChar w:fldCharType="separate"/>
          </w:r>
          <w:r>
            <w:rPr>
              <w:sz w:val="21"/>
              <w:szCs w:val="21"/>
              <w:highlight w:val="none"/>
            </w:rPr>
            <w:t>大气环境影响评价自查表</w:t>
          </w:r>
          <w:r>
            <w:rPr>
              <w:sz w:val="21"/>
              <w:szCs w:val="21"/>
            </w:rPr>
            <w:tab/>
          </w:r>
          <w:r>
            <w:rPr>
              <w:sz w:val="21"/>
              <w:szCs w:val="21"/>
            </w:rPr>
            <w:fldChar w:fldCharType="begin"/>
          </w:r>
          <w:r>
            <w:rPr>
              <w:sz w:val="21"/>
              <w:szCs w:val="21"/>
            </w:rPr>
            <w:instrText xml:space="preserve"> PAGEREF _Toc15187 \h </w:instrText>
          </w:r>
          <w:r>
            <w:rPr>
              <w:sz w:val="21"/>
              <w:szCs w:val="21"/>
            </w:rPr>
            <w:fldChar w:fldCharType="separate"/>
          </w:r>
          <w:r>
            <w:rPr>
              <w:sz w:val="21"/>
              <w:szCs w:val="21"/>
            </w:rPr>
            <w:t>251</w:t>
          </w:r>
          <w:r>
            <w:rPr>
              <w:sz w:val="21"/>
              <w:szCs w:val="21"/>
            </w:rPr>
            <w:fldChar w:fldCharType="end"/>
          </w:r>
          <w:r>
            <w:rPr>
              <w:sz w:val="21"/>
              <w:szCs w:val="21"/>
              <w:highlight w:val="none"/>
            </w:rPr>
            <w:fldChar w:fldCharType="end"/>
          </w:r>
        </w:p>
        <w:p w14:paraId="132B8E58">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_Toc30436 </w:instrText>
          </w:r>
          <w:r>
            <w:rPr>
              <w:sz w:val="21"/>
              <w:szCs w:val="21"/>
              <w:highlight w:val="none"/>
            </w:rPr>
            <w:fldChar w:fldCharType="separate"/>
          </w:r>
          <w:r>
            <w:rPr>
              <w:sz w:val="21"/>
              <w:szCs w:val="21"/>
              <w:highlight w:val="none"/>
            </w:rPr>
            <w:t>声环境影响评价自查表</w:t>
          </w:r>
          <w:r>
            <w:rPr>
              <w:sz w:val="21"/>
              <w:szCs w:val="21"/>
            </w:rPr>
            <w:tab/>
          </w:r>
          <w:r>
            <w:rPr>
              <w:sz w:val="21"/>
              <w:szCs w:val="21"/>
            </w:rPr>
            <w:fldChar w:fldCharType="begin"/>
          </w:r>
          <w:r>
            <w:rPr>
              <w:sz w:val="21"/>
              <w:szCs w:val="21"/>
            </w:rPr>
            <w:instrText xml:space="preserve"> PAGEREF _Toc30436 \h </w:instrText>
          </w:r>
          <w:r>
            <w:rPr>
              <w:sz w:val="21"/>
              <w:szCs w:val="21"/>
            </w:rPr>
            <w:fldChar w:fldCharType="separate"/>
          </w:r>
          <w:r>
            <w:rPr>
              <w:sz w:val="21"/>
              <w:szCs w:val="21"/>
            </w:rPr>
            <w:t>252</w:t>
          </w:r>
          <w:r>
            <w:rPr>
              <w:sz w:val="21"/>
              <w:szCs w:val="21"/>
            </w:rPr>
            <w:fldChar w:fldCharType="end"/>
          </w:r>
          <w:r>
            <w:rPr>
              <w:sz w:val="21"/>
              <w:szCs w:val="21"/>
              <w:highlight w:val="none"/>
            </w:rPr>
            <w:fldChar w:fldCharType="end"/>
          </w:r>
        </w:p>
        <w:p w14:paraId="7E45A958">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_Toc6777 </w:instrText>
          </w:r>
          <w:r>
            <w:rPr>
              <w:sz w:val="21"/>
              <w:szCs w:val="21"/>
              <w:highlight w:val="none"/>
            </w:rPr>
            <w:fldChar w:fldCharType="separate"/>
          </w:r>
          <w:r>
            <w:rPr>
              <w:rFonts w:hint="eastAsia"/>
              <w:sz w:val="21"/>
              <w:szCs w:val="21"/>
              <w:highlight w:val="none"/>
            </w:rPr>
            <w:t>建设项目地表水环境自查表</w:t>
          </w:r>
          <w:r>
            <w:rPr>
              <w:sz w:val="21"/>
              <w:szCs w:val="21"/>
            </w:rPr>
            <w:tab/>
          </w:r>
          <w:r>
            <w:rPr>
              <w:sz w:val="21"/>
              <w:szCs w:val="21"/>
            </w:rPr>
            <w:fldChar w:fldCharType="begin"/>
          </w:r>
          <w:r>
            <w:rPr>
              <w:sz w:val="21"/>
              <w:szCs w:val="21"/>
            </w:rPr>
            <w:instrText xml:space="preserve"> PAGEREF _Toc6777 \h </w:instrText>
          </w:r>
          <w:r>
            <w:rPr>
              <w:sz w:val="21"/>
              <w:szCs w:val="21"/>
            </w:rPr>
            <w:fldChar w:fldCharType="separate"/>
          </w:r>
          <w:r>
            <w:rPr>
              <w:sz w:val="21"/>
              <w:szCs w:val="21"/>
            </w:rPr>
            <w:t>253</w:t>
          </w:r>
          <w:r>
            <w:rPr>
              <w:sz w:val="21"/>
              <w:szCs w:val="21"/>
            </w:rPr>
            <w:fldChar w:fldCharType="end"/>
          </w:r>
          <w:r>
            <w:rPr>
              <w:sz w:val="21"/>
              <w:szCs w:val="21"/>
              <w:highlight w:val="none"/>
            </w:rPr>
            <w:fldChar w:fldCharType="end"/>
          </w:r>
        </w:p>
        <w:p w14:paraId="051E4BDB">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_Toc27727 </w:instrText>
          </w:r>
          <w:r>
            <w:rPr>
              <w:sz w:val="21"/>
              <w:szCs w:val="21"/>
              <w:highlight w:val="none"/>
            </w:rPr>
            <w:fldChar w:fldCharType="separate"/>
          </w:r>
          <w:r>
            <w:rPr>
              <w:rFonts w:hint="eastAsia"/>
              <w:sz w:val="21"/>
              <w:szCs w:val="21"/>
              <w:highlight w:val="none"/>
            </w:rPr>
            <w:t>土壤环境影响评价自查表</w:t>
          </w:r>
          <w:r>
            <w:rPr>
              <w:sz w:val="21"/>
              <w:szCs w:val="21"/>
            </w:rPr>
            <w:tab/>
          </w:r>
          <w:r>
            <w:rPr>
              <w:sz w:val="21"/>
              <w:szCs w:val="21"/>
            </w:rPr>
            <w:fldChar w:fldCharType="begin"/>
          </w:r>
          <w:r>
            <w:rPr>
              <w:sz w:val="21"/>
              <w:szCs w:val="21"/>
            </w:rPr>
            <w:instrText xml:space="preserve"> PAGEREF _Toc27727 \h </w:instrText>
          </w:r>
          <w:r>
            <w:rPr>
              <w:sz w:val="21"/>
              <w:szCs w:val="21"/>
            </w:rPr>
            <w:fldChar w:fldCharType="separate"/>
          </w:r>
          <w:r>
            <w:rPr>
              <w:sz w:val="21"/>
              <w:szCs w:val="21"/>
            </w:rPr>
            <w:t>256</w:t>
          </w:r>
          <w:r>
            <w:rPr>
              <w:sz w:val="21"/>
              <w:szCs w:val="21"/>
            </w:rPr>
            <w:fldChar w:fldCharType="end"/>
          </w:r>
          <w:r>
            <w:rPr>
              <w:sz w:val="21"/>
              <w:szCs w:val="21"/>
              <w:highlight w:val="none"/>
            </w:rPr>
            <w:fldChar w:fldCharType="end"/>
          </w:r>
        </w:p>
        <w:p w14:paraId="539616D6">
          <w:pPr>
            <w:pStyle w:val="15"/>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_Toc17087 </w:instrText>
          </w:r>
          <w:r>
            <w:rPr>
              <w:sz w:val="21"/>
              <w:szCs w:val="21"/>
              <w:highlight w:val="none"/>
            </w:rPr>
            <w:fldChar w:fldCharType="separate"/>
          </w:r>
          <w:r>
            <w:rPr>
              <w:rFonts w:hint="eastAsia"/>
              <w:sz w:val="21"/>
              <w:szCs w:val="21"/>
              <w:highlight w:val="none"/>
            </w:rPr>
            <w:t>建设项目风险自查表</w:t>
          </w:r>
          <w:r>
            <w:rPr>
              <w:sz w:val="21"/>
              <w:szCs w:val="21"/>
            </w:rPr>
            <w:tab/>
          </w:r>
          <w:r>
            <w:rPr>
              <w:sz w:val="21"/>
              <w:szCs w:val="21"/>
            </w:rPr>
            <w:fldChar w:fldCharType="begin"/>
          </w:r>
          <w:r>
            <w:rPr>
              <w:sz w:val="21"/>
              <w:szCs w:val="21"/>
            </w:rPr>
            <w:instrText xml:space="preserve"> PAGEREF _Toc17087 \h </w:instrText>
          </w:r>
          <w:r>
            <w:rPr>
              <w:sz w:val="21"/>
              <w:szCs w:val="21"/>
            </w:rPr>
            <w:fldChar w:fldCharType="separate"/>
          </w:r>
          <w:r>
            <w:rPr>
              <w:sz w:val="21"/>
              <w:szCs w:val="21"/>
            </w:rPr>
            <w:t>257</w:t>
          </w:r>
          <w:r>
            <w:rPr>
              <w:sz w:val="21"/>
              <w:szCs w:val="21"/>
            </w:rPr>
            <w:fldChar w:fldCharType="end"/>
          </w:r>
          <w:r>
            <w:rPr>
              <w:sz w:val="21"/>
              <w:szCs w:val="21"/>
              <w:highlight w:val="none"/>
            </w:rPr>
            <w:fldChar w:fldCharType="end"/>
          </w:r>
        </w:p>
        <w:p w14:paraId="04C2458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_Toc5769 </w:instrText>
          </w:r>
          <w:r>
            <w:rPr>
              <w:sz w:val="21"/>
              <w:szCs w:val="21"/>
              <w:highlight w:val="none"/>
            </w:rPr>
            <w:fldChar w:fldCharType="separate"/>
          </w:r>
          <w:r>
            <w:rPr>
              <w:rFonts w:hint="eastAsia"/>
              <w:sz w:val="21"/>
              <w:szCs w:val="21"/>
              <w:highlight w:val="none"/>
              <w:lang w:val="en-US" w:eastAsia="zh-CN"/>
            </w:rPr>
            <w:t>附图1厂区现有设施照片</w:t>
          </w:r>
          <w:r>
            <w:rPr>
              <w:sz w:val="21"/>
              <w:szCs w:val="21"/>
            </w:rPr>
            <w:tab/>
          </w:r>
          <w:r>
            <w:rPr>
              <w:sz w:val="21"/>
              <w:szCs w:val="21"/>
            </w:rPr>
            <w:fldChar w:fldCharType="begin"/>
          </w:r>
          <w:r>
            <w:rPr>
              <w:sz w:val="21"/>
              <w:szCs w:val="21"/>
            </w:rPr>
            <w:instrText xml:space="preserve"> PAGEREF _Toc5769 \h </w:instrText>
          </w:r>
          <w:r>
            <w:rPr>
              <w:sz w:val="21"/>
              <w:szCs w:val="21"/>
            </w:rPr>
            <w:fldChar w:fldCharType="separate"/>
          </w:r>
          <w:r>
            <w:rPr>
              <w:sz w:val="21"/>
              <w:szCs w:val="21"/>
            </w:rPr>
            <w:t>258</w:t>
          </w:r>
          <w:r>
            <w:rPr>
              <w:sz w:val="21"/>
              <w:szCs w:val="21"/>
            </w:rPr>
            <w:fldChar w:fldCharType="end"/>
          </w:r>
          <w:r>
            <w:rPr>
              <w:sz w:val="21"/>
              <w:szCs w:val="21"/>
              <w:highlight w:val="none"/>
            </w:rPr>
            <w:fldChar w:fldCharType="end"/>
          </w:r>
        </w:p>
        <w:p w14:paraId="6585D335">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_Toc9485 </w:instrText>
          </w:r>
          <w:r>
            <w:rPr>
              <w:sz w:val="21"/>
              <w:szCs w:val="21"/>
              <w:highlight w:val="none"/>
            </w:rPr>
            <w:fldChar w:fldCharType="separate"/>
          </w:r>
          <w:r>
            <w:rPr>
              <w:rFonts w:hint="eastAsia"/>
              <w:sz w:val="21"/>
              <w:szCs w:val="21"/>
              <w:highlight w:val="none"/>
              <w:lang w:val="en-US" w:eastAsia="zh-CN"/>
            </w:rPr>
            <w:t>附图2厂区平面图及分区防渗图</w:t>
          </w:r>
          <w:r>
            <w:rPr>
              <w:sz w:val="21"/>
              <w:szCs w:val="21"/>
            </w:rPr>
            <w:tab/>
          </w:r>
          <w:r>
            <w:rPr>
              <w:sz w:val="21"/>
              <w:szCs w:val="21"/>
            </w:rPr>
            <w:fldChar w:fldCharType="begin"/>
          </w:r>
          <w:r>
            <w:rPr>
              <w:sz w:val="21"/>
              <w:szCs w:val="21"/>
            </w:rPr>
            <w:instrText xml:space="preserve"> PAGEREF _Toc9485 \h </w:instrText>
          </w:r>
          <w:r>
            <w:rPr>
              <w:sz w:val="21"/>
              <w:szCs w:val="21"/>
            </w:rPr>
            <w:fldChar w:fldCharType="separate"/>
          </w:r>
          <w:r>
            <w:rPr>
              <w:sz w:val="21"/>
              <w:szCs w:val="21"/>
            </w:rPr>
            <w:t>260</w:t>
          </w:r>
          <w:r>
            <w:rPr>
              <w:sz w:val="21"/>
              <w:szCs w:val="21"/>
            </w:rPr>
            <w:fldChar w:fldCharType="end"/>
          </w:r>
          <w:r>
            <w:rPr>
              <w:sz w:val="21"/>
              <w:szCs w:val="21"/>
              <w:highlight w:val="none"/>
            </w:rPr>
            <w:fldChar w:fldCharType="end"/>
          </w:r>
        </w:p>
        <w:p w14:paraId="24E64656">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_Toc28235 </w:instrText>
          </w:r>
          <w:r>
            <w:rPr>
              <w:sz w:val="21"/>
              <w:szCs w:val="21"/>
              <w:highlight w:val="none"/>
            </w:rPr>
            <w:fldChar w:fldCharType="separate"/>
          </w:r>
          <w:r>
            <w:rPr>
              <w:rFonts w:hint="eastAsia"/>
              <w:sz w:val="21"/>
              <w:szCs w:val="21"/>
              <w:highlight w:val="none"/>
              <w:lang w:val="en-US" w:eastAsia="zh-CN"/>
            </w:rPr>
            <w:t>附件1生态环境分区管控分析报告</w:t>
          </w:r>
          <w:r>
            <w:rPr>
              <w:sz w:val="21"/>
              <w:szCs w:val="21"/>
            </w:rPr>
            <w:tab/>
          </w:r>
          <w:r>
            <w:rPr>
              <w:sz w:val="21"/>
              <w:szCs w:val="21"/>
            </w:rPr>
            <w:fldChar w:fldCharType="begin"/>
          </w:r>
          <w:r>
            <w:rPr>
              <w:sz w:val="21"/>
              <w:szCs w:val="21"/>
            </w:rPr>
            <w:instrText xml:space="preserve"> PAGEREF _Toc28235 \h </w:instrText>
          </w:r>
          <w:r>
            <w:rPr>
              <w:sz w:val="21"/>
              <w:szCs w:val="21"/>
            </w:rPr>
            <w:fldChar w:fldCharType="separate"/>
          </w:r>
          <w:r>
            <w:rPr>
              <w:sz w:val="21"/>
              <w:szCs w:val="21"/>
            </w:rPr>
            <w:t>261</w:t>
          </w:r>
          <w:r>
            <w:rPr>
              <w:sz w:val="21"/>
              <w:szCs w:val="21"/>
            </w:rPr>
            <w:fldChar w:fldCharType="end"/>
          </w:r>
          <w:r>
            <w:rPr>
              <w:sz w:val="21"/>
              <w:szCs w:val="21"/>
              <w:highlight w:val="none"/>
            </w:rPr>
            <w:fldChar w:fldCharType="end"/>
          </w:r>
        </w:p>
        <w:p w14:paraId="01523040">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_Toc15584 </w:instrText>
          </w:r>
          <w:r>
            <w:rPr>
              <w:sz w:val="21"/>
              <w:szCs w:val="21"/>
              <w:highlight w:val="none"/>
            </w:rPr>
            <w:fldChar w:fldCharType="separate"/>
          </w:r>
          <w:r>
            <w:rPr>
              <w:rFonts w:hint="eastAsia"/>
              <w:sz w:val="21"/>
              <w:szCs w:val="21"/>
              <w:highlight w:val="none"/>
              <w:lang w:val="en-US" w:eastAsia="zh-CN"/>
            </w:rPr>
            <w:t>附件2营业执照</w:t>
          </w:r>
          <w:r>
            <w:rPr>
              <w:sz w:val="21"/>
              <w:szCs w:val="21"/>
            </w:rPr>
            <w:tab/>
          </w:r>
          <w:r>
            <w:rPr>
              <w:sz w:val="21"/>
              <w:szCs w:val="21"/>
            </w:rPr>
            <w:fldChar w:fldCharType="begin"/>
          </w:r>
          <w:r>
            <w:rPr>
              <w:sz w:val="21"/>
              <w:szCs w:val="21"/>
            </w:rPr>
            <w:instrText xml:space="preserve"> PAGEREF _Toc15584 \h </w:instrText>
          </w:r>
          <w:r>
            <w:rPr>
              <w:sz w:val="21"/>
              <w:szCs w:val="21"/>
            </w:rPr>
            <w:fldChar w:fldCharType="separate"/>
          </w:r>
          <w:r>
            <w:rPr>
              <w:sz w:val="21"/>
              <w:szCs w:val="21"/>
            </w:rPr>
            <w:t>273</w:t>
          </w:r>
          <w:r>
            <w:rPr>
              <w:sz w:val="21"/>
              <w:szCs w:val="21"/>
            </w:rPr>
            <w:fldChar w:fldCharType="end"/>
          </w:r>
          <w:r>
            <w:rPr>
              <w:sz w:val="21"/>
              <w:szCs w:val="21"/>
              <w:highlight w:val="none"/>
            </w:rPr>
            <w:fldChar w:fldCharType="end"/>
          </w:r>
        </w:p>
        <w:p w14:paraId="71911A4A">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_Toc30751 </w:instrText>
          </w:r>
          <w:r>
            <w:rPr>
              <w:sz w:val="21"/>
              <w:szCs w:val="21"/>
              <w:highlight w:val="none"/>
            </w:rPr>
            <w:fldChar w:fldCharType="separate"/>
          </w:r>
          <w:r>
            <w:rPr>
              <w:rFonts w:hint="eastAsia"/>
              <w:sz w:val="21"/>
              <w:szCs w:val="21"/>
              <w:highlight w:val="none"/>
              <w:lang w:val="en-US" w:eastAsia="zh-CN"/>
            </w:rPr>
            <w:t>附件3煤质分析报告</w:t>
          </w:r>
          <w:r>
            <w:rPr>
              <w:sz w:val="21"/>
              <w:szCs w:val="21"/>
            </w:rPr>
            <w:tab/>
          </w:r>
          <w:r>
            <w:rPr>
              <w:sz w:val="21"/>
              <w:szCs w:val="21"/>
            </w:rPr>
            <w:fldChar w:fldCharType="begin"/>
          </w:r>
          <w:r>
            <w:rPr>
              <w:sz w:val="21"/>
              <w:szCs w:val="21"/>
            </w:rPr>
            <w:instrText xml:space="preserve"> PAGEREF _Toc30751 \h </w:instrText>
          </w:r>
          <w:r>
            <w:rPr>
              <w:sz w:val="21"/>
              <w:szCs w:val="21"/>
            </w:rPr>
            <w:fldChar w:fldCharType="separate"/>
          </w:r>
          <w:r>
            <w:rPr>
              <w:sz w:val="21"/>
              <w:szCs w:val="21"/>
            </w:rPr>
            <w:t>274</w:t>
          </w:r>
          <w:r>
            <w:rPr>
              <w:sz w:val="21"/>
              <w:szCs w:val="21"/>
            </w:rPr>
            <w:fldChar w:fldCharType="end"/>
          </w:r>
          <w:r>
            <w:rPr>
              <w:sz w:val="21"/>
              <w:szCs w:val="21"/>
              <w:highlight w:val="none"/>
            </w:rPr>
            <w:fldChar w:fldCharType="end"/>
          </w:r>
        </w:p>
        <w:p w14:paraId="6F93579C">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_Toc8091 </w:instrText>
          </w:r>
          <w:r>
            <w:rPr>
              <w:sz w:val="21"/>
              <w:szCs w:val="21"/>
              <w:highlight w:val="none"/>
            </w:rPr>
            <w:fldChar w:fldCharType="separate"/>
          </w:r>
          <w:r>
            <w:rPr>
              <w:rFonts w:hint="eastAsia"/>
              <w:sz w:val="21"/>
              <w:szCs w:val="21"/>
              <w:highlight w:val="none"/>
              <w:lang w:val="en-US" w:eastAsia="zh-CN"/>
            </w:rPr>
            <w:t>附件4土地证</w:t>
          </w:r>
          <w:r>
            <w:rPr>
              <w:sz w:val="21"/>
              <w:szCs w:val="21"/>
            </w:rPr>
            <w:tab/>
          </w:r>
          <w:r>
            <w:rPr>
              <w:sz w:val="21"/>
              <w:szCs w:val="21"/>
            </w:rPr>
            <w:fldChar w:fldCharType="begin"/>
          </w:r>
          <w:r>
            <w:rPr>
              <w:sz w:val="21"/>
              <w:szCs w:val="21"/>
            </w:rPr>
            <w:instrText xml:space="preserve"> PAGEREF _Toc8091 \h </w:instrText>
          </w:r>
          <w:r>
            <w:rPr>
              <w:sz w:val="21"/>
              <w:szCs w:val="21"/>
            </w:rPr>
            <w:fldChar w:fldCharType="separate"/>
          </w:r>
          <w:r>
            <w:rPr>
              <w:sz w:val="21"/>
              <w:szCs w:val="21"/>
            </w:rPr>
            <w:t>279</w:t>
          </w:r>
          <w:r>
            <w:rPr>
              <w:sz w:val="21"/>
              <w:szCs w:val="21"/>
            </w:rPr>
            <w:fldChar w:fldCharType="end"/>
          </w:r>
          <w:r>
            <w:rPr>
              <w:sz w:val="21"/>
              <w:szCs w:val="21"/>
              <w:highlight w:val="none"/>
            </w:rPr>
            <w:fldChar w:fldCharType="end"/>
          </w:r>
        </w:p>
        <w:p w14:paraId="072DAA2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_Toc29427 </w:instrText>
          </w:r>
          <w:r>
            <w:rPr>
              <w:sz w:val="21"/>
              <w:szCs w:val="21"/>
              <w:highlight w:val="none"/>
            </w:rPr>
            <w:fldChar w:fldCharType="separate"/>
          </w:r>
          <w:r>
            <w:rPr>
              <w:rFonts w:hint="eastAsia"/>
              <w:sz w:val="21"/>
              <w:szCs w:val="21"/>
              <w:highlight w:val="none"/>
              <w:lang w:val="en-US" w:eastAsia="zh-CN"/>
            </w:rPr>
            <w:t>附件5核定总量计算说明</w:t>
          </w:r>
          <w:r>
            <w:rPr>
              <w:sz w:val="21"/>
              <w:szCs w:val="21"/>
            </w:rPr>
            <w:tab/>
          </w:r>
          <w:r>
            <w:rPr>
              <w:sz w:val="21"/>
              <w:szCs w:val="21"/>
            </w:rPr>
            <w:fldChar w:fldCharType="begin"/>
          </w:r>
          <w:r>
            <w:rPr>
              <w:sz w:val="21"/>
              <w:szCs w:val="21"/>
            </w:rPr>
            <w:instrText xml:space="preserve"> PAGEREF _Toc29427 \h </w:instrText>
          </w:r>
          <w:r>
            <w:rPr>
              <w:sz w:val="21"/>
              <w:szCs w:val="21"/>
            </w:rPr>
            <w:fldChar w:fldCharType="separate"/>
          </w:r>
          <w:r>
            <w:rPr>
              <w:sz w:val="21"/>
              <w:szCs w:val="21"/>
            </w:rPr>
            <w:t>286</w:t>
          </w:r>
          <w:r>
            <w:rPr>
              <w:sz w:val="21"/>
              <w:szCs w:val="21"/>
            </w:rPr>
            <w:fldChar w:fldCharType="end"/>
          </w:r>
          <w:r>
            <w:rPr>
              <w:sz w:val="21"/>
              <w:szCs w:val="21"/>
              <w:highlight w:val="none"/>
            </w:rPr>
            <w:fldChar w:fldCharType="end"/>
          </w:r>
        </w:p>
        <w:p w14:paraId="31273035">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_Toc23348 </w:instrText>
          </w:r>
          <w:r>
            <w:rPr>
              <w:sz w:val="21"/>
              <w:szCs w:val="21"/>
              <w:highlight w:val="none"/>
            </w:rPr>
            <w:fldChar w:fldCharType="separate"/>
          </w:r>
          <w:r>
            <w:rPr>
              <w:rFonts w:hint="eastAsia"/>
              <w:sz w:val="21"/>
              <w:szCs w:val="21"/>
              <w:highlight w:val="none"/>
              <w:lang w:val="en-US" w:eastAsia="zh-CN"/>
            </w:rPr>
            <w:t>附件6排污许可证及企业规模信息</w:t>
          </w:r>
          <w:r>
            <w:rPr>
              <w:sz w:val="21"/>
              <w:szCs w:val="21"/>
            </w:rPr>
            <w:tab/>
          </w:r>
          <w:r>
            <w:rPr>
              <w:sz w:val="21"/>
              <w:szCs w:val="21"/>
            </w:rPr>
            <w:fldChar w:fldCharType="begin"/>
          </w:r>
          <w:r>
            <w:rPr>
              <w:sz w:val="21"/>
              <w:szCs w:val="21"/>
            </w:rPr>
            <w:instrText xml:space="preserve"> PAGEREF _Toc23348 \h </w:instrText>
          </w:r>
          <w:r>
            <w:rPr>
              <w:sz w:val="21"/>
              <w:szCs w:val="21"/>
            </w:rPr>
            <w:fldChar w:fldCharType="separate"/>
          </w:r>
          <w:r>
            <w:rPr>
              <w:sz w:val="21"/>
              <w:szCs w:val="21"/>
            </w:rPr>
            <w:t>289</w:t>
          </w:r>
          <w:r>
            <w:rPr>
              <w:sz w:val="21"/>
              <w:szCs w:val="21"/>
            </w:rPr>
            <w:fldChar w:fldCharType="end"/>
          </w:r>
          <w:r>
            <w:rPr>
              <w:sz w:val="21"/>
              <w:szCs w:val="21"/>
              <w:highlight w:val="none"/>
            </w:rPr>
            <w:fldChar w:fldCharType="end"/>
          </w:r>
        </w:p>
        <w:p w14:paraId="32D69EE8">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_Toc31871 </w:instrText>
          </w:r>
          <w:r>
            <w:rPr>
              <w:sz w:val="21"/>
              <w:szCs w:val="21"/>
              <w:highlight w:val="none"/>
            </w:rPr>
            <w:fldChar w:fldCharType="separate"/>
          </w:r>
          <w:r>
            <w:rPr>
              <w:rFonts w:hint="eastAsia"/>
              <w:sz w:val="21"/>
              <w:szCs w:val="21"/>
              <w:highlight w:val="none"/>
              <w:lang w:val="en-US" w:eastAsia="zh-CN"/>
            </w:rPr>
            <w:t>附件7现有环评批复及验收意见</w:t>
          </w:r>
          <w:r>
            <w:rPr>
              <w:sz w:val="21"/>
              <w:szCs w:val="21"/>
            </w:rPr>
            <w:tab/>
          </w:r>
          <w:r>
            <w:rPr>
              <w:sz w:val="21"/>
              <w:szCs w:val="21"/>
            </w:rPr>
            <w:fldChar w:fldCharType="begin"/>
          </w:r>
          <w:r>
            <w:rPr>
              <w:sz w:val="21"/>
              <w:szCs w:val="21"/>
            </w:rPr>
            <w:instrText xml:space="preserve"> PAGEREF _Toc31871 \h </w:instrText>
          </w:r>
          <w:r>
            <w:rPr>
              <w:sz w:val="21"/>
              <w:szCs w:val="21"/>
            </w:rPr>
            <w:fldChar w:fldCharType="separate"/>
          </w:r>
          <w:r>
            <w:rPr>
              <w:sz w:val="21"/>
              <w:szCs w:val="21"/>
            </w:rPr>
            <w:t>290</w:t>
          </w:r>
          <w:r>
            <w:rPr>
              <w:sz w:val="21"/>
              <w:szCs w:val="21"/>
            </w:rPr>
            <w:fldChar w:fldCharType="end"/>
          </w:r>
          <w:r>
            <w:rPr>
              <w:sz w:val="21"/>
              <w:szCs w:val="21"/>
              <w:highlight w:val="none"/>
            </w:rPr>
            <w:fldChar w:fldCharType="end"/>
          </w:r>
        </w:p>
        <w:p w14:paraId="23B97330">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_Toc18344 </w:instrText>
          </w:r>
          <w:r>
            <w:rPr>
              <w:sz w:val="21"/>
              <w:szCs w:val="21"/>
              <w:highlight w:val="none"/>
            </w:rPr>
            <w:fldChar w:fldCharType="separate"/>
          </w:r>
          <w:r>
            <w:rPr>
              <w:rFonts w:hint="eastAsia"/>
              <w:sz w:val="21"/>
              <w:szCs w:val="21"/>
              <w:highlight w:val="none"/>
              <w:lang w:val="en-US" w:eastAsia="zh-CN"/>
            </w:rPr>
            <w:t>附件8关于《绥芬河边境经济合作区（代管区）总体规划（2021-2035年）环境影响报告书》的审查意见</w:t>
          </w:r>
          <w:r>
            <w:rPr>
              <w:sz w:val="21"/>
              <w:szCs w:val="21"/>
            </w:rPr>
            <w:tab/>
          </w:r>
          <w:r>
            <w:rPr>
              <w:sz w:val="21"/>
              <w:szCs w:val="21"/>
            </w:rPr>
            <w:fldChar w:fldCharType="begin"/>
          </w:r>
          <w:r>
            <w:rPr>
              <w:sz w:val="21"/>
              <w:szCs w:val="21"/>
            </w:rPr>
            <w:instrText xml:space="preserve"> PAGEREF _Toc18344 \h </w:instrText>
          </w:r>
          <w:r>
            <w:rPr>
              <w:sz w:val="21"/>
              <w:szCs w:val="21"/>
            </w:rPr>
            <w:fldChar w:fldCharType="separate"/>
          </w:r>
          <w:r>
            <w:rPr>
              <w:sz w:val="21"/>
              <w:szCs w:val="21"/>
            </w:rPr>
            <w:t>296</w:t>
          </w:r>
          <w:r>
            <w:rPr>
              <w:sz w:val="21"/>
              <w:szCs w:val="21"/>
            </w:rPr>
            <w:fldChar w:fldCharType="end"/>
          </w:r>
          <w:r>
            <w:rPr>
              <w:sz w:val="21"/>
              <w:szCs w:val="21"/>
              <w:highlight w:val="none"/>
            </w:rPr>
            <w:fldChar w:fldCharType="end"/>
          </w:r>
        </w:p>
        <w:p w14:paraId="6346A957">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_Toc24966 </w:instrText>
          </w:r>
          <w:r>
            <w:rPr>
              <w:sz w:val="21"/>
              <w:szCs w:val="21"/>
              <w:highlight w:val="none"/>
            </w:rPr>
            <w:fldChar w:fldCharType="separate"/>
          </w:r>
          <w:r>
            <w:rPr>
              <w:rFonts w:hint="eastAsia"/>
              <w:sz w:val="21"/>
              <w:szCs w:val="21"/>
              <w:highlight w:val="none"/>
              <w:lang w:val="en-US" w:eastAsia="zh-CN"/>
            </w:rPr>
            <w:t>附件9现有工程定期检测报告</w:t>
          </w:r>
          <w:r>
            <w:rPr>
              <w:sz w:val="21"/>
              <w:szCs w:val="21"/>
            </w:rPr>
            <w:tab/>
          </w:r>
          <w:r>
            <w:rPr>
              <w:sz w:val="21"/>
              <w:szCs w:val="21"/>
            </w:rPr>
            <w:fldChar w:fldCharType="begin"/>
          </w:r>
          <w:r>
            <w:rPr>
              <w:sz w:val="21"/>
              <w:szCs w:val="21"/>
            </w:rPr>
            <w:instrText xml:space="preserve"> PAGEREF _Toc24966 \h </w:instrText>
          </w:r>
          <w:r>
            <w:rPr>
              <w:sz w:val="21"/>
              <w:szCs w:val="21"/>
            </w:rPr>
            <w:fldChar w:fldCharType="separate"/>
          </w:r>
          <w:r>
            <w:rPr>
              <w:sz w:val="21"/>
              <w:szCs w:val="21"/>
            </w:rPr>
            <w:t>302</w:t>
          </w:r>
          <w:r>
            <w:rPr>
              <w:sz w:val="21"/>
              <w:szCs w:val="21"/>
            </w:rPr>
            <w:fldChar w:fldCharType="end"/>
          </w:r>
          <w:r>
            <w:rPr>
              <w:sz w:val="21"/>
              <w:szCs w:val="21"/>
              <w:highlight w:val="none"/>
            </w:rPr>
            <w:fldChar w:fldCharType="end"/>
          </w:r>
        </w:p>
        <w:p w14:paraId="04D99E22">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_Toc18574 </w:instrText>
          </w:r>
          <w:r>
            <w:rPr>
              <w:sz w:val="21"/>
              <w:szCs w:val="21"/>
              <w:highlight w:val="none"/>
            </w:rPr>
            <w:fldChar w:fldCharType="separate"/>
          </w:r>
          <w:r>
            <w:rPr>
              <w:rFonts w:hint="eastAsia"/>
              <w:sz w:val="21"/>
              <w:szCs w:val="21"/>
              <w:highlight w:val="none"/>
              <w:lang w:val="en-US" w:eastAsia="zh-CN"/>
            </w:rPr>
            <w:t>附件10现状检测报告</w:t>
          </w:r>
          <w:r>
            <w:rPr>
              <w:sz w:val="21"/>
              <w:szCs w:val="21"/>
            </w:rPr>
            <w:tab/>
          </w:r>
          <w:r>
            <w:rPr>
              <w:sz w:val="21"/>
              <w:szCs w:val="21"/>
            </w:rPr>
            <w:fldChar w:fldCharType="begin"/>
          </w:r>
          <w:r>
            <w:rPr>
              <w:sz w:val="21"/>
              <w:szCs w:val="21"/>
            </w:rPr>
            <w:instrText xml:space="preserve"> PAGEREF _Toc18574 \h </w:instrText>
          </w:r>
          <w:r>
            <w:rPr>
              <w:sz w:val="21"/>
              <w:szCs w:val="21"/>
            </w:rPr>
            <w:fldChar w:fldCharType="separate"/>
          </w:r>
          <w:r>
            <w:rPr>
              <w:sz w:val="21"/>
              <w:szCs w:val="21"/>
            </w:rPr>
            <w:t>329</w:t>
          </w:r>
          <w:r>
            <w:rPr>
              <w:sz w:val="21"/>
              <w:szCs w:val="21"/>
            </w:rPr>
            <w:fldChar w:fldCharType="end"/>
          </w:r>
          <w:r>
            <w:rPr>
              <w:sz w:val="21"/>
              <w:szCs w:val="21"/>
              <w:highlight w:val="none"/>
            </w:rPr>
            <w:fldChar w:fldCharType="end"/>
          </w:r>
        </w:p>
        <w:p w14:paraId="2B48BBEF">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_Toc16766 </w:instrText>
          </w:r>
          <w:r>
            <w:rPr>
              <w:sz w:val="21"/>
              <w:szCs w:val="21"/>
              <w:highlight w:val="none"/>
            </w:rPr>
            <w:fldChar w:fldCharType="separate"/>
          </w:r>
          <w:r>
            <w:rPr>
              <w:rFonts w:hint="eastAsia"/>
              <w:sz w:val="21"/>
              <w:szCs w:val="21"/>
              <w:highlight w:val="none"/>
              <w:lang w:val="en-US" w:eastAsia="zh-CN"/>
            </w:rPr>
            <w:t>附件11应急预案备案表</w:t>
          </w:r>
          <w:r>
            <w:rPr>
              <w:sz w:val="21"/>
              <w:szCs w:val="21"/>
            </w:rPr>
            <w:tab/>
          </w:r>
          <w:r>
            <w:rPr>
              <w:sz w:val="21"/>
              <w:szCs w:val="21"/>
            </w:rPr>
            <w:fldChar w:fldCharType="begin"/>
          </w:r>
          <w:r>
            <w:rPr>
              <w:sz w:val="21"/>
              <w:szCs w:val="21"/>
            </w:rPr>
            <w:instrText xml:space="preserve"> PAGEREF _Toc16766 \h </w:instrText>
          </w:r>
          <w:r>
            <w:rPr>
              <w:sz w:val="21"/>
              <w:szCs w:val="21"/>
            </w:rPr>
            <w:fldChar w:fldCharType="separate"/>
          </w:r>
          <w:r>
            <w:rPr>
              <w:sz w:val="21"/>
              <w:szCs w:val="21"/>
            </w:rPr>
            <w:t>342</w:t>
          </w:r>
          <w:r>
            <w:rPr>
              <w:sz w:val="21"/>
              <w:szCs w:val="21"/>
            </w:rPr>
            <w:fldChar w:fldCharType="end"/>
          </w:r>
          <w:r>
            <w:rPr>
              <w:sz w:val="21"/>
              <w:szCs w:val="21"/>
              <w:highlight w:val="none"/>
            </w:rPr>
            <w:fldChar w:fldCharType="end"/>
          </w:r>
        </w:p>
        <w:p w14:paraId="25DE02E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_Toc10435 </w:instrText>
          </w:r>
          <w:r>
            <w:rPr>
              <w:sz w:val="21"/>
              <w:szCs w:val="21"/>
              <w:highlight w:val="none"/>
            </w:rPr>
            <w:fldChar w:fldCharType="separate"/>
          </w:r>
          <w:r>
            <w:rPr>
              <w:rFonts w:hint="eastAsia"/>
              <w:sz w:val="21"/>
              <w:szCs w:val="21"/>
              <w:highlight w:val="none"/>
              <w:lang w:val="en-US" w:eastAsia="zh-CN"/>
            </w:rPr>
            <w:t>附件12 116MW锅炉购销合同</w:t>
          </w:r>
          <w:r>
            <w:rPr>
              <w:sz w:val="21"/>
              <w:szCs w:val="21"/>
            </w:rPr>
            <w:tab/>
          </w:r>
          <w:r>
            <w:rPr>
              <w:sz w:val="21"/>
              <w:szCs w:val="21"/>
            </w:rPr>
            <w:fldChar w:fldCharType="begin"/>
          </w:r>
          <w:r>
            <w:rPr>
              <w:sz w:val="21"/>
              <w:szCs w:val="21"/>
            </w:rPr>
            <w:instrText xml:space="preserve"> PAGEREF _Toc10435 \h </w:instrText>
          </w:r>
          <w:r>
            <w:rPr>
              <w:sz w:val="21"/>
              <w:szCs w:val="21"/>
            </w:rPr>
            <w:fldChar w:fldCharType="separate"/>
          </w:r>
          <w:r>
            <w:rPr>
              <w:sz w:val="21"/>
              <w:szCs w:val="21"/>
            </w:rPr>
            <w:t>343</w:t>
          </w:r>
          <w:r>
            <w:rPr>
              <w:sz w:val="21"/>
              <w:szCs w:val="21"/>
            </w:rPr>
            <w:fldChar w:fldCharType="end"/>
          </w:r>
          <w:r>
            <w:rPr>
              <w:sz w:val="21"/>
              <w:szCs w:val="21"/>
              <w:highlight w:val="none"/>
            </w:rPr>
            <w:fldChar w:fldCharType="end"/>
          </w:r>
        </w:p>
        <w:p w14:paraId="77D8066E">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_Toc10281 </w:instrText>
          </w:r>
          <w:r>
            <w:rPr>
              <w:sz w:val="21"/>
              <w:szCs w:val="21"/>
              <w:highlight w:val="none"/>
            </w:rPr>
            <w:fldChar w:fldCharType="separate"/>
          </w:r>
          <w:r>
            <w:rPr>
              <w:rFonts w:hint="eastAsia"/>
              <w:sz w:val="21"/>
              <w:szCs w:val="21"/>
              <w:highlight w:val="none"/>
              <w:lang w:val="en-US" w:eastAsia="zh-CN"/>
            </w:rPr>
            <w:t>附件13 35t/h蒸汽锅炉建设凭证</w:t>
          </w:r>
          <w:r>
            <w:rPr>
              <w:sz w:val="21"/>
              <w:szCs w:val="21"/>
            </w:rPr>
            <w:tab/>
          </w:r>
          <w:r>
            <w:rPr>
              <w:sz w:val="21"/>
              <w:szCs w:val="21"/>
            </w:rPr>
            <w:fldChar w:fldCharType="begin"/>
          </w:r>
          <w:r>
            <w:rPr>
              <w:sz w:val="21"/>
              <w:szCs w:val="21"/>
            </w:rPr>
            <w:instrText xml:space="preserve"> PAGEREF _Toc10281 \h </w:instrText>
          </w:r>
          <w:r>
            <w:rPr>
              <w:sz w:val="21"/>
              <w:szCs w:val="21"/>
            </w:rPr>
            <w:fldChar w:fldCharType="separate"/>
          </w:r>
          <w:r>
            <w:rPr>
              <w:sz w:val="21"/>
              <w:szCs w:val="21"/>
            </w:rPr>
            <w:t>344</w:t>
          </w:r>
          <w:r>
            <w:rPr>
              <w:sz w:val="21"/>
              <w:szCs w:val="21"/>
            </w:rPr>
            <w:fldChar w:fldCharType="end"/>
          </w:r>
          <w:r>
            <w:rPr>
              <w:sz w:val="21"/>
              <w:szCs w:val="21"/>
              <w:highlight w:val="none"/>
            </w:rPr>
            <w:fldChar w:fldCharType="end"/>
          </w:r>
        </w:p>
        <w:p w14:paraId="1A0E7100">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rPr>
              <w:sz w:val="21"/>
              <w:szCs w:val="21"/>
            </w:rPr>
          </w:pPr>
          <w:r>
            <w:rPr>
              <w:sz w:val="21"/>
              <w:szCs w:val="21"/>
              <w:highlight w:val="none"/>
            </w:rPr>
            <w:fldChar w:fldCharType="begin"/>
          </w:r>
          <w:r>
            <w:rPr>
              <w:sz w:val="21"/>
              <w:szCs w:val="21"/>
              <w:highlight w:val="none"/>
            </w:rPr>
            <w:instrText xml:space="preserve"> HYPERLINK \l _Toc18443 </w:instrText>
          </w:r>
          <w:r>
            <w:rPr>
              <w:sz w:val="21"/>
              <w:szCs w:val="21"/>
              <w:highlight w:val="none"/>
            </w:rPr>
            <w:fldChar w:fldCharType="separate"/>
          </w:r>
          <w:r>
            <w:rPr>
              <w:rFonts w:hint="eastAsia"/>
              <w:sz w:val="21"/>
              <w:szCs w:val="21"/>
              <w:highlight w:val="none"/>
              <w:lang w:val="en-US" w:eastAsia="zh-CN"/>
            </w:rPr>
            <w:t>附件14锅炉超低改造申请报告</w:t>
          </w:r>
          <w:r>
            <w:rPr>
              <w:sz w:val="21"/>
              <w:szCs w:val="21"/>
            </w:rPr>
            <w:tab/>
          </w:r>
          <w:r>
            <w:rPr>
              <w:sz w:val="21"/>
              <w:szCs w:val="21"/>
            </w:rPr>
            <w:fldChar w:fldCharType="begin"/>
          </w:r>
          <w:r>
            <w:rPr>
              <w:sz w:val="21"/>
              <w:szCs w:val="21"/>
            </w:rPr>
            <w:instrText xml:space="preserve"> PAGEREF _Toc18443 \h </w:instrText>
          </w:r>
          <w:r>
            <w:rPr>
              <w:sz w:val="21"/>
              <w:szCs w:val="21"/>
            </w:rPr>
            <w:fldChar w:fldCharType="separate"/>
          </w:r>
          <w:r>
            <w:rPr>
              <w:sz w:val="21"/>
              <w:szCs w:val="21"/>
            </w:rPr>
            <w:t>345</w:t>
          </w:r>
          <w:r>
            <w:rPr>
              <w:sz w:val="21"/>
              <w:szCs w:val="21"/>
            </w:rPr>
            <w:fldChar w:fldCharType="end"/>
          </w:r>
          <w:r>
            <w:rPr>
              <w:sz w:val="21"/>
              <w:szCs w:val="21"/>
              <w:highlight w:val="none"/>
            </w:rPr>
            <w:fldChar w:fldCharType="end"/>
          </w:r>
        </w:p>
        <w:p w14:paraId="227B9E56">
          <w:pPr>
            <w:pStyle w:val="14"/>
            <w:keepNext w:val="0"/>
            <w:keepLines w:val="0"/>
            <w:pageBreakBefore w:val="0"/>
            <w:widowControl w:val="0"/>
            <w:tabs>
              <w:tab w:val="right" w:leader="dot" w:pos="8306"/>
            </w:tabs>
            <w:kinsoku/>
            <w:wordWrap/>
            <w:overflowPunct/>
            <w:topLinePunct w:val="0"/>
            <w:autoSpaceDE/>
            <w:autoSpaceDN/>
            <w:bidi w:val="0"/>
            <w:adjustRightInd/>
            <w:snapToGrid/>
            <w:ind w:firstLine="0" w:firstLineChars="0"/>
            <w:textAlignment w:val="auto"/>
          </w:pPr>
          <w:r>
            <w:rPr>
              <w:sz w:val="21"/>
              <w:szCs w:val="21"/>
              <w:highlight w:val="none"/>
            </w:rPr>
            <w:fldChar w:fldCharType="begin"/>
          </w:r>
          <w:r>
            <w:rPr>
              <w:sz w:val="21"/>
              <w:szCs w:val="21"/>
              <w:highlight w:val="none"/>
            </w:rPr>
            <w:instrText xml:space="preserve"> HYPERLINK \l _Toc5397 </w:instrText>
          </w:r>
          <w:r>
            <w:rPr>
              <w:sz w:val="21"/>
              <w:szCs w:val="21"/>
              <w:highlight w:val="none"/>
            </w:rPr>
            <w:fldChar w:fldCharType="separate"/>
          </w:r>
          <w:r>
            <w:rPr>
              <w:rFonts w:hint="eastAsia"/>
              <w:sz w:val="21"/>
              <w:szCs w:val="21"/>
              <w:highlight w:val="none"/>
              <w:lang w:val="en-US" w:eastAsia="zh-CN"/>
            </w:rPr>
            <w:t>附件15企业近三年锅炉运行方案</w:t>
          </w:r>
          <w:r>
            <w:rPr>
              <w:sz w:val="21"/>
              <w:szCs w:val="21"/>
            </w:rPr>
            <w:tab/>
          </w:r>
          <w:r>
            <w:rPr>
              <w:sz w:val="21"/>
              <w:szCs w:val="21"/>
            </w:rPr>
            <w:fldChar w:fldCharType="begin"/>
          </w:r>
          <w:r>
            <w:rPr>
              <w:sz w:val="21"/>
              <w:szCs w:val="21"/>
            </w:rPr>
            <w:instrText xml:space="preserve"> PAGEREF _Toc5397 \h </w:instrText>
          </w:r>
          <w:r>
            <w:rPr>
              <w:sz w:val="21"/>
              <w:szCs w:val="21"/>
            </w:rPr>
            <w:fldChar w:fldCharType="separate"/>
          </w:r>
          <w:r>
            <w:rPr>
              <w:sz w:val="21"/>
              <w:szCs w:val="21"/>
            </w:rPr>
            <w:t>348</w:t>
          </w:r>
          <w:r>
            <w:rPr>
              <w:sz w:val="21"/>
              <w:szCs w:val="21"/>
            </w:rPr>
            <w:fldChar w:fldCharType="end"/>
          </w:r>
          <w:r>
            <w:rPr>
              <w:sz w:val="21"/>
              <w:szCs w:val="21"/>
              <w:highlight w:val="none"/>
            </w:rPr>
            <w:fldChar w:fldCharType="end"/>
          </w:r>
        </w:p>
        <w:p w14:paraId="323821C2">
          <w:pPr>
            <w:pStyle w:val="11"/>
            <w:keepNext w:val="0"/>
            <w:keepLines w:val="0"/>
            <w:pageBreakBefore w:val="0"/>
            <w:widowControl w:val="0"/>
            <w:tabs>
              <w:tab w:val="left" w:pos="928"/>
            </w:tabs>
            <w:kinsoku/>
            <w:wordWrap/>
            <w:overflowPunct/>
            <w:topLinePunct w:val="0"/>
            <w:autoSpaceDE/>
            <w:autoSpaceDN/>
            <w:bidi w:val="0"/>
            <w:adjustRightInd/>
            <w:snapToGrid/>
            <w:spacing w:line="240" w:lineRule="auto"/>
            <w:ind w:firstLine="0" w:firstLineChars="0"/>
            <w:textAlignment w:val="auto"/>
            <w:rPr>
              <w:rFonts w:ascii="Times New Roman" w:hAnsi="Times New Roman" w:eastAsia="宋体" w:cs="Times New Roman"/>
              <w:kern w:val="2"/>
              <w:sz w:val="21"/>
              <w:szCs w:val="24"/>
              <w:highlight w:val="none"/>
              <w:lang w:val="en-US" w:eastAsia="zh-CN" w:bidi="ar-SA"/>
            </w:rPr>
          </w:pPr>
          <w:r>
            <w:rPr>
              <w:sz w:val="21"/>
              <w:szCs w:val="21"/>
              <w:highlight w:val="none"/>
            </w:rPr>
            <w:fldChar w:fldCharType="end"/>
          </w:r>
        </w:p>
      </w:sdtContent>
    </w:sdt>
    <w:p w14:paraId="5ED6DDF4">
      <w:pPr>
        <w:pStyle w:val="11"/>
        <w:rPr>
          <w:rFonts w:ascii="Times New Roman" w:hAnsi="Times New Roman" w:eastAsia="宋体" w:cs="Times New Roman"/>
          <w:kern w:val="2"/>
          <w:sz w:val="21"/>
          <w:szCs w:val="24"/>
          <w:highlight w:val="none"/>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5453C69">
      <w:pPr>
        <w:pStyle w:val="3"/>
        <w:bidi w:val="0"/>
        <w:rPr>
          <w:rFonts w:hint="eastAsia"/>
          <w:highlight w:val="none"/>
          <w:lang w:val="en-US" w:eastAsia="zh-CN"/>
        </w:rPr>
      </w:pPr>
      <w:bookmarkStart w:id="11" w:name="_Toc31002"/>
      <w:r>
        <w:rPr>
          <w:rFonts w:hint="eastAsia"/>
          <w:highlight w:val="none"/>
          <w:lang w:val="en-US" w:eastAsia="zh-CN"/>
        </w:rPr>
        <w:t>1概述</w:t>
      </w:r>
      <w:bookmarkEnd w:id="11"/>
    </w:p>
    <w:p w14:paraId="7FB7B65C">
      <w:pPr>
        <w:pStyle w:val="4"/>
        <w:bidi w:val="0"/>
        <w:ind w:left="0" w:leftChars="0" w:firstLine="0" w:firstLineChars="0"/>
        <w:rPr>
          <w:rFonts w:hint="eastAsia"/>
          <w:highlight w:val="none"/>
          <w:lang w:val="en-US" w:eastAsia="zh-CN"/>
        </w:rPr>
      </w:pPr>
      <w:bookmarkStart w:id="12" w:name="_Toc11323"/>
      <w:r>
        <w:rPr>
          <w:rFonts w:hint="eastAsia"/>
          <w:highlight w:val="none"/>
          <w:lang w:val="en-US" w:eastAsia="zh-CN"/>
        </w:rPr>
        <w:t>1.1建设项目由来</w:t>
      </w:r>
      <w:bookmarkEnd w:id="12"/>
    </w:p>
    <w:p w14:paraId="7EE8EFB2">
      <w:pPr>
        <w:bidi w:val="0"/>
        <w:rPr>
          <w:rFonts w:hint="eastAsia" w:asciiTheme="minorEastAsia" w:hAnsiTheme="minorEastAsia" w:eastAsiaTheme="minorEastAsia" w:cstheme="minorEastAsia"/>
          <w:i w:val="0"/>
          <w:iCs w:val="0"/>
          <w:caps w:val="0"/>
          <w:color w:val="333333"/>
          <w:spacing w:val="0"/>
          <w:szCs w:val="24"/>
          <w:highlight w:val="none"/>
          <w:shd w:val="clear" w:fill="FFFFFF"/>
          <w:lang w:eastAsia="zh-CN"/>
        </w:rPr>
      </w:pPr>
      <w:r>
        <w:rPr>
          <w:rFonts w:hint="eastAsia"/>
          <w:highlight w:val="none"/>
        </w:rPr>
        <w:t>绥芬河市新区供热有限责任公司成立于</w:t>
      </w:r>
      <w:r>
        <w:rPr>
          <w:rFonts w:hint="default"/>
          <w:highlight w:val="none"/>
        </w:rPr>
        <w:t>2003</w:t>
      </w:r>
      <w:r>
        <w:rPr>
          <w:rFonts w:hint="eastAsia"/>
          <w:highlight w:val="none"/>
        </w:rPr>
        <w:t>年</w:t>
      </w:r>
      <w:r>
        <w:rPr>
          <w:rFonts w:hint="default"/>
          <w:highlight w:val="none"/>
        </w:rPr>
        <w:t>7</w:t>
      </w:r>
      <w:r>
        <w:rPr>
          <w:rFonts w:hint="eastAsia"/>
          <w:highlight w:val="none"/>
        </w:rPr>
        <w:t>月</w:t>
      </w:r>
      <w:r>
        <w:rPr>
          <w:rFonts w:hint="default"/>
          <w:highlight w:val="none"/>
        </w:rPr>
        <w:t>16</w:t>
      </w:r>
      <w:r>
        <w:rPr>
          <w:rFonts w:hint="eastAsia"/>
          <w:highlight w:val="none"/>
        </w:rPr>
        <w:t>日,至今已有</w:t>
      </w:r>
      <w:r>
        <w:rPr>
          <w:rFonts w:hint="eastAsia"/>
          <w:highlight w:val="none"/>
          <w:lang w:val="en-US" w:eastAsia="zh-CN"/>
        </w:rPr>
        <w:t>22</w:t>
      </w:r>
      <w:r>
        <w:rPr>
          <w:rFonts w:hint="eastAsia"/>
          <w:highlight w:val="none"/>
        </w:rPr>
        <w:t>年，位于黑龙江省牡丹江市绥芬河市长山路幸福街</w:t>
      </w:r>
      <w:r>
        <w:rPr>
          <w:rFonts w:hint="eastAsia"/>
          <w:highlight w:val="none"/>
          <w:lang w:val="en-US" w:eastAsia="zh-CN"/>
        </w:rPr>
        <w:t>1</w:t>
      </w:r>
      <w:r>
        <w:rPr>
          <w:rFonts w:hint="eastAsia"/>
          <w:highlight w:val="none"/>
        </w:rPr>
        <w:t>号</w:t>
      </w:r>
      <w:r>
        <w:rPr>
          <w:rFonts w:hint="eastAsia"/>
          <w:highlight w:val="none"/>
          <w:lang w:eastAsia="zh-CN"/>
        </w:rPr>
        <w:t>。</w:t>
      </w:r>
    </w:p>
    <w:p w14:paraId="758A4BB6">
      <w:pPr>
        <w:bidi w:val="0"/>
        <w:rPr>
          <w:rFonts w:hint="eastAsia" w:asciiTheme="minorEastAsia" w:hAnsiTheme="minorEastAsia" w:eastAsiaTheme="minorEastAsia" w:cstheme="minorEastAsia"/>
          <w:i w:val="0"/>
          <w:iCs w:val="0"/>
          <w:caps w:val="0"/>
          <w:color w:val="333333"/>
          <w:spacing w:val="0"/>
          <w:szCs w:val="24"/>
          <w:highlight w:val="none"/>
          <w:shd w:val="clear" w:fill="FFFFFF"/>
          <w:lang w:val="en-US" w:eastAsia="zh-CN"/>
        </w:rPr>
      </w:pPr>
      <w:r>
        <w:rPr>
          <w:rFonts w:hint="eastAsia"/>
          <w:highlight w:val="none"/>
          <w:lang w:val="en-US" w:eastAsia="zh-CN"/>
        </w:rPr>
        <w:t>绥芬河市新区供热有限责任公司现有116MW+</w:t>
      </w:r>
      <w:r>
        <w:rPr>
          <w:rFonts w:hint="default"/>
          <w:highlight w:val="none"/>
          <w:lang w:val="en-US" w:eastAsia="zh-CN"/>
        </w:rPr>
        <w:t>58</w:t>
      </w:r>
      <w:r>
        <w:rPr>
          <w:rFonts w:hint="eastAsia"/>
          <w:highlight w:val="none"/>
          <w:lang w:val="en-US" w:eastAsia="zh-CN"/>
        </w:rPr>
        <w:t>MW热水锅炉和1台35t/h蒸汽锅炉共三台，三台锅炉在供暖期间交替使用，锅炉运行最大负荷为116MW热水锅炉+35t/h蒸汽锅炉同时使用，不存在三台锅炉同时运行的情况（具体供热使用计划见65页表3.1-4）。</w:t>
      </w:r>
      <w:r>
        <w:rPr>
          <w:rFonts w:hint="eastAsia"/>
          <w:highlight w:val="none"/>
        </w:rPr>
        <w:t>绥芬河市新区供热有限责任公司</w:t>
      </w:r>
      <w:r>
        <w:rPr>
          <w:rFonts w:hint="eastAsia"/>
          <w:highlight w:val="none"/>
          <w:lang w:val="en-US" w:eastAsia="zh-CN"/>
        </w:rPr>
        <w:t>现有集中供热区为北山新区和新老城区结合部区域，</w:t>
      </w:r>
      <w:r>
        <w:rPr>
          <w:rFonts w:hint="eastAsia" w:ascii="Times New Roman" w:hAnsi="Times New Roman" w:cs="Times New Roman"/>
          <w:highlight w:val="none"/>
          <w:lang w:val="en-US" w:eastAsia="zh-CN"/>
        </w:rPr>
        <w:t>目前集中供热面积约210万平方米</w:t>
      </w:r>
      <w:r>
        <w:rPr>
          <w:rFonts w:hint="eastAsia"/>
          <w:highlight w:val="none"/>
          <w:lang w:val="en-US" w:eastAsia="zh-CN"/>
        </w:rPr>
        <w:t>。</w:t>
      </w:r>
    </w:p>
    <w:p w14:paraId="338F7B4B">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近期本公司工作人员在整理资料时发现，本单位于2013年6月25日在绥芬河市质量技术监督局备案的锅炉使用登记证（以下简称“锅炉使用登记证”）和绥苏河市住建局供热办《绥芬河市集中供热规划（2016年-2030）年》供热规划（2017年2月）（以下简称“供热规划”）编制的文本的燃煤锅炉功率均为116MW+58MW+29MW热水锅炉。经重新审慎核实，2008年1月11日绥芬河市发展和改革委员会《关于绥芬河市新区供热有限责任公司燃煤锅炉节能改造工理核准通知书》（绥发改委（2008）7号）、2010年4月24日牡丹江市环保局出具的《关于绥芬河市新区供热有限责任公司供热锅炉改造项目环境影响报告书的批复意见》（牡环建审（2010）42号）、2011年10月6日《绥芬河市新区供热有限责任公司供热锅户改造项目竣工环境保护验收意见》（牡环建审（2011）026号）燃煤锅炉功率均为91MW+58MW+29MW热水锅炉，排污许可（编号:91231081828141815B001C）燃煤锅炉功率为91MW+58MW+28MW热水锅炉，与锅炉使用登记证、供热规划及实际现状不符。</w:t>
      </w:r>
    </w:p>
    <w:p w14:paraId="0EF18B2B">
      <w:pPr>
        <w:keepNext w:val="0"/>
        <w:keepLines w:val="0"/>
        <w:pageBreakBefore w:val="0"/>
        <w:widowControl w:val="0"/>
        <w:kinsoku/>
        <w:wordWrap/>
        <w:overflowPunct/>
        <w:topLinePunct w:val="0"/>
        <w:autoSpaceDE/>
        <w:autoSpaceDN/>
        <w:bidi w:val="0"/>
        <w:adjustRightInd/>
        <w:snapToGrid/>
        <w:textAlignment w:val="auto"/>
        <w:rPr>
          <w:rFonts w:hint="default"/>
          <w:highlight w:val="none"/>
          <w:lang w:val="en-US" w:eastAsia="zh-CN"/>
        </w:rPr>
      </w:pPr>
      <w:r>
        <w:rPr>
          <w:rFonts w:hint="eastAsia"/>
          <w:highlight w:val="none"/>
          <w:lang w:val="en-US" w:eastAsia="zh-CN"/>
        </w:rPr>
        <w:t>企业116MW锅炉建设时间为2010年7月1日（具体佐证资料详见附件12：116MW锅炉购销合同），2011年9月投入使用，一直运行至今。由于企业58MW（2004年投产）和29MW（2002年投产）锅炉建设时间久远，无相关环评手续，企业于2017年8月29日将29MW热水锅炉改造为35t/h蒸汽锅炉（具体佐证资料详见附件13：35t/h锅炉建设凭证），无相关环评手续，企业于2025年6月对现有锅炉进行超低排放改造，于2025年9月30日完成改造（详见附件7：现有环评批复及验收意见和附件14锅炉超低改造申请报告）。</w:t>
      </w:r>
    </w:p>
    <w:p w14:paraId="66D7EC78">
      <w:pPr>
        <w:bidi w:val="0"/>
        <w:rPr>
          <w:rFonts w:hint="eastAsia"/>
          <w:highlight w:val="none"/>
          <w:lang w:val="en-US" w:eastAsia="zh-CN"/>
        </w:rPr>
      </w:pPr>
      <w:r>
        <w:rPr>
          <w:rFonts w:hint="eastAsia"/>
          <w:highlight w:val="none"/>
          <w:lang w:val="en-US" w:eastAsia="zh-CN"/>
        </w:rPr>
        <w:t>因当时工作人员工作不细致，同时公司管理层面疏于管理,造成企业锅炉实际建设情况与环保相关手续不符和后期更换锅炉未履行环保手续相关问题，锅炉建设时期较久，负责建设及报审的工作人员变动较大，问题未能及早发现，深感此问题严重，现积极主动委托我单位重新编制绥芬河市新区供热有限责任公司燃煤供热锅炉建设项目。</w:t>
      </w:r>
    </w:p>
    <w:p w14:paraId="6FC7DF79">
      <w:pPr>
        <w:pStyle w:val="23"/>
        <w:rPr>
          <w:rFonts w:ascii="Times New Roman" w:hAnsi="Times New Roman"/>
          <w:highlight w:val="none"/>
        </w:rPr>
      </w:pPr>
      <w:r>
        <w:rPr>
          <w:rFonts w:ascii="Times New Roman" w:hAnsi="Times New Roman"/>
          <w:highlight w:val="none"/>
        </w:rPr>
        <w:t>根据《中华人民共和国环境保护法》、《中华人民共和国环境影响评价法》和《建设项目环境保护管理条例》的有关规定，</w:t>
      </w:r>
      <w:r>
        <w:rPr>
          <w:rFonts w:hint="eastAsia"/>
          <w:highlight w:val="none"/>
        </w:rPr>
        <w:t>绥芬河市新区供热有限责任公司</w:t>
      </w:r>
      <w:r>
        <w:rPr>
          <w:rFonts w:ascii="Times New Roman" w:hAnsi="Times New Roman"/>
          <w:highlight w:val="none"/>
        </w:rPr>
        <w:t>委托我单位就“</w:t>
      </w:r>
      <w:r>
        <w:rPr>
          <w:rFonts w:hint="eastAsia" w:ascii="Times New Roman" w:hAnsi="Times New Roman"/>
          <w:highlight w:val="none"/>
          <w:lang w:val="en-US" w:eastAsia="zh-CN"/>
        </w:rPr>
        <w:t>绥芬河市新区供热有限责任公司燃煤供热锅炉建设项目</w:t>
      </w:r>
      <w:r>
        <w:rPr>
          <w:rFonts w:ascii="Times New Roman" w:hAnsi="Times New Roman"/>
          <w:highlight w:val="none"/>
        </w:rPr>
        <w:t>”开展环境影响评价工作。接受委托后我单位技术人员收集有关资料，了解厂区附近的环境概况，进一步对环境特征进行了分析，对环境影响评价因子进行了识别和筛选，根据国家有关规定，确定评价标准、评价等级和评价范围，编制完成了《</w:t>
      </w:r>
      <w:r>
        <w:rPr>
          <w:rFonts w:hint="eastAsia" w:ascii="Times New Roman" w:hAnsi="Times New Roman"/>
          <w:highlight w:val="none"/>
          <w:lang w:val="en-US" w:eastAsia="zh-CN"/>
        </w:rPr>
        <w:t>绥芬河市新区供热有限责任公司燃煤供热锅炉建设项目</w:t>
      </w:r>
      <w:r>
        <w:rPr>
          <w:rFonts w:hint="eastAsia"/>
          <w:highlight w:val="none"/>
          <w:lang w:val="en-US" w:eastAsia="zh-CN"/>
        </w:rPr>
        <w:t>建设项目</w:t>
      </w:r>
      <w:r>
        <w:rPr>
          <w:rFonts w:ascii="Times New Roman" w:hAnsi="Times New Roman"/>
          <w:highlight w:val="none"/>
        </w:rPr>
        <w:t>环境影响报告书》，供建设单位上报审批。</w:t>
      </w:r>
    </w:p>
    <w:p w14:paraId="5BE72902">
      <w:pPr>
        <w:pStyle w:val="4"/>
        <w:bidi w:val="0"/>
        <w:ind w:left="0" w:leftChars="0" w:firstLine="0" w:firstLineChars="0"/>
        <w:rPr>
          <w:rFonts w:ascii="Times New Roman" w:hAnsi="Times New Roman"/>
          <w:highlight w:val="none"/>
        </w:rPr>
      </w:pPr>
      <w:bookmarkStart w:id="13" w:name="_Toc30918"/>
      <w:r>
        <w:rPr>
          <w:rFonts w:hint="eastAsia"/>
          <w:highlight w:val="none"/>
          <w:lang w:val="en-US" w:eastAsia="zh-CN"/>
        </w:rPr>
        <w:t>1.2</w:t>
      </w:r>
      <w:r>
        <w:rPr>
          <w:rFonts w:ascii="Times New Roman" w:hAnsi="Times New Roman"/>
          <w:highlight w:val="none"/>
        </w:rPr>
        <w:t>建设项目的特点</w:t>
      </w:r>
      <w:bookmarkEnd w:id="13"/>
    </w:p>
    <w:p w14:paraId="72E46A75">
      <w:pPr>
        <w:ind w:firstLine="480"/>
        <w:rPr>
          <w:rFonts w:ascii="Times New Roman" w:hAnsi="Times New Roman"/>
          <w:highlight w:val="none"/>
        </w:rPr>
      </w:pPr>
      <w:r>
        <w:rPr>
          <w:rFonts w:hint="eastAsia" w:ascii="Times New Roman" w:hAnsi="Times New Roman"/>
          <w:highlight w:val="none"/>
          <w:lang w:val="en-US" w:eastAsia="zh-CN"/>
        </w:rPr>
        <w:t>本项目为新建项目（重新报批），位于黑龙江省牡丹江市绥芬河市长山路幸福街1号，</w:t>
      </w:r>
      <w:r>
        <w:rPr>
          <w:rFonts w:ascii="Times New Roman" w:hAnsi="Times New Roman"/>
          <w:highlight w:val="none"/>
        </w:rPr>
        <w:t>本项目</w:t>
      </w:r>
      <w:r>
        <w:rPr>
          <w:rFonts w:ascii="Times New Roman" w:hAnsi="Times New Roman"/>
          <w:iCs/>
          <w:highlight w:val="none"/>
        </w:rPr>
        <w:t>建设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MW热水锅炉和1台35t/h蒸汽锅炉共三台</w:t>
      </w:r>
      <w:r>
        <w:rPr>
          <w:rFonts w:ascii="Times New Roman" w:hAnsi="Times New Roman"/>
          <w:iCs/>
          <w:highlight w:val="none"/>
        </w:rPr>
        <w:t>，</w:t>
      </w:r>
      <w:r>
        <w:rPr>
          <w:rFonts w:ascii="Times New Roman" w:hAnsi="Times New Roman"/>
          <w:kern w:val="0"/>
          <w:szCs w:val="24"/>
          <w:highlight w:val="none"/>
        </w:rPr>
        <w:t>每台锅炉产生的锅炉烟气</w:t>
      </w:r>
      <w:r>
        <w:rPr>
          <w:rFonts w:hint="eastAsia" w:ascii="Times New Roman" w:hAnsi="Times New Roman"/>
          <w:kern w:val="0"/>
          <w:szCs w:val="24"/>
          <w:highlight w:val="none"/>
          <w:lang w:val="en-US" w:eastAsia="zh-CN"/>
        </w:rPr>
        <w:t>治理措施</w:t>
      </w:r>
      <w:r>
        <w:rPr>
          <w:rFonts w:ascii="Times New Roman" w:hAnsi="Times New Roman"/>
          <w:kern w:val="0"/>
          <w:szCs w:val="24"/>
          <w:highlight w:val="none"/>
        </w:rPr>
        <w:t>均采用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石灰石–石膏湿法烟气脱硫（3炉</w:t>
      </w:r>
      <w:r>
        <w:rPr>
          <w:rFonts w:hint="eastAsia" w:ascii="Times New Roman" w:hAnsi="Times New Roman"/>
          <w:szCs w:val="24"/>
          <w:highlight w:val="none"/>
          <w:lang w:val="en-US" w:eastAsia="zh-CN"/>
        </w:rPr>
        <w:t>1</w:t>
      </w:r>
      <w:r>
        <w:rPr>
          <w:rFonts w:ascii="Times New Roman" w:hAnsi="Times New Roman"/>
          <w:szCs w:val="24"/>
          <w:highlight w:val="none"/>
        </w:rPr>
        <w:t>塔）</w:t>
      </w:r>
      <w:r>
        <w:rPr>
          <w:rFonts w:hint="eastAsia" w:ascii="Times New Roman" w:hAnsi="Times New Roman"/>
          <w:szCs w:val="24"/>
          <w:highlight w:val="none"/>
          <w:lang w:val="en-US" w:eastAsia="zh-CN"/>
        </w:rPr>
        <w:t>措施</w:t>
      </w:r>
      <w:r>
        <w:rPr>
          <w:rFonts w:ascii="Times New Roman" w:hAnsi="Times New Roman"/>
          <w:szCs w:val="24"/>
          <w:highlight w:val="none"/>
        </w:rPr>
        <w:t>，</w:t>
      </w:r>
      <w:r>
        <w:rPr>
          <w:rFonts w:ascii="Times New Roman" w:hAnsi="Times New Roman"/>
          <w:highlight w:val="none"/>
        </w:rPr>
        <w:t>3台锅炉共用1座</w:t>
      </w:r>
      <w:r>
        <w:rPr>
          <w:rFonts w:hint="eastAsia" w:ascii="Times New Roman" w:hAnsi="Times New Roman"/>
          <w:highlight w:val="none"/>
          <w:lang w:val="en-US" w:eastAsia="zh-CN"/>
        </w:rPr>
        <w:t>60</w:t>
      </w:r>
      <w:r>
        <w:rPr>
          <w:rFonts w:ascii="Times New Roman" w:hAnsi="Times New Roman"/>
          <w:highlight w:val="none"/>
        </w:rPr>
        <w:t>米高烟囱排放，建设烟气在线监测系统，有组织烟气中污染物排放浓度满足超低排放限值要求，即在基准含氧量6%条件下，烟尘、二氧化硫、氮氧化物排放浓度分别不高于10mg/m</w:t>
      </w:r>
      <w:r>
        <w:rPr>
          <w:rFonts w:ascii="Times New Roman" w:hAnsi="Times New Roman"/>
          <w:highlight w:val="none"/>
          <w:vertAlign w:val="superscript"/>
        </w:rPr>
        <w:t>3</w:t>
      </w:r>
      <w:r>
        <w:rPr>
          <w:rFonts w:ascii="Times New Roman" w:hAnsi="Times New Roman"/>
          <w:highlight w:val="none"/>
        </w:rPr>
        <w:t>，35mg/m</w:t>
      </w:r>
      <w:r>
        <w:rPr>
          <w:rFonts w:ascii="Times New Roman" w:hAnsi="Times New Roman"/>
          <w:highlight w:val="none"/>
          <w:vertAlign w:val="superscript"/>
        </w:rPr>
        <w:t>3</w:t>
      </w:r>
      <w:r>
        <w:rPr>
          <w:rFonts w:ascii="Times New Roman" w:hAnsi="Times New Roman"/>
          <w:highlight w:val="none"/>
        </w:rPr>
        <w:t>，50mg/m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color w:val="auto"/>
          <w:highlight w:val="none"/>
        </w:rPr>
        <w:t>汞及其化合物、烟气黑度（林格曼黑度）排放执行《火电厂大气污染物排放标准》(GB13223-2011)表1中燃煤锅炉大气污染物排放标准限值：0.03mg/m</w:t>
      </w:r>
      <w:r>
        <w:rPr>
          <w:rFonts w:hint="eastAsia" w:ascii="Times New Roman" w:hAnsi="Times New Roman"/>
          <w:color w:val="auto"/>
          <w:highlight w:val="none"/>
          <w:vertAlign w:val="superscript"/>
        </w:rPr>
        <w:t>3</w:t>
      </w:r>
      <w:r>
        <w:rPr>
          <w:rFonts w:hint="eastAsia" w:ascii="Times New Roman" w:hAnsi="Times New Roman"/>
          <w:color w:val="auto"/>
          <w:highlight w:val="none"/>
        </w:rPr>
        <w:t>、1级。</w:t>
      </w:r>
      <w:r>
        <w:rPr>
          <w:rFonts w:ascii="Times New Roman" w:hAnsi="Times New Roman"/>
          <w:highlight w:val="none"/>
        </w:rPr>
        <w:t>输煤系统采用全封闭结构，项目设置石灰石粉仓及中转的灰仓和渣仓，不设置永久灰渣场，灰仓</w:t>
      </w:r>
      <w:r>
        <w:rPr>
          <w:rFonts w:hint="eastAsia" w:ascii="Times New Roman" w:hAnsi="Times New Roman"/>
          <w:highlight w:val="none"/>
          <w:lang w:eastAsia="zh-CN"/>
        </w:rPr>
        <w:t>、</w:t>
      </w:r>
      <w:r>
        <w:rPr>
          <w:rFonts w:hint="eastAsia" w:ascii="Times New Roman" w:hAnsi="Times New Roman"/>
          <w:highlight w:val="none"/>
          <w:lang w:val="en-US" w:eastAsia="zh-CN"/>
        </w:rPr>
        <w:t>渣仓、</w:t>
      </w:r>
      <w:r>
        <w:rPr>
          <w:rFonts w:ascii="Times New Roman" w:hAnsi="Times New Roman"/>
          <w:highlight w:val="none"/>
        </w:rPr>
        <w:t>石灰石粉仓的仓顶分别设置脉冲除尘器回收粉尘</w:t>
      </w:r>
      <w:r>
        <w:rPr>
          <w:rFonts w:hint="eastAsia" w:ascii="Times New Roman" w:hAnsi="Times New Roman"/>
          <w:highlight w:val="none"/>
          <w:lang w:eastAsia="zh-CN"/>
        </w:rPr>
        <w:t>，</w:t>
      </w:r>
      <w:r>
        <w:rPr>
          <w:rFonts w:hint="eastAsia" w:ascii="Times New Roman" w:hAnsi="Times New Roman"/>
          <w:highlight w:val="none"/>
          <w:lang w:val="en-US" w:eastAsia="zh-CN"/>
        </w:rPr>
        <w:t>储煤厂</w:t>
      </w:r>
      <w:r>
        <w:rPr>
          <w:rFonts w:hint="eastAsia" w:cs="Times New Roman"/>
          <w:highlight w:val="none"/>
        </w:rPr>
        <w:t>采用挡煤墙（</w:t>
      </w:r>
      <w:r>
        <w:rPr>
          <w:rFonts w:hint="eastAsia" w:cs="Times New Roman"/>
          <w:highlight w:val="none"/>
          <w:lang w:val="en-US" w:eastAsia="zh-CN"/>
        </w:rPr>
        <w:t>2</w:t>
      </w:r>
      <w:r>
        <w:rPr>
          <w:rFonts w:hint="eastAsia" w:cs="Times New Roman"/>
          <w:highlight w:val="none"/>
        </w:rPr>
        <w:t>m高维护砖墙+</w:t>
      </w:r>
      <w:r>
        <w:rPr>
          <w:rFonts w:hint="eastAsia" w:cs="Times New Roman"/>
          <w:highlight w:val="none"/>
          <w:lang w:val="en-US" w:eastAsia="zh-CN"/>
        </w:rPr>
        <w:t>7</w:t>
      </w:r>
      <w:r>
        <w:rPr>
          <w:rFonts w:hint="eastAsia" w:cs="Times New Roman"/>
          <w:highlight w:val="none"/>
        </w:rPr>
        <w:t>m高防风抑尘网）+</w:t>
      </w:r>
      <w:r>
        <w:rPr>
          <w:rFonts w:hint="eastAsia" w:cs="Times New Roman"/>
          <w:highlight w:val="none"/>
          <w:lang w:val="en-US" w:eastAsia="zh-CN"/>
        </w:rPr>
        <w:t>苫布苫盖半</w:t>
      </w:r>
      <w:r>
        <w:rPr>
          <w:rFonts w:hint="eastAsia" w:cs="Times New Roman"/>
          <w:highlight w:val="none"/>
        </w:rPr>
        <w:t>封闭形式</w:t>
      </w:r>
      <w:r>
        <w:rPr>
          <w:rFonts w:hint="eastAsia" w:cs="Times New Roman"/>
          <w:highlight w:val="none"/>
          <w:lang w:val="en-US" w:eastAsia="zh-CN"/>
        </w:rPr>
        <w:t>+定期洒水降尘，</w:t>
      </w:r>
      <w:r>
        <w:rPr>
          <w:rFonts w:hint="eastAsia" w:ascii="Times New Roman" w:hAnsi="Times New Roman"/>
          <w:highlight w:val="none"/>
          <w:lang w:val="en-US" w:eastAsia="zh-CN"/>
        </w:rPr>
        <w:t>碎煤机室仓顶分别设置布袋除尘器回收粉尘</w:t>
      </w:r>
      <w:r>
        <w:rPr>
          <w:rFonts w:ascii="Times New Roman" w:hAnsi="Times New Roman"/>
          <w:highlight w:val="none"/>
        </w:rPr>
        <w:t>，</w:t>
      </w:r>
      <w:r>
        <w:rPr>
          <w:rFonts w:hint="eastAsia" w:ascii="Times New Roman" w:hAnsi="Times New Roman"/>
          <w:highlight w:val="none"/>
          <w:lang w:val="en-US" w:eastAsia="zh-CN"/>
        </w:rPr>
        <w:t>有组织排放颗粒物满足《大气污染物综合排放标准》</w:t>
      </w:r>
      <w:r>
        <w:rPr>
          <w:rFonts w:ascii="Times New Roman" w:hAnsi="Times New Roman"/>
          <w:highlight w:val="none"/>
        </w:rPr>
        <w:t>(GB16297-1996）表2中</w:t>
      </w:r>
      <w:r>
        <w:rPr>
          <w:rFonts w:hint="eastAsia" w:ascii="Times New Roman" w:hAnsi="Times New Roman"/>
          <w:highlight w:val="none"/>
          <w:lang w:val="en-US" w:eastAsia="zh-CN"/>
        </w:rPr>
        <w:t>有</w:t>
      </w:r>
      <w:r>
        <w:rPr>
          <w:rFonts w:ascii="Times New Roman" w:hAnsi="Times New Roman"/>
          <w:highlight w:val="none"/>
        </w:rPr>
        <w:t>组织排放监控浓度</w:t>
      </w:r>
      <w:r>
        <w:rPr>
          <w:rFonts w:hint="eastAsia" w:ascii="Times New Roman" w:hAnsi="Times New Roman"/>
          <w:highlight w:val="none"/>
          <w:lang w:val="en-US" w:eastAsia="zh-CN"/>
        </w:rPr>
        <w:t>，</w:t>
      </w:r>
      <w:r>
        <w:rPr>
          <w:rFonts w:hint="eastAsia" w:ascii="Times New Roman" w:hAnsi="Times New Roman"/>
          <w:highlight w:val="none"/>
        </w:rPr>
        <w:t>本项目排气筒按高度对应的表列排放速率标准值严格50%执行</w:t>
      </w:r>
      <w:r>
        <w:rPr>
          <w:rFonts w:hint="eastAsia" w:ascii="Times New Roman" w:hAnsi="Times New Roman"/>
          <w:highlight w:val="none"/>
          <w:lang w:eastAsia="zh-CN"/>
        </w:rPr>
        <w:t>，</w:t>
      </w:r>
      <w:r>
        <w:rPr>
          <w:rFonts w:ascii="Times New Roman" w:hAnsi="Times New Roman"/>
          <w:highlight w:val="none"/>
        </w:rPr>
        <w:t>无组织排放</w:t>
      </w:r>
      <w:r>
        <w:rPr>
          <w:rFonts w:hint="eastAsia" w:ascii="Times New Roman" w:hAnsi="Times New Roman"/>
          <w:highlight w:val="none"/>
        </w:rPr>
        <w:t>颗粒物</w:t>
      </w:r>
      <w:r>
        <w:rPr>
          <w:rFonts w:ascii="Times New Roman" w:hAnsi="Times New Roman"/>
          <w:highlight w:val="none"/>
        </w:rPr>
        <w:t>厂界处满足《大气污染物综合排放标准》(GB16297-1996）表2中无组织排放监控浓度限值。</w:t>
      </w:r>
      <w:r>
        <w:rPr>
          <w:rFonts w:ascii="Times New Roman" w:hAnsi="Times New Roman"/>
          <w:color w:val="auto"/>
          <w:kern w:val="0"/>
          <w:szCs w:val="24"/>
          <w:highlight w:val="none"/>
        </w:rPr>
        <w:t>锅炉烟气处理过程逃逸氨满足《火电厂氮氧化物防治技术政策》（环发〔2010〕10号）中规定：SNCR-SCR氨逃逸控制在2.5mg/m</w:t>
      </w:r>
      <w:r>
        <w:rPr>
          <w:rFonts w:ascii="Times New Roman" w:hAnsi="Times New Roman"/>
          <w:color w:val="auto"/>
          <w:kern w:val="0"/>
          <w:szCs w:val="24"/>
          <w:highlight w:val="none"/>
          <w:vertAlign w:val="superscript"/>
        </w:rPr>
        <w:t>3</w:t>
      </w:r>
      <w:r>
        <w:rPr>
          <w:rFonts w:ascii="Times New Roman" w:hAnsi="Times New Roman"/>
          <w:color w:val="auto"/>
          <w:kern w:val="0"/>
          <w:szCs w:val="24"/>
          <w:highlight w:val="none"/>
        </w:rPr>
        <w:t>（干基，标准状态）以下</w:t>
      </w:r>
      <w:r>
        <w:rPr>
          <w:rFonts w:hint="eastAsia" w:ascii="Times New Roman" w:hAnsi="Times New Roman"/>
          <w:color w:val="auto"/>
          <w:highlight w:val="none"/>
        </w:rPr>
        <w:t>，</w:t>
      </w:r>
      <w:r>
        <w:rPr>
          <w:rFonts w:ascii="Times New Roman" w:hAnsi="Times New Roman"/>
          <w:color w:val="auto"/>
          <w:highlight w:val="none"/>
        </w:rPr>
        <w:t>厂界氨的浓度满足《恶臭污染物排放标准》（GB14554-93）中表1二级标准值要求。</w:t>
      </w:r>
    </w:p>
    <w:p w14:paraId="32BCA3A4">
      <w:pPr>
        <w:bidi w:val="0"/>
        <w:rPr>
          <w:rFonts w:hint="default" w:eastAsia="宋体"/>
          <w:highlight w:val="none"/>
          <w:lang w:val="en-US" w:eastAsia="zh-CN"/>
        </w:rPr>
      </w:pPr>
      <w:r>
        <w:rPr>
          <w:rFonts w:hint="eastAsia"/>
          <w:highlight w:val="none"/>
          <w:lang w:val="en-US" w:eastAsia="zh-CN"/>
        </w:rPr>
        <w:t>本项目供热范围现有集中供热区为北山新区和新老城区结合部区域，</w:t>
      </w:r>
      <w:r>
        <w:rPr>
          <w:rFonts w:hint="eastAsia" w:ascii="Times New Roman" w:hAnsi="Times New Roman" w:cs="Times New Roman"/>
          <w:highlight w:val="none"/>
          <w:lang w:val="en-US" w:eastAsia="zh-CN"/>
        </w:rPr>
        <w:t>目前集中供热面积约210万平方米</w:t>
      </w:r>
      <w:r>
        <w:rPr>
          <w:rFonts w:hint="eastAsia"/>
          <w:highlight w:val="none"/>
          <w:lang w:val="en-US" w:eastAsia="zh-CN"/>
        </w:rPr>
        <w:t>。企业供热时间为当年10月10日~次年4月30日，现有锅炉运行最大负荷为116MW热水锅炉+35t/h蒸汽锅炉。</w:t>
      </w:r>
    </w:p>
    <w:p w14:paraId="71971E72">
      <w:pPr>
        <w:pStyle w:val="23"/>
        <w:ind w:firstLine="480"/>
        <w:rPr>
          <w:rFonts w:hint="eastAsia"/>
          <w:color w:val="auto"/>
          <w:highlight w:val="none"/>
        </w:rPr>
      </w:pPr>
      <w:r>
        <w:rPr>
          <w:rFonts w:hint="eastAsia"/>
          <w:color w:val="auto"/>
          <w:highlight w:val="none"/>
        </w:rPr>
        <w:t>本项目主厂房、烟气净化系统、在线监测系统、点火助燃油系统</w:t>
      </w:r>
      <w:r>
        <w:rPr>
          <w:rFonts w:hint="eastAsia"/>
          <w:color w:val="auto"/>
          <w:highlight w:val="none"/>
          <w:lang w:eastAsia="zh-CN"/>
        </w:rPr>
        <w:t>、</w:t>
      </w:r>
      <w:r>
        <w:rPr>
          <w:rFonts w:hint="eastAsia"/>
          <w:color w:val="auto"/>
          <w:highlight w:val="none"/>
        </w:rPr>
        <w:t>碎煤机室及输煤除渣系统、空压机室及石灰石粉尘、灰仓、渣仓、储煤</w:t>
      </w:r>
      <w:r>
        <w:rPr>
          <w:rFonts w:hint="eastAsia"/>
          <w:color w:val="auto"/>
          <w:highlight w:val="none"/>
          <w:lang w:val="en-US" w:eastAsia="zh-CN"/>
        </w:rPr>
        <w:t>厂</w:t>
      </w:r>
      <w:r>
        <w:rPr>
          <w:rFonts w:hint="eastAsia"/>
          <w:color w:val="auto"/>
          <w:highlight w:val="none"/>
        </w:rPr>
        <w:t>等设施</w:t>
      </w:r>
      <w:r>
        <w:rPr>
          <w:rFonts w:hint="eastAsia"/>
          <w:color w:val="auto"/>
          <w:highlight w:val="none"/>
          <w:lang w:val="en-US" w:eastAsia="zh-CN"/>
        </w:rPr>
        <w:t>均已建设完成</w:t>
      </w:r>
      <w:r>
        <w:rPr>
          <w:rFonts w:hint="eastAsia"/>
          <w:color w:val="auto"/>
          <w:highlight w:val="none"/>
        </w:rPr>
        <w:t>；依托现有</w:t>
      </w:r>
      <w:r>
        <w:rPr>
          <w:rFonts w:hint="eastAsia"/>
          <w:color w:val="auto"/>
          <w:highlight w:val="none"/>
          <w:lang w:val="en-US" w:eastAsia="zh-CN"/>
        </w:rPr>
        <w:t>公</w:t>
      </w:r>
      <w:r>
        <w:rPr>
          <w:rFonts w:hint="eastAsia"/>
          <w:color w:val="auto"/>
          <w:highlight w:val="none"/>
        </w:rPr>
        <w:t>路运输专用线、现有工程的给水管网供给、厂区内排水系统、点火助燃油系统等。</w:t>
      </w:r>
    </w:p>
    <w:p w14:paraId="2ECE4566">
      <w:pPr>
        <w:ind w:firstLine="480"/>
        <w:rPr>
          <w:rFonts w:hint="eastAsia" w:ascii="Times New Roman" w:hAnsi="Times New Roman" w:eastAsia="宋体"/>
          <w:highlight w:val="none"/>
          <w:lang w:eastAsia="zh-CN"/>
        </w:rPr>
      </w:pPr>
      <w:r>
        <w:rPr>
          <w:rFonts w:hint="eastAsia" w:ascii="Times New Roman" w:hAnsi="Times New Roman"/>
          <w:highlight w:val="none"/>
        </w:rPr>
        <w:t>本项目废气污染物二氧化硫、氮氧化物、细颗粒物等核定排放总量为：细颗粒物</w:t>
      </w:r>
      <w:r>
        <w:rPr>
          <w:rFonts w:hint="eastAsia" w:ascii="Times New Roman" w:hAnsi="Times New Roman"/>
          <w:highlight w:val="none"/>
          <w:lang w:val="en-US" w:eastAsia="zh-CN"/>
        </w:rPr>
        <w:t>7.902</w:t>
      </w:r>
      <w:r>
        <w:rPr>
          <w:rFonts w:hint="eastAsia" w:ascii="Times New Roman" w:hAnsi="Times New Roman"/>
          <w:highlight w:val="none"/>
        </w:rPr>
        <w:t>t/a、二氧化硫</w:t>
      </w:r>
      <w:r>
        <w:rPr>
          <w:rFonts w:hint="eastAsia" w:ascii="Times New Roman" w:hAnsi="Times New Roman"/>
          <w:highlight w:val="none"/>
          <w:lang w:val="en-US" w:eastAsia="zh-CN"/>
        </w:rPr>
        <w:t>27.658</w:t>
      </w:r>
      <w:r>
        <w:rPr>
          <w:rFonts w:hint="eastAsia" w:ascii="Times New Roman" w:hAnsi="Times New Roman"/>
          <w:highlight w:val="none"/>
        </w:rPr>
        <w:t>t/a、氮氧化物</w:t>
      </w:r>
      <w:r>
        <w:rPr>
          <w:rFonts w:hint="eastAsia" w:ascii="Times New Roman" w:hAnsi="Times New Roman"/>
          <w:highlight w:val="none"/>
          <w:lang w:val="en-US" w:eastAsia="zh-CN"/>
        </w:rPr>
        <w:t>39.5111</w:t>
      </w:r>
      <w:r>
        <w:rPr>
          <w:rFonts w:hint="eastAsia" w:ascii="Times New Roman" w:hAnsi="Times New Roman"/>
          <w:highlight w:val="none"/>
        </w:rPr>
        <w:t>t/a</w:t>
      </w:r>
      <w:r>
        <w:rPr>
          <w:rFonts w:hint="eastAsia" w:ascii="Times New Roman" w:hAnsi="Times New Roman"/>
          <w:highlight w:val="none"/>
          <w:lang w:eastAsia="zh-CN"/>
        </w:rPr>
        <w:t>。</w:t>
      </w:r>
    </w:p>
    <w:p w14:paraId="26F673C7">
      <w:pPr>
        <w:ind w:firstLine="480"/>
        <w:rPr>
          <w:rFonts w:ascii="Times New Roman" w:hAnsi="Times New Roman"/>
          <w:highlight w:val="none"/>
        </w:rPr>
      </w:pPr>
      <w:r>
        <w:rPr>
          <w:rFonts w:ascii="Times New Roman" w:hAnsi="Times New Roman"/>
          <w:highlight w:val="none"/>
        </w:rPr>
        <w:t>本项目生产废水回用不外排，</w:t>
      </w:r>
      <w:r>
        <w:rPr>
          <w:rFonts w:hint="eastAsia" w:ascii="Times New Roman" w:hAnsi="Times New Roman"/>
          <w:highlight w:val="none"/>
        </w:rPr>
        <w:t>生活污水排入市政管网，经污水管网排入绥芬河中环污水处理有限公司，处理达到《城镇污水处理厂污染物排放标准》(GB18918—2002)一级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标准后</w:t>
      </w:r>
      <w:r>
        <w:rPr>
          <w:rFonts w:hint="eastAsia" w:ascii="Times New Roman" w:hAnsi="Times New Roman"/>
          <w:highlight w:val="none"/>
          <w:lang w:val="en-US" w:eastAsia="zh-CN"/>
        </w:rPr>
        <w:t>最终汇入小绥芬河</w:t>
      </w:r>
      <w:r>
        <w:rPr>
          <w:rFonts w:ascii="Times New Roman" w:hAnsi="Times New Roman"/>
          <w:highlight w:val="none"/>
        </w:rPr>
        <w:t>。</w:t>
      </w:r>
    </w:p>
    <w:p w14:paraId="2CD5C15D">
      <w:pPr>
        <w:ind w:firstLine="480"/>
        <w:rPr>
          <w:rFonts w:ascii="Times New Roman" w:hAnsi="Times New Roman"/>
          <w:highlight w:val="none"/>
        </w:rPr>
      </w:pPr>
      <w:r>
        <w:rPr>
          <w:rFonts w:ascii="Times New Roman" w:hAnsi="Times New Roman"/>
          <w:highlight w:val="none"/>
        </w:rPr>
        <w:t>本项目设备噪声通过减振、降噪措施后能满足《工业企业厂界环境噪声排放标准》（GB12348-2008）中的</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r>
        <w:rPr>
          <w:rFonts w:hint="eastAsia" w:ascii="Times New Roman" w:hAnsi="Times New Roman"/>
          <w:highlight w:val="none"/>
          <w:lang w:eastAsia="zh-CN"/>
        </w:rPr>
        <w:t>，</w:t>
      </w:r>
      <w:r>
        <w:rPr>
          <w:rFonts w:hint="eastAsia" w:ascii="Times New Roman" w:hAnsi="Times New Roman"/>
          <w:highlight w:val="none"/>
          <w:lang w:val="en-US" w:eastAsia="zh-CN"/>
        </w:rPr>
        <w:t>企业周边敏感点满足《声环境质量标准》（</w:t>
      </w:r>
      <w:r>
        <w:rPr>
          <w:rFonts w:ascii="Times New Roman" w:hAnsi="Times New Roman"/>
          <w:highlight w:val="none"/>
        </w:rPr>
        <w:t>GB</w:t>
      </w:r>
      <w:r>
        <w:rPr>
          <w:rFonts w:hint="eastAsia" w:ascii="Times New Roman" w:hAnsi="Times New Roman"/>
          <w:highlight w:val="none"/>
          <w:lang w:val="en-US" w:eastAsia="zh-CN"/>
        </w:rPr>
        <w:t>3096</w:t>
      </w:r>
      <w:r>
        <w:rPr>
          <w:rFonts w:ascii="Times New Roman" w:hAnsi="Times New Roman"/>
          <w:highlight w:val="none"/>
        </w:rPr>
        <w:t>-2008</w:t>
      </w:r>
      <w:r>
        <w:rPr>
          <w:rFonts w:hint="eastAsia" w:ascii="Times New Roman" w:hAnsi="Times New Roman"/>
          <w:highlight w:val="none"/>
          <w:lang w:val="en-US" w:eastAsia="zh-CN"/>
        </w:rPr>
        <w:t>）2类标准</w:t>
      </w:r>
      <w:r>
        <w:rPr>
          <w:rFonts w:ascii="Times New Roman" w:hAnsi="Times New Roman"/>
          <w:highlight w:val="none"/>
        </w:rPr>
        <w:t>。</w:t>
      </w:r>
    </w:p>
    <w:p w14:paraId="677F3BAC">
      <w:pPr>
        <w:pStyle w:val="21"/>
        <w:ind w:firstLine="480"/>
        <w:rPr>
          <w:rFonts w:ascii="Times New Roman" w:hAnsi="Times New Roman"/>
          <w:highlight w:val="none"/>
        </w:rPr>
      </w:pPr>
      <w:r>
        <w:rPr>
          <w:rFonts w:ascii="Times New Roman" w:hAnsi="Times New Roman"/>
          <w:highlight w:val="none"/>
        </w:rPr>
        <w:t>本项目运营期产生的炉渣、炉灰、</w:t>
      </w:r>
      <w:r>
        <w:rPr>
          <w:rFonts w:hint="eastAsia" w:ascii="Times New Roman" w:hAnsi="Times New Roman"/>
          <w:highlight w:val="none"/>
        </w:rPr>
        <w:t>脱硫石膏</w:t>
      </w:r>
      <w:r>
        <w:rPr>
          <w:rFonts w:ascii="Times New Roman" w:hAnsi="Times New Roman"/>
          <w:highlight w:val="none"/>
        </w:rPr>
        <w:t>全部</w:t>
      </w:r>
      <w:r>
        <w:rPr>
          <w:rFonts w:hint="eastAsia" w:ascii="Times New Roman" w:hAnsi="Times New Roman"/>
          <w:highlight w:val="none"/>
          <w:lang w:val="en-US" w:eastAsia="zh-CN"/>
        </w:rPr>
        <w:t>用于采矿区回填</w:t>
      </w:r>
      <w:r>
        <w:rPr>
          <w:rFonts w:ascii="Times New Roman" w:hAnsi="Times New Roman"/>
          <w:highlight w:val="none"/>
        </w:rPr>
        <w:t>；生活垃圾</w:t>
      </w:r>
      <w:r>
        <w:rPr>
          <w:rFonts w:hint="eastAsia" w:ascii="Times New Roman" w:hAnsi="Times New Roman"/>
          <w:highlight w:val="none"/>
          <w:lang w:val="en-US" w:eastAsia="zh-CN"/>
        </w:rPr>
        <w:t>交由市政处理；</w:t>
      </w:r>
      <w:r>
        <w:rPr>
          <w:rFonts w:ascii="Times New Roman" w:hAnsi="Times New Roman"/>
          <w:highlight w:val="none"/>
        </w:rPr>
        <w:t>废离子交换树脂</w:t>
      </w:r>
      <w:r>
        <w:rPr>
          <w:rFonts w:hint="eastAsia" w:ascii="Times New Roman" w:hAnsi="Times New Roman"/>
          <w:highlight w:val="none"/>
          <w:lang w:val="en-US" w:eastAsia="zh-CN"/>
        </w:rPr>
        <w:t>和反渗透膜由厂家回收处置</w:t>
      </w:r>
      <w:r>
        <w:rPr>
          <w:rFonts w:ascii="Times New Roman" w:hAnsi="Times New Roman"/>
          <w:highlight w:val="none"/>
        </w:rPr>
        <w:t>；废催化剂</w:t>
      </w:r>
      <w:r>
        <w:rPr>
          <w:rFonts w:hint="eastAsia" w:ascii="Times New Roman" w:hAnsi="Times New Roman"/>
          <w:highlight w:val="none"/>
          <w:lang w:eastAsia="zh-CN"/>
        </w:rPr>
        <w:t>、</w:t>
      </w:r>
      <w:r>
        <w:rPr>
          <w:rFonts w:hint="eastAsia" w:ascii="Times New Roman" w:hAnsi="Times New Roman"/>
          <w:highlight w:val="none"/>
          <w:lang w:val="en-US" w:eastAsia="zh-CN"/>
        </w:rPr>
        <w:t>废机油</w:t>
      </w:r>
      <w:r>
        <w:rPr>
          <w:rFonts w:ascii="Times New Roman" w:hAnsi="Times New Roman"/>
          <w:highlight w:val="none"/>
        </w:rPr>
        <w:t>交由有资质单位处置。</w:t>
      </w:r>
    </w:p>
    <w:p w14:paraId="1B2E52EC">
      <w:pPr>
        <w:pStyle w:val="4"/>
        <w:bidi w:val="0"/>
        <w:ind w:left="0" w:leftChars="0" w:firstLine="0" w:firstLineChars="0"/>
        <w:rPr>
          <w:rFonts w:hint="eastAsia"/>
          <w:highlight w:val="none"/>
          <w:lang w:val="en-US" w:eastAsia="zh-CN"/>
        </w:rPr>
      </w:pPr>
      <w:bookmarkStart w:id="14" w:name="_Toc30544"/>
      <w:r>
        <w:rPr>
          <w:rFonts w:hint="eastAsia"/>
          <w:highlight w:val="none"/>
          <w:lang w:val="en-US" w:eastAsia="zh-CN"/>
        </w:rPr>
        <w:t>1.3环境影响评价工作过程</w:t>
      </w:r>
      <w:bookmarkEnd w:id="14"/>
    </w:p>
    <w:p w14:paraId="613D7ACA">
      <w:pPr>
        <w:ind w:firstLine="480"/>
        <w:rPr>
          <w:rFonts w:ascii="Times New Roman" w:hAnsi="Times New Roman"/>
          <w:highlight w:val="none"/>
        </w:rPr>
      </w:pPr>
      <w:r>
        <w:rPr>
          <w:rFonts w:ascii="Times New Roman" w:hAnsi="Times New Roman"/>
          <w:highlight w:val="none"/>
        </w:rPr>
        <w:t>根据《建设项目环境影响评价技术导则 总纲》(HJ 2.1-2016)等相关技术规范的要求，环境影响评价工作分为三个阶段进行，即调查分析和工作方案制定阶段、分析论证和预测评价阶段、环境影响报告书(表)编制阶段。具体工作程序见图1.3-1。</w:t>
      </w:r>
    </w:p>
    <w:p w14:paraId="458210BB">
      <w:pPr>
        <w:ind w:firstLine="0" w:firstLineChars="0"/>
        <w:rPr>
          <w:rFonts w:ascii="Times New Roman" w:hAnsi="Times New Roman"/>
          <w:highlight w:val="none"/>
        </w:rPr>
      </w:pPr>
      <w:r>
        <w:rPr>
          <w:rFonts w:ascii="Times New Roman" w:hAnsi="Times New Roman"/>
          <w:highlight w:val="none"/>
        </w:rPr>
        <w:drawing>
          <wp:inline distT="0" distB="0" distL="114300" distR="114300">
            <wp:extent cx="5274310" cy="5015230"/>
            <wp:effectExtent l="0" t="0" r="2540" b="13970"/>
            <wp:docPr id="3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4"/>
                    <pic:cNvPicPr>
                      <a:picLocks noChangeAspect="1"/>
                    </pic:cNvPicPr>
                  </pic:nvPicPr>
                  <pic:blipFill>
                    <a:blip r:embed="rId7"/>
                    <a:stretch>
                      <a:fillRect/>
                    </a:stretch>
                  </pic:blipFill>
                  <pic:spPr>
                    <a:xfrm>
                      <a:off x="0" y="0"/>
                      <a:ext cx="5274310" cy="5015230"/>
                    </a:xfrm>
                    <a:prstGeom prst="rect">
                      <a:avLst/>
                    </a:prstGeom>
                    <a:noFill/>
                    <a:ln>
                      <a:noFill/>
                    </a:ln>
                  </pic:spPr>
                </pic:pic>
              </a:graphicData>
            </a:graphic>
          </wp:inline>
        </w:drawing>
      </w:r>
    </w:p>
    <w:p w14:paraId="140A8017">
      <w:pPr>
        <w:ind w:firstLine="0" w:firstLineChars="0"/>
        <w:jc w:val="center"/>
        <w:rPr>
          <w:rFonts w:hint="eastAsia" w:ascii="Times New Roman" w:hAnsi="Times New Roman"/>
          <w:highlight w:val="none"/>
        </w:rPr>
      </w:pPr>
      <w:r>
        <w:rPr>
          <w:rFonts w:ascii="Times New Roman" w:hAnsi="Times New Roman"/>
          <w:b/>
          <w:bCs/>
          <w:highlight w:val="none"/>
        </w:rPr>
        <w:t>图1.3-1建设项目环境影响评价工作程序图</w:t>
      </w:r>
    </w:p>
    <w:p w14:paraId="69124BA4">
      <w:pPr>
        <w:ind w:firstLine="480"/>
        <w:rPr>
          <w:rFonts w:hint="eastAsia"/>
          <w:highlight w:val="none"/>
        </w:rPr>
      </w:pPr>
      <w:r>
        <w:rPr>
          <w:rFonts w:hint="eastAsia"/>
          <w:highlight w:val="none"/>
        </w:rPr>
        <w:t>一、前期准备阶段：</w:t>
      </w:r>
    </w:p>
    <w:p w14:paraId="050F7BBE">
      <w:pPr>
        <w:ind w:firstLine="480"/>
        <w:rPr>
          <w:rFonts w:hint="eastAsia"/>
          <w:highlight w:val="none"/>
        </w:rPr>
      </w:pPr>
      <w:r>
        <w:rPr>
          <w:rFonts w:hint="eastAsia"/>
          <w:highlight w:val="none"/>
        </w:rPr>
        <w:t>依据《建设项目环境影响评价分类管理名录》（2021年版）的有关要求，本项目属于“四十一、电力、热力生产和供应业、91热力生产和供应工程（包括建设单位自建自用的供热工程）、燃煤、燃油锅炉总容量65吨/小时（45.5兆瓦）以上的” “中的燃煤锅炉总容量65吨/小时（45.5兆瓦）以上的”，本项目应编制环境影响报告书。工作人员在研究相关技术及其他有关文件的基础上进行了初步工程分析，开展了初步的环境现状调查，之后进行了环境影响识别、评价因子和评价标准的判定，明确了评价重点和环境保护目标，进一步确定评价工作等级和评价范围，最后制定出环评工作方案。</w:t>
      </w:r>
    </w:p>
    <w:p w14:paraId="361557A1">
      <w:pPr>
        <w:ind w:firstLine="480"/>
        <w:rPr>
          <w:rFonts w:hint="eastAsia"/>
          <w:highlight w:val="none"/>
        </w:rPr>
      </w:pPr>
      <w:r>
        <w:rPr>
          <w:rFonts w:hint="eastAsia"/>
          <w:highlight w:val="none"/>
        </w:rPr>
        <w:t>二、调查分析和工作方案制定阶段：</w:t>
      </w:r>
    </w:p>
    <w:p w14:paraId="0D742B33">
      <w:pPr>
        <w:ind w:firstLine="480"/>
        <w:rPr>
          <w:rFonts w:hint="eastAsia"/>
          <w:highlight w:val="none"/>
        </w:rPr>
      </w:pPr>
      <w:r>
        <w:rPr>
          <w:rFonts w:hint="eastAsia"/>
          <w:highlight w:val="none"/>
        </w:rPr>
        <w:t>根据第一阶段的工作成果，工作人员在对环境质量现状进行调查、监测与评价后，详细进行了工程分析，同时对各环境要素进行了环境影响预测与评价，对各专题进行了环境影响分析与评价。</w:t>
      </w:r>
    </w:p>
    <w:p w14:paraId="494EB33F">
      <w:pPr>
        <w:ind w:firstLine="480"/>
        <w:rPr>
          <w:rFonts w:hint="eastAsia"/>
          <w:highlight w:val="none"/>
        </w:rPr>
      </w:pPr>
      <w:r>
        <w:rPr>
          <w:rFonts w:hint="eastAsia"/>
          <w:highlight w:val="none"/>
        </w:rPr>
        <w:t>三、分析论证和预测评价阶段：</w:t>
      </w:r>
    </w:p>
    <w:p w14:paraId="141A2733">
      <w:pPr>
        <w:rPr>
          <w:rFonts w:hint="eastAsia"/>
          <w:highlight w:val="none"/>
        </w:rPr>
      </w:pPr>
      <w:r>
        <w:rPr>
          <w:rFonts w:hint="eastAsia"/>
          <w:highlight w:val="none"/>
        </w:rPr>
        <w:t>根据上一阶段的预测、分析与评价，给出建设项目可行性的评价结论，提出环境保护措施，进行其经济技术可行性论证，列出污染物排放清单并给出建设项目环境影响评价结论，完成环境影响报告书的编制工作。</w:t>
      </w:r>
    </w:p>
    <w:p w14:paraId="6215FB2A">
      <w:pPr>
        <w:pStyle w:val="4"/>
        <w:bidi w:val="0"/>
        <w:ind w:left="0" w:leftChars="0" w:firstLine="321" w:firstLineChars="100"/>
        <w:rPr>
          <w:rFonts w:hint="eastAsia"/>
          <w:highlight w:val="none"/>
          <w:lang w:val="en-US" w:eastAsia="zh-CN"/>
        </w:rPr>
      </w:pPr>
      <w:bookmarkStart w:id="15" w:name="_Toc19812"/>
      <w:r>
        <w:rPr>
          <w:rFonts w:hint="eastAsia"/>
          <w:highlight w:val="none"/>
          <w:lang w:val="en-US" w:eastAsia="zh-CN"/>
        </w:rPr>
        <w:t>1.4分析判定相关情况</w:t>
      </w:r>
      <w:bookmarkEnd w:id="15"/>
    </w:p>
    <w:p w14:paraId="06CD086D">
      <w:pPr>
        <w:pStyle w:val="5"/>
        <w:bidi w:val="0"/>
        <w:ind w:left="0" w:leftChars="0" w:firstLine="0" w:firstLineChars="0"/>
        <w:rPr>
          <w:rFonts w:hint="eastAsia" w:ascii="Times New Roman" w:hAnsi="Times New Roman"/>
          <w:sz w:val="30"/>
          <w:szCs w:val="30"/>
          <w:highlight w:val="none"/>
          <w:lang w:val="en-US" w:eastAsia="zh-CN"/>
        </w:rPr>
      </w:pPr>
      <w:bookmarkStart w:id="16" w:name="_Toc7040"/>
      <w:r>
        <w:rPr>
          <w:rFonts w:hint="default" w:ascii="Times New Roman" w:hAnsi="Times New Roman" w:cs="Times New Roman"/>
          <w:highlight w:val="none"/>
          <w:lang w:val="en-US" w:eastAsia="zh-CN"/>
        </w:rPr>
        <w:t>1.4.1</w:t>
      </w:r>
      <w:r>
        <w:rPr>
          <w:rFonts w:ascii="Times New Roman" w:hAnsi="Times New Roman"/>
          <w:sz w:val="30"/>
          <w:szCs w:val="30"/>
          <w:highlight w:val="none"/>
        </w:rPr>
        <w:t>与《产业结构调整指导目录（</w:t>
      </w:r>
      <w:r>
        <w:rPr>
          <w:rFonts w:hint="eastAsia" w:ascii="Times New Roman" w:hAnsi="Times New Roman"/>
          <w:sz w:val="30"/>
          <w:szCs w:val="30"/>
          <w:highlight w:val="none"/>
          <w:lang w:val="en-US" w:eastAsia="zh-CN"/>
        </w:rPr>
        <w:t>2024</w:t>
      </w:r>
      <w:r>
        <w:rPr>
          <w:rFonts w:ascii="Times New Roman" w:hAnsi="Times New Roman"/>
          <w:sz w:val="30"/>
          <w:szCs w:val="30"/>
          <w:highlight w:val="none"/>
        </w:rPr>
        <w:t>年本）》的符合性</w:t>
      </w:r>
      <w:r>
        <w:rPr>
          <w:rFonts w:hint="eastAsia" w:ascii="Times New Roman" w:hAnsi="Times New Roman"/>
          <w:sz w:val="30"/>
          <w:szCs w:val="30"/>
          <w:highlight w:val="none"/>
          <w:lang w:val="en-US" w:eastAsia="zh-CN"/>
        </w:rPr>
        <w:t>分析</w:t>
      </w:r>
      <w:bookmarkEnd w:id="16"/>
    </w:p>
    <w:p w14:paraId="0321737E">
      <w:pPr>
        <w:rPr>
          <w:rFonts w:ascii="Times New Roman" w:hAnsi="Times New Roman"/>
          <w:highlight w:val="none"/>
        </w:rPr>
      </w:pPr>
      <w:r>
        <w:rPr>
          <w:rFonts w:ascii="Times New Roman" w:hAnsi="Times New Roman"/>
          <w:highlight w:val="none"/>
        </w:rPr>
        <w:t>本项目属于《产业结构调整指导目录（20</w:t>
      </w:r>
      <w:r>
        <w:rPr>
          <w:rFonts w:hint="eastAsia" w:ascii="Times New Roman" w:hAnsi="Times New Roman"/>
          <w:highlight w:val="none"/>
          <w:lang w:val="en-US" w:eastAsia="zh-CN"/>
        </w:rPr>
        <w:t>24</w:t>
      </w:r>
      <w:r>
        <w:rPr>
          <w:rFonts w:ascii="Times New Roman" w:hAnsi="Times New Roman"/>
          <w:highlight w:val="none"/>
        </w:rPr>
        <w:t>年本）》中鼓励类第二十二部分“城镇基础设施”第</w:t>
      </w:r>
      <w:r>
        <w:rPr>
          <w:rFonts w:hint="eastAsia" w:ascii="Times New Roman" w:hAnsi="Times New Roman"/>
          <w:highlight w:val="none"/>
          <w:lang w:val="en-US" w:eastAsia="zh-CN"/>
        </w:rPr>
        <w:t>2</w:t>
      </w:r>
      <w:r>
        <w:rPr>
          <w:rFonts w:ascii="Times New Roman" w:hAnsi="Times New Roman"/>
          <w:highlight w:val="none"/>
        </w:rPr>
        <w:t>条为“城镇集中供热建设和改造工程</w:t>
      </w:r>
      <w:r>
        <w:rPr>
          <w:rFonts w:hint="eastAsia" w:ascii="Times New Roman" w:hAnsi="Times New Roman"/>
          <w:highlight w:val="none"/>
          <w:lang w:eastAsia="zh-CN"/>
        </w:rPr>
        <w:t>（</w:t>
      </w:r>
      <w:r>
        <w:rPr>
          <w:rFonts w:ascii="宋体" w:hAnsi="宋体" w:eastAsia="宋体" w:cs="宋体"/>
          <w:sz w:val="24"/>
          <w:szCs w:val="24"/>
          <w:highlight w:val="none"/>
        </w:rPr>
        <w:t>包括长距离集中供热管网应用工程</w:t>
      </w:r>
      <w:r>
        <w:rPr>
          <w:rFonts w:hint="eastAsia" w:ascii="Times New Roman" w:hAnsi="Times New Roman"/>
          <w:highlight w:val="none"/>
          <w:lang w:eastAsia="zh-CN"/>
        </w:rPr>
        <w:t>）</w:t>
      </w:r>
      <w:r>
        <w:rPr>
          <w:rFonts w:ascii="Times New Roman" w:hAnsi="Times New Roman"/>
          <w:highlight w:val="none"/>
        </w:rPr>
        <w:t>”中的“城镇集中供热建设工程”。因此，本项目属于鼓励类建设项目。</w:t>
      </w:r>
    </w:p>
    <w:p w14:paraId="6791CADE">
      <w:pPr>
        <w:pStyle w:val="5"/>
        <w:bidi w:val="0"/>
        <w:ind w:left="0" w:leftChars="0" w:firstLine="0" w:firstLineChars="0"/>
        <w:rPr>
          <w:rFonts w:hint="eastAsia" w:ascii="Times New Roman" w:hAnsi="Times New Roman" w:eastAsia="宋体" w:cs="Times New Roman"/>
          <w:highlight w:val="none"/>
          <w:lang w:val="en-US" w:eastAsia="zh-CN"/>
        </w:rPr>
      </w:pPr>
      <w:bookmarkStart w:id="17" w:name="_Toc12243"/>
      <w:r>
        <w:rPr>
          <w:rFonts w:hint="eastAsia" w:ascii="Times New Roman" w:hAnsi="Times New Roman" w:eastAsia="宋体" w:cs="Times New Roman"/>
          <w:highlight w:val="none"/>
          <w:lang w:val="en-US" w:eastAsia="zh-CN"/>
        </w:rPr>
        <w:t>1.4.2生态环境分区管控符合性分析</w:t>
      </w:r>
      <w:bookmarkEnd w:id="17"/>
    </w:p>
    <w:p w14:paraId="5D434DB9">
      <w:pPr>
        <w:ind w:firstLine="480"/>
        <w:rPr>
          <w:rFonts w:ascii="Times New Roman" w:hAnsi="Times New Roman"/>
          <w:highlight w:val="none"/>
        </w:rPr>
      </w:pPr>
      <w:r>
        <w:rPr>
          <w:rFonts w:ascii="Times New Roman" w:hAnsi="Times New Roman"/>
          <w:highlight w:val="none"/>
        </w:rPr>
        <w:t>根据《黑龙江省人民政府关于实施“三线一单”生态环境分区管控的意见》（黑政发[2020]14号）和</w:t>
      </w:r>
      <w:r>
        <w:rPr>
          <w:rFonts w:hint="default"/>
          <w:color w:val="auto"/>
          <w:sz w:val="24"/>
          <w:szCs w:val="24"/>
          <w:highlight w:val="none"/>
          <w:lang w:val="en-US" w:eastAsia="zh-CN"/>
        </w:rPr>
        <w:t>《牡丹江市人民政府关于实</w:t>
      </w:r>
      <w:r>
        <w:rPr>
          <w:rFonts w:hint="default" w:ascii="Times New Roman" w:hAnsi="Times New Roman" w:cs="Times New Roman"/>
          <w:color w:val="auto"/>
          <w:sz w:val="24"/>
          <w:szCs w:val="24"/>
          <w:highlight w:val="none"/>
          <w:lang w:val="en-US" w:eastAsia="zh-CN"/>
        </w:rPr>
        <w:t>施“三线一单”生</w:t>
      </w:r>
      <w:r>
        <w:rPr>
          <w:rFonts w:hint="default"/>
          <w:color w:val="auto"/>
          <w:sz w:val="24"/>
          <w:szCs w:val="24"/>
          <w:highlight w:val="none"/>
          <w:lang w:val="en-US" w:eastAsia="zh-CN"/>
        </w:rPr>
        <w:t>态环境分区管控的意见》（</w:t>
      </w:r>
      <w:r>
        <w:rPr>
          <w:rFonts w:hint="eastAsia"/>
          <w:color w:val="auto"/>
          <w:sz w:val="24"/>
          <w:szCs w:val="24"/>
          <w:highlight w:val="none"/>
          <w:lang w:val="en-US" w:eastAsia="zh-CN"/>
        </w:rPr>
        <w:t>牡</w:t>
      </w:r>
      <w:r>
        <w:rPr>
          <w:rFonts w:hint="default"/>
          <w:color w:val="auto"/>
          <w:sz w:val="24"/>
          <w:szCs w:val="24"/>
          <w:highlight w:val="none"/>
          <w:lang w:val="en-US" w:eastAsia="zh-CN"/>
        </w:rPr>
        <w:t>政发</w:t>
      </w:r>
      <w:r>
        <w:rPr>
          <w:rFonts w:hint="eastAsia"/>
          <w:color w:val="auto"/>
          <w:sz w:val="24"/>
          <w:szCs w:val="24"/>
          <w:highlight w:val="none"/>
          <w:lang w:val="en-US" w:eastAsia="zh-CN"/>
        </w:rPr>
        <w:t>[</w:t>
      </w:r>
      <w:r>
        <w:rPr>
          <w:rFonts w:hint="default" w:ascii="Times New Roman" w:hAnsi="Times New Roman" w:eastAsia="宋体" w:cs="Times New Roman"/>
          <w:highlight w:val="none"/>
          <w:lang w:val="en-US" w:eastAsia="zh-CN"/>
        </w:rPr>
        <w:t>2021</w:t>
      </w:r>
      <w:r>
        <w:rPr>
          <w:rFonts w:hint="eastAsia"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eastAsia="zh-CN"/>
        </w:rPr>
        <w:t>5</w:t>
      </w:r>
      <w:r>
        <w:rPr>
          <w:rFonts w:hint="default"/>
          <w:color w:val="auto"/>
          <w:sz w:val="24"/>
          <w:szCs w:val="24"/>
          <w:highlight w:val="none"/>
          <w:lang w:val="en-US" w:eastAsia="zh-CN"/>
        </w:rPr>
        <w:t>号）</w:t>
      </w:r>
      <w:r>
        <w:rPr>
          <w:rFonts w:ascii="Times New Roman" w:hAnsi="Times New Roman"/>
          <w:highlight w:val="none"/>
        </w:rPr>
        <w:t>，本项目位于重点管控单元。重点管控单元管控要求为：突出污染物排放控制和环境风险防控，按照差别化的生态环境准入要求，优化空间和产业布局，不断提升资源利用效率，强化环境质量改善目标约束，解决局部生态环境质量不达标、生态环境风险高的问题。</w:t>
      </w:r>
    </w:p>
    <w:p w14:paraId="7BEFD8A3">
      <w:pPr>
        <w:ind w:firstLine="480"/>
        <w:rPr>
          <w:rFonts w:ascii="Times New Roman" w:hAnsi="Times New Roman"/>
          <w:highlight w:val="none"/>
        </w:rPr>
      </w:pPr>
      <w:r>
        <w:rPr>
          <w:rFonts w:ascii="Times New Roman" w:hAnsi="Times New Roman"/>
          <w:highlight w:val="none"/>
        </w:rPr>
        <w:t>（1）生态保护红线符合性分析</w:t>
      </w:r>
    </w:p>
    <w:p w14:paraId="077919A8">
      <w:pPr>
        <w:ind w:firstLine="480"/>
        <w:rPr>
          <w:rFonts w:ascii="Times New Roman" w:hAnsi="Times New Roman"/>
          <w:highlight w:val="none"/>
        </w:rPr>
      </w:pPr>
      <w:r>
        <w:rPr>
          <w:rFonts w:ascii="Times New Roman" w:hAnsi="Times New Roman"/>
          <w:highlight w:val="none"/>
        </w:rPr>
        <w:t>本项目</w:t>
      </w:r>
      <w:r>
        <w:rPr>
          <w:rFonts w:hint="eastAsia" w:ascii="Times New Roman" w:hAnsi="Times New Roman"/>
          <w:highlight w:val="none"/>
          <w:lang w:val="en-US" w:eastAsia="zh-CN"/>
        </w:rPr>
        <w:t>不在</w:t>
      </w:r>
      <w:r>
        <w:rPr>
          <w:rFonts w:ascii="Times New Roman" w:hAnsi="Times New Roman"/>
          <w:highlight w:val="none"/>
        </w:rPr>
        <w:t>生态保护红线范围内。</w:t>
      </w:r>
    </w:p>
    <w:p w14:paraId="58A14E17">
      <w:pPr>
        <w:ind w:firstLine="480"/>
        <w:rPr>
          <w:rFonts w:ascii="Times New Roman" w:hAnsi="Times New Roman"/>
          <w:highlight w:val="none"/>
        </w:rPr>
      </w:pPr>
      <w:r>
        <w:rPr>
          <w:rFonts w:ascii="Times New Roman" w:hAnsi="Times New Roman"/>
          <w:highlight w:val="none"/>
        </w:rPr>
        <w:t>（2）环境质量底线符合性分析</w:t>
      </w:r>
    </w:p>
    <w:p w14:paraId="120707A2">
      <w:pPr>
        <w:ind w:firstLine="480"/>
        <w:rPr>
          <w:rFonts w:ascii="Times New Roman" w:hAnsi="Times New Roman"/>
          <w:highlight w:val="none"/>
        </w:rPr>
      </w:pPr>
      <w:r>
        <w:rPr>
          <w:rFonts w:ascii="Times New Roman" w:hAnsi="Times New Roman"/>
          <w:highlight w:val="none"/>
        </w:rPr>
        <w:t>本项目锅炉烟气污染物排放浓度达到超低排放标准要求，厂界颗粒物排放浓度满足《大气污染物综合排放标准》（GB16297-1996）表2中无组织排放监控浓度限值（1.0mg/m</w:t>
      </w:r>
      <w:r>
        <w:rPr>
          <w:rFonts w:ascii="Times New Roman" w:hAnsi="Times New Roman"/>
          <w:highlight w:val="none"/>
          <w:vertAlign w:val="superscript"/>
        </w:rPr>
        <w:t>3</w:t>
      </w:r>
      <w:r>
        <w:rPr>
          <w:rFonts w:ascii="Times New Roman" w:hAnsi="Times New Roman"/>
          <w:highlight w:val="none"/>
        </w:rPr>
        <w:t>）要求；本项目生产废水全部回用不外排。环境风险影响可控。项目建设对地表水环境影响较小本项目的建设不会降低项目所在地周边环境的环境功能质量，符合环境质量控制底线要求。</w:t>
      </w:r>
    </w:p>
    <w:p w14:paraId="151099AF">
      <w:pPr>
        <w:ind w:firstLine="480"/>
        <w:rPr>
          <w:rFonts w:ascii="Times New Roman" w:hAnsi="Times New Roman"/>
          <w:highlight w:val="none"/>
        </w:rPr>
      </w:pPr>
      <w:r>
        <w:rPr>
          <w:rFonts w:ascii="Times New Roman" w:hAnsi="Times New Roman"/>
          <w:highlight w:val="none"/>
        </w:rPr>
        <w:t>（3）资源利用上线符合性分析</w:t>
      </w:r>
    </w:p>
    <w:p w14:paraId="31487EFE">
      <w:pPr>
        <w:ind w:firstLine="480"/>
        <w:rPr>
          <w:rFonts w:ascii="Times New Roman" w:hAnsi="Times New Roman" w:eastAsia="宋体" w:cs="Times New Roman"/>
          <w:highlight w:val="none"/>
        </w:rPr>
      </w:pPr>
      <w:r>
        <w:rPr>
          <w:rFonts w:ascii="Times New Roman" w:hAnsi="Times New Roman" w:eastAsia="宋体" w:cs="Times New Roman"/>
          <w:highlight w:val="none"/>
        </w:rPr>
        <w:t>本项目</w:t>
      </w:r>
      <w:r>
        <w:rPr>
          <w:rFonts w:hint="eastAsia" w:ascii="Times New Roman" w:hAnsi="Times New Roman" w:eastAsia="宋体" w:cs="Times New Roman"/>
          <w:highlight w:val="none"/>
          <w:lang w:val="en-US" w:eastAsia="zh-CN"/>
        </w:rPr>
        <w:t>生产</w:t>
      </w:r>
      <w:r>
        <w:rPr>
          <w:rFonts w:ascii="Times New Roman" w:hAnsi="Times New Roman" w:eastAsia="宋体" w:cs="Times New Roman"/>
          <w:highlight w:val="none"/>
        </w:rPr>
        <w:t>废水经处理达标后回用，可大大减少新水用量，提高水利用率。灰渣全部外售，尽可能做到合理利用和节能降耗，最大限度地减少物耗、能耗。因此本项目符合“三线一单”中资源利用上线的要求。</w:t>
      </w:r>
    </w:p>
    <w:p w14:paraId="42998A2C">
      <w:pPr>
        <w:ind w:firstLine="480"/>
        <w:rPr>
          <w:rFonts w:ascii="Times New Roman" w:hAnsi="Times New Roman"/>
          <w:highlight w:val="none"/>
        </w:rPr>
      </w:pPr>
      <w:r>
        <w:rPr>
          <w:rFonts w:ascii="Times New Roman" w:hAnsi="Times New Roman"/>
          <w:highlight w:val="none"/>
        </w:rPr>
        <w:t>（4）环境准入负面清单符合性分析</w:t>
      </w:r>
    </w:p>
    <w:p w14:paraId="0EDB4F03">
      <w:pPr>
        <w:ind w:firstLine="480"/>
        <w:rPr>
          <w:rFonts w:ascii="Times New Roman" w:hAnsi="Times New Roman"/>
          <w:highlight w:val="none"/>
        </w:rPr>
      </w:pPr>
      <w:r>
        <w:rPr>
          <w:rFonts w:ascii="Times New Roman" w:hAnsi="Times New Roman"/>
          <w:highlight w:val="none"/>
        </w:rPr>
        <w:t>对照《</w:t>
      </w:r>
      <w:r>
        <w:rPr>
          <w:rFonts w:hint="eastAsia" w:ascii="Times New Roman" w:hAnsi="Times New Roman"/>
          <w:highlight w:val="none"/>
          <w:lang w:val="en-US" w:eastAsia="zh-CN"/>
        </w:rPr>
        <w:t>牡丹江</w:t>
      </w:r>
      <w:r>
        <w:rPr>
          <w:rFonts w:ascii="Times New Roman" w:hAnsi="Times New Roman"/>
          <w:highlight w:val="none"/>
        </w:rPr>
        <w:t>市生态环境准入清单》</w:t>
      </w:r>
      <w:r>
        <w:rPr>
          <w:rFonts w:hint="eastAsia" w:ascii="Times New Roman" w:hAnsi="Times New Roman"/>
          <w:highlight w:val="none"/>
          <w:lang w:eastAsia="zh-CN"/>
        </w:rPr>
        <w:t>（</w:t>
      </w:r>
      <w:r>
        <w:rPr>
          <w:rFonts w:hint="eastAsia" w:ascii="Times New Roman" w:hAnsi="Times New Roman"/>
          <w:highlight w:val="none"/>
          <w:lang w:val="en-US" w:eastAsia="zh-CN"/>
        </w:rPr>
        <w:t>2023年版</w:t>
      </w:r>
      <w:r>
        <w:rPr>
          <w:rFonts w:hint="eastAsia" w:ascii="Times New Roman" w:hAnsi="Times New Roman"/>
          <w:highlight w:val="none"/>
          <w:lang w:eastAsia="zh-CN"/>
        </w:rPr>
        <w:t>）</w:t>
      </w:r>
      <w:r>
        <w:rPr>
          <w:rFonts w:ascii="Times New Roman" w:hAnsi="Times New Roman"/>
          <w:highlight w:val="none"/>
        </w:rPr>
        <w:t>，本项目与</w:t>
      </w:r>
      <w:r>
        <w:rPr>
          <w:rFonts w:hint="eastAsia" w:ascii="Times New Roman" w:hAnsi="Times New Roman"/>
          <w:highlight w:val="none"/>
          <w:lang w:val="en-US" w:eastAsia="zh-CN"/>
        </w:rPr>
        <w:t>牡丹江</w:t>
      </w:r>
      <w:r>
        <w:rPr>
          <w:rFonts w:ascii="Times New Roman" w:hAnsi="Times New Roman"/>
          <w:highlight w:val="none"/>
        </w:rPr>
        <w:t>市、</w:t>
      </w:r>
      <w:r>
        <w:rPr>
          <w:rFonts w:hint="eastAsia" w:ascii="Times New Roman" w:hAnsi="Times New Roman"/>
          <w:highlight w:val="none"/>
          <w:lang w:val="en-US" w:eastAsia="zh-CN"/>
        </w:rPr>
        <w:t>绥芬河市</w:t>
      </w:r>
      <w:r>
        <w:rPr>
          <w:rFonts w:ascii="Times New Roman" w:hAnsi="Times New Roman"/>
          <w:highlight w:val="none"/>
        </w:rPr>
        <w:t>生态环境管控要求符合性分析见表1.4-1。本项目按要求采取生态环境保护措施后，符合其管控单元准入要求。</w:t>
      </w:r>
    </w:p>
    <w:p w14:paraId="2D883722">
      <w:pPr>
        <w:rPr>
          <w:rFonts w:hint="default"/>
          <w:highlight w:val="none"/>
          <w:lang w:val="en-US" w:eastAsia="zh-CN"/>
        </w:rPr>
      </w:pPr>
      <w:r>
        <w:rPr>
          <w:rFonts w:ascii="Times New Roman" w:hAnsi="Times New Roman"/>
          <w:highlight w:val="none"/>
        </w:rPr>
        <w:t>综上，本项目建设符合“三线一单”要求。</w:t>
      </w:r>
    </w:p>
    <w:p w14:paraId="12AE1D99">
      <w:pPr>
        <w:pStyle w:val="23"/>
        <w:rPr>
          <w:highlight w:val="none"/>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C4C6F0F">
      <w:pPr>
        <w:ind w:firstLine="0" w:firstLineChars="0"/>
        <w:jc w:val="center"/>
        <w:rPr>
          <w:rFonts w:hint="eastAsia" w:ascii="Times New Roman" w:hAnsi="Times New Roman"/>
          <w:highlight w:val="none"/>
        </w:rPr>
      </w:pPr>
      <w:r>
        <w:rPr>
          <w:rFonts w:ascii="Times New Roman" w:hAnsi="Times New Roman"/>
          <w:b/>
          <w:bCs/>
          <w:highlight w:val="none"/>
        </w:rPr>
        <w:t>表1.4-1  本项目生态环境管控要求的符合性分析</w:t>
      </w:r>
    </w:p>
    <w:tbl>
      <w:tblPr>
        <w:tblStyle w:val="1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41"/>
        <w:gridCol w:w="426"/>
        <w:gridCol w:w="426"/>
        <w:gridCol w:w="537"/>
        <w:gridCol w:w="6672"/>
        <w:gridCol w:w="2781"/>
        <w:gridCol w:w="881"/>
      </w:tblGrid>
      <w:tr w14:paraId="17B5B1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noWrap w:val="0"/>
            <w:tcMar>
              <w:left w:w="57" w:type="dxa"/>
              <w:right w:w="57" w:type="dxa"/>
            </w:tcMar>
            <w:vAlign w:val="center"/>
          </w:tcPr>
          <w:p w14:paraId="3BC2D640">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环境管控单元编码</w:t>
            </w:r>
          </w:p>
        </w:tc>
        <w:tc>
          <w:tcPr>
            <w:tcW w:w="151" w:type="pct"/>
            <w:noWrap w:val="0"/>
            <w:vAlign w:val="center"/>
          </w:tcPr>
          <w:p w14:paraId="2D96D23A">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环境管控单元名称</w:t>
            </w:r>
          </w:p>
        </w:tc>
        <w:tc>
          <w:tcPr>
            <w:tcW w:w="151" w:type="pct"/>
            <w:noWrap w:val="0"/>
            <w:vAlign w:val="center"/>
          </w:tcPr>
          <w:p w14:paraId="63E6F7BB">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管控单元分类</w:t>
            </w:r>
          </w:p>
        </w:tc>
        <w:tc>
          <w:tcPr>
            <w:tcW w:w="191" w:type="pct"/>
            <w:noWrap w:val="0"/>
            <w:vAlign w:val="center"/>
          </w:tcPr>
          <w:p w14:paraId="46D5AF82">
            <w:pPr>
              <w:autoSpaceDE w:val="0"/>
              <w:autoSpaceDN w:val="0"/>
              <w:adjustRightInd w:val="0"/>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管控维度</w:t>
            </w:r>
          </w:p>
        </w:tc>
        <w:tc>
          <w:tcPr>
            <w:tcW w:w="2370" w:type="pct"/>
            <w:noWrap w:val="0"/>
            <w:vAlign w:val="center"/>
          </w:tcPr>
          <w:p w14:paraId="5E908CA8">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管控要求</w:t>
            </w:r>
          </w:p>
        </w:tc>
        <w:tc>
          <w:tcPr>
            <w:tcW w:w="988" w:type="pct"/>
            <w:noWrap w:val="0"/>
            <w:vAlign w:val="center"/>
          </w:tcPr>
          <w:p w14:paraId="6C8C8346">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本项目情况</w:t>
            </w:r>
          </w:p>
        </w:tc>
        <w:tc>
          <w:tcPr>
            <w:tcW w:w="313" w:type="pct"/>
            <w:noWrap w:val="0"/>
            <w:tcMar>
              <w:left w:w="57" w:type="dxa"/>
              <w:right w:w="57" w:type="dxa"/>
            </w:tcMar>
            <w:vAlign w:val="center"/>
          </w:tcPr>
          <w:p w14:paraId="4AC37189">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符合性分析</w:t>
            </w:r>
          </w:p>
        </w:tc>
      </w:tr>
      <w:tr w14:paraId="1CD9B2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restart"/>
            <w:noWrap w:val="0"/>
            <w:tcMar>
              <w:left w:w="57" w:type="dxa"/>
              <w:right w:w="57" w:type="dxa"/>
            </w:tcMar>
            <w:vAlign w:val="center"/>
          </w:tcPr>
          <w:p w14:paraId="6CA14B63">
            <w:pPr>
              <w:keepNext w:val="0"/>
              <w:keepLines w:val="0"/>
              <w:widowControl/>
              <w:suppressLineNumbers w:val="0"/>
              <w:ind w:left="0" w:leftChars="0" w:firstLine="0" w:firstLineChars="0"/>
              <w:jc w:val="center"/>
              <w:rPr>
                <w:rFonts w:ascii="Times New Roman" w:hAnsi="Times New Roman"/>
                <w:kern w:val="0"/>
                <w:sz w:val="21"/>
                <w:szCs w:val="21"/>
                <w:highlight w:val="none"/>
              </w:rPr>
            </w:pPr>
            <w:r>
              <w:rPr>
                <w:rFonts w:hint="eastAsia" w:ascii="宋体" w:hAnsi="宋体" w:eastAsia="宋体" w:cs="宋体"/>
                <w:color w:val="000000"/>
                <w:kern w:val="0"/>
                <w:sz w:val="21"/>
                <w:szCs w:val="21"/>
                <w:highlight w:val="none"/>
                <w:lang w:val="en-US" w:eastAsia="zh-CN" w:bidi="ar"/>
              </w:rPr>
              <w:t>ZH23108120002</w:t>
            </w:r>
          </w:p>
        </w:tc>
        <w:tc>
          <w:tcPr>
            <w:tcW w:w="151" w:type="pct"/>
            <w:vMerge w:val="restart"/>
            <w:noWrap w:val="0"/>
            <w:vAlign w:val="center"/>
          </w:tcPr>
          <w:p w14:paraId="609592D4">
            <w:pPr>
              <w:autoSpaceDE w:val="0"/>
              <w:autoSpaceDN w:val="0"/>
              <w:adjustRightInd w:val="0"/>
              <w:spacing w:line="240" w:lineRule="auto"/>
              <w:ind w:firstLine="0" w:firstLineChars="0"/>
              <w:jc w:val="center"/>
              <w:rPr>
                <w:rFonts w:hint="default" w:ascii="Times New Roman" w:hAnsi="Times New Roman"/>
                <w:kern w:val="0"/>
                <w:sz w:val="21"/>
                <w:szCs w:val="21"/>
                <w:highlight w:val="none"/>
                <w:lang w:val="en-US"/>
              </w:rPr>
            </w:pPr>
            <w:r>
              <w:rPr>
                <w:rFonts w:hint="eastAsia" w:ascii="Times New Roman" w:hAnsi="Times New Roman"/>
                <w:kern w:val="0"/>
                <w:sz w:val="21"/>
                <w:szCs w:val="21"/>
                <w:highlight w:val="none"/>
                <w:lang w:val="en-US" w:eastAsia="zh-CN"/>
              </w:rPr>
              <w:t>绥芬河市边境经济合作区</w:t>
            </w:r>
          </w:p>
          <w:p w14:paraId="7A75036B">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restart"/>
            <w:noWrap w:val="0"/>
            <w:vAlign w:val="center"/>
          </w:tcPr>
          <w:p w14:paraId="743AC7E5">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重点管控单元</w:t>
            </w:r>
          </w:p>
        </w:tc>
        <w:tc>
          <w:tcPr>
            <w:tcW w:w="191" w:type="pct"/>
            <w:noWrap w:val="0"/>
            <w:vAlign w:val="center"/>
          </w:tcPr>
          <w:p w14:paraId="61C08E94">
            <w:pPr>
              <w:spacing w:line="240" w:lineRule="auto"/>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空间布局约束</w:t>
            </w:r>
          </w:p>
        </w:tc>
        <w:tc>
          <w:tcPr>
            <w:tcW w:w="2370" w:type="pct"/>
            <w:noWrap w:val="0"/>
            <w:vAlign w:val="center"/>
          </w:tcPr>
          <w:p w14:paraId="5D0B221A">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1.小绥芬河河道两侧、寒葱河河道西侧堤防迎水面不小于三十米,背水面不小于二十米范围内禁止建设任何除河道管理工程外的项目。</w:t>
            </w:r>
          </w:p>
          <w:p w14:paraId="6FABE0D0">
            <w:pPr>
              <w:keepNext w:val="0"/>
              <w:keepLines w:val="0"/>
              <w:widowControl/>
              <w:numPr>
                <w:ilvl w:val="0"/>
                <w:numId w:val="0"/>
              </w:numPr>
              <w:suppressLineNumbers w:val="0"/>
              <w:jc w:val="center"/>
              <w:rPr>
                <w:highlight w:val="none"/>
              </w:rPr>
            </w:pPr>
            <w:r>
              <w:rPr>
                <w:rFonts w:hint="eastAsia" w:ascii="宋体" w:hAnsi="宋体" w:eastAsia="宋体" w:cs="宋体"/>
                <w:color w:val="000000"/>
                <w:kern w:val="0"/>
                <w:sz w:val="21"/>
                <w:szCs w:val="21"/>
                <w:highlight w:val="none"/>
                <w:lang w:val="en-US" w:eastAsia="zh-CN" w:bidi="ar"/>
              </w:rPr>
              <w:t>2.不符合开发区产业定位的企业，限制其生产规模或搬迁。</w:t>
            </w:r>
          </w:p>
          <w:p w14:paraId="533A5F16">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3.限制喷漆工艺污染严重的企业入区。家具的上漆、干燥和黏合工序要在车间内进行，严禁在露天使用涂料、干燥家具、黏合操作，严禁在露天堆放涂料和空的涂料桶。</w:t>
            </w:r>
          </w:p>
          <w:p w14:paraId="1EE6FB1D">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4.严禁高能耗、低产出、高污染、土地集约利用程度低的企业进入。</w:t>
            </w:r>
          </w:p>
          <w:p w14:paraId="156A4F3B">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5.入园建设项目开展环评工作时，应以产业园区规划环评为依据，重点分析项目环评与规划环评结论及审查意见的符合性；产业园区招商引资、入园建设项目环评审批等应将规划环评结论及审查意见作为重要依据。</w:t>
            </w:r>
          </w:p>
          <w:p w14:paraId="7FCCD3CC">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6.新建、扩建石化、化工、焦化、有色金属冶炼、平板玻璃项目应布设在依法合规设立并经规划环评的产业园区。煤化工产业项目选址及污染控制措施等须满足安全、环境准入要求，新建项目需布局在一般或较低安全风险等级的化工园区。</w:t>
            </w:r>
          </w:p>
          <w:p w14:paraId="40697F12">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7.重大制造 业项目、依托能源和矿产资源的资源加工业项目原则上布局在重点开发区。 8.未纳入国家有关领域产业规划的，一律不得新建改扩建炼油和新建乙烯、对二甲苯、煤制烯烃项目。</w:t>
            </w:r>
          </w:p>
          <w:p w14:paraId="4E5BEC7C">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9.禁止引进国家产业政策明令淘汰和限制的产品、技术、工艺、设备及行为。</w:t>
            </w:r>
          </w:p>
          <w:p w14:paraId="09357C1C">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10.编制产业园区开发建设规划时应依法开展规划环评。</w:t>
            </w:r>
          </w:p>
          <w:p w14:paraId="01A4EE46">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11.规划审批机关在审批规划时，应将规划环评结论及审查意见作为决策的重要依据，在审批中未采纳环境影响报告书结论及审查意见的，应当作出说明并存档备查。</w:t>
            </w:r>
          </w:p>
          <w:p w14:paraId="5683EEBF">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12.产业园区招商引资、入园建设项目环评审批等应将规划环评结论及审查意见作为重要依据。</w:t>
            </w:r>
          </w:p>
          <w:p w14:paraId="76E93236">
            <w:pPr>
              <w:keepNext w:val="0"/>
              <w:keepLines w:val="0"/>
              <w:widowControl/>
              <w:numPr>
                <w:ilvl w:val="0"/>
                <w:numId w:val="0"/>
              </w:numPr>
              <w:suppressLineNumbers w:val="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13.产业园区开发建设规划应符合国家政策和相关法律法规要求，规划发生重大调整或修订的，应当依法重新或补充开展规划环评工作。</w:t>
            </w:r>
          </w:p>
          <w:p w14:paraId="398E79DC">
            <w:pPr>
              <w:keepNext w:val="0"/>
              <w:keepLines w:val="0"/>
              <w:widowControl/>
              <w:numPr>
                <w:ilvl w:val="0"/>
                <w:numId w:val="0"/>
              </w:numPr>
              <w:suppressLineNumbers w:val="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14.水环境工业污染重点管控区同时执行以下要求：(1)区域内严格控制高耗水、高污染行业发展。(2)加快淘汰落后产能，大力推进产业结构调整和优化升级。(3)根据水资源和水环境承载能力，以水定城、以水定地、以水定人、以水定产。</w:t>
            </w:r>
          </w:p>
        </w:tc>
        <w:tc>
          <w:tcPr>
            <w:tcW w:w="988" w:type="pct"/>
            <w:noWrap w:val="0"/>
            <w:vAlign w:val="center"/>
          </w:tcPr>
          <w:p w14:paraId="6700BEAA">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hint="default" w:ascii="Times New Roman" w:hAnsi="Times New Roman" w:eastAsia="宋体" w:cs="Times New Roman"/>
                <w:kern w:val="0"/>
                <w:sz w:val="21"/>
                <w:szCs w:val="21"/>
                <w:highlight w:val="none"/>
              </w:rPr>
              <w:t>本项目建</w:t>
            </w:r>
            <w:r>
              <w:rPr>
                <w:rFonts w:hint="default" w:ascii="Times New Roman" w:hAnsi="Times New Roman" w:eastAsia="宋体" w:cs="Times New Roman"/>
                <w:kern w:val="0"/>
                <w:sz w:val="21"/>
                <w:szCs w:val="21"/>
                <w:highlight w:val="none"/>
                <w:lang w:val="en-US" w:eastAsia="zh-CN"/>
              </w:rPr>
              <w:t>设</w:t>
            </w:r>
            <w:r>
              <w:rPr>
                <w:rFonts w:hint="eastAsia" w:ascii="Times New Roman" w:hAnsi="Times New Roman" w:cs="Times New Roman"/>
                <w:kern w:val="0"/>
                <w:sz w:val="21"/>
                <w:szCs w:val="21"/>
                <w:highlight w:val="none"/>
                <w:lang w:val="en-US" w:eastAsia="zh-CN"/>
              </w:rPr>
              <w:t>116</w:t>
            </w:r>
            <w:r>
              <w:rPr>
                <w:rFonts w:hint="default" w:ascii="Times New Roman" w:hAnsi="Times New Roman" w:eastAsia="宋体" w:cs="Times New Roman"/>
                <w:kern w:val="0"/>
                <w:sz w:val="21"/>
                <w:szCs w:val="21"/>
                <w:highlight w:val="none"/>
                <w:lang w:val="en-US" w:eastAsia="zh-CN"/>
              </w:rPr>
              <w:t>MW+58MW热水锅炉和1台35t/h蒸汽锅炉共三台，三台锅炉在供暖期间交替使用</w:t>
            </w:r>
            <w:r>
              <w:rPr>
                <w:rFonts w:hint="default" w:ascii="Times New Roman" w:hAnsi="Times New Roman" w:eastAsia="宋体" w:cs="Times New Roman"/>
                <w:kern w:val="0"/>
                <w:sz w:val="21"/>
                <w:szCs w:val="21"/>
                <w:highlight w:val="none"/>
              </w:rPr>
              <w:t>，</w:t>
            </w:r>
            <w:r>
              <w:rPr>
                <w:rFonts w:hint="default" w:ascii="Times New Roman" w:hAnsi="Times New Roman" w:eastAsia="宋体" w:cs="Times New Roman"/>
                <w:kern w:val="0"/>
                <w:sz w:val="21"/>
                <w:szCs w:val="21"/>
                <w:highlight w:val="none"/>
                <w:lang w:val="en-US" w:eastAsia="zh-CN"/>
              </w:rPr>
              <w:t>锅炉烟气</w:t>
            </w:r>
            <w:r>
              <w:rPr>
                <w:rFonts w:hint="default" w:ascii="Times New Roman" w:hAnsi="Times New Roman" w:eastAsia="宋体" w:cs="Times New Roman"/>
                <w:kern w:val="0"/>
                <w:sz w:val="21"/>
                <w:szCs w:val="21"/>
                <w:highlight w:val="none"/>
              </w:rPr>
              <w:t>采用低氮燃烧+SNCR-SCR脱硝+布袋除尘器+石灰石-石膏法脱硫的烟气净化技术，</w:t>
            </w:r>
            <w:r>
              <w:rPr>
                <w:rFonts w:ascii="Times New Roman" w:hAnsi="Times New Roman" w:eastAsia="宋体" w:cs="Times New Roman"/>
                <w:kern w:val="0"/>
                <w:sz w:val="21"/>
                <w:szCs w:val="21"/>
                <w:highlight w:val="none"/>
              </w:rPr>
              <w:t>烟气处理后颗粒</w:t>
            </w:r>
            <w:r>
              <w:rPr>
                <w:rFonts w:ascii="Times New Roman" w:hAnsi="Times New Roman"/>
                <w:kern w:val="0"/>
                <w:sz w:val="21"/>
                <w:szCs w:val="21"/>
                <w:highlight w:val="none"/>
              </w:rPr>
              <w:t>物、SO</w:t>
            </w:r>
            <w:r>
              <w:rPr>
                <w:rFonts w:ascii="Times New Roman" w:hAnsi="Times New Roman"/>
                <w:kern w:val="0"/>
                <w:sz w:val="21"/>
                <w:szCs w:val="21"/>
                <w:highlight w:val="none"/>
                <w:vertAlign w:val="subscript"/>
              </w:rPr>
              <w:t>2</w:t>
            </w:r>
            <w:r>
              <w:rPr>
                <w:rFonts w:ascii="Times New Roman" w:hAnsi="Times New Roman"/>
                <w:kern w:val="0"/>
                <w:sz w:val="21"/>
                <w:szCs w:val="21"/>
                <w:highlight w:val="none"/>
              </w:rPr>
              <w:t>和NOx等污染物均能达到超低排放要求。生产废水均回用，不外排。</w:t>
            </w:r>
          </w:p>
        </w:tc>
        <w:tc>
          <w:tcPr>
            <w:tcW w:w="313" w:type="pct"/>
            <w:noWrap w:val="0"/>
            <w:tcMar>
              <w:left w:w="57" w:type="dxa"/>
              <w:right w:w="57" w:type="dxa"/>
            </w:tcMar>
            <w:vAlign w:val="center"/>
          </w:tcPr>
          <w:p w14:paraId="5D3EB2AE">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7E65C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4BFBA18A">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546167D6">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2A7D6078">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61FC5792">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污染物排放管控</w:t>
            </w:r>
          </w:p>
        </w:tc>
        <w:tc>
          <w:tcPr>
            <w:tcW w:w="2370" w:type="pct"/>
            <w:noWrap w:val="0"/>
            <w:vAlign w:val="center"/>
          </w:tcPr>
          <w:p w14:paraId="65787E9C">
            <w:pPr>
              <w:keepNext w:val="0"/>
              <w:keepLines w:val="0"/>
              <w:widowControl/>
              <w:numPr>
                <w:ilvl w:val="0"/>
                <w:numId w:val="1"/>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淘汰开发区内企业自有吨位＜10t/h 的小型燃煤、生物质锅炉，于 2025 年实现园区企业集中供热率达到 80%。</w:t>
            </w:r>
          </w:p>
          <w:p w14:paraId="6304C34F">
            <w:pPr>
              <w:keepNext w:val="0"/>
              <w:keepLines w:val="0"/>
              <w:widowControl/>
              <w:numPr>
                <w:ilvl w:val="0"/>
                <w:numId w:val="1"/>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喷漆车间及木加工车间排气筒高度建议不低于 15m。按环评要求设置卫生防护距离。重点提高涉 VOCs 排放主要工序密闭化水平，加强无组织排放收集，加大含 VOCs 物料储存和装卸治理力度。</w:t>
            </w:r>
          </w:p>
          <w:p w14:paraId="48E79B32">
            <w:pPr>
              <w:keepNext w:val="0"/>
              <w:keepLines w:val="0"/>
              <w:widowControl/>
              <w:suppressLineNumbers w:val="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三、同时执行：1.应按规定建设污水集中处理设施，并安装自动在线监控装置。2.新建、扩建“两高”项目应采用先进适用的工艺技术和装备，单位产品物耗、能耗、水耗等达到清洁生产先进水平，依法制定并严格落实防治土壤与地下水污染的措施。严把新上项目碳排放关，新建、改建、扩建煤电、石化、化工、钢铁、有色冶炼、建材等高耗能、高排放项目，要充分论证，确保能耗、物耗、水耗达到清洁生产先进水平。 3.新、改、扩建涉重金属重点行业建设项目必须遵循重点重金属污染物排放“减量置换”或“等量替换”原则。4.对于含有毒有害水污染物的工业废水和生活污水混合处理的污水处理厂产生的污泥，不能采用土地利用方式。 5.加强消耗臭氧层物质和氢氟碳化物环境管理，加强泡沫、制冷、氟化工等行业治理，逐步淘汰氢氯氟烃使用。6.新建煤制烯烃、新建煤制对二甲苯 (PX) 项目纳入《现代煤化工产业创新发展布局方案》后，由省级政府核准。新建年产超过 100 万吨的煤制甲醇项目，由省级政府核准。 7.各地不得新建、扩建二氟甲烷、1,1,1,2-四氟乙烷、五氟乙烷、1,1,1-三氟乙烷、1.1.1.3.3-五氟丙烷用作制冷剂、发泡剂等受控用途的 HFCs 化工生产设施 （不含副立设施），环境影响报告书（表）已通过审批的除外。四、水环境工业污染重点管控区同时执行以下要求：1.新建、改建和扩建项目应当优先采用资源利用率高以及污染物产生量少的清洁生产技术、工艺和设备。2.集中治理工业集聚区内工业废水，区内工业废水必须经预处理达到集中处理要求后，方可进入污水集中处理设施。新建、升级工业集聚区应同步规划和建设污水、垃圾集中处理等污染治理设施。</w:t>
            </w:r>
          </w:p>
        </w:tc>
        <w:tc>
          <w:tcPr>
            <w:tcW w:w="988" w:type="pct"/>
            <w:noWrap w:val="0"/>
            <w:vAlign w:val="center"/>
          </w:tcPr>
          <w:p w14:paraId="103954D7">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本项目建设</w:t>
            </w:r>
            <w:r>
              <w:rPr>
                <w:rFonts w:hint="eastAsia" w:ascii="Times New Roman" w:hAnsi="Times New Roman" w:cs="Times New Roman"/>
                <w:kern w:val="0"/>
                <w:sz w:val="21"/>
                <w:szCs w:val="21"/>
                <w:highlight w:val="none"/>
                <w:lang w:val="en-US" w:eastAsia="zh-CN"/>
              </w:rPr>
              <w:t>116</w:t>
            </w:r>
            <w:r>
              <w:rPr>
                <w:rFonts w:hint="default" w:ascii="Times New Roman" w:hAnsi="Times New Roman" w:eastAsia="宋体" w:cs="Times New Roman"/>
                <w:kern w:val="0"/>
                <w:sz w:val="21"/>
                <w:szCs w:val="21"/>
                <w:highlight w:val="none"/>
                <w:lang w:val="en-US" w:eastAsia="zh-CN"/>
              </w:rPr>
              <w:t>MW+58MW热水锅炉和1台35t/h蒸汽锅炉共三台</w:t>
            </w:r>
            <w:r>
              <w:rPr>
                <w:rFonts w:hint="eastAsia" w:ascii="Times New Roman" w:hAnsi="Times New Roman" w:eastAsia="宋体" w:cs="Times New Roman"/>
                <w:kern w:val="0"/>
                <w:sz w:val="21"/>
                <w:szCs w:val="21"/>
                <w:highlight w:val="none"/>
                <w:lang w:val="en-US" w:eastAsia="zh-CN"/>
              </w:rPr>
              <w:t>，</w:t>
            </w:r>
            <w:r>
              <w:rPr>
                <w:rFonts w:ascii="Times New Roman" w:hAnsi="Times New Roman" w:eastAsia="宋体" w:cs="Times New Roman"/>
                <w:kern w:val="0"/>
                <w:sz w:val="21"/>
                <w:szCs w:val="21"/>
                <w:highlight w:val="none"/>
              </w:rPr>
              <w:t>烟气</w:t>
            </w:r>
            <w:r>
              <w:rPr>
                <w:rFonts w:hint="eastAsia" w:ascii="Times New Roman" w:hAnsi="Times New Roman" w:eastAsia="宋体" w:cs="Times New Roman"/>
                <w:kern w:val="0"/>
                <w:sz w:val="21"/>
                <w:szCs w:val="21"/>
                <w:highlight w:val="none"/>
                <w:lang w:val="en-US" w:eastAsia="zh-CN"/>
              </w:rPr>
              <w:t>经</w:t>
            </w:r>
            <w:r>
              <w:rPr>
                <w:rFonts w:ascii="Times New Roman" w:hAnsi="Times New Roman" w:eastAsia="宋体" w:cs="Times New Roman"/>
                <w:kern w:val="0"/>
                <w:sz w:val="21"/>
                <w:szCs w:val="21"/>
                <w:highlight w:val="none"/>
              </w:rPr>
              <w:t>处理后颗粒</w:t>
            </w:r>
            <w:r>
              <w:rPr>
                <w:rFonts w:ascii="Times New Roman" w:hAnsi="Times New Roman"/>
                <w:kern w:val="0"/>
                <w:sz w:val="21"/>
                <w:szCs w:val="21"/>
                <w:highlight w:val="none"/>
              </w:rPr>
              <w:t>物、SO</w:t>
            </w:r>
            <w:r>
              <w:rPr>
                <w:rFonts w:ascii="Times New Roman" w:hAnsi="Times New Roman"/>
                <w:kern w:val="0"/>
                <w:sz w:val="21"/>
                <w:szCs w:val="21"/>
                <w:highlight w:val="none"/>
                <w:vertAlign w:val="subscript"/>
              </w:rPr>
              <w:t>2</w:t>
            </w:r>
            <w:r>
              <w:rPr>
                <w:rFonts w:ascii="Times New Roman" w:hAnsi="Times New Roman"/>
                <w:kern w:val="0"/>
                <w:sz w:val="21"/>
                <w:szCs w:val="21"/>
                <w:highlight w:val="none"/>
              </w:rPr>
              <w:t>和NOx等污染物均能达到超低排放要求。</w:t>
            </w:r>
            <w:r>
              <w:rPr>
                <w:rFonts w:hint="eastAsia" w:ascii="Times New Roman" w:hAnsi="Times New Roman" w:eastAsia="宋体" w:cs="Times New Roman"/>
                <w:kern w:val="0"/>
                <w:sz w:val="21"/>
                <w:szCs w:val="21"/>
                <w:highlight w:val="none"/>
                <w:lang w:val="en-US" w:eastAsia="zh-CN"/>
              </w:rPr>
              <w:t>项目类别“四十一、电力、热力生产和供应业，91热力生产和供应工程”</w:t>
            </w:r>
            <w:r>
              <w:rPr>
                <w:rFonts w:ascii="Times New Roman" w:hAnsi="Times New Roman"/>
                <w:kern w:val="0"/>
                <w:sz w:val="21"/>
                <w:szCs w:val="21"/>
                <w:highlight w:val="none"/>
              </w:rPr>
              <w:t>本项目</w:t>
            </w:r>
            <w:r>
              <w:rPr>
                <w:rFonts w:hint="eastAsia" w:ascii="Times New Roman" w:hAnsi="Times New Roman"/>
                <w:kern w:val="0"/>
                <w:sz w:val="21"/>
                <w:szCs w:val="21"/>
                <w:highlight w:val="none"/>
                <w:lang w:val="en-US" w:eastAsia="zh-CN"/>
              </w:rPr>
              <w:t>废气污染物</w:t>
            </w:r>
            <w:r>
              <w:rPr>
                <w:rFonts w:ascii="Times New Roman" w:hAnsi="Times New Roman"/>
                <w:kern w:val="0"/>
                <w:sz w:val="21"/>
                <w:szCs w:val="21"/>
                <w:highlight w:val="none"/>
              </w:rPr>
              <w:t>均能达标排放。</w:t>
            </w:r>
            <w:r>
              <w:rPr>
                <w:rFonts w:hint="eastAsia" w:ascii="Times New Roman" w:hAnsi="Times New Roman"/>
                <w:kern w:val="0"/>
                <w:sz w:val="21"/>
                <w:szCs w:val="21"/>
                <w:highlight w:val="none"/>
                <w:lang w:val="en-US" w:eastAsia="zh-CN"/>
              </w:rPr>
              <w:t>生产</w:t>
            </w:r>
            <w:r>
              <w:rPr>
                <w:rFonts w:ascii="Times New Roman" w:hAnsi="Times New Roman"/>
                <w:kern w:val="0"/>
                <w:sz w:val="21"/>
                <w:szCs w:val="21"/>
                <w:highlight w:val="none"/>
              </w:rPr>
              <w:t>废水回用不外排。</w:t>
            </w:r>
          </w:p>
        </w:tc>
        <w:tc>
          <w:tcPr>
            <w:tcW w:w="313" w:type="pct"/>
            <w:noWrap w:val="0"/>
            <w:tcMar>
              <w:left w:w="57" w:type="dxa"/>
              <w:right w:w="57" w:type="dxa"/>
            </w:tcMar>
            <w:vAlign w:val="center"/>
          </w:tcPr>
          <w:p w14:paraId="23818895">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06BB6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3B8A445E">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32CF8435">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5D80256B">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261379D4">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环境风险防控</w:t>
            </w:r>
          </w:p>
        </w:tc>
        <w:tc>
          <w:tcPr>
            <w:tcW w:w="2370" w:type="pct"/>
            <w:noWrap w:val="0"/>
            <w:vAlign w:val="center"/>
          </w:tcPr>
          <w:p w14:paraId="7CD86BC6">
            <w:pPr>
              <w:keepNext w:val="0"/>
              <w:keepLines w:val="0"/>
              <w:widowControl/>
              <w:numPr>
                <w:ilvl w:val="0"/>
                <w:numId w:val="2"/>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仓储物流类企业：根据商品特性分类管理，对易燃易爆等商品重点监管；严格操作规范制定事故应急计划；合理有序规划出入场车辆。</w:t>
            </w:r>
          </w:p>
          <w:p w14:paraId="58675E02">
            <w:pPr>
              <w:keepNext w:val="0"/>
              <w:keepLines w:val="0"/>
              <w:widowControl/>
              <w:numPr>
                <w:ilvl w:val="0"/>
                <w:numId w:val="2"/>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建立园区总体应急救援预案及专项预案，并与当地政府应急救援预案相协调。保障公共应急物资储备，重点做好事故水池、事故废水收集及阻断设施的建立。建立专业应急救援队伍，定期开展应急演练。</w:t>
            </w:r>
          </w:p>
          <w:p w14:paraId="75288E7D">
            <w:pPr>
              <w:keepNext w:val="0"/>
              <w:keepLines w:val="0"/>
              <w:widowControl/>
              <w:numPr>
                <w:ilvl w:val="0"/>
                <w:numId w:val="2"/>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园区的不同区块间、园区与外围居民区等敏感区间应设置大气防护距离，建议设置不少于 10 米的绿化防护带。</w:t>
            </w:r>
          </w:p>
          <w:p w14:paraId="1EB81F84">
            <w:pPr>
              <w:keepNext w:val="0"/>
              <w:keepLines w:val="0"/>
              <w:widowControl/>
              <w:numPr>
                <w:ilvl w:val="0"/>
                <w:numId w:val="2"/>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在居住和工业企业混住区域，应加强环境风险防控。</w:t>
            </w:r>
          </w:p>
          <w:p w14:paraId="23A3939F">
            <w:pPr>
              <w:keepNext w:val="0"/>
              <w:keepLines w:val="0"/>
              <w:widowControl/>
              <w:numPr>
                <w:ilvl w:val="0"/>
                <w:numId w:val="2"/>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加强环境应急预案管理和风险预警。园区及园区内企业应当结合经营性质、规模、组织体系，建立健全环境应急预案体系，并强化企业、园区以及上级政府环境应急预案之间的衔接。加强环境应急预案演练、评估与修订。园区管理机构应当组织建设有毒有害气体环境风险预警体系，建设园区环境风险防范设施。</w:t>
            </w:r>
          </w:p>
          <w:p w14:paraId="4DA78265">
            <w:pPr>
              <w:keepNext w:val="0"/>
              <w:keepLines w:val="0"/>
              <w:widowControl/>
              <w:numPr>
                <w:ilvl w:val="0"/>
                <w:numId w:val="0"/>
              </w:numPr>
              <w:suppressLineNumbers w:val="0"/>
              <w:ind w:left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6.水环境工业污染重点管控区同时执行：排放《有毒有害水污染物名录》所列有毒有害水污染物的企业事业单位和其他生产经营者，应当对排污口和周边环境进行监测，评估环境风险，排查环境安全隐患，并公开有毒有害水污染物信息，采取有效措施防范环境风险。</w:t>
            </w:r>
          </w:p>
        </w:tc>
        <w:tc>
          <w:tcPr>
            <w:tcW w:w="988" w:type="pct"/>
            <w:noWrap w:val="0"/>
            <w:vAlign w:val="center"/>
          </w:tcPr>
          <w:p w14:paraId="72E638AB">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针对各类风险事故，企业制定了相应的风险防范措施和应急预案，可有效避免事故风险。</w:t>
            </w:r>
          </w:p>
        </w:tc>
        <w:tc>
          <w:tcPr>
            <w:tcW w:w="313" w:type="pct"/>
            <w:noWrap w:val="0"/>
            <w:tcMar>
              <w:left w:w="57" w:type="dxa"/>
              <w:right w:w="57" w:type="dxa"/>
            </w:tcMar>
            <w:vAlign w:val="center"/>
          </w:tcPr>
          <w:p w14:paraId="36FF9C5E">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09D78F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320B7A81">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415316DC">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036991B2">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13FD7335">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资源利用效率要求</w:t>
            </w:r>
          </w:p>
        </w:tc>
        <w:tc>
          <w:tcPr>
            <w:tcW w:w="2370" w:type="pct"/>
            <w:noWrap w:val="0"/>
            <w:vAlign w:val="center"/>
          </w:tcPr>
          <w:p w14:paraId="781C7CE3">
            <w:pPr>
              <w:keepNext w:val="0"/>
              <w:keepLines w:val="0"/>
              <w:widowControl/>
              <w:numPr>
                <w:ilvl w:val="0"/>
                <w:numId w:val="3"/>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实施清洁化改造，加强节水管理，提高中水回用率,延长产业链，优化布局,打造智能制造产业、生活配套服务设施完备园区。</w:t>
            </w:r>
          </w:p>
          <w:p w14:paraId="35046AB4">
            <w:pPr>
              <w:keepNext w:val="0"/>
              <w:keepLines w:val="0"/>
              <w:widowControl/>
              <w:numPr>
                <w:ilvl w:val="0"/>
                <w:numId w:val="3"/>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逐步取缔燃煤锅炉，持续加强燃气、生物质和油、电锅炉的废气治理监管，推广清洁替代能源。</w:t>
            </w:r>
          </w:p>
          <w:p w14:paraId="141DA8D9">
            <w:pPr>
              <w:keepNext w:val="0"/>
              <w:keepLines w:val="0"/>
              <w:widowControl/>
              <w:numPr>
                <w:ilvl w:val="0"/>
                <w:numId w:val="3"/>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落实最严格的水资源管理制度，实行水资源消耗总量和强度双控。</w:t>
            </w:r>
          </w:p>
          <w:p w14:paraId="4C357CF0">
            <w:pPr>
              <w:keepNext w:val="0"/>
              <w:keepLines w:val="0"/>
              <w:widowControl/>
              <w:numPr>
                <w:ilvl w:val="0"/>
                <w:numId w:val="0"/>
              </w:numPr>
              <w:suppressLineNumbers w:val="0"/>
              <w:ind w:left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4.全面推行清洁生产，依法在“双超双有高耗能”行业实施强制性清洁生产审核。</w:t>
            </w:r>
          </w:p>
        </w:tc>
        <w:tc>
          <w:tcPr>
            <w:tcW w:w="988" w:type="pct"/>
            <w:noWrap w:val="0"/>
            <w:vAlign w:val="center"/>
          </w:tcPr>
          <w:p w14:paraId="2171BA9E">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本项目建成后</w:t>
            </w:r>
            <w:r>
              <w:rPr>
                <w:rFonts w:hint="eastAsia" w:ascii="Times New Roman" w:hAnsi="Times New Roman"/>
                <w:kern w:val="0"/>
                <w:sz w:val="21"/>
                <w:szCs w:val="21"/>
                <w:highlight w:val="none"/>
                <w:lang w:val="en-US" w:eastAsia="zh-CN"/>
              </w:rPr>
              <w:t>生产</w:t>
            </w:r>
            <w:r>
              <w:rPr>
                <w:rFonts w:ascii="Times New Roman" w:hAnsi="Times New Roman"/>
                <w:kern w:val="0"/>
                <w:sz w:val="21"/>
                <w:szCs w:val="21"/>
                <w:highlight w:val="none"/>
              </w:rPr>
              <w:t>废水经处理达标后全部回用，</w:t>
            </w:r>
            <w:r>
              <w:rPr>
                <w:rFonts w:ascii="Times New Roman" w:hAnsi="Times New Roman"/>
                <w:bCs/>
                <w:kern w:val="0"/>
                <w:sz w:val="21"/>
                <w:szCs w:val="20"/>
                <w:highlight w:val="none"/>
              </w:rPr>
              <w:t>可大大</w:t>
            </w:r>
            <w:r>
              <w:rPr>
                <w:rFonts w:ascii="Times New Roman" w:hAnsi="Times New Roman"/>
                <w:kern w:val="0"/>
                <w:sz w:val="21"/>
                <w:szCs w:val="20"/>
                <w:highlight w:val="none"/>
              </w:rPr>
              <w:t>减少新水用量，提高水利用率。</w:t>
            </w:r>
          </w:p>
        </w:tc>
        <w:tc>
          <w:tcPr>
            <w:tcW w:w="313" w:type="pct"/>
            <w:noWrap w:val="0"/>
            <w:tcMar>
              <w:left w:w="57" w:type="dxa"/>
              <w:right w:w="57" w:type="dxa"/>
            </w:tcMar>
            <w:vAlign w:val="center"/>
          </w:tcPr>
          <w:p w14:paraId="628F1E96">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7F57B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restart"/>
            <w:noWrap w:val="0"/>
            <w:tcMar>
              <w:left w:w="57" w:type="dxa"/>
              <w:right w:w="57" w:type="dxa"/>
            </w:tcMar>
            <w:vAlign w:val="center"/>
          </w:tcPr>
          <w:p w14:paraId="3DD281F2">
            <w:pPr>
              <w:keepNext w:val="0"/>
              <w:keepLines w:val="0"/>
              <w:widowControl/>
              <w:suppressLineNumbers w:val="0"/>
              <w:jc w:val="center"/>
              <w:rPr>
                <w:rFonts w:ascii="Times New Roman" w:hAnsi="Times New Roman"/>
                <w:kern w:val="0"/>
                <w:sz w:val="21"/>
                <w:szCs w:val="21"/>
                <w:highlight w:val="none"/>
              </w:rPr>
            </w:pPr>
            <w:r>
              <w:rPr>
                <w:rFonts w:hint="eastAsia" w:ascii="宋体" w:hAnsi="宋体" w:eastAsia="宋体" w:cs="宋体"/>
                <w:color w:val="000000"/>
                <w:kern w:val="0"/>
                <w:sz w:val="21"/>
                <w:szCs w:val="21"/>
                <w:highlight w:val="none"/>
                <w:lang w:val="en-US" w:eastAsia="zh-CN" w:bidi="ar"/>
              </w:rPr>
              <w:t>ZH23108120003</w:t>
            </w:r>
          </w:p>
        </w:tc>
        <w:tc>
          <w:tcPr>
            <w:tcW w:w="151" w:type="pct"/>
            <w:vMerge w:val="restart"/>
            <w:noWrap w:val="0"/>
            <w:vAlign w:val="center"/>
          </w:tcPr>
          <w:p w14:paraId="3411C3FF">
            <w:pPr>
              <w:keepNext w:val="0"/>
              <w:keepLines w:val="0"/>
              <w:widowControl/>
              <w:suppressLineNumbers w:val="0"/>
              <w:ind w:left="0" w:leftChars="0" w:firstLine="0" w:firstLineChars="0"/>
              <w:jc w:val="center"/>
              <w:rPr>
                <w:highlight w:val="none"/>
              </w:rPr>
            </w:pPr>
            <w:r>
              <w:rPr>
                <w:rFonts w:hint="eastAsia" w:ascii="宋体" w:hAnsi="宋体" w:eastAsia="宋体" w:cs="宋体"/>
                <w:color w:val="000000"/>
                <w:kern w:val="0"/>
                <w:sz w:val="21"/>
                <w:szCs w:val="21"/>
                <w:highlight w:val="none"/>
                <w:lang w:val="en-US" w:eastAsia="zh-CN" w:bidi="ar"/>
              </w:rPr>
              <w:t>绥芬河市城镇空间</w:t>
            </w:r>
          </w:p>
          <w:p w14:paraId="24D9DFA8">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restart"/>
            <w:noWrap w:val="0"/>
            <w:vAlign w:val="center"/>
          </w:tcPr>
          <w:p w14:paraId="0F02113A">
            <w:pPr>
              <w:keepNext w:val="0"/>
              <w:keepLines w:val="0"/>
              <w:widowControl/>
              <w:suppressLineNumbers w:val="0"/>
              <w:ind w:left="0" w:leftChars="0" w:firstLine="0" w:firstLine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重点管控单元</w:t>
            </w:r>
          </w:p>
        </w:tc>
        <w:tc>
          <w:tcPr>
            <w:tcW w:w="191" w:type="pct"/>
            <w:noWrap w:val="0"/>
            <w:vAlign w:val="center"/>
          </w:tcPr>
          <w:p w14:paraId="31DA308B">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空间布局约束</w:t>
            </w:r>
          </w:p>
        </w:tc>
        <w:tc>
          <w:tcPr>
            <w:tcW w:w="2370" w:type="pct"/>
            <w:noWrap w:val="0"/>
            <w:vAlign w:val="center"/>
          </w:tcPr>
          <w:p w14:paraId="22A0EE2E">
            <w:pPr>
              <w:keepNext w:val="0"/>
              <w:keepLines w:val="0"/>
              <w:widowControl/>
              <w:numPr>
                <w:ilvl w:val="0"/>
                <w:numId w:val="4"/>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严禁在人口密集区新建危险化学品生产项目，城镇人口密集区危险化学品生产企业应搬迁改造。</w:t>
            </w:r>
          </w:p>
          <w:p w14:paraId="11D3A8AB">
            <w:pPr>
              <w:keepNext w:val="0"/>
              <w:keepLines w:val="0"/>
              <w:widowControl/>
              <w:numPr>
                <w:ilvl w:val="0"/>
                <w:numId w:val="0"/>
              </w:numPr>
              <w:suppressLineNumbers w:val="0"/>
              <w:ind w:left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2.禁止在城镇居民区、文化教育科学研究区等人口集中区域建设畜禽养殖场、养殖小区。</w:t>
            </w:r>
          </w:p>
        </w:tc>
        <w:tc>
          <w:tcPr>
            <w:tcW w:w="988" w:type="pct"/>
            <w:noWrap w:val="0"/>
            <w:vAlign w:val="center"/>
          </w:tcPr>
          <w:p w14:paraId="3C9FE72B">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本项目为热力生产与供应业，不属于畜禽养殖场、养殖小区。</w:t>
            </w:r>
          </w:p>
        </w:tc>
        <w:tc>
          <w:tcPr>
            <w:tcW w:w="313" w:type="pct"/>
            <w:noWrap w:val="0"/>
            <w:tcMar>
              <w:left w:w="57" w:type="dxa"/>
              <w:right w:w="57" w:type="dxa"/>
            </w:tcMar>
            <w:vAlign w:val="center"/>
          </w:tcPr>
          <w:p w14:paraId="4790FD65">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7D8A11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199104FD">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641BE5CE">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51F7133F">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26B7AE75">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污染物排放管控</w:t>
            </w:r>
          </w:p>
        </w:tc>
        <w:tc>
          <w:tcPr>
            <w:tcW w:w="2370" w:type="pct"/>
            <w:noWrap w:val="0"/>
            <w:vAlign w:val="center"/>
          </w:tcPr>
          <w:p w14:paraId="12A8D942">
            <w:pPr>
              <w:keepNext w:val="0"/>
              <w:keepLines w:val="0"/>
              <w:widowControl/>
              <w:suppressLineNumbers w:val="0"/>
              <w:ind w:left="0" w:leftChars="0" w:firstLine="0" w:firstLine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加快 65t／h 以上燃煤锅炉（含电力）超低排放改造。</w:t>
            </w:r>
          </w:p>
        </w:tc>
        <w:tc>
          <w:tcPr>
            <w:tcW w:w="988" w:type="pct"/>
            <w:noWrap w:val="0"/>
            <w:vAlign w:val="center"/>
          </w:tcPr>
          <w:p w14:paraId="7570D36F">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本项目采取相应措施后，</w:t>
            </w:r>
            <w:r>
              <w:rPr>
                <w:rFonts w:ascii="Times New Roman" w:hAnsi="Times New Roman" w:eastAsia="宋体" w:cs="Times New Roman"/>
                <w:kern w:val="0"/>
                <w:sz w:val="21"/>
                <w:szCs w:val="21"/>
                <w:highlight w:val="none"/>
              </w:rPr>
              <w:t>烟气</w:t>
            </w:r>
            <w:r>
              <w:rPr>
                <w:rFonts w:hint="eastAsia" w:ascii="Times New Roman" w:hAnsi="Times New Roman" w:eastAsia="宋体" w:cs="Times New Roman"/>
                <w:kern w:val="0"/>
                <w:sz w:val="21"/>
                <w:szCs w:val="21"/>
                <w:highlight w:val="none"/>
                <w:lang w:val="en-US" w:eastAsia="zh-CN"/>
              </w:rPr>
              <w:t>经</w:t>
            </w:r>
            <w:r>
              <w:rPr>
                <w:rFonts w:ascii="Times New Roman" w:hAnsi="Times New Roman" w:eastAsia="宋体" w:cs="Times New Roman"/>
                <w:kern w:val="0"/>
                <w:sz w:val="21"/>
                <w:szCs w:val="21"/>
                <w:highlight w:val="none"/>
              </w:rPr>
              <w:t>处理后颗粒</w:t>
            </w:r>
            <w:r>
              <w:rPr>
                <w:rFonts w:ascii="Times New Roman" w:hAnsi="Times New Roman"/>
                <w:kern w:val="0"/>
                <w:sz w:val="21"/>
                <w:szCs w:val="21"/>
                <w:highlight w:val="none"/>
              </w:rPr>
              <w:t>物、SO</w:t>
            </w:r>
            <w:r>
              <w:rPr>
                <w:rFonts w:ascii="Times New Roman" w:hAnsi="Times New Roman"/>
                <w:kern w:val="0"/>
                <w:sz w:val="21"/>
                <w:szCs w:val="21"/>
                <w:highlight w:val="none"/>
                <w:vertAlign w:val="subscript"/>
              </w:rPr>
              <w:t>2</w:t>
            </w:r>
            <w:r>
              <w:rPr>
                <w:rFonts w:ascii="Times New Roman" w:hAnsi="Times New Roman"/>
                <w:kern w:val="0"/>
                <w:sz w:val="21"/>
                <w:szCs w:val="21"/>
                <w:highlight w:val="none"/>
              </w:rPr>
              <w:t>和NOx等污染物均能达到超低排放要求，</w:t>
            </w:r>
            <w:r>
              <w:rPr>
                <w:rFonts w:hint="eastAsia" w:ascii="Times New Roman" w:hAnsi="Times New Roman"/>
                <w:kern w:val="0"/>
                <w:sz w:val="21"/>
                <w:szCs w:val="21"/>
                <w:highlight w:val="none"/>
                <w:lang w:val="en-US" w:eastAsia="zh-CN"/>
              </w:rPr>
              <w:t>建设单位目前排污许可中与实际建设不符，</w:t>
            </w:r>
            <w:r>
              <w:rPr>
                <w:rFonts w:ascii="Times New Roman" w:hAnsi="Times New Roman"/>
                <w:kern w:val="0"/>
                <w:sz w:val="21"/>
                <w:szCs w:val="21"/>
                <w:highlight w:val="none"/>
              </w:rPr>
              <w:t>建设单位</w:t>
            </w:r>
            <w:r>
              <w:rPr>
                <w:rFonts w:hint="eastAsia" w:ascii="Times New Roman" w:hAnsi="Times New Roman"/>
                <w:kern w:val="0"/>
                <w:sz w:val="21"/>
                <w:szCs w:val="21"/>
                <w:highlight w:val="none"/>
                <w:lang w:val="en-US" w:eastAsia="zh-CN"/>
              </w:rPr>
              <w:t>后续</w:t>
            </w:r>
            <w:r>
              <w:rPr>
                <w:rFonts w:ascii="Times New Roman" w:hAnsi="Times New Roman"/>
                <w:kern w:val="0"/>
                <w:sz w:val="21"/>
                <w:szCs w:val="21"/>
                <w:highlight w:val="none"/>
              </w:rPr>
              <w:t>将按要求落实排污许可证制度。本项目无废水排放。</w:t>
            </w:r>
          </w:p>
        </w:tc>
        <w:tc>
          <w:tcPr>
            <w:tcW w:w="313" w:type="pct"/>
            <w:noWrap w:val="0"/>
            <w:tcMar>
              <w:left w:w="57" w:type="dxa"/>
              <w:right w:w="57" w:type="dxa"/>
            </w:tcMar>
            <w:vAlign w:val="center"/>
          </w:tcPr>
          <w:p w14:paraId="6935A6F5">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r w14:paraId="40073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3F13597C">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5B2EF380">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467F999F">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730696D1">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环境风险防控</w:t>
            </w:r>
          </w:p>
        </w:tc>
        <w:tc>
          <w:tcPr>
            <w:tcW w:w="2370" w:type="pct"/>
            <w:noWrap w:val="0"/>
            <w:vAlign w:val="center"/>
          </w:tcPr>
          <w:p w14:paraId="2AA6D537">
            <w:pPr>
              <w:keepNext w:val="0"/>
              <w:keepLines w:val="0"/>
              <w:widowControl/>
              <w:suppressLineNumbers w:val="0"/>
              <w:ind w:left="0" w:leftChars="0" w:firstLine="0" w:firstLine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化工园区与城市建成区、人员密集场所、重要设施、敏感目标等应当保持规定的安全距离，相对封闭，不应保留常住居民，非关联企业和产业要逐步搬迁或退出，妥善防范化解“邻避”问题。严禁在松花江干流及一级支流沿岸 1 公里范围内布局化工园区。</w:t>
            </w:r>
          </w:p>
        </w:tc>
        <w:tc>
          <w:tcPr>
            <w:tcW w:w="988" w:type="pct"/>
            <w:noWrap w:val="0"/>
            <w:vAlign w:val="center"/>
          </w:tcPr>
          <w:p w14:paraId="26F05BC1">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本项目不在场内贮存有毒有害和易燃易爆物质。严格管控点火柴油的运输过程。企业制定了环境风险应急预案，成立应急组织机构，建设应急资源库，并与当地环境风险应急预案联动</w:t>
            </w:r>
          </w:p>
        </w:tc>
        <w:tc>
          <w:tcPr>
            <w:tcW w:w="313" w:type="pct"/>
            <w:noWrap w:val="0"/>
            <w:tcMar>
              <w:left w:w="57" w:type="dxa"/>
              <w:right w:w="57" w:type="dxa"/>
            </w:tcMar>
            <w:vAlign w:val="center"/>
          </w:tcPr>
          <w:p w14:paraId="19CE9940">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w:t>
            </w:r>
          </w:p>
          <w:p w14:paraId="41AB3089">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合</w:t>
            </w:r>
          </w:p>
        </w:tc>
      </w:tr>
      <w:tr w14:paraId="5A9FFF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vMerge w:val="continue"/>
            <w:noWrap w:val="0"/>
            <w:tcMar>
              <w:left w:w="57" w:type="dxa"/>
              <w:right w:w="57" w:type="dxa"/>
            </w:tcMar>
            <w:vAlign w:val="center"/>
          </w:tcPr>
          <w:p w14:paraId="2DF6E261">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473585E0">
            <w:pPr>
              <w:autoSpaceDE w:val="0"/>
              <w:autoSpaceDN w:val="0"/>
              <w:adjustRightInd w:val="0"/>
              <w:spacing w:line="240" w:lineRule="auto"/>
              <w:ind w:firstLine="0" w:firstLineChars="0"/>
              <w:jc w:val="center"/>
              <w:rPr>
                <w:rFonts w:ascii="Times New Roman" w:hAnsi="Times New Roman"/>
                <w:kern w:val="0"/>
                <w:sz w:val="21"/>
                <w:szCs w:val="21"/>
                <w:highlight w:val="none"/>
              </w:rPr>
            </w:pPr>
          </w:p>
        </w:tc>
        <w:tc>
          <w:tcPr>
            <w:tcW w:w="151" w:type="pct"/>
            <w:vMerge w:val="continue"/>
            <w:noWrap w:val="0"/>
            <w:vAlign w:val="center"/>
          </w:tcPr>
          <w:p w14:paraId="21744900">
            <w:pPr>
              <w:spacing w:line="240" w:lineRule="auto"/>
              <w:ind w:firstLine="0" w:firstLineChars="0"/>
              <w:jc w:val="center"/>
              <w:rPr>
                <w:rFonts w:ascii="Times New Roman" w:hAnsi="Times New Roman"/>
                <w:sz w:val="21"/>
                <w:szCs w:val="21"/>
                <w:highlight w:val="none"/>
              </w:rPr>
            </w:pPr>
          </w:p>
        </w:tc>
        <w:tc>
          <w:tcPr>
            <w:tcW w:w="191" w:type="pct"/>
            <w:noWrap w:val="0"/>
            <w:vAlign w:val="center"/>
          </w:tcPr>
          <w:p w14:paraId="276E3404">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资源利用效率要求</w:t>
            </w:r>
          </w:p>
        </w:tc>
        <w:tc>
          <w:tcPr>
            <w:tcW w:w="2370" w:type="pct"/>
            <w:noWrap w:val="0"/>
            <w:vAlign w:val="center"/>
          </w:tcPr>
          <w:p w14:paraId="5622DA9C">
            <w:pPr>
              <w:keepNext w:val="0"/>
              <w:keepLines w:val="0"/>
              <w:widowControl/>
              <w:numPr>
                <w:ilvl w:val="0"/>
                <w:numId w:val="5"/>
              </w:numPr>
              <w:suppressLineNumbers w:val="0"/>
              <w:ind w:left="0" w:leftChars="0" w:firstLine="0" w:firstLineChars="0"/>
              <w:jc w:val="center"/>
              <w:rPr>
                <w:rFonts w:hint="eastAsia" w:ascii="宋体" w:hAnsi="宋体" w:eastAsia="宋体" w:cs="宋体"/>
                <w:color w:val="000000"/>
                <w:kern w:val="0"/>
                <w:sz w:val="21"/>
                <w:szCs w:val="21"/>
                <w:highlight w:val="none"/>
                <w:lang w:val="en-US" w:eastAsia="zh-CN" w:bidi="ar"/>
              </w:rPr>
            </w:pPr>
            <w:r>
              <w:rPr>
                <w:rFonts w:hint="eastAsia" w:ascii="宋体" w:hAnsi="宋体" w:eastAsia="宋体" w:cs="宋体"/>
                <w:color w:val="000000"/>
                <w:kern w:val="0"/>
                <w:sz w:val="21"/>
                <w:szCs w:val="21"/>
                <w:highlight w:val="none"/>
                <w:lang w:val="en-US" w:eastAsia="zh-CN" w:bidi="ar"/>
              </w:rPr>
              <w:t>推进污水再生利用设施建设。</w:t>
            </w:r>
          </w:p>
          <w:p w14:paraId="6C8D4AA5">
            <w:pPr>
              <w:keepNext w:val="0"/>
              <w:keepLines w:val="0"/>
              <w:widowControl/>
              <w:numPr>
                <w:ilvl w:val="0"/>
                <w:numId w:val="0"/>
              </w:numPr>
              <w:suppressLineNumbers w:val="0"/>
              <w:ind w:leftChars="0"/>
              <w:jc w:val="center"/>
              <w:rPr>
                <w:rFonts w:ascii="Times New Roman" w:hAnsi="Times New Roman"/>
                <w:sz w:val="21"/>
                <w:szCs w:val="21"/>
                <w:highlight w:val="none"/>
              </w:rPr>
            </w:pPr>
            <w:r>
              <w:rPr>
                <w:rFonts w:hint="eastAsia" w:ascii="宋体" w:hAnsi="宋体" w:eastAsia="宋体" w:cs="宋体"/>
                <w:color w:val="000000"/>
                <w:kern w:val="0"/>
                <w:sz w:val="21"/>
                <w:szCs w:val="21"/>
                <w:highlight w:val="none"/>
                <w:lang w:val="en-US" w:eastAsia="zh-CN" w:bidi="ar"/>
              </w:rPr>
              <w:t>2.公共建筑必须采用节水器具，限期淘汰公共建筑中不符合节水标准的水嘴、便器水箱等生活用水器具。</w:t>
            </w:r>
          </w:p>
        </w:tc>
        <w:tc>
          <w:tcPr>
            <w:tcW w:w="988" w:type="pct"/>
            <w:noWrap w:val="0"/>
            <w:vAlign w:val="center"/>
          </w:tcPr>
          <w:p w14:paraId="0D25F58C">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本项目</w:t>
            </w:r>
            <w:r>
              <w:rPr>
                <w:rFonts w:hint="eastAsia" w:ascii="Times New Roman" w:hAnsi="Times New Roman"/>
                <w:kern w:val="0"/>
                <w:sz w:val="21"/>
                <w:szCs w:val="21"/>
                <w:highlight w:val="none"/>
                <w:lang w:val="en-US" w:eastAsia="zh-CN"/>
              </w:rPr>
              <w:t>生产</w:t>
            </w:r>
            <w:r>
              <w:rPr>
                <w:rFonts w:ascii="Times New Roman" w:hAnsi="Times New Roman"/>
                <w:kern w:val="0"/>
                <w:sz w:val="21"/>
                <w:szCs w:val="21"/>
                <w:highlight w:val="none"/>
              </w:rPr>
              <w:t>废水经处理达标后回用，</w:t>
            </w:r>
            <w:r>
              <w:rPr>
                <w:rFonts w:ascii="Times New Roman" w:hAnsi="Times New Roman"/>
                <w:bCs/>
                <w:kern w:val="0"/>
                <w:sz w:val="21"/>
                <w:szCs w:val="20"/>
                <w:highlight w:val="none"/>
              </w:rPr>
              <w:t>可大大</w:t>
            </w:r>
            <w:r>
              <w:rPr>
                <w:rFonts w:ascii="Times New Roman" w:hAnsi="Times New Roman"/>
                <w:kern w:val="0"/>
                <w:sz w:val="21"/>
                <w:szCs w:val="20"/>
                <w:highlight w:val="none"/>
              </w:rPr>
              <w:t>减少新水用量，提高水利用率。</w:t>
            </w:r>
          </w:p>
        </w:tc>
        <w:tc>
          <w:tcPr>
            <w:tcW w:w="313" w:type="pct"/>
            <w:noWrap w:val="0"/>
            <w:tcMar>
              <w:left w:w="57" w:type="dxa"/>
              <w:right w:w="57" w:type="dxa"/>
            </w:tcMar>
            <w:vAlign w:val="center"/>
          </w:tcPr>
          <w:p w14:paraId="21ABE94B">
            <w:pPr>
              <w:autoSpaceDE w:val="0"/>
              <w:autoSpaceDN w:val="0"/>
              <w:adjustRightInd w:val="0"/>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符合</w:t>
            </w:r>
          </w:p>
        </w:tc>
      </w:tr>
    </w:tbl>
    <w:p w14:paraId="43AC2F8D">
      <w:pPr>
        <w:rPr>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3BF4D29">
      <w:pPr>
        <w:pStyle w:val="5"/>
        <w:spacing w:beforeLines="-2147483648" w:beforeAutospacing="0" w:afterLines="-2147483648" w:afterAutospacing="0" w:line="415" w:lineRule="auto"/>
        <w:ind w:firstLine="0" w:firstLineChars="0"/>
        <w:rPr>
          <w:rFonts w:hint="eastAsia" w:ascii="Times New Roman" w:hAnsi="Times New Roman" w:eastAsia="宋体" w:cs="Times New Roman"/>
          <w:bCs/>
          <w:sz w:val="30"/>
          <w:szCs w:val="32"/>
          <w:highlight w:val="none"/>
          <w:lang w:val="en-US" w:eastAsia="zh-CN"/>
        </w:rPr>
      </w:pPr>
      <w:bookmarkStart w:id="18" w:name="_Toc26580"/>
      <w:r>
        <w:rPr>
          <w:rFonts w:hint="eastAsia" w:ascii="Times New Roman" w:hAnsi="Times New Roman" w:eastAsia="宋体" w:cs="Times New Roman"/>
          <w:bCs/>
          <w:sz w:val="30"/>
          <w:szCs w:val="32"/>
          <w:highlight w:val="none"/>
          <w:lang w:val="en-US" w:eastAsia="zh-CN"/>
        </w:rPr>
        <w:t>1.4.3选址合理性及厂区布局合理性分析</w:t>
      </w:r>
      <w:bookmarkEnd w:id="18"/>
    </w:p>
    <w:p w14:paraId="284EF6E0">
      <w:pPr>
        <w:ind w:firstLine="480"/>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绥芬河市新区供热有限公司位于黑龙江省牡丹江市绥芬河市长山路幸福街1号，</w:t>
      </w:r>
      <w:r>
        <w:rPr>
          <w:rFonts w:hint="default" w:ascii="Times New Roman" w:hAnsi="Times New Roman" w:eastAsia="宋体" w:cs="Times New Roman"/>
          <w:highlight w:val="none"/>
        </w:rPr>
        <w:t>本项目总占地面积为</w:t>
      </w:r>
      <w:r>
        <w:rPr>
          <w:rFonts w:hint="default" w:ascii="Times New Roman" w:hAnsi="Times New Roman" w:eastAsia="宋体" w:cs="Times New Roman"/>
          <w:highlight w:val="none"/>
          <w:lang w:val="en-US" w:eastAsia="zh-CN"/>
        </w:rPr>
        <w:t>1.3万平方米</w:t>
      </w:r>
      <w:r>
        <w:rPr>
          <w:rFonts w:hint="eastAsia" w:ascii="Times New Roman" w:hAnsi="Times New Roman" w:eastAsia="宋体" w:cs="Times New Roman"/>
          <w:highlight w:val="none"/>
          <w:lang w:val="en-US" w:eastAsia="zh-CN"/>
        </w:rPr>
        <w:t>，用地性质为公用设施用地。</w:t>
      </w:r>
    </w:p>
    <w:p w14:paraId="4B6F2AA2">
      <w:pPr>
        <w:ind w:firstLine="480"/>
        <w:rPr>
          <w:rFonts w:ascii="Times New Roman" w:hAnsi="Times New Roman" w:eastAsia="宋体" w:cs="Times New Roman"/>
          <w:highlight w:val="none"/>
        </w:rPr>
      </w:pPr>
      <w:r>
        <w:rPr>
          <w:rFonts w:ascii="Times New Roman" w:hAnsi="Times New Roman" w:eastAsia="宋体" w:cs="Times New Roman"/>
          <w:highlight w:val="none"/>
        </w:rPr>
        <w:t>经调查，厂址区域内未发现有地下矿藏，也未发现有文物古迹，厂址附近没有影响建厂的军事设施以及通讯设备等，厂址不涉及自然保护区、水源地等环境敏感区。</w:t>
      </w:r>
    </w:p>
    <w:p w14:paraId="29C6D3D8">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本项目仅在供暖期运行，根据</w:t>
      </w:r>
      <w:r>
        <w:rPr>
          <w:rFonts w:hint="eastAsia" w:ascii="Times New Roman" w:hAnsi="Times New Roman" w:eastAsia="宋体" w:cs="Times New Roman"/>
          <w:highlight w:val="none"/>
          <w:lang w:val="en-US" w:eastAsia="zh-CN"/>
        </w:rPr>
        <w:t>绥芬河</w:t>
      </w:r>
      <w:r>
        <w:rPr>
          <w:rFonts w:ascii="Times New Roman" w:hAnsi="Times New Roman" w:eastAsia="宋体" w:cs="Times New Roman"/>
          <w:highlight w:val="none"/>
        </w:rPr>
        <w:t>市的风向频率变化情况可以看出，本项目选址位于</w:t>
      </w:r>
      <w:r>
        <w:rPr>
          <w:rFonts w:hint="eastAsia" w:ascii="Times New Roman" w:hAnsi="Times New Roman" w:eastAsia="宋体" w:cs="Times New Roman"/>
          <w:highlight w:val="none"/>
          <w:lang w:val="en-US" w:eastAsia="zh-CN"/>
        </w:rPr>
        <w:t>绥芬河市</w:t>
      </w:r>
      <w:r>
        <w:rPr>
          <w:rFonts w:hint="eastAsia" w:ascii="Times New Roman" w:hAnsi="Times New Roman" w:eastAsia="宋体" w:cs="Times New Roman"/>
          <w:highlight w:val="none"/>
        </w:rPr>
        <w:t>供暖期</w:t>
      </w:r>
      <w:r>
        <w:rPr>
          <w:rFonts w:ascii="Times New Roman" w:hAnsi="Times New Roman" w:eastAsia="宋体" w:cs="Times New Roman"/>
          <w:highlight w:val="none"/>
        </w:rPr>
        <w:t>主导风向的下风向。</w:t>
      </w:r>
    </w:p>
    <w:p w14:paraId="26D6C8A8">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根据《</w:t>
      </w:r>
      <w:r>
        <w:rPr>
          <w:rFonts w:hint="eastAsia" w:ascii="Times New Roman" w:hAnsi="Times New Roman" w:eastAsia="宋体" w:cs="Times New Roman"/>
          <w:highlight w:val="none"/>
          <w:lang w:val="en-US" w:eastAsia="zh-CN"/>
        </w:rPr>
        <w:t>黑龙江省生态环境质量状况</w:t>
      </w:r>
      <w:r>
        <w:rPr>
          <w:rFonts w:hint="eastAsia" w:ascii="Times New Roman" w:hAnsi="Times New Roman" w:eastAsia="宋体" w:cs="Times New Roman"/>
          <w:highlight w:val="none"/>
        </w:rPr>
        <w:t>》（</w:t>
      </w:r>
      <w:r>
        <w:rPr>
          <w:rFonts w:hint="eastAsia" w:ascii="Times New Roman" w:hAnsi="Times New Roman" w:eastAsia="宋体" w:cs="Times New Roman"/>
          <w:highlight w:val="none"/>
          <w:lang w:val="en-US" w:eastAsia="zh-CN"/>
        </w:rPr>
        <w:t>2024</w:t>
      </w:r>
      <w:r>
        <w:rPr>
          <w:rFonts w:hint="eastAsia" w:ascii="Times New Roman" w:hAnsi="Times New Roman" w:eastAsia="宋体" w:cs="Times New Roman"/>
          <w:highlight w:val="none"/>
        </w:rPr>
        <w:t>）可知</w:t>
      </w:r>
      <w:r>
        <w:rPr>
          <w:rFonts w:hint="eastAsia" w:ascii="Times New Roman" w:hAnsi="Times New Roman" w:cs="Times New Roman"/>
          <w:highlight w:val="none"/>
          <w:lang w:eastAsia="zh-CN"/>
        </w:rPr>
        <w:t>，</w:t>
      </w:r>
      <w:r>
        <w:rPr>
          <w:rFonts w:ascii="Times New Roman" w:hAnsi="Times New Roman" w:eastAsia="宋体" w:cs="Times New Roman"/>
          <w:highlight w:val="none"/>
        </w:rPr>
        <w:t>本项目所在区域属于城市环境空气质量达标区</w:t>
      </w:r>
      <w:r>
        <w:rPr>
          <w:rFonts w:hint="eastAsia" w:ascii="Times New Roman" w:hAnsi="Times New Roman" w:cs="Times New Roman"/>
          <w:highlight w:val="none"/>
          <w:lang w:eastAsia="zh-CN"/>
        </w:rPr>
        <w:t>。</w:t>
      </w:r>
      <w:r>
        <w:rPr>
          <w:rFonts w:ascii="Times New Roman" w:hAnsi="Times New Roman" w:eastAsia="宋体" w:cs="Times New Roman"/>
          <w:highlight w:val="none"/>
        </w:rPr>
        <w:t>本项目</w:t>
      </w:r>
      <w:r>
        <w:rPr>
          <w:rFonts w:hint="eastAsia" w:ascii="Times New Roman" w:hAnsi="Times New Roman" w:cs="Times New Roman"/>
          <w:highlight w:val="none"/>
          <w:lang w:val="en-US" w:eastAsia="zh-CN"/>
        </w:rPr>
        <w:t>运营期间</w:t>
      </w:r>
      <w:r>
        <w:rPr>
          <w:rFonts w:hint="default" w:ascii="Times New Roman" w:hAnsi="Times New Roman" w:eastAsia="宋体" w:cs="Times New Roman"/>
          <w:highlight w:val="none"/>
          <w:lang w:val="en-US" w:eastAsia="zh-CN"/>
        </w:rPr>
        <w:t>三台锅炉在供暖期间交替使用</w:t>
      </w:r>
      <w:r>
        <w:rPr>
          <w:rFonts w:hint="default" w:ascii="Times New Roman" w:hAnsi="Times New Roman" w:eastAsia="宋体" w:cs="Times New Roman"/>
          <w:highlight w:val="none"/>
        </w:rPr>
        <w:t>，</w:t>
      </w:r>
      <w:r>
        <w:rPr>
          <w:rFonts w:hint="default" w:ascii="Times New Roman" w:hAnsi="Times New Roman" w:eastAsia="宋体" w:cs="Times New Roman"/>
          <w:highlight w:val="none"/>
          <w:lang w:val="en-US" w:eastAsia="zh-CN"/>
        </w:rPr>
        <w:t>锅炉烟气</w:t>
      </w:r>
      <w:r>
        <w:rPr>
          <w:rFonts w:hint="eastAsia" w:ascii="Times New Roman" w:hAnsi="Times New Roman" w:cs="Times New Roman"/>
          <w:highlight w:val="none"/>
          <w:lang w:val="en-US" w:eastAsia="zh-CN"/>
        </w:rPr>
        <w:t>均</w:t>
      </w:r>
      <w:r>
        <w:rPr>
          <w:rFonts w:hint="default" w:ascii="Times New Roman" w:hAnsi="Times New Roman" w:eastAsia="宋体" w:cs="Times New Roman"/>
          <w:highlight w:val="none"/>
        </w:rPr>
        <w:t>采用低氮燃烧+SNCR-SCR脱硝+布袋除尘器+石灰石-石膏法脱硫的烟气净化技术，供热能力为</w:t>
      </w:r>
      <w:r>
        <w:rPr>
          <w:rFonts w:hint="default" w:ascii="Times New Roman" w:hAnsi="Times New Roman" w:eastAsia="宋体" w:cs="Times New Roman"/>
          <w:highlight w:val="none"/>
          <w:lang w:val="en-US" w:eastAsia="zh-CN"/>
        </w:rPr>
        <w:t>210</w:t>
      </w:r>
      <w:r>
        <w:rPr>
          <w:rFonts w:hint="default" w:ascii="Times New Roman" w:hAnsi="Times New Roman" w:eastAsia="宋体" w:cs="Times New Roman"/>
          <w:highlight w:val="none"/>
        </w:rPr>
        <w:t>万m</w:t>
      </w:r>
      <w:r>
        <w:rPr>
          <w:rFonts w:hint="default" w:ascii="Times New Roman" w:hAnsi="Times New Roman" w:eastAsia="宋体" w:cs="Times New Roman"/>
          <w:highlight w:val="none"/>
          <w:vertAlign w:val="superscript"/>
        </w:rPr>
        <w:t>2</w:t>
      </w:r>
      <w:r>
        <w:rPr>
          <w:rFonts w:ascii="Times New Roman" w:hAnsi="Times New Roman" w:eastAsia="宋体" w:cs="Times New Roman"/>
          <w:highlight w:val="none"/>
        </w:rPr>
        <w:t>。经过环境空气影响预测分析，本项目建成投产后正常排放下各污染物短期浓度贡献值的最大浓度占标率均小于100%，污染物年均浓度贡献值的最大浓度占标率≤30%，污染物PM</w:t>
      </w:r>
      <w:r>
        <w:rPr>
          <w:rFonts w:ascii="Times New Roman" w:hAnsi="Times New Roman" w:eastAsia="宋体" w:cs="Times New Roman"/>
          <w:highlight w:val="none"/>
          <w:vertAlign w:val="subscript"/>
        </w:rPr>
        <w:t>10</w:t>
      </w:r>
      <w:r>
        <w:rPr>
          <w:rFonts w:ascii="Times New Roman" w:hAnsi="Times New Roman" w:eastAsia="宋体" w:cs="Times New Roman"/>
          <w:highlight w:val="none"/>
        </w:rPr>
        <w:t>、SO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和NO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经叠加后保证率日平均质量浓度和年平均质量浓度均符合《环境空气质量标准》(GB3095-2012)中二级标准；本项目运营后排放的大气污染物不会突破项目所在地区的环境空气质量底线。</w:t>
      </w:r>
    </w:p>
    <w:p w14:paraId="62A251A0">
      <w:pPr>
        <w:ind w:firstLine="480"/>
        <w:rPr>
          <w:rFonts w:ascii="Times New Roman" w:hAnsi="Times New Roman" w:eastAsia="宋体" w:cs="Times New Roman"/>
          <w:highlight w:val="none"/>
        </w:rPr>
      </w:pPr>
      <w:r>
        <w:rPr>
          <w:rFonts w:ascii="Times New Roman" w:hAnsi="Times New Roman" w:eastAsia="宋体" w:cs="Times New Roman"/>
          <w:highlight w:val="none"/>
        </w:rPr>
        <w:t>本项目在平面布置设计过程中，尽量将高噪声设备远离居民区，生产设备尽量布置在封闭厂房内，同时生产设备采取严格的隔声减振措施，本项目建成后对周围居民噪声影响较小。</w:t>
      </w:r>
    </w:p>
    <w:p w14:paraId="696B4ECF">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本项目建设地点及规模符合《</w:t>
      </w:r>
      <w:r>
        <w:rPr>
          <w:rFonts w:hint="eastAsia" w:ascii="Times New Roman" w:hAnsi="Times New Roman" w:eastAsia="宋体" w:cs="Times New Roman"/>
          <w:highlight w:val="none"/>
          <w:lang w:val="en-US" w:eastAsia="zh-CN"/>
        </w:rPr>
        <w:t>绥芬河市集中供热规划</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2016-2030</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以及《</w:t>
      </w:r>
      <w:r>
        <w:rPr>
          <w:rFonts w:hint="eastAsia" w:ascii="Times New Roman" w:hAnsi="Times New Roman" w:eastAsia="宋体" w:cs="Times New Roman"/>
          <w:highlight w:val="none"/>
          <w:lang w:val="en-US" w:eastAsia="zh-CN"/>
        </w:rPr>
        <w:t>牡丹江市“十四五”生态环境保护规划</w:t>
      </w:r>
      <w:r>
        <w:rPr>
          <w:rFonts w:hint="eastAsia" w:ascii="Times New Roman" w:hAnsi="Times New Roman" w:eastAsia="宋体" w:cs="Times New Roman"/>
          <w:highlight w:val="none"/>
        </w:rPr>
        <w:t>》（2021-</w:t>
      </w:r>
      <w:r>
        <w:rPr>
          <w:rFonts w:hint="eastAsia" w:ascii="Times New Roman" w:hAnsi="Times New Roman" w:eastAsia="宋体" w:cs="Times New Roman"/>
          <w:highlight w:val="none"/>
          <w:lang w:val="en-US" w:eastAsia="zh-CN"/>
        </w:rPr>
        <w:t>2025</w:t>
      </w:r>
      <w:r>
        <w:rPr>
          <w:rFonts w:hint="eastAsia" w:ascii="Times New Roman" w:hAnsi="Times New Roman" w:eastAsia="宋体" w:cs="Times New Roman"/>
          <w:highlight w:val="none"/>
        </w:rPr>
        <w:t>》的相关要求。</w:t>
      </w:r>
    </w:p>
    <w:p w14:paraId="1CAA7222">
      <w:pPr>
        <w:ind w:firstLine="480"/>
        <w:rPr>
          <w:rFonts w:hint="default" w:ascii="Times New Roman" w:hAnsi="Times New Roman" w:eastAsia="宋体" w:cs="Times New Roman"/>
          <w:highlight w:val="none"/>
          <w:lang w:val="en-US" w:eastAsia="zh-CN"/>
        </w:rPr>
      </w:pPr>
      <w:r>
        <w:rPr>
          <w:rFonts w:ascii="Times New Roman" w:hAnsi="Times New Roman" w:eastAsia="宋体" w:cs="Times New Roman"/>
          <w:highlight w:val="none"/>
        </w:rPr>
        <w:t>综合分析，本项目选址从环境角度分析时可接受的，选址是合理的。</w:t>
      </w:r>
    </w:p>
    <w:p w14:paraId="374D0144">
      <w:pPr>
        <w:pStyle w:val="5"/>
        <w:spacing w:beforeLines="-2147483648" w:beforeAutospacing="0" w:afterLines="-2147483648" w:afterAutospacing="0" w:line="415" w:lineRule="auto"/>
        <w:ind w:firstLine="0" w:firstLineChars="0"/>
        <w:rPr>
          <w:rFonts w:ascii="Times New Roman" w:hAnsi="Times New Roman" w:eastAsia="宋体" w:cs="Times New Roman"/>
          <w:bCs/>
          <w:sz w:val="30"/>
          <w:szCs w:val="32"/>
          <w:highlight w:val="none"/>
        </w:rPr>
      </w:pPr>
      <w:bookmarkStart w:id="19" w:name="_Toc19989"/>
      <w:r>
        <w:rPr>
          <w:rFonts w:hint="eastAsia" w:ascii="Times New Roman" w:hAnsi="Times New Roman" w:eastAsia="宋体" w:cs="Times New Roman"/>
          <w:bCs/>
          <w:sz w:val="30"/>
          <w:szCs w:val="32"/>
          <w:highlight w:val="none"/>
          <w:lang w:val="en-US" w:eastAsia="zh-CN"/>
        </w:rPr>
        <w:t>1.4.4</w:t>
      </w:r>
      <w:r>
        <w:rPr>
          <w:rFonts w:ascii="Times New Roman" w:hAnsi="Times New Roman" w:eastAsia="宋体" w:cs="Times New Roman"/>
          <w:bCs/>
          <w:sz w:val="30"/>
          <w:szCs w:val="32"/>
          <w:highlight w:val="none"/>
        </w:rPr>
        <w:t>与《关于做好环境影响评价制度与排污许可制衔接相关工作的通知》符合性分析</w:t>
      </w:r>
      <w:bookmarkEnd w:id="19"/>
    </w:p>
    <w:p w14:paraId="5D396E70">
      <w:pPr>
        <w:ind w:firstLine="480"/>
        <w:rPr>
          <w:rFonts w:ascii="Times New Roman" w:hAnsi="Times New Roman"/>
          <w:highlight w:val="none"/>
        </w:rPr>
      </w:pPr>
      <w:r>
        <w:rPr>
          <w:rFonts w:ascii="Times New Roman" w:hAnsi="Times New Roman"/>
          <w:highlight w:val="none"/>
        </w:rPr>
        <w:t>《关于做好环境影响评价制度与排污许可制衔接相关工作的通知》（环办环评[2017]84号）要求，六、建设项目发生实际排污行为之前，排污单位应当按照国家环境保护相关法律法规以及排污许可证申请与核发技术规范要求申请排污许可证，不得无证排污或不按证排污。环境影响报告书（表）2015年1月1日（含）后获得批准的建设项目，其环境影响报告书（表）以及审批文件中与污染物排放相关的主要内容应当纳入排污许可证。建设项目无证排污或不按证排污的，建设单位不得出具该项目验收合格的意见，验收报告中与污染物排放相关的主要内容应当纳入该项目验收完成当年排污许可证执行年报。排污许可证执行报告、台账记录以及自行监测执行情况等应作为开展建设项目环境影响后评价的重要依据。</w:t>
      </w:r>
    </w:p>
    <w:p w14:paraId="51925E94">
      <w:pPr>
        <w:rPr>
          <w:rFonts w:ascii="Times New Roman" w:hAnsi="Times New Roman"/>
          <w:highlight w:val="none"/>
        </w:rPr>
      </w:pPr>
      <w:r>
        <w:rPr>
          <w:rFonts w:hint="eastAsia" w:ascii="Times New Roman" w:hAnsi="Times New Roman"/>
          <w:highlight w:val="none"/>
          <w:lang w:val="en-US" w:eastAsia="zh-CN"/>
        </w:rPr>
        <w:t>本项目为现状回顾性环评，</w:t>
      </w:r>
      <w:r>
        <w:rPr>
          <w:rFonts w:ascii="Times New Roman" w:hAnsi="Times New Roman"/>
          <w:highlight w:val="none"/>
        </w:rPr>
        <w:t>本项目已经申请</w:t>
      </w:r>
      <w:r>
        <w:rPr>
          <w:rFonts w:hint="eastAsia" w:ascii="Times New Roman" w:hAnsi="Times New Roman"/>
          <w:highlight w:val="none"/>
          <w:lang w:val="en-US" w:eastAsia="zh-CN"/>
        </w:rPr>
        <w:t>并取得</w:t>
      </w:r>
      <w:r>
        <w:rPr>
          <w:rFonts w:ascii="Times New Roman" w:hAnsi="Times New Roman"/>
          <w:highlight w:val="none"/>
        </w:rPr>
        <w:t>排污许可证，</w:t>
      </w:r>
      <w:r>
        <w:rPr>
          <w:rFonts w:hint="eastAsia" w:ascii="Times New Roman" w:hAnsi="Times New Roman"/>
          <w:highlight w:val="none"/>
          <w:lang w:val="en-US" w:eastAsia="zh-CN"/>
        </w:rPr>
        <w:t>并取得污染物排放总量</w:t>
      </w:r>
      <w:r>
        <w:rPr>
          <w:rFonts w:ascii="Times New Roman" w:hAnsi="Times New Roman"/>
          <w:highlight w:val="none"/>
        </w:rPr>
        <w:t>，符合《关于做好环境影响评价制度与排污许可制衔接相关工作的通知》（环办环评[2017]84号）的要求。</w:t>
      </w:r>
    </w:p>
    <w:p w14:paraId="7C6F7CCA">
      <w:pPr>
        <w:pStyle w:val="5"/>
        <w:spacing w:beforeLines="-2147483648" w:beforeAutospacing="0" w:afterLines="-2147483648" w:afterAutospacing="0" w:line="415" w:lineRule="auto"/>
        <w:ind w:firstLine="0" w:firstLineChars="0"/>
        <w:rPr>
          <w:rFonts w:hint="default" w:ascii="Times New Roman" w:hAnsi="Times New Roman" w:eastAsia="宋体" w:cs="Times New Roman"/>
          <w:bCs/>
          <w:sz w:val="30"/>
          <w:szCs w:val="32"/>
          <w:highlight w:val="none"/>
          <w:lang w:val="en-US" w:eastAsia="zh-CN"/>
        </w:rPr>
      </w:pPr>
      <w:bookmarkStart w:id="20" w:name="_Toc26871"/>
      <w:r>
        <w:rPr>
          <w:rFonts w:hint="eastAsia" w:ascii="Times New Roman" w:hAnsi="Times New Roman" w:eastAsia="宋体" w:cs="Times New Roman"/>
          <w:bCs/>
          <w:sz w:val="30"/>
          <w:szCs w:val="32"/>
          <w:highlight w:val="none"/>
          <w:lang w:val="en-US" w:eastAsia="zh-CN"/>
        </w:rPr>
        <w:t>1.4.5与《黑龙江省大气污染防治行动计划实施细则》符合性分析</w:t>
      </w:r>
      <w:bookmarkEnd w:id="20"/>
    </w:p>
    <w:p w14:paraId="5A2C6BFB">
      <w:pPr>
        <w:ind w:firstLine="480"/>
        <w:rPr>
          <w:rFonts w:ascii="Times New Roman" w:hAnsi="Times New Roman"/>
          <w:highlight w:val="none"/>
        </w:rPr>
      </w:pPr>
      <w:r>
        <w:rPr>
          <w:rFonts w:ascii="Times New Roman" w:hAnsi="Times New Roman"/>
          <w:highlight w:val="none"/>
        </w:rPr>
        <w:t>为认真贯彻落实《国务院关于印发大气污染防治行动计划的通知》（国发〔2013〕37号）要求，严控可吸入颗粒物（PM</w:t>
      </w:r>
      <w:r>
        <w:rPr>
          <w:rFonts w:ascii="Times New Roman" w:hAnsi="Times New Roman"/>
          <w:highlight w:val="none"/>
          <w:vertAlign w:val="subscript"/>
        </w:rPr>
        <w:t>10</w:t>
      </w:r>
      <w:r>
        <w:rPr>
          <w:rFonts w:ascii="Times New Roman" w:hAnsi="Times New Roman"/>
          <w:highlight w:val="none"/>
        </w:rPr>
        <w:t>）、细颗粒物（PM</w:t>
      </w:r>
      <w:r>
        <w:rPr>
          <w:rFonts w:ascii="Times New Roman" w:hAnsi="Times New Roman"/>
          <w:highlight w:val="none"/>
          <w:vertAlign w:val="subscript"/>
        </w:rPr>
        <w:t>2.5</w:t>
      </w:r>
      <w:r>
        <w:rPr>
          <w:rFonts w:ascii="Times New Roman" w:hAnsi="Times New Roman"/>
          <w:highlight w:val="none"/>
        </w:rPr>
        <w:t>）等主要大气污染物，严防雾霾等大气环境污染问题发生，进一步提升我省大气环境质量，结合我省实际，黑龙江省人民政府于2014年1月26日发布《黑龙江省大气污染防治行动计划实施细则》。</w:t>
      </w:r>
    </w:p>
    <w:p w14:paraId="25B9A456">
      <w:pPr>
        <w:ind w:firstLine="480"/>
        <w:rPr>
          <w:rFonts w:ascii="Times New Roman" w:hAnsi="Times New Roman"/>
          <w:highlight w:val="none"/>
        </w:rPr>
      </w:pPr>
      <w:r>
        <w:rPr>
          <w:rFonts w:ascii="Times New Roman" w:hAnsi="Times New Roman"/>
          <w:highlight w:val="none"/>
        </w:rPr>
        <w:t>细则中指出：“加大集中供热工程建设，淘汰分散燃煤小锅炉”；“从2014年起，禁止新建20蒸吨以下燃煤锅炉”；“大型堆场应建立密闭料仓与传送装置”；“除循环流化床锅炉以外的燃煤机组均应安装脱硝设施”；“加强对燃煤锅炉及窑炉等治理，规模在20蒸吨及以上的燃煤锅炉要实施烟气脱硫，确保达标排放”。</w:t>
      </w:r>
    </w:p>
    <w:p w14:paraId="44A2A41C">
      <w:pPr>
        <w:ind w:firstLine="480"/>
        <w:rPr>
          <w:rFonts w:ascii="Times New Roman" w:hAnsi="Times New Roman"/>
          <w:highlight w:val="none"/>
        </w:rPr>
      </w:pPr>
      <w:r>
        <w:rPr>
          <w:rFonts w:ascii="Times New Roman" w:hAnsi="Times New Roman"/>
          <w:highlight w:val="none"/>
        </w:rPr>
        <w:t>本项目可以有效替代部分区域内的分散燃煤供暖锅炉；符合“加大集中供热工程建设，淘汰分散燃煤小锅炉”；本项目建</w:t>
      </w:r>
      <w:r>
        <w:rPr>
          <w:rFonts w:hint="eastAsia" w:ascii="Times New Roman" w:hAnsi="Times New Roman"/>
          <w:highlight w:val="none"/>
          <w:lang w:val="en-US" w:eastAsia="zh-CN"/>
        </w:rPr>
        <w:t>设116MW+58MW热水锅炉和1台35t/h蒸汽锅炉共三台</w:t>
      </w:r>
      <w:r>
        <w:rPr>
          <w:rFonts w:ascii="Times New Roman" w:hAnsi="Times New Roman"/>
          <w:highlight w:val="none"/>
        </w:rPr>
        <w:t>，符合“从2014年起，禁止新建20蒸吨以下燃煤锅炉”要求；本项目建设全封闭</w:t>
      </w:r>
      <w:r>
        <w:rPr>
          <w:rFonts w:hint="eastAsia" w:ascii="Times New Roman" w:hAnsi="Times New Roman"/>
          <w:highlight w:val="none"/>
        </w:rPr>
        <w:t>煤库</w:t>
      </w:r>
      <w:r>
        <w:rPr>
          <w:rFonts w:ascii="Times New Roman" w:hAnsi="Times New Roman"/>
          <w:highlight w:val="none"/>
        </w:rPr>
        <w:t>，输煤系统采用全封闭结构，符合“大型堆场应建立密闭料仓与传送装置”的要求；本项目采用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w:t>
      </w:r>
      <w:r>
        <w:rPr>
          <w:rFonts w:ascii="Times New Roman" w:hAnsi="Times New Roman"/>
          <w:highlight w:val="none"/>
        </w:rPr>
        <w:t>对锅炉烟气进行净化处理，符合“加强对燃煤锅炉及窑炉等治理，规模在20蒸吨及以上的燃煤锅炉要实施烟气脱硫，确保达标排放”的要求。</w:t>
      </w:r>
    </w:p>
    <w:p w14:paraId="4E9998C5">
      <w:pPr>
        <w:ind w:firstLine="480"/>
        <w:rPr>
          <w:rFonts w:ascii="Times New Roman" w:hAnsi="Times New Roman"/>
          <w:highlight w:val="none"/>
        </w:rPr>
      </w:pPr>
      <w:r>
        <w:rPr>
          <w:rFonts w:ascii="Times New Roman" w:hAnsi="Times New Roman"/>
          <w:highlight w:val="none"/>
        </w:rPr>
        <w:t>因此，本项目的建立符合《黑龙江省大气污染防治行动计划实施细则》的相关要求。</w:t>
      </w:r>
    </w:p>
    <w:p w14:paraId="705E53EA">
      <w:pPr>
        <w:pStyle w:val="5"/>
        <w:spacing w:beforeLines="-2147483648" w:beforeAutospacing="0" w:afterLines="-2147483648" w:afterAutospacing="0" w:line="415" w:lineRule="auto"/>
        <w:ind w:firstLine="0" w:firstLineChars="0"/>
        <w:rPr>
          <w:rFonts w:hint="eastAsia" w:ascii="Times New Roman" w:hAnsi="Times New Roman" w:eastAsia="宋体"/>
          <w:highlight w:val="none"/>
          <w:lang w:val="en-US" w:eastAsia="zh-CN"/>
        </w:rPr>
      </w:pPr>
      <w:bookmarkStart w:id="21" w:name="_Toc1552"/>
      <w:r>
        <w:rPr>
          <w:rFonts w:hint="default" w:ascii="Times New Roman" w:hAnsi="Times New Roman" w:eastAsia="宋体" w:cs="Times New Roman"/>
          <w:bCs/>
          <w:sz w:val="30"/>
          <w:szCs w:val="32"/>
          <w:highlight w:val="none"/>
          <w:lang w:val="en-US" w:eastAsia="zh-CN"/>
        </w:rPr>
        <w:t>1.4.</w:t>
      </w:r>
      <w:r>
        <w:rPr>
          <w:rFonts w:hint="eastAsia" w:ascii="Times New Roman" w:hAnsi="Times New Roman" w:eastAsia="宋体" w:cs="Times New Roman"/>
          <w:bCs/>
          <w:sz w:val="30"/>
          <w:szCs w:val="32"/>
          <w:highlight w:val="none"/>
          <w:lang w:val="en-US" w:eastAsia="zh-CN"/>
        </w:rPr>
        <w:t>6与《黑龙江省大气污染防治条例》符合性分析</w:t>
      </w:r>
      <w:bookmarkEnd w:id="21"/>
    </w:p>
    <w:p w14:paraId="5CDF6BF2">
      <w:pPr>
        <w:ind w:firstLine="480"/>
        <w:rPr>
          <w:rFonts w:ascii="Times New Roman" w:hAnsi="Times New Roman"/>
          <w:highlight w:val="none"/>
        </w:rPr>
      </w:pPr>
      <w:r>
        <w:rPr>
          <w:rFonts w:ascii="Times New Roman" w:hAnsi="Times New Roman"/>
          <w:highlight w:val="none"/>
        </w:rPr>
        <w:t>《黑龙江省大气污染防治条例》中规定：“第六条，企业事业单位和其他生产经营者应当采取有效措施，防止和减少大气污染，对所造成的损害依法承担责任。第十一条，向大气排放污染物的企业事业单位和其他生产经营者，应当配套建设大气污染防治设施，配套建设的大气污染防治设施，应当与主体工程同时设计、同时施工、同时投产使用，不得擅自拆除或者闲置。第三十二条，燃煤电厂、燃煤供热锅炉以及其他燃煤单位，应当采用清洁生产工艺，配套建设除尘、脱硫、脱硝等装置或者采用技术改造等措施，减少大气污染物的产生和排放，排放的大气污染物应当达到规定标准。第三十三条，设区的市级城市建成区内，禁止新建额定蒸发量低于每小时二十吨或者额定功率低于十四兆瓦的燃煤锅炉，已经建成的额定蒸发量每小时十吨以下或者额定功率七兆瓦以下的燃煤锅炉，应当在国家规定的期限内淘汰。国家对新建和淘汰燃煤锅炉另有规定的，从其规定”。</w:t>
      </w:r>
    </w:p>
    <w:p w14:paraId="5E4FD907">
      <w:pPr>
        <w:rPr>
          <w:rFonts w:ascii="Times New Roman" w:hAnsi="Times New Roman"/>
          <w:highlight w:val="none"/>
        </w:rPr>
      </w:pPr>
      <w:r>
        <w:rPr>
          <w:rFonts w:ascii="Times New Roman" w:hAnsi="Times New Roman"/>
          <w:highlight w:val="none"/>
        </w:rPr>
        <w:t>本项目建</w:t>
      </w:r>
      <w:r>
        <w:rPr>
          <w:rFonts w:hint="eastAsia" w:ascii="Times New Roman" w:hAnsi="Times New Roman"/>
          <w:highlight w:val="none"/>
          <w:lang w:val="en-US" w:eastAsia="zh-CN"/>
        </w:rPr>
        <w:t>设116MW+58MW热水锅炉和1台35t/h蒸汽锅炉共三台</w:t>
      </w:r>
      <w:r>
        <w:rPr>
          <w:rFonts w:ascii="Times New Roman" w:hAnsi="Times New Roman"/>
          <w:highlight w:val="none"/>
        </w:rPr>
        <w:t>，采用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w:t>
      </w:r>
      <w:r>
        <w:rPr>
          <w:rFonts w:ascii="Times New Roman" w:hAnsi="Times New Roman"/>
          <w:highlight w:val="none"/>
        </w:rPr>
        <w:t>对锅炉烟气进行净化处理，符合《黑龙江省大气污染防治条例》的相关要求。</w:t>
      </w:r>
    </w:p>
    <w:p w14:paraId="3B1E780B">
      <w:pPr>
        <w:pStyle w:val="5"/>
        <w:spacing w:beforeLines="-2147483648" w:beforeAutospacing="0" w:afterLines="-2147483648" w:afterAutospacing="0" w:line="415" w:lineRule="auto"/>
        <w:ind w:firstLine="0" w:firstLineChars="0"/>
        <w:rPr>
          <w:rFonts w:hint="default"/>
          <w:highlight w:val="none"/>
          <w:lang w:val="en-US" w:eastAsia="zh-CN"/>
        </w:rPr>
      </w:pPr>
      <w:bookmarkStart w:id="22" w:name="_Toc8569"/>
      <w:r>
        <w:rPr>
          <w:rFonts w:hint="eastAsia" w:ascii="Times New Roman" w:hAnsi="Times New Roman" w:eastAsia="宋体" w:cs="Times New Roman"/>
          <w:bCs/>
          <w:sz w:val="30"/>
          <w:szCs w:val="32"/>
          <w:highlight w:val="none"/>
          <w:lang w:val="en-US" w:eastAsia="zh-CN"/>
        </w:rPr>
        <w:t>1.4.7与《黑龙江省人民政府关于全面加强生态环境保护坚决打好污染防治攻坚战的实施意见》（2018年9月14日）符合性分析</w:t>
      </w:r>
      <w:bookmarkEnd w:id="22"/>
    </w:p>
    <w:p w14:paraId="1D3FE9B7">
      <w:pPr>
        <w:ind w:firstLine="480"/>
        <w:rPr>
          <w:rFonts w:ascii="Times New Roman" w:hAnsi="Times New Roman"/>
          <w:highlight w:val="none"/>
        </w:rPr>
      </w:pPr>
      <w:r>
        <w:rPr>
          <w:rFonts w:ascii="Times New Roman" w:hAnsi="Times New Roman"/>
          <w:highlight w:val="none"/>
        </w:rPr>
        <w:t>根据《实施意见》：三、坚决打好蓝天保卫战（八）实施工业企业大气污染综合治理。强化工业企业无组织排放管理，推进挥发性有机物排放综合整治，到2020年，挥发性有机物排放总量累计削减960吨以上。加快钢铁、石化、建材等行业无组织排放治理，扩大燃煤电厂(含自备电站)超低排放改造范围。2018年年底前，完成单机容量30万千瓦燃煤电厂改造；2019年年底前，齐齐哈尔、牡丹江等市完成13台单机容量20万千瓦燃煤电厂改造；到2020年，具备改造条件的燃煤电厂全部完成超低排放改造。推动钢铁行业超低排放改造。哈尔滨市加大高污染、高耗能产业产能压减力度，2019年1月1日起实施火电厂和锅炉大气污染物特别排放限值。实施工业污染源全面达标排放计划，2018年年底前，完成纳入排污许可证管理固定工业污染源污染物排放情况评估，重点排污单位全部安装自动监控设备并同生态环境主管部门联网，依法公开排污信息。具备安装条件的其他工业污染源企业要依法、依规安装和运行污染源自动监控设备。到2020年，各类工业污染源持续保持污染物达标排放，全省污染物排放总量持续下降。</w:t>
      </w:r>
    </w:p>
    <w:p w14:paraId="567346AF">
      <w:pPr>
        <w:ind w:firstLine="480"/>
        <w:rPr>
          <w:rFonts w:ascii="Times New Roman" w:hAnsi="Times New Roman"/>
          <w:highlight w:val="none"/>
        </w:rPr>
      </w:pPr>
      <w:r>
        <w:rPr>
          <w:rFonts w:ascii="Times New Roman" w:hAnsi="Times New Roman"/>
          <w:highlight w:val="none"/>
        </w:rPr>
        <w:t>符合性分析：本项目建</w:t>
      </w:r>
      <w:r>
        <w:rPr>
          <w:rFonts w:hint="eastAsia" w:ascii="Times New Roman" w:hAnsi="Times New Roman"/>
          <w:highlight w:val="none"/>
          <w:lang w:val="en-US" w:eastAsia="zh-CN"/>
        </w:rPr>
        <w:t>设116MW+58MW热水锅炉和1台35t/h蒸汽锅炉共三台</w:t>
      </w:r>
      <w:r>
        <w:rPr>
          <w:rFonts w:ascii="Times New Roman" w:hAnsi="Times New Roman"/>
          <w:iCs/>
          <w:highlight w:val="none"/>
        </w:rPr>
        <w:t>，</w:t>
      </w:r>
      <w:r>
        <w:rPr>
          <w:rFonts w:ascii="Times New Roman" w:hAnsi="Times New Roman"/>
          <w:kern w:val="0"/>
          <w:szCs w:val="24"/>
          <w:highlight w:val="none"/>
        </w:rPr>
        <w:t>锅炉产生的锅炉烟气均采用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后进行</w:t>
      </w:r>
      <w:r>
        <w:rPr>
          <w:rFonts w:ascii="Times New Roman" w:hAnsi="Times New Roman"/>
          <w:szCs w:val="24"/>
          <w:highlight w:val="none"/>
        </w:rPr>
        <w:t>石灰石–石膏湿法烟气脱硫（3炉</w:t>
      </w:r>
      <w:r>
        <w:rPr>
          <w:rFonts w:hint="eastAsia" w:ascii="Times New Roman" w:hAnsi="Times New Roman"/>
          <w:szCs w:val="24"/>
          <w:highlight w:val="none"/>
          <w:lang w:val="en-US" w:eastAsia="zh-CN"/>
        </w:rPr>
        <w:t>1</w:t>
      </w:r>
      <w:r>
        <w:rPr>
          <w:rFonts w:ascii="Times New Roman" w:hAnsi="Times New Roman"/>
          <w:szCs w:val="24"/>
          <w:highlight w:val="none"/>
        </w:rPr>
        <w:t>塔），</w:t>
      </w:r>
      <w:r>
        <w:rPr>
          <w:rFonts w:ascii="Times New Roman" w:hAnsi="Times New Roman"/>
          <w:highlight w:val="none"/>
        </w:rPr>
        <w:t>3台锅炉烟气共用1座</w:t>
      </w:r>
      <w:r>
        <w:rPr>
          <w:rFonts w:hint="eastAsia" w:ascii="Times New Roman" w:hAnsi="Times New Roman"/>
          <w:highlight w:val="none"/>
          <w:lang w:val="en-US" w:eastAsia="zh-CN"/>
        </w:rPr>
        <w:t>60</w:t>
      </w:r>
      <w:r>
        <w:rPr>
          <w:rFonts w:ascii="Times New Roman" w:hAnsi="Times New Roman"/>
          <w:highlight w:val="none"/>
        </w:rPr>
        <w:t>米高烟囱排放，建设烟气在线监测系统，有组织烟气中污染物排放浓度满足超低排放限值要求。项目设置石灰石粉仓及中转的灰仓和渣仓，不设置永久灰渣场，灰仓、</w:t>
      </w:r>
      <w:r>
        <w:rPr>
          <w:rFonts w:hint="eastAsia" w:ascii="Times New Roman" w:hAnsi="Times New Roman"/>
          <w:highlight w:val="none"/>
          <w:lang w:val="en-US" w:eastAsia="zh-CN"/>
        </w:rPr>
        <w:t>渣仓、</w:t>
      </w:r>
      <w:r>
        <w:rPr>
          <w:rFonts w:ascii="Times New Roman" w:hAnsi="Times New Roman"/>
          <w:highlight w:val="none"/>
        </w:rPr>
        <w:t>石灰石粉仓的仓顶分别设置脉冲除尘器回收粉尘</w:t>
      </w:r>
      <w:r>
        <w:rPr>
          <w:rFonts w:hint="eastAsia" w:ascii="Times New Roman" w:hAnsi="Times New Roman"/>
          <w:highlight w:val="none"/>
          <w:lang w:eastAsia="zh-CN"/>
        </w:rPr>
        <w:t>，</w:t>
      </w:r>
      <w:r>
        <w:rPr>
          <w:rFonts w:hint="eastAsia" w:ascii="Times New Roman" w:hAnsi="Times New Roman"/>
          <w:highlight w:val="none"/>
          <w:lang w:val="en-US" w:eastAsia="zh-CN"/>
        </w:rPr>
        <w:t>碎煤机室分别设置布袋除尘器回收粉尘后经15m高排气筒排放，本项目储煤场周围设有防风抑尘网并加盖苫布，有组织排放颗粒物满足《大气污染物综合排放标准》</w:t>
      </w:r>
      <w:r>
        <w:rPr>
          <w:rFonts w:ascii="Times New Roman" w:hAnsi="Times New Roman"/>
          <w:highlight w:val="none"/>
        </w:rPr>
        <w:t>(GB16297-1996）表2中</w:t>
      </w:r>
      <w:r>
        <w:rPr>
          <w:rFonts w:hint="eastAsia" w:ascii="Times New Roman" w:hAnsi="Times New Roman"/>
          <w:highlight w:val="none"/>
          <w:lang w:val="en-US" w:eastAsia="zh-CN"/>
        </w:rPr>
        <w:t>有</w:t>
      </w:r>
      <w:r>
        <w:rPr>
          <w:rFonts w:ascii="Times New Roman" w:hAnsi="Times New Roman"/>
          <w:highlight w:val="none"/>
        </w:rPr>
        <w:t>组织排放监控浓度</w:t>
      </w:r>
      <w:r>
        <w:rPr>
          <w:rFonts w:hint="eastAsia" w:ascii="Times New Roman" w:hAnsi="Times New Roman"/>
          <w:highlight w:val="none"/>
          <w:lang w:val="en-US" w:eastAsia="zh-CN"/>
        </w:rPr>
        <w:t>和速率</w:t>
      </w:r>
      <w:r>
        <w:rPr>
          <w:rFonts w:ascii="Times New Roman" w:hAnsi="Times New Roman"/>
          <w:highlight w:val="none"/>
        </w:rPr>
        <w:t>限值</w:t>
      </w:r>
      <w:r>
        <w:rPr>
          <w:rFonts w:hint="eastAsia" w:ascii="Times New Roman" w:hAnsi="Times New Roman"/>
          <w:highlight w:val="none"/>
          <w:lang w:eastAsia="zh-CN"/>
        </w:rPr>
        <w:t>，</w:t>
      </w:r>
      <w:r>
        <w:rPr>
          <w:rFonts w:hint="eastAsia" w:ascii="Times New Roman" w:hAnsi="Times New Roman"/>
          <w:highlight w:val="none"/>
        </w:rPr>
        <w:t>本项目排气筒按高度对应的表列排放速率标准值严格50%执行</w:t>
      </w:r>
      <w:r>
        <w:rPr>
          <w:rFonts w:hint="eastAsia" w:ascii="Times New Roman" w:hAnsi="Times New Roman"/>
          <w:highlight w:val="none"/>
          <w:lang w:eastAsia="zh-CN"/>
        </w:rPr>
        <w:t>，</w:t>
      </w:r>
      <w:r>
        <w:rPr>
          <w:rFonts w:ascii="Times New Roman" w:hAnsi="Times New Roman"/>
          <w:highlight w:val="none"/>
        </w:rPr>
        <w:t>无组织排放</w:t>
      </w:r>
      <w:r>
        <w:rPr>
          <w:rFonts w:hint="eastAsia" w:ascii="Times New Roman" w:hAnsi="Times New Roman"/>
          <w:highlight w:val="none"/>
        </w:rPr>
        <w:t>颗粒物</w:t>
      </w:r>
      <w:r>
        <w:rPr>
          <w:rFonts w:ascii="Times New Roman" w:hAnsi="Times New Roman"/>
          <w:highlight w:val="none"/>
        </w:rPr>
        <w:t>厂界</w:t>
      </w:r>
      <w:r>
        <w:rPr>
          <w:rFonts w:hint="eastAsia" w:ascii="Times New Roman" w:hAnsi="Times New Roman"/>
          <w:highlight w:val="none"/>
          <w:lang w:val="en-US" w:eastAsia="zh-CN"/>
        </w:rPr>
        <w:t>处</w:t>
      </w:r>
      <w:r>
        <w:rPr>
          <w:rFonts w:ascii="Times New Roman" w:hAnsi="Times New Roman"/>
          <w:highlight w:val="none"/>
        </w:rPr>
        <w:t>满足《大气污染物综合排放标准》(GB16297-1996）表2中无组织排放监控浓度限值。</w:t>
      </w:r>
    </w:p>
    <w:p w14:paraId="00D7CBFF">
      <w:pPr>
        <w:ind w:firstLine="480"/>
        <w:rPr>
          <w:rFonts w:ascii="Times New Roman" w:hAnsi="Times New Roman"/>
          <w:highlight w:val="none"/>
        </w:rPr>
      </w:pPr>
      <w:r>
        <w:rPr>
          <w:rFonts w:ascii="Times New Roman" w:hAnsi="Times New Roman"/>
          <w:highlight w:val="none"/>
        </w:rPr>
        <w:t>因此，本项目的建立符合《黑龙江省人民政府关于全面加强生态环境保护坚决打好污染防治攻坚战的实施意见》（2018年9月14日）</w:t>
      </w:r>
      <w:r>
        <w:rPr>
          <w:rFonts w:hint="eastAsia" w:ascii="Times New Roman" w:hAnsi="Times New Roman"/>
          <w:highlight w:val="none"/>
        </w:rPr>
        <w:t>。</w:t>
      </w:r>
    </w:p>
    <w:p w14:paraId="236BBFA6">
      <w:pPr>
        <w:pStyle w:val="5"/>
        <w:spacing w:beforeLines="-2147483648" w:beforeAutospacing="0" w:afterLines="-2147483648" w:afterAutospacing="0" w:line="415" w:lineRule="auto"/>
        <w:ind w:firstLine="0" w:firstLineChars="0"/>
        <w:rPr>
          <w:rFonts w:hint="eastAsia" w:ascii="Times New Roman" w:hAnsi="Times New Roman" w:eastAsia="宋体" w:cs="Times New Roman"/>
          <w:bCs/>
          <w:sz w:val="30"/>
          <w:szCs w:val="32"/>
          <w:highlight w:val="none"/>
          <w:lang w:val="en-US" w:eastAsia="zh-CN"/>
        </w:rPr>
      </w:pPr>
      <w:bookmarkStart w:id="23" w:name="_Toc848"/>
      <w:r>
        <w:rPr>
          <w:rFonts w:hint="eastAsia" w:ascii="Times New Roman" w:hAnsi="Times New Roman" w:eastAsia="宋体" w:cs="Times New Roman"/>
          <w:bCs/>
          <w:sz w:val="30"/>
          <w:szCs w:val="32"/>
          <w:highlight w:val="none"/>
          <w:lang w:val="en-US" w:eastAsia="zh-CN"/>
        </w:rPr>
        <w:t>1.4.8与《商品煤质量管理暂行办法》的符合性分析</w:t>
      </w:r>
      <w:bookmarkEnd w:id="23"/>
    </w:p>
    <w:p w14:paraId="4853675F">
      <w:pPr>
        <w:ind w:firstLine="480"/>
        <w:rPr>
          <w:rFonts w:ascii="Times New Roman" w:hAnsi="Times New Roman"/>
          <w:highlight w:val="none"/>
        </w:rPr>
      </w:pPr>
      <w:r>
        <w:rPr>
          <w:rFonts w:ascii="Times New Roman" w:hAnsi="Times New Roman"/>
          <w:highlight w:val="none"/>
        </w:rPr>
        <w:t>根据《商品煤质量管理暂行办法》（2015年9月3日发布，2015年1月1日起施行）中：“第六条 商品煤应当满足下列基本要求：（一）灰分（Ad）褐煤≤30%，其它煤种≤40%；（二）硫分（St,d）褐煤≤1.5%，其它煤种≤3%；（三）其它指标汞（Hgd）≤0.6µg/g。第七条 在中国境内远距离运输（运距超过 600 公里）的商品煤除在满足第六条要求外，还应当同时满足下列要求：（一）褐煤 发热量（Qnet,ar）≥16.5MJ/kg，灰分（Ad）≤20%，硫分（St,d）≤1%。（二）其它煤种发热量（Qnet,ar）≥18MJ/kg，灰分（Ad）≤30%，硫分（St,d）≤2%。”</w:t>
      </w:r>
    </w:p>
    <w:p w14:paraId="78B1A7B4">
      <w:pPr>
        <w:rPr>
          <w:rFonts w:ascii="Times New Roman" w:hAnsi="Times New Roman"/>
          <w:highlight w:val="none"/>
        </w:rPr>
      </w:pPr>
      <w:r>
        <w:rPr>
          <w:rFonts w:ascii="Times New Roman" w:hAnsi="Times New Roman"/>
          <w:highlight w:val="none"/>
        </w:rPr>
        <w:t>办法符合性分析：</w:t>
      </w:r>
      <w:r>
        <w:rPr>
          <w:rFonts w:hint="eastAsia" w:ascii="Times New Roman" w:hAnsi="Times New Roman"/>
          <w:highlight w:val="none"/>
          <w:lang w:val="en-US" w:eastAsia="zh-CN"/>
        </w:rPr>
        <w:t>本项目褐煤来源于鸡西市，距离本项目约100公里，因此</w:t>
      </w:r>
      <w:r>
        <w:rPr>
          <w:rFonts w:ascii="Times New Roman" w:hAnsi="Times New Roman"/>
          <w:highlight w:val="none"/>
        </w:rPr>
        <w:t>本项目</w:t>
      </w:r>
      <w:r>
        <w:rPr>
          <w:rFonts w:hint="eastAsia" w:ascii="Times New Roman" w:hAnsi="Times New Roman"/>
          <w:highlight w:val="none"/>
        </w:rPr>
        <w:t>在中国境内远距离运输运距不超过 600 公里</w:t>
      </w:r>
      <w:r>
        <w:rPr>
          <w:rFonts w:hint="eastAsia" w:ascii="Times New Roman" w:hAnsi="Times New Roman"/>
          <w:highlight w:val="none"/>
          <w:lang w:eastAsia="zh-CN"/>
        </w:rPr>
        <w:t>。</w:t>
      </w:r>
      <w:r>
        <w:rPr>
          <w:rFonts w:ascii="Times New Roman" w:hAnsi="Times New Roman"/>
          <w:highlight w:val="none"/>
        </w:rPr>
        <w:t>根据煤质分析报告可知，本</w:t>
      </w:r>
      <w:r>
        <w:rPr>
          <w:rFonts w:hint="eastAsia" w:ascii="Times New Roman" w:hAnsi="Times New Roman"/>
          <w:highlight w:val="none"/>
        </w:rPr>
        <w:t>项目采用</w:t>
      </w:r>
      <w:r>
        <w:rPr>
          <w:rFonts w:hint="eastAsia" w:ascii="Times New Roman" w:hAnsi="Times New Roman"/>
          <w:highlight w:val="none"/>
          <w:lang w:val="en-US" w:eastAsia="zh-CN"/>
        </w:rPr>
        <w:t>烟</w:t>
      </w:r>
      <w:r>
        <w:rPr>
          <w:rFonts w:hint="eastAsia" w:ascii="Times New Roman" w:hAnsi="Times New Roman"/>
          <w:iCs/>
          <w:highlight w:val="none"/>
        </w:rPr>
        <w:t>煤</w:t>
      </w:r>
      <w:r>
        <w:rPr>
          <w:rFonts w:hint="eastAsia" w:ascii="Times New Roman" w:hAnsi="Times New Roman"/>
          <w:iCs/>
          <w:highlight w:val="none"/>
          <w:lang w:eastAsia="zh-CN"/>
        </w:rPr>
        <w:t>，</w:t>
      </w:r>
      <w:r>
        <w:rPr>
          <w:rFonts w:hint="eastAsia" w:ascii="Times New Roman" w:hAnsi="Times New Roman"/>
          <w:iCs/>
          <w:highlight w:val="none"/>
          <w:lang w:val="en-US" w:eastAsia="zh-CN"/>
        </w:rPr>
        <w:t>发热量</w:t>
      </w:r>
      <w:r>
        <w:rPr>
          <w:rFonts w:ascii="Times New Roman" w:hAnsi="Times New Roman"/>
          <w:highlight w:val="none"/>
        </w:rPr>
        <w:t>（Qnet,ar）</w:t>
      </w:r>
      <w:r>
        <w:rPr>
          <w:rFonts w:hint="eastAsia" w:ascii="Times New Roman" w:hAnsi="Times New Roman"/>
          <w:highlight w:val="none"/>
          <w:lang w:val="en-US" w:eastAsia="zh-CN"/>
        </w:rPr>
        <w:t>=19.44</w:t>
      </w:r>
      <w:r>
        <w:rPr>
          <w:rFonts w:ascii="Times New Roman" w:hAnsi="Times New Roman"/>
          <w:highlight w:val="none"/>
        </w:rPr>
        <w:t>MJ/kg</w:t>
      </w:r>
      <w:r>
        <w:rPr>
          <w:rFonts w:hint="eastAsia" w:ascii="Times New Roman" w:hAnsi="Times New Roman"/>
          <w:highlight w:val="none"/>
          <w:lang w:eastAsia="zh-CN"/>
        </w:rPr>
        <w:t>，</w:t>
      </w:r>
      <w:r>
        <w:rPr>
          <w:rFonts w:ascii="Times New Roman" w:hAnsi="Times New Roman"/>
          <w:highlight w:val="none"/>
        </w:rPr>
        <w:t>灰分（Ad）</w:t>
      </w:r>
      <w:r>
        <w:rPr>
          <w:rFonts w:hint="eastAsia" w:ascii="Times New Roman" w:hAnsi="Times New Roman"/>
          <w:highlight w:val="none"/>
          <w:lang w:val="en-US" w:eastAsia="zh-CN"/>
        </w:rPr>
        <w:t>=33.71%，</w:t>
      </w:r>
      <w:r>
        <w:rPr>
          <w:rFonts w:ascii="Times New Roman" w:hAnsi="Times New Roman"/>
          <w:highlight w:val="none"/>
        </w:rPr>
        <w:t>硫分（St,d）</w:t>
      </w:r>
      <w:r>
        <w:rPr>
          <w:rFonts w:hint="eastAsia" w:ascii="Times New Roman" w:hAnsi="Times New Roman"/>
          <w:highlight w:val="none"/>
          <w:lang w:val="en-US" w:eastAsia="zh-CN"/>
        </w:rPr>
        <w:t>=0.21%，</w:t>
      </w:r>
      <w:r>
        <w:rPr>
          <w:rFonts w:ascii="Times New Roman" w:hAnsi="Times New Roman"/>
          <w:highlight w:val="none"/>
        </w:rPr>
        <w:t>其它指标汞（Hgd</w:t>
      </w:r>
      <w:r>
        <w:rPr>
          <w:rFonts w:hint="eastAsia" w:ascii="Times New Roman" w:hAnsi="Times New Roman"/>
          <w:highlight w:val="none"/>
          <w:lang w:eastAsia="zh-CN"/>
        </w:rPr>
        <w:t>）</w:t>
      </w:r>
      <w:r>
        <w:rPr>
          <w:rFonts w:hint="eastAsia" w:ascii="Times New Roman" w:hAnsi="Times New Roman"/>
          <w:highlight w:val="none"/>
          <w:lang w:val="en-US" w:eastAsia="zh-CN"/>
        </w:rPr>
        <w:t>=0.238</w:t>
      </w:r>
      <w:r>
        <w:rPr>
          <w:rFonts w:ascii="Times New Roman" w:hAnsi="Times New Roman"/>
          <w:highlight w:val="none"/>
        </w:rPr>
        <w:t>µg/g，</w:t>
      </w:r>
      <w:r>
        <w:rPr>
          <w:rFonts w:hint="eastAsia" w:ascii="Times New Roman" w:hAnsi="Times New Roman"/>
          <w:highlight w:val="none"/>
          <w:lang w:val="en-US" w:eastAsia="zh-CN"/>
        </w:rPr>
        <w:t>因此</w:t>
      </w:r>
      <w:r>
        <w:rPr>
          <w:rFonts w:ascii="Times New Roman" w:hAnsi="Times New Roman"/>
          <w:highlight w:val="none"/>
        </w:rPr>
        <w:t>本项目燃用煤质成分符合《商品煤质量管理暂行办法》要求。</w:t>
      </w:r>
    </w:p>
    <w:p w14:paraId="468E5A9C">
      <w:pPr>
        <w:pStyle w:val="5"/>
        <w:spacing w:beforeLines="-2147483648" w:beforeAutospacing="0" w:afterLines="-2147483648" w:afterAutospacing="0" w:line="415" w:lineRule="auto"/>
        <w:ind w:firstLine="0" w:firstLineChars="0"/>
        <w:rPr>
          <w:rFonts w:hint="eastAsia" w:ascii="Times New Roman" w:hAnsi="Times New Roman" w:eastAsia="宋体" w:cs="Times New Roman"/>
          <w:bCs/>
          <w:sz w:val="30"/>
          <w:szCs w:val="32"/>
          <w:highlight w:val="none"/>
          <w:lang w:val="en-US" w:eastAsia="zh-CN"/>
        </w:rPr>
      </w:pPr>
      <w:bookmarkStart w:id="24" w:name="_Toc23817"/>
      <w:r>
        <w:rPr>
          <w:rFonts w:hint="eastAsia" w:ascii="Times New Roman" w:hAnsi="Times New Roman" w:eastAsia="宋体" w:cs="Times New Roman"/>
          <w:bCs/>
          <w:sz w:val="30"/>
          <w:szCs w:val="32"/>
          <w:highlight w:val="none"/>
          <w:lang w:val="en-US" w:eastAsia="zh-CN"/>
        </w:rPr>
        <w:t>1.4.9与《环境空气细颗粒物污染物污染综合防治技术政策》符合性分析</w:t>
      </w:r>
      <w:bookmarkEnd w:id="24"/>
    </w:p>
    <w:p w14:paraId="55EFBCD8">
      <w:pPr>
        <w:ind w:firstLine="480"/>
        <w:rPr>
          <w:rFonts w:ascii="Times New Roman" w:hAnsi="Times New Roman"/>
          <w:highlight w:val="none"/>
        </w:rPr>
      </w:pPr>
      <w:r>
        <w:rPr>
          <w:rFonts w:ascii="Times New Roman" w:hAnsi="Times New Roman"/>
          <w:highlight w:val="none"/>
        </w:rPr>
        <w:t>根据《环境空气细颗粒物污染物污染综合防治技术政策》中“三、防治工业污染 （十三）对于排放细颗粒物的工业污染源，应按照生产工艺、排放方式和烟（废）气组成的特点，选取适用的污染防治技术。工业污染源有组织排放的颗粒物，宜采取袋除尘、电除尘、电袋除尘等高效除尘技术，鼓励火电机组和大型燃煤锅炉采用湿式电除尘等新技术”及“六、防治生活污染 （二十八）在城市郊区和农村地区，推广使用清洁能源和高效节能锅炉，有条件的地区宜发展集中供暖或地热等采暖方式，以替代小型燃煤、燃油取暖炉，减轻面源污染。”要求。</w:t>
      </w:r>
    </w:p>
    <w:p w14:paraId="5D65B925">
      <w:pPr>
        <w:rPr>
          <w:rFonts w:ascii="Times New Roman" w:hAnsi="Times New Roman"/>
          <w:highlight w:val="none"/>
        </w:rPr>
      </w:pPr>
      <w:r>
        <w:rPr>
          <w:rFonts w:ascii="Times New Roman" w:hAnsi="Times New Roman"/>
          <w:highlight w:val="none"/>
        </w:rPr>
        <w:t>符合性分析：本项目建</w:t>
      </w:r>
      <w:r>
        <w:rPr>
          <w:rFonts w:hint="eastAsia" w:ascii="Times New Roman" w:hAnsi="Times New Roman"/>
          <w:highlight w:val="none"/>
          <w:lang w:val="en-US" w:eastAsia="zh-CN"/>
        </w:rPr>
        <w:t>设116MW+58MW热水锅炉和1台35t/h蒸汽锅炉共三台</w:t>
      </w:r>
      <w:r>
        <w:rPr>
          <w:rFonts w:ascii="Times New Roman" w:hAnsi="Times New Roman"/>
          <w:highlight w:val="none"/>
        </w:rPr>
        <w:t>，采用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石灰石–石膏湿法烟气脱硫</w:t>
      </w:r>
      <w:r>
        <w:rPr>
          <w:rFonts w:ascii="Times New Roman" w:hAnsi="Times New Roman"/>
          <w:highlight w:val="none"/>
        </w:rPr>
        <w:t>锅炉烟气净化处理系统，烟气处理后颗粒物、SO</w:t>
      </w:r>
      <w:r>
        <w:rPr>
          <w:rFonts w:ascii="Times New Roman" w:hAnsi="Times New Roman"/>
          <w:highlight w:val="none"/>
          <w:vertAlign w:val="subscript"/>
        </w:rPr>
        <w:t>2</w:t>
      </w:r>
      <w:r>
        <w:rPr>
          <w:rFonts w:ascii="Times New Roman" w:hAnsi="Times New Roman"/>
          <w:highlight w:val="none"/>
        </w:rPr>
        <w:t>和NOx等污染物均能达到超低排放要求。</w:t>
      </w:r>
    </w:p>
    <w:p w14:paraId="70ED98D6">
      <w:pPr>
        <w:pStyle w:val="5"/>
        <w:spacing w:beforeLines="-2147483648" w:beforeAutospacing="0" w:afterLines="-2147483648" w:afterAutospacing="0" w:line="415" w:lineRule="auto"/>
        <w:ind w:firstLine="0" w:firstLineChars="0"/>
        <w:rPr>
          <w:rFonts w:hint="eastAsia"/>
          <w:highlight w:val="none"/>
          <w:lang w:val="en-US" w:eastAsia="zh-CN"/>
        </w:rPr>
      </w:pPr>
      <w:bookmarkStart w:id="25" w:name="_Toc16335"/>
      <w:r>
        <w:rPr>
          <w:rFonts w:hint="eastAsia" w:ascii="Times New Roman" w:hAnsi="Times New Roman" w:eastAsia="宋体" w:cs="Times New Roman"/>
          <w:bCs/>
          <w:sz w:val="30"/>
          <w:szCs w:val="32"/>
          <w:highlight w:val="none"/>
          <w:lang w:val="en-US" w:eastAsia="zh-CN"/>
        </w:rPr>
        <w:t>1.4.10与《黑龙江省“十四五”生态环境保护规划》符合性分析</w:t>
      </w:r>
      <w:bookmarkEnd w:id="25"/>
    </w:p>
    <w:p w14:paraId="08C15B75">
      <w:pPr>
        <w:ind w:firstLine="480"/>
        <w:rPr>
          <w:rFonts w:ascii="Times New Roman" w:hAnsi="Times New Roman"/>
          <w:highlight w:val="none"/>
        </w:rPr>
      </w:pPr>
      <w:r>
        <w:rPr>
          <w:rFonts w:ascii="Times New Roman" w:hAnsi="Times New Roman"/>
          <w:highlight w:val="none"/>
        </w:rPr>
        <w:t>加大燃煤污染治理力度。深入实施散煤污染治理“三重一改”攻坚行动，统筹城市棚户区、城中村、城乡结合部、商户和农村地区散煤污染治理，到2022年，“两市两县两景区”等重点地区散煤用量大幅下降。各地持续推进散煤污染治理，到2025年，哈尔滨市、齐齐哈尔市、大庆市、绥化市散煤用量分别减少50%，哈尔滨市主城区建成区基本实现散煤清零。加快淘汰地级城市建成区10-35蒸吨/小时燃煤锅炉，推进65蒸吨/小时及以上燃煤锅炉（含电力）超低排放改造。实现20蒸吨/小时及以上锅炉稳定达标排放全覆盖。</w:t>
      </w:r>
    </w:p>
    <w:p w14:paraId="1AE9148E">
      <w:pPr>
        <w:rPr>
          <w:rFonts w:ascii="Times New Roman" w:hAnsi="Times New Roman"/>
          <w:highlight w:val="none"/>
        </w:rPr>
      </w:pPr>
      <w:r>
        <w:rPr>
          <w:rFonts w:ascii="Times New Roman" w:hAnsi="Times New Roman"/>
          <w:highlight w:val="none"/>
        </w:rPr>
        <w:t>本项目建</w:t>
      </w:r>
      <w:r>
        <w:rPr>
          <w:rFonts w:hint="eastAsia" w:ascii="Times New Roman" w:hAnsi="Times New Roman"/>
          <w:highlight w:val="none"/>
          <w:lang w:val="en-US" w:eastAsia="zh-CN"/>
        </w:rPr>
        <w:t>设116MW+58MW热水锅炉和1台35t/h蒸汽锅炉共三台</w:t>
      </w:r>
      <w:r>
        <w:rPr>
          <w:rFonts w:ascii="Times New Roman" w:hAnsi="Times New Roman"/>
          <w:highlight w:val="none"/>
        </w:rPr>
        <w:t>，采用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石灰石–石膏湿法烟气脱硫</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3炉1塔</w:t>
      </w:r>
      <w:r>
        <w:rPr>
          <w:rFonts w:hint="eastAsia" w:ascii="Times New Roman" w:hAnsi="Times New Roman"/>
          <w:szCs w:val="24"/>
          <w:highlight w:val="none"/>
          <w:lang w:eastAsia="zh-CN"/>
        </w:rPr>
        <w:t>）</w:t>
      </w:r>
      <w:r>
        <w:rPr>
          <w:rFonts w:ascii="Times New Roman" w:hAnsi="Times New Roman"/>
          <w:highlight w:val="none"/>
        </w:rPr>
        <w:t>锅炉烟气净化处理系统，烟气通过</w:t>
      </w:r>
      <w:r>
        <w:rPr>
          <w:rFonts w:hint="eastAsia" w:ascii="Times New Roman" w:hAnsi="Times New Roman"/>
          <w:highlight w:val="none"/>
          <w:lang w:val="en-US" w:eastAsia="zh-CN"/>
        </w:rPr>
        <w:t>60</w:t>
      </w:r>
      <w:r>
        <w:rPr>
          <w:rFonts w:ascii="Times New Roman" w:hAnsi="Times New Roman"/>
          <w:highlight w:val="none"/>
        </w:rPr>
        <w:t>m高烟囱排放</w:t>
      </w:r>
      <w:r>
        <w:rPr>
          <w:rFonts w:hint="eastAsia" w:ascii="Times New Roman" w:hAnsi="Times New Roman"/>
          <w:highlight w:val="none"/>
          <w:lang w:eastAsia="zh-CN"/>
        </w:rPr>
        <w:t>。</w:t>
      </w:r>
      <w:r>
        <w:rPr>
          <w:rFonts w:ascii="Times New Roman" w:hAnsi="Times New Roman"/>
          <w:highlight w:val="none"/>
        </w:rPr>
        <w:t>本工程SO</w:t>
      </w:r>
      <w:r>
        <w:rPr>
          <w:rFonts w:ascii="Times New Roman" w:hAnsi="Times New Roman"/>
          <w:highlight w:val="none"/>
          <w:vertAlign w:val="subscript"/>
        </w:rPr>
        <w:t>2</w:t>
      </w:r>
      <w:r>
        <w:rPr>
          <w:rFonts w:ascii="Times New Roman" w:hAnsi="Times New Roman"/>
          <w:highlight w:val="none"/>
        </w:rPr>
        <w:t>、NOx和颗粒物排放浓度均达到超低排放限值要求。</w:t>
      </w:r>
    </w:p>
    <w:p w14:paraId="6B6632F9">
      <w:pPr>
        <w:pStyle w:val="5"/>
        <w:spacing w:beforeLines="-2147483648" w:beforeAutospacing="0" w:afterLines="-2147483648" w:afterAutospacing="0" w:line="415" w:lineRule="auto"/>
        <w:ind w:firstLine="0" w:firstLineChars="0"/>
        <w:rPr>
          <w:rFonts w:hint="eastAsia" w:ascii="Times New Roman" w:hAnsi="Times New Roman" w:eastAsia="宋体" w:cs="Times New Roman"/>
          <w:bCs/>
          <w:sz w:val="30"/>
          <w:szCs w:val="32"/>
          <w:highlight w:val="none"/>
          <w:lang w:val="en-US" w:eastAsia="zh-CN"/>
        </w:rPr>
      </w:pPr>
      <w:bookmarkStart w:id="26" w:name="_Toc16026"/>
      <w:r>
        <w:rPr>
          <w:rFonts w:hint="eastAsia" w:ascii="Times New Roman" w:hAnsi="Times New Roman" w:eastAsia="宋体" w:cs="Times New Roman"/>
          <w:bCs/>
          <w:sz w:val="30"/>
          <w:szCs w:val="32"/>
          <w:highlight w:val="none"/>
          <w:lang w:val="en-US" w:eastAsia="zh-CN"/>
        </w:rPr>
        <w:t>1.4.11与供热规划的符合性分析</w:t>
      </w:r>
      <w:bookmarkEnd w:id="26"/>
    </w:p>
    <w:p w14:paraId="4B8D3F61">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本项目</w:t>
      </w:r>
      <w:r>
        <w:rPr>
          <w:rFonts w:hint="eastAsia" w:ascii="Times New Roman" w:hAnsi="Times New Roman" w:eastAsia="宋体" w:cs="Times New Roman"/>
          <w:highlight w:val="none"/>
          <w:lang w:val="en-US" w:eastAsia="zh-CN"/>
        </w:rPr>
        <w:t>位于黑龙江省牡丹江市绥芬河市长山路幸福街1号</w:t>
      </w:r>
      <w:r>
        <w:rPr>
          <w:rFonts w:hint="eastAsia" w:ascii="Times New Roman" w:hAnsi="Times New Roman" w:cs="Times New Roman"/>
          <w:highlight w:val="none"/>
          <w:lang w:val="en-US" w:eastAsia="zh-CN"/>
        </w:rPr>
        <w:t>，根据《绥芬河市集中供热规划》（2016-2030）文中绥芬河市新区供热有限责任公司所建设的热源规模为1×29MW+1×58MW+1×116MW热水锅炉，主要承担绥芬河的北山新区和新老城区结合部区域供热，现状集中供热面积210.22万平方米。</w:t>
      </w:r>
    </w:p>
    <w:p w14:paraId="4B5208FD">
      <w:pPr>
        <w:pStyle w:val="23"/>
        <w:rPr>
          <w:rFonts w:hint="eastAsia" w:ascii="Times New Roman" w:hAnsi="Times New Roman" w:cs="Times New Roman"/>
          <w:highlight w:val="none"/>
          <w:lang w:val="en-US" w:eastAsia="zh-CN"/>
        </w:rPr>
      </w:pPr>
      <w:r>
        <w:rPr>
          <w:rFonts w:hint="eastAsia" w:ascii="Times New Roman" w:hAnsi="Times New Roman" w:eastAsia="宋体" w:cs="Times New Roman"/>
          <w:color w:val="auto"/>
          <w:kern w:val="2"/>
          <w:sz w:val="24"/>
          <w:szCs w:val="22"/>
          <w:highlight w:val="none"/>
          <w:lang w:val="en-US" w:eastAsia="zh-CN" w:bidi="ar-SA"/>
        </w:rPr>
        <w:t>企业于2017年8月29日将29MW热水锅炉改造为35t/h蒸汽锅炉（具体佐证资料详见附件13：35t/h锅炉建设凭证），无相关环评手续。</w:t>
      </w:r>
      <w:r>
        <w:rPr>
          <w:rFonts w:hint="eastAsia" w:ascii="Times New Roman" w:hAnsi="Times New Roman" w:cs="Times New Roman"/>
          <w:highlight w:val="none"/>
          <w:lang w:val="en-US" w:eastAsia="zh-CN"/>
        </w:rPr>
        <w:t>本项目实际建设</w:t>
      </w:r>
      <w:r>
        <w:rPr>
          <w:rFonts w:hint="eastAsia" w:ascii="Times New Roman" w:hAnsi="Times New Roman"/>
          <w:highlight w:val="none"/>
          <w:lang w:val="en-US" w:eastAsia="zh-CN"/>
        </w:rPr>
        <w:t>116MW+58MW热水锅炉和1台35t/h蒸汽锅炉共三台，</w:t>
      </w:r>
      <w:r>
        <w:rPr>
          <w:rFonts w:hint="eastAsia" w:ascii="Times New Roman" w:hAnsi="Times New Roman" w:cs="Times New Roman"/>
          <w:highlight w:val="none"/>
          <w:lang w:val="en-US" w:eastAsia="zh-CN"/>
        </w:rPr>
        <w:t>主要承担绥芬河的北山新区和新老城区结合部区域供热，现状集中供热面积约210万平方米。35t/h蒸汽锅炉和29MW热水锅炉热效率是等效的，因此本项目实际情况符合《绥芬河市集中供热规划》（2016-2030）。</w:t>
      </w:r>
    </w:p>
    <w:p w14:paraId="26E7FFC9">
      <w:pPr>
        <w:pStyle w:val="5"/>
        <w:spacing w:beforeLines="-2147483648" w:beforeAutospacing="0" w:afterLines="-2147483648" w:afterAutospacing="0" w:line="415" w:lineRule="auto"/>
        <w:ind w:firstLine="0" w:firstLineChars="0"/>
        <w:rPr>
          <w:rFonts w:hint="eastAsia" w:ascii="Times New Roman" w:hAnsi="Times New Roman" w:eastAsia="宋体" w:cs="Times New Roman"/>
          <w:bCs/>
          <w:sz w:val="30"/>
          <w:szCs w:val="32"/>
          <w:highlight w:val="none"/>
          <w:lang w:val="en-US" w:eastAsia="zh-CN"/>
        </w:rPr>
      </w:pPr>
      <w:bookmarkStart w:id="27" w:name="_Toc10259"/>
      <w:r>
        <w:rPr>
          <w:rFonts w:hint="eastAsia" w:ascii="Times New Roman" w:hAnsi="Times New Roman" w:eastAsia="宋体" w:cs="Times New Roman"/>
          <w:bCs/>
          <w:sz w:val="30"/>
          <w:szCs w:val="32"/>
          <w:highlight w:val="none"/>
          <w:lang w:val="en-US" w:eastAsia="zh-CN"/>
        </w:rPr>
        <w:t>1.4.12与《牡丹江市“十四五”生态环境保护规划》符合性分析</w:t>
      </w:r>
      <w:bookmarkEnd w:id="27"/>
    </w:p>
    <w:p w14:paraId="0ED19BF8">
      <w:pPr>
        <w:pStyle w:val="33"/>
        <w:ind w:left="0" w:leftChars="0" w:firstLine="480"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其中规定</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建设清洁低碳、安全高效的能源体系，科学规划区域能源供应,优化能源分配和供应</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加快绿色建筑推广及清洁能源改造，完善天然气管网建设，推广应用高效节能环保型锅炉，实施可再生能源替代行动，大力发展水电、生物质、光伏等项目建设，促进非化石能源成为能源消费增量主体.定期开展淘汰锅炉“回头看”工作，严防淘汰锅炉再次出现</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严格控制煤炭用量</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对于以煤、石焦油、渣油、重油等为燃料的锅炉和工业炉窑</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加快使用清洁低碳能源以及工厂余热、电力热力等进行替代。</w:t>
      </w:r>
    </w:p>
    <w:p w14:paraId="3C110223">
      <w:pPr>
        <w:pStyle w:val="33"/>
        <w:ind w:left="0" w:leftChars="0" w:firstLine="480"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加大燃煤污染治理力度</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深入实施散煤污染治理“三重一改”攻坚行动</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统筹城市棚户区、城中村、城乡接合部、商户和农村地区散煤污染治理</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散煤用量持续下降，持续推进散煤污染治理，确保散煤用量降低</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加快淘汰建成区10-35蒸吨/小时燃煤锅炉，推进65蒸吨/小时及以上燃煤锅炉(含电力)超低排放改造</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实现20蒸吨/小时及以上锅炉稳定达标排放全覆盖.已有行业排放标准的工业炉窑，严格执行行业排放标准相关规定</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确保稳定达标排放</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燃煤电厂、燃煤供热锅炉以及其他燃煤单位，应当采用清洁生产工艺，配套建设除尘、脱硫、脱硝等装置或者采用技术改造等措施，确保工业废气达标排放。</w:t>
      </w:r>
    </w:p>
    <w:p w14:paraId="60610E7F">
      <w:pPr>
        <w:pStyle w:val="33"/>
        <w:ind w:left="0" w:leftChars="0" w:firstLine="480" w:firstLineChars="200"/>
        <w:rPr>
          <w:rFonts w:hint="default" w:ascii="Times New Roman" w:hAnsi="Times New Roman" w:eastAsia="宋体" w:cs="Times New Roman"/>
          <w:b w:val="0"/>
          <w:bCs w:val="0"/>
          <w:color w:val="auto"/>
          <w:sz w:val="24"/>
          <w:highlight w:val="none"/>
          <w:lang w:val="en-US" w:eastAsia="zh-CN"/>
        </w:rPr>
      </w:pPr>
      <w:r>
        <w:rPr>
          <w:rFonts w:hint="default" w:ascii="Times New Roman" w:hAnsi="Times New Roman" w:eastAsia="宋体" w:cs="Times New Roman"/>
          <w:b w:val="0"/>
          <w:bCs w:val="0"/>
          <w:color w:val="auto"/>
          <w:sz w:val="24"/>
          <w:highlight w:val="none"/>
          <w:lang w:val="en-US" w:eastAsia="zh-CN"/>
        </w:rPr>
        <w:t>强化秸秆综合利用和禁烧</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编制秸秆综合利用实施方案</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合理安排肥料化、饲料化、基料化、能源化、原料化利用，完善秸秆收储运体系</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研发推广综合利用先进技术和设备，拓宽利用路径，完善扶持政策，实现秸秆综合利用水平全面提升</w:t>
      </w:r>
      <w:r>
        <w:rPr>
          <w:rFonts w:hint="eastAsia" w:hAnsi="Times New Roman" w:cs="Times New Roman"/>
          <w:b w:val="0"/>
          <w:bCs w:val="0"/>
          <w:color w:val="auto"/>
          <w:sz w:val="24"/>
          <w:highlight w:val="none"/>
          <w:lang w:val="en-US" w:eastAsia="zh-CN"/>
        </w:rPr>
        <w:t>，</w:t>
      </w:r>
      <w:r>
        <w:rPr>
          <w:rFonts w:hint="default" w:ascii="Times New Roman" w:hAnsi="Times New Roman" w:eastAsia="宋体" w:cs="Times New Roman"/>
          <w:b w:val="0"/>
          <w:bCs w:val="0"/>
          <w:color w:val="auto"/>
          <w:sz w:val="24"/>
          <w:highlight w:val="none"/>
          <w:lang w:val="en-US" w:eastAsia="zh-CN"/>
        </w:rPr>
        <w:t>到2025年，全市秸秆综合利用率达到90%左右。</w:t>
      </w:r>
    </w:p>
    <w:p w14:paraId="47B180DE">
      <w:pPr>
        <w:rPr>
          <w:rFonts w:ascii="Times New Roman" w:hAnsi="Times New Roman"/>
          <w:highlight w:val="none"/>
        </w:rPr>
      </w:pPr>
      <w:r>
        <w:rPr>
          <w:rFonts w:ascii="Times New Roman" w:hAnsi="Times New Roman"/>
          <w:highlight w:val="none"/>
        </w:rPr>
        <w:t>本项目建</w:t>
      </w:r>
      <w:r>
        <w:rPr>
          <w:rFonts w:hint="eastAsia" w:ascii="Times New Roman" w:hAnsi="Times New Roman"/>
          <w:highlight w:val="none"/>
          <w:lang w:val="en-US" w:eastAsia="zh-CN"/>
        </w:rPr>
        <w:t>设116MW+58MW热水锅炉和1台35t/h蒸汽锅炉共三台</w:t>
      </w:r>
      <w:r>
        <w:rPr>
          <w:rFonts w:ascii="Times New Roman" w:hAnsi="Times New Roman"/>
          <w:highlight w:val="none"/>
        </w:rPr>
        <w:t>，采用</w:t>
      </w:r>
      <w:r>
        <w:rPr>
          <w:rFonts w:ascii="Times New Roman" w:hAnsi="Times New Roman"/>
          <w:szCs w:val="24"/>
          <w:highlight w:val="none"/>
        </w:rPr>
        <w:t>低氮燃烧+SNCR-SCR联合脱硝（尿素）+</w:t>
      </w:r>
      <w:r>
        <w:rPr>
          <w:rFonts w:ascii="Times New Roman" w:hAnsi="Times New Roman"/>
          <w:kern w:val="0"/>
          <w:szCs w:val="24"/>
          <w:highlight w:val="none"/>
          <w:lang w:val="de-DE"/>
        </w:rPr>
        <w:t>布袋除尘器</w:t>
      </w:r>
      <w:r>
        <w:rPr>
          <w:rFonts w:ascii="Times New Roman" w:hAnsi="Times New Roman"/>
          <w:kern w:val="0"/>
          <w:szCs w:val="24"/>
          <w:highlight w:val="none"/>
        </w:rPr>
        <w:t>+</w:t>
      </w:r>
      <w:r>
        <w:rPr>
          <w:rFonts w:ascii="Times New Roman" w:hAnsi="Times New Roman"/>
          <w:szCs w:val="24"/>
          <w:highlight w:val="none"/>
        </w:rPr>
        <w:t>石灰石–石膏湿法烟气脱硫</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3炉1塔</w:t>
      </w:r>
      <w:r>
        <w:rPr>
          <w:rFonts w:hint="eastAsia" w:ascii="Times New Roman" w:hAnsi="Times New Roman"/>
          <w:szCs w:val="24"/>
          <w:highlight w:val="none"/>
          <w:lang w:eastAsia="zh-CN"/>
        </w:rPr>
        <w:t>）</w:t>
      </w:r>
      <w:r>
        <w:rPr>
          <w:rFonts w:ascii="Times New Roman" w:hAnsi="Times New Roman"/>
          <w:highlight w:val="none"/>
        </w:rPr>
        <w:t>锅炉烟气净化处理系统，烟气通过</w:t>
      </w:r>
      <w:r>
        <w:rPr>
          <w:rFonts w:hint="eastAsia" w:ascii="Times New Roman" w:hAnsi="Times New Roman"/>
          <w:highlight w:val="none"/>
          <w:lang w:val="en-US" w:eastAsia="zh-CN"/>
        </w:rPr>
        <w:t>60</w:t>
      </w:r>
      <w:r>
        <w:rPr>
          <w:rFonts w:ascii="Times New Roman" w:hAnsi="Times New Roman"/>
          <w:highlight w:val="none"/>
        </w:rPr>
        <w:t>m高烟囱排放</w:t>
      </w:r>
      <w:r>
        <w:rPr>
          <w:rFonts w:hint="eastAsia" w:ascii="Times New Roman" w:hAnsi="Times New Roman"/>
          <w:highlight w:val="none"/>
          <w:lang w:eastAsia="zh-CN"/>
        </w:rPr>
        <w:t>。</w:t>
      </w:r>
      <w:r>
        <w:rPr>
          <w:rFonts w:ascii="Times New Roman" w:hAnsi="Times New Roman"/>
          <w:highlight w:val="none"/>
        </w:rPr>
        <w:t>本工程SO</w:t>
      </w:r>
      <w:r>
        <w:rPr>
          <w:rFonts w:ascii="Times New Roman" w:hAnsi="Times New Roman"/>
          <w:highlight w:val="none"/>
          <w:vertAlign w:val="subscript"/>
        </w:rPr>
        <w:t>2</w:t>
      </w:r>
      <w:r>
        <w:rPr>
          <w:rFonts w:ascii="Times New Roman" w:hAnsi="Times New Roman"/>
          <w:highlight w:val="none"/>
        </w:rPr>
        <w:t>、NOx和颗粒物排放浓度均达到超低排放限值要求。</w:t>
      </w:r>
    </w:p>
    <w:p w14:paraId="1F9F9C48">
      <w:pPr>
        <w:pStyle w:val="5"/>
        <w:bidi w:val="0"/>
        <w:ind w:left="0" w:leftChars="0" w:firstLine="0" w:firstLineChars="0"/>
        <w:rPr>
          <w:rFonts w:hint="eastAsia"/>
          <w:highlight w:val="none"/>
          <w:lang w:val="en-US" w:eastAsia="zh-CN"/>
        </w:rPr>
      </w:pPr>
      <w:bookmarkStart w:id="28" w:name="_Toc26765"/>
      <w:r>
        <w:rPr>
          <w:rFonts w:hint="eastAsia"/>
          <w:highlight w:val="none"/>
          <w:lang w:val="en-US" w:eastAsia="zh-CN"/>
        </w:rPr>
        <w:t>1.4.13与《关于印发改善牡丹江市区空气质量实施方案的通知》符合性分析</w:t>
      </w:r>
      <w:bookmarkEnd w:id="28"/>
    </w:p>
    <w:p w14:paraId="2B25CDF6">
      <w:pPr>
        <w:rPr>
          <w:rFonts w:hint="default"/>
          <w:highlight w:val="none"/>
          <w:lang w:val="en-US" w:eastAsia="zh-CN"/>
        </w:rPr>
      </w:pPr>
      <w:r>
        <w:rPr>
          <w:rFonts w:hint="default"/>
          <w:highlight w:val="none"/>
          <w:lang w:val="en-US" w:eastAsia="zh-CN"/>
        </w:rPr>
        <w:t>《关于印发改善牡丹江市区空气质量实施方案的通知》中指出：（五）整治燃煤锅炉。在调查分析和现场检查基础上，对市区冒黑烟和冒黑烟隐患锅炉分别采取不同整治对策。1.整治冒黑烟锅炉。（1）经现场执法检查，对烟尘超标的锅炉，依法给予处罚，并责令违规操作的立即整改。2.限期治理。经现场执法检查，对市区锅炉、除尘器落后，烟尘超标的单位（其中工业企业13户，锻(铸)造业11户，木业企业82户）限期治理(第-批)。2.整治冒黑烟隐患锅炉。（1）热网辐射内的用热用汽锅炉并入大网，并网41台。（2）换吨位大、性能好符合环保标准要求的锅炉170台。（3）鼓励和约束使用除煤炭外的清洁燃料，240台。（4）配备高效除尘器，9台。（5）2014年计划淘汰燃煤小锅炉89台(占现有的30%)，其中生产41台，供热48台。计划实施集中供热35个，清洁能源替代54个子以淘汰取缔。详细名单由主管部门提供。</w:t>
      </w:r>
    </w:p>
    <w:p w14:paraId="116FBA81">
      <w:pPr>
        <w:bidi w:val="0"/>
        <w:rPr>
          <w:rFonts w:hint="default"/>
          <w:highlight w:val="none"/>
          <w:lang w:val="en-US" w:eastAsia="zh-CN"/>
        </w:rPr>
      </w:pPr>
      <w:r>
        <w:rPr>
          <w:rFonts w:hint="default"/>
          <w:highlight w:val="none"/>
          <w:lang w:val="en-US" w:eastAsia="zh-CN"/>
        </w:rPr>
        <w:t>本项目建设116MW+58MW热水锅炉和1台35t/h蒸汽锅炉共三台，采用低氮燃烧+SNCR-SCR联合脱硝（尿素）+布袋除尘器+石灰石–石膏湿法烟气脱硫（3炉1塔）锅炉烟气净化处理系统，烟气通过60m高烟囱排放。本工程SO2、NOx和颗粒物排放浓度均达到超低排放限值要求。</w:t>
      </w:r>
    </w:p>
    <w:p w14:paraId="658C85F4">
      <w:pPr>
        <w:pStyle w:val="5"/>
        <w:bidi w:val="0"/>
        <w:ind w:left="0" w:leftChars="0" w:firstLine="0" w:firstLineChars="0"/>
        <w:rPr>
          <w:rFonts w:hint="eastAsia"/>
          <w:sz w:val="30"/>
          <w:szCs w:val="30"/>
          <w:highlight w:val="none"/>
          <w:lang w:val="en-US" w:eastAsia="zh-CN"/>
        </w:rPr>
      </w:pPr>
      <w:bookmarkStart w:id="29" w:name="_Toc25888"/>
      <w:r>
        <w:rPr>
          <w:rFonts w:hint="eastAsia"/>
          <w:highlight w:val="none"/>
          <w:lang w:val="en-US" w:eastAsia="zh-CN"/>
        </w:rPr>
        <w:t>1.4.14</w:t>
      </w:r>
      <w:r>
        <w:rPr>
          <w:rFonts w:hint="eastAsia"/>
          <w:sz w:val="30"/>
          <w:szCs w:val="30"/>
          <w:highlight w:val="none"/>
          <w:lang w:val="en-US" w:eastAsia="zh-CN"/>
        </w:rPr>
        <w:t>与关于《绥芬河边境经济合作区（代管区）总体规划（2021-2035年）环境影响报告书》的审查意见</w:t>
      </w:r>
      <w:bookmarkEnd w:id="29"/>
    </w:p>
    <w:p w14:paraId="294B35E1">
      <w:pPr>
        <w:ind w:firstLine="48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关于《绥芬河边境经济合作区（代管区）总体规划（2021-2035年）环境影响报告书》的审查意见中指出：(四)属守环境质量底线，强化污染物排放总量管控。根据国家和黑龙江省大气、水、土壤污染防治及黑龙江省、牡丹江市生态环境分区管控方案和《报告书》相关要求，采取有效措施最大限度减少污染物的排放量，确保区域生态环境质量持续改善。</w:t>
      </w:r>
    </w:p>
    <w:p w14:paraId="58DF2EE8">
      <w:pPr>
        <w:pStyle w:val="7"/>
        <w:rPr>
          <w:rFonts w:hint="default"/>
          <w:highlight w:val="none"/>
          <w:lang w:val="en-US" w:eastAsia="zh-CN"/>
        </w:rPr>
      </w:pPr>
      <w:r>
        <w:rPr>
          <w:rFonts w:hint="eastAsia" w:ascii="Times New Roman" w:hAnsi="Times New Roman"/>
          <w:color w:val="auto"/>
          <w:highlight w:val="none"/>
          <w:lang w:val="en-US" w:eastAsia="zh-CN"/>
        </w:rPr>
        <w:t>本项目位于绥芬河边境经济合作区内，</w:t>
      </w:r>
      <w:r>
        <w:rPr>
          <w:rFonts w:hint="default"/>
          <w:highlight w:val="none"/>
          <w:lang w:val="en-US" w:eastAsia="zh-CN"/>
        </w:rPr>
        <w:t>本项目建设116MW+58MW热水锅炉和1台35t/h蒸汽锅炉共三台，采用低氮燃烧+SNCR-SCR联合脱硝（尿素）+布袋除尘器+石灰石–石膏湿法烟气脱硫（3炉1塔）锅炉烟气净化处理系统，烟气通过60m高烟囱排放。本工程SO2、NOx和颗粒物排放浓度均达到超低排放限值要求。</w:t>
      </w:r>
    </w:p>
    <w:p w14:paraId="699C4577">
      <w:pPr>
        <w:pStyle w:val="4"/>
        <w:ind w:left="0" w:leftChars="0" w:firstLine="0" w:firstLineChars="0"/>
        <w:rPr>
          <w:rFonts w:ascii="Times New Roman" w:hAnsi="Times New Roman"/>
          <w:color w:val="auto"/>
          <w:highlight w:val="none"/>
        </w:rPr>
      </w:pPr>
      <w:bookmarkStart w:id="30" w:name="_Toc22360"/>
      <w:r>
        <w:rPr>
          <w:rFonts w:hint="eastAsia"/>
          <w:highlight w:val="none"/>
          <w:lang w:val="en-US" w:eastAsia="zh-CN"/>
        </w:rPr>
        <w:t>1.5</w:t>
      </w:r>
      <w:r>
        <w:rPr>
          <w:rFonts w:ascii="Times New Roman" w:hAnsi="Times New Roman"/>
          <w:color w:val="auto"/>
          <w:highlight w:val="none"/>
        </w:rPr>
        <w:t>关注的主要环境问题及环境影响</w:t>
      </w:r>
      <w:bookmarkEnd w:id="30"/>
    </w:p>
    <w:p w14:paraId="3E335FDD">
      <w:pPr>
        <w:ind w:firstLine="480"/>
        <w:rPr>
          <w:rFonts w:ascii="Times New Roman" w:hAnsi="Times New Roman"/>
          <w:color w:val="auto"/>
          <w:highlight w:val="none"/>
        </w:rPr>
      </w:pPr>
      <w:r>
        <w:rPr>
          <w:rFonts w:ascii="Times New Roman" w:hAnsi="Times New Roman"/>
          <w:color w:val="auto"/>
          <w:highlight w:val="none"/>
        </w:rPr>
        <w:t>1、对大气环境的影响</w:t>
      </w:r>
    </w:p>
    <w:p w14:paraId="18983675">
      <w:pPr>
        <w:ind w:firstLine="480"/>
        <w:rPr>
          <w:rFonts w:ascii="Times New Roman" w:hAnsi="Times New Roman"/>
          <w:color w:val="auto"/>
          <w:highlight w:val="none"/>
        </w:rPr>
      </w:pPr>
      <w:r>
        <w:rPr>
          <w:rFonts w:ascii="Times New Roman" w:hAnsi="Times New Roman"/>
          <w:color w:val="auto"/>
          <w:highlight w:val="none"/>
        </w:rPr>
        <w:t>本项目产生的废气主要是锅炉烟气，主要污染因子有锅炉排放的常规污染物烟尘、SO</w:t>
      </w:r>
      <w:r>
        <w:rPr>
          <w:rFonts w:ascii="Times New Roman" w:hAnsi="Times New Roman"/>
          <w:color w:val="auto"/>
          <w:highlight w:val="none"/>
          <w:vertAlign w:val="subscript"/>
        </w:rPr>
        <w:t>2</w:t>
      </w:r>
      <w:r>
        <w:rPr>
          <w:rFonts w:ascii="Times New Roman" w:hAnsi="Times New Roman"/>
          <w:color w:val="auto"/>
          <w:highlight w:val="none"/>
        </w:rPr>
        <w:t>、NOx、汞及其化合物；储煤、输煤、碎煤、灰仓、渣仓、</w:t>
      </w:r>
      <w:r>
        <w:rPr>
          <w:rFonts w:hint="eastAsia" w:ascii="Times New Roman" w:hAnsi="Times New Roman"/>
          <w:color w:val="auto"/>
          <w:highlight w:val="none"/>
          <w:lang w:eastAsia="zh-CN"/>
        </w:rPr>
        <w:t>石灰石粉仓</w:t>
      </w:r>
      <w:r>
        <w:rPr>
          <w:rFonts w:ascii="Times New Roman" w:hAnsi="Times New Roman"/>
          <w:color w:val="auto"/>
          <w:highlight w:val="none"/>
        </w:rPr>
        <w:t>产生的粉尘；脱硝产生的逃逸氨。</w:t>
      </w:r>
    </w:p>
    <w:p w14:paraId="37FB10D9">
      <w:pPr>
        <w:ind w:firstLine="480"/>
        <w:rPr>
          <w:rFonts w:ascii="Times New Roman" w:hAnsi="Times New Roman"/>
          <w:color w:val="auto"/>
          <w:highlight w:val="none"/>
        </w:rPr>
      </w:pPr>
      <w:r>
        <w:rPr>
          <w:rFonts w:hint="eastAsia" w:ascii="宋体" w:hAnsi="宋体" w:cs="宋体"/>
          <w:color w:val="auto"/>
          <w:highlight w:val="none"/>
        </w:rPr>
        <w:t>①</w:t>
      </w:r>
      <w:r>
        <w:rPr>
          <w:rFonts w:ascii="Times New Roman" w:hAnsi="Times New Roman"/>
          <w:color w:val="auto"/>
          <w:highlight w:val="none"/>
        </w:rPr>
        <w:t>本项目锅炉烟气采用低氮燃烧+SNCR-SCR脱硝（脱硝效率</w:t>
      </w:r>
      <w:r>
        <w:rPr>
          <w:rFonts w:hint="eastAsia" w:ascii="Times New Roman" w:hAnsi="Times New Roman"/>
          <w:color w:val="auto"/>
          <w:highlight w:val="none"/>
          <w:lang w:val="en-US" w:eastAsia="zh-CN"/>
        </w:rPr>
        <w:t>99</w:t>
      </w:r>
      <w:r>
        <w:rPr>
          <w:rFonts w:ascii="Times New Roman" w:hAnsi="Times New Roman"/>
          <w:color w:val="auto"/>
          <w:highlight w:val="none"/>
        </w:rPr>
        <w:t>%）+</w:t>
      </w:r>
      <w:r>
        <w:rPr>
          <w:rFonts w:hint="eastAsia" w:ascii="Times New Roman" w:hAnsi="Times New Roman"/>
          <w:color w:val="auto"/>
          <w:highlight w:val="none"/>
        </w:rPr>
        <w:t>炉内喷钙+半干法脱硫</w:t>
      </w:r>
      <w:r>
        <w:rPr>
          <w:rFonts w:ascii="Times New Roman" w:hAnsi="Times New Roman"/>
          <w:color w:val="auto"/>
          <w:highlight w:val="none"/>
        </w:rPr>
        <w:t>（脱硫效率</w:t>
      </w:r>
      <w:r>
        <w:rPr>
          <w:rFonts w:hint="eastAsia" w:ascii="Times New Roman" w:hAnsi="Times New Roman"/>
          <w:color w:val="auto"/>
          <w:highlight w:val="none"/>
          <w:lang w:val="en-US" w:eastAsia="zh-CN"/>
        </w:rPr>
        <w:t>97</w:t>
      </w:r>
      <w:r>
        <w:rPr>
          <w:rFonts w:ascii="Times New Roman" w:hAnsi="Times New Roman"/>
          <w:color w:val="auto"/>
          <w:highlight w:val="none"/>
        </w:rPr>
        <w:t>%）+布袋除尘器（除尘效率99.96%）的烟气净化技术，经一座高度</w:t>
      </w:r>
      <w:r>
        <w:rPr>
          <w:rFonts w:hint="eastAsia" w:ascii="Times New Roman" w:hAnsi="Times New Roman"/>
          <w:color w:val="auto"/>
          <w:highlight w:val="none"/>
        </w:rPr>
        <w:t>为</w:t>
      </w:r>
      <w:r>
        <w:rPr>
          <w:rFonts w:hint="eastAsia" w:ascii="Times New Roman" w:hAnsi="Times New Roman"/>
          <w:color w:val="auto"/>
          <w:highlight w:val="none"/>
          <w:lang w:val="en-US" w:eastAsia="zh-CN"/>
        </w:rPr>
        <w:t>60</w:t>
      </w:r>
      <w:r>
        <w:rPr>
          <w:rFonts w:ascii="Times New Roman" w:hAnsi="Times New Roman"/>
          <w:color w:val="auto"/>
          <w:highlight w:val="none"/>
        </w:rPr>
        <w:t>m、出口内径</w:t>
      </w:r>
      <w:r>
        <w:rPr>
          <w:rFonts w:hint="eastAsia" w:ascii="Times New Roman" w:hAnsi="Times New Roman"/>
          <w:color w:val="auto"/>
          <w:highlight w:val="none"/>
          <w:lang w:val="en-US" w:eastAsia="zh-CN"/>
        </w:rPr>
        <w:t>4</w:t>
      </w:r>
      <w:r>
        <w:rPr>
          <w:rFonts w:ascii="Times New Roman" w:hAnsi="Times New Roman"/>
          <w:color w:val="auto"/>
          <w:highlight w:val="none"/>
        </w:rPr>
        <w:t>m的烟囱排放。采取上述废气污染防治措施后，锅炉烟气污染物排放浓度满足超低排放限值要求（在基准氧含量6%条件下，烟尘、SO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X</w:t>
      </w:r>
      <w:r>
        <w:rPr>
          <w:rFonts w:ascii="Times New Roman" w:hAnsi="Times New Roman"/>
          <w:color w:val="auto"/>
          <w:highlight w:val="none"/>
        </w:rPr>
        <w:t>排放浓度分别不高于10mg/m</w:t>
      </w:r>
      <w:r>
        <w:rPr>
          <w:rFonts w:ascii="Times New Roman" w:hAnsi="Times New Roman"/>
          <w:color w:val="auto"/>
          <w:highlight w:val="none"/>
          <w:vertAlign w:val="superscript"/>
        </w:rPr>
        <w:t>3</w:t>
      </w:r>
      <w:r>
        <w:rPr>
          <w:rFonts w:ascii="Times New Roman" w:hAnsi="Times New Roman"/>
          <w:color w:val="auto"/>
          <w:highlight w:val="none"/>
        </w:rPr>
        <w:t>、35mg/m</w:t>
      </w:r>
      <w:r>
        <w:rPr>
          <w:rFonts w:ascii="Times New Roman" w:hAnsi="Times New Roman"/>
          <w:color w:val="auto"/>
          <w:highlight w:val="none"/>
          <w:vertAlign w:val="superscript"/>
        </w:rPr>
        <w:t>3</w:t>
      </w:r>
      <w:r>
        <w:rPr>
          <w:rFonts w:ascii="Times New Roman" w:hAnsi="Times New Roman"/>
          <w:color w:val="auto"/>
          <w:highlight w:val="none"/>
        </w:rPr>
        <w:t>、50mg/m</w:t>
      </w:r>
      <w:r>
        <w:rPr>
          <w:rFonts w:ascii="Times New Roman" w:hAnsi="Times New Roman"/>
          <w:color w:val="auto"/>
          <w:highlight w:val="none"/>
          <w:vertAlign w:val="superscript"/>
        </w:rPr>
        <w:t>3</w:t>
      </w:r>
      <w:r>
        <w:rPr>
          <w:rFonts w:ascii="Times New Roman" w:hAnsi="Times New Roman"/>
          <w:color w:val="auto"/>
          <w:highlight w:val="none"/>
        </w:rPr>
        <w:t>）；</w:t>
      </w:r>
      <w:r>
        <w:rPr>
          <w:rFonts w:hint="eastAsia" w:ascii="Times New Roman" w:hAnsi="Times New Roman"/>
          <w:color w:val="auto"/>
          <w:highlight w:val="none"/>
        </w:rPr>
        <w:t>汞及其化合物、烟气黑度（林格曼黑度）排放满足《火电厂大气污染物排放标准》(GB13223-2011)表1中燃煤锅炉大气污染物排放标准限值：0.03mg/m</w:t>
      </w:r>
      <w:r>
        <w:rPr>
          <w:rFonts w:hint="eastAsia" w:ascii="Times New Roman" w:hAnsi="Times New Roman"/>
          <w:color w:val="auto"/>
          <w:highlight w:val="none"/>
          <w:vertAlign w:val="superscript"/>
        </w:rPr>
        <w:t>3</w:t>
      </w:r>
      <w:r>
        <w:rPr>
          <w:rFonts w:hint="eastAsia" w:ascii="Times New Roman" w:hAnsi="Times New Roman"/>
          <w:color w:val="auto"/>
          <w:highlight w:val="none"/>
        </w:rPr>
        <w:t>、1级（与现有工程经一根烟囱排放，从严执行排放标准）</w:t>
      </w:r>
    </w:p>
    <w:p w14:paraId="34F5A05F">
      <w:pPr>
        <w:ind w:firstLine="480"/>
        <w:rPr>
          <w:rFonts w:ascii="Times New Roman" w:hAnsi="Times New Roman"/>
          <w:color w:val="auto"/>
          <w:highlight w:val="none"/>
        </w:rPr>
      </w:pPr>
      <w:r>
        <w:rPr>
          <w:rFonts w:hint="eastAsia" w:ascii="宋体" w:hAnsi="宋体" w:cs="宋体"/>
          <w:color w:val="auto"/>
          <w:highlight w:val="none"/>
        </w:rPr>
        <w:t>②</w:t>
      </w:r>
      <w:r>
        <w:rPr>
          <w:rFonts w:hint="eastAsia" w:ascii="Times New Roman" w:hAnsi="Times New Roman"/>
          <w:color w:val="auto"/>
          <w:highlight w:val="none"/>
          <w:lang w:val="en-US" w:eastAsia="zh-CN"/>
        </w:rPr>
        <w:t>储煤厂四周设防风抑尘网，加盖苫布</w:t>
      </w:r>
      <w:r>
        <w:rPr>
          <w:rFonts w:hint="eastAsia" w:ascii="Times New Roman" w:hAnsi="Times New Roman"/>
          <w:color w:val="auto"/>
          <w:highlight w:val="none"/>
        </w:rPr>
        <w:t>，</w:t>
      </w:r>
      <w:r>
        <w:rPr>
          <w:rFonts w:ascii="Times New Roman" w:hAnsi="Times New Roman"/>
          <w:color w:val="auto"/>
          <w:highlight w:val="none"/>
        </w:rPr>
        <w:t>输煤系统采用全封闭结构，项目设置</w:t>
      </w:r>
      <w:r>
        <w:rPr>
          <w:rFonts w:hint="eastAsia" w:ascii="Times New Roman" w:hAnsi="Times New Roman"/>
          <w:color w:val="auto"/>
          <w:highlight w:val="none"/>
          <w:lang w:eastAsia="zh-CN"/>
        </w:rPr>
        <w:t>石灰石粉仓</w:t>
      </w:r>
      <w:r>
        <w:rPr>
          <w:rFonts w:ascii="Times New Roman" w:hAnsi="Times New Roman"/>
          <w:color w:val="auto"/>
          <w:highlight w:val="none"/>
        </w:rPr>
        <w:t>及中转的灰仓和渣仓，不设置永久灰渣场，灰仓、渣仓、</w:t>
      </w:r>
      <w:r>
        <w:rPr>
          <w:rFonts w:hint="eastAsia" w:ascii="Times New Roman" w:hAnsi="Times New Roman"/>
          <w:color w:val="auto"/>
          <w:highlight w:val="none"/>
          <w:lang w:eastAsia="zh-CN"/>
        </w:rPr>
        <w:t>石灰石粉仓</w:t>
      </w:r>
      <w:r>
        <w:rPr>
          <w:rFonts w:ascii="Times New Roman" w:hAnsi="Times New Roman"/>
          <w:color w:val="auto"/>
          <w:highlight w:val="none"/>
        </w:rPr>
        <w:t>的仓顶分别设置脉冲除尘器回收粉尘，</w:t>
      </w:r>
      <w:r>
        <w:rPr>
          <w:rFonts w:hint="eastAsia" w:ascii="Times New Roman" w:hAnsi="Times New Roman"/>
          <w:color w:val="auto"/>
          <w:highlight w:val="none"/>
        </w:rPr>
        <w:t>碎煤机室全封闭设置，设置布袋除尘器回收粉尘</w:t>
      </w:r>
      <w:r>
        <w:rPr>
          <w:rFonts w:hint="eastAsia" w:ascii="Times New Roman" w:hAnsi="Times New Roman"/>
          <w:color w:val="auto"/>
          <w:highlight w:val="none"/>
          <w:lang w:val="en-US" w:eastAsia="zh-CN"/>
        </w:rPr>
        <w:t>后经15m高排气筒排放</w:t>
      </w:r>
      <w:r>
        <w:rPr>
          <w:rFonts w:hint="eastAsia" w:ascii="Times New Roman" w:hAnsi="Times New Roman"/>
          <w:color w:val="auto"/>
          <w:highlight w:val="none"/>
        </w:rPr>
        <w:t>，</w:t>
      </w:r>
      <w:r>
        <w:rPr>
          <w:rFonts w:hint="eastAsia" w:ascii="Times New Roman" w:hAnsi="Times New Roman"/>
          <w:color w:val="auto"/>
          <w:highlight w:val="none"/>
          <w:lang w:val="en-US" w:eastAsia="zh-CN"/>
        </w:rPr>
        <w:t>有组织排放颗粒物</w:t>
      </w:r>
      <w:r>
        <w:rPr>
          <w:rFonts w:hint="eastAsia" w:ascii="Times New Roman" w:hAnsi="Times New Roman"/>
          <w:highlight w:val="none"/>
        </w:rPr>
        <w:t>《大气污染物综合排放标准》(GB16297-1996）表2中二级标准限值，本项目排气筒按高度对应的表列排放速率标准值严格50%执行</w:t>
      </w:r>
      <w:r>
        <w:rPr>
          <w:rFonts w:hint="eastAsia" w:ascii="Times New Roman" w:hAnsi="Times New Roman"/>
          <w:highlight w:val="none"/>
          <w:lang w:eastAsia="zh-CN"/>
        </w:rPr>
        <w:t>；</w:t>
      </w:r>
      <w:r>
        <w:rPr>
          <w:rFonts w:ascii="Times New Roman" w:hAnsi="Times New Roman"/>
          <w:color w:val="auto"/>
          <w:highlight w:val="none"/>
        </w:rPr>
        <w:t>无组织排放颗粒物厂界处满足《大气污染物综合排放标准》(GB16297-1996）表2中无组织排放监控浓度限值。</w:t>
      </w:r>
    </w:p>
    <w:p w14:paraId="6311A79B">
      <w:pPr>
        <w:ind w:firstLine="480"/>
        <w:rPr>
          <w:rFonts w:hint="eastAsia" w:ascii="Times New Roman" w:hAnsi="Times New Roman" w:eastAsia="宋体"/>
          <w:color w:val="auto"/>
          <w:highlight w:val="none"/>
          <w:lang w:eastAsia="zh-CN"/>
        </w:rPr>
      </w:pPr>
      <w:r>
        <w:rPr>
          <w:rFonts w:hint="eastAsia" w:ascii="宋体" w:hAnsi="宋体" w:cs="宋体"/>
          <w:color w:val="auto"/>
          <w:highlight w:val="none"/>
        </w:rPr>
        <w:t>③</w:t>
      </w:r>
      <w:r>
        <w:rPr>
          <w:rFonts w:ascii="Times New Roman" w:hAnsi="Times New Roman"/>
          <w:color w:val="auto"/>
          <w:kern w:val="0"/>
          <w:szCs w:val="24"/>
          <w:highlight w:val="none"/>
        </w:rPr>
        <w:t>锅炉烟气处理过程逃逸氨满足《火电厂氮氧化物防治技术政策》（环发〔2010〕10号）中规定：SNCR-SCR氨逃逸控制在2.5mg/m</w:t>
      </w:r>
      <w:r>
        <w:rPr>
          <w:rFonts w:ascii="Times New Roman" w:hAnsi="Times New Roman"/>
          <w:color w:val="auto"/>
          <w:kern w:val="0"/>
          <w:szCs w:val="24"/>
          <w:highlight w:val="none"/>
          <w:vertAlign w:val="superscript"/>
        </w:rPr>
        <w:t>3</w:t>
      </w:r>
      <w:r>
        <w:rPr>
          <w:rFonts w:ascii="Times New Roman" w:hAnsi="Times New Roman"/>
          <w:color w:val="auto"/>
          <w:kern w:val="0"/>
          <w:szCs w:val="24"/>
          <w:highlight w:val="none"/>
        </w:rPr>
        <w:t>（干基，标准状态）以下</w:t>
      </w:r>
      <w:r>
        <w:rPr>
          <w:rFonts w:hint="eastAsia" w:ascii="Times New Roman" w:hAnsi="Times New Roman"/>
          <w:color w:val="auto"/>
          <w:highlight w:val="none"/>
        </w:rPr>
        <w:t>，</w:t>
      </w:r>
      <w:r>
        <w:rPr>
          <w:rFonts w:ascii="Times New Roman" w:hAnsi="Times New Roman"/>
          <w:color w:val="auto"/>
          <w:highlight w:val="none"/>
        </w:rPr>
        <w:t>厂界氨的浓度满足《恶臭污染物排放标准》（GB14554-93）中表1二级标准值要求。</w:t>
      </w:r>
    </w:p>
    <w:p w14:paraId="4D21FC30">
      <w:pPr>
        <w:ind w:firstLine="480"/>
        <w:rPr>
          <w:rFonts w:ascii="Times New Roman" w:hAnsi="Times New Roman"/>
          <w:color w:val="auto"/>
          <w:highlight w:val="none"/>
        </w:rPr>
      </w:pPr>
      <w:r>
        <w:rPr>
          <w:rFonts w:ascii="Times New Roman" w:hAnsi="Times New Roman"/>
          <w:color w:val="auto"/>
          <w:highlight w:val="none"/>
        </w:rPr>
        <w:t>2、对水环境的影响</w:t>
      </w:r>
    </w:p>
    <w:p w14:paraId="0EE49348">
      <w:pPr>
        <w:ind w:firstLine="480"/>
        <w:rPr>
          <w:rFonts w:ascii="Times New Roman" w:hAnsi="Times New Roman"/>
          <w:color w:val="auto"/>
          <w:highlight w:val="none"/>
        </w:rPr>
      </w:pPr>
      <w:r>
        <w:rPr>
          <w:rFonts w:ascii="Times New Roman" w:hAnsi="Times New Roman"/>
          <w:color w:val="auto"/>
          <w:highlight w:val="none"/>
        </w:rPr>
        <w:t>（1）对地表水环境的影响</w:t>
      </w:r>
    </w:p>
    <w:p w14:paraId="6C5CB676">
      <w:pPr>
        <w:ind w:firstLine="480"/>
        <w:rPr>
          <w:rFonts w:ascii="Times New Roman" w:hAnsi="Times New Roman"/>
          <w:color w:val="auto"/>
          <w:highlight w:val="none"/>
        </w:rPr>
      </w:pPr>
      <w:r>
        <w:rPr>
          <w:rFonts w:ascii="Times New Roman" w:hAnsi="Times New Roman"/>
          <w:highlight w:val="none"/>
        </w:rPr>
        <w:t>本项目生产废水回用不外排，</w:t>
      </w:r>
      <w:r>
        <w:rPr>
          <w:rFonts w:hint="eastAsia" w:ascii="Times New Roman" w:hAnsi="Times New Roman"/>
          <w:highlight w:val="none"/>
        </w:rPr>
        <w:t>生活污水排入市政管网，经污水管网排入绥芬河中环污水处理有限公司，处理达到《城镇污水处理厂污染物排放标准》(GB18918—2002)一级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标准后</w:t>
      </w:r>
      <w:r>
        <w:rPr>
          <w:rFonts w:hint="eastAsia" w:ascii="Times New Roman" w:hAnsi="Times New Roman"/>
          <w:highlight w:val="none"/>
          <w:lang w:val="en-US" w:eastAsia="zh-CN"/>
        </w:rPr>
        <w:t>最终汇入小绥芬河</w:t>
      </w:r>
      <w:r>
        <w:rPr>
          <w:rFonts w:ascii="Times New Roman" w:hAnsi="Times New Roman"/>
          <w:highlight w:val="none"/>
        </w:rPr>
        <w:t>。</w:t>
      </w:r>
    </w:p>
    <w:p w14:paraId="3A9BE60E">
      <w:pPr>
        <w:ind w:firstLine="480"/>
        <w:rPr>
          <w:rFonts w:ascii="Times New Roman" w:hAnsi="Times New Roman"/>
          <w:color w:val="auto"/>
          <w:highlight w:val="none"/>
        </w:rPr>
      </w:pPr>
      <w:r>
        <w:rPr>
          <w:rFonts w:ascii="Times New Roman" w:hAnsi="Times New Roman"/>
          <w:color w:val="auto"/>
          <w:highlight w:val="none"/>
        </w:rPr>
        <w:t>（2）对地下水环境的影响</w:t>
      </w:r>
    </w:p>
    <w:p w14:paraId="228682D3">
      <w:pPr>
        <w:ind w:firstLine="480"/>
        <w:rPr>
          <w:rFonts w:ascii="Times New Roman" w:hAnsi="Times New Roman"/>
          <w:color w:val="auto"/>
          <w:highlight w:val="none"/>
        </w:rPr>
      </w:pPr>
      <w:r>
        <w:rPr>
          <w:rFonts w:ascii="Times New Roman" w:hAnsi="Times New Roman"/>
          <w:color w:val="auto"/>
          <w:highlight w:val="none"/>
        </w:rPr>
        <w:t>本项目对地下水污染提出了严格的防渗措施及监控体系，在有效落实这些措施后，项目正常运行对地下水影响很小。</w:t>
      </w:r>
    </w:p>
    <w:p w14:paraId="07CA188C">
      <w:pPr>
        <w:ind w:firstLine="480"/>
        <w:rPr>
          <w:rFonts w:ascii="Times New Roman" w:hAnsi="Times New Roman"/>
          <w:color w:val="auto"/>
          <w:highlight w:val="none"/>
        </w:rPr>
      </w:pPr>
      <w:r>
        <w:rPr>
          <w:rFonts w:ascii="Times New Roman" w:hAnsi="Times New Roman"/>
          <w:color w:val="auto"/>
          <w:highlight w:val="none"/>
        </w:rPr>
        <w:t>3、噪声</w:t>
      </w:r>
    </w:p>
    <w:p w14:paraId="446EB288">
      <w:pPr>
        <w:ind w:firstLine="480"/>
        <w:rPr>
          <w:rFonts w:hint="eastAsia" w:ascii="Times New Roman" w:hAnsi="Times New Roman"/>
          <w:color w:val="auto"/>
          <w:highlight w:val="none"/>
        </w:rPr>
      </w:pPr>
      <w:r>
        <w:rPr>
          <w:rFonts w:ascii="Times New Roman" w:hAnsi="Times New Roman"/>
          <w:color w:val="auto"/>
          <w:highlight w:val="none"/>
        </w:rPr>
        <w:t>锅炉风机应修建密闭隔声风机房，将引风机和鼓风机都安装在机房内，风机安装时采取减振基础、软管连接，鼓风机的进气口及引风机的出风口安装消声器；设独立的碎煤机室，并对机房采用隔声门窗，吸声材料吊顶及敷设内墙；选择低噪声水泵，安装时保证设备平衡并采取减振基础，水泵房采用吸声墙体及顶棚。</w:t>
      </w:r>
      <w:r>
        <w:rPr>
          <w:rFonts w:ascii="Times New Roman" w:hAnsi="Times New Roman"/>
          <w:highlight w:val="none"/>
        </w:rPr>
        <w:t>本项目对高噪声设备，采用隔音、消声、隔振等降噪措施，使各种噪声源得到有效的控制。本项目锅炉烟筒等高噪声设备在远离敏感点的一侧布置，以降低噪声对敏感目标的影响，通过采取上述噪声防控措施，厂界噪声可满足《工业企业厂界环境噪声排放标准》（GB12348-2008）</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r>
        <w:rPr>
          <w:rFonts w:hint="eastAsia" w:ascii="Times New Roman" w:hAnsi="Times New Roman"/>
          <w:highlight w:val="none"/>
        </w:rPr>
        <w:t>声环境敏感目标处噪声预测值均符合《声环境质量标准》（GB3096-2008）2类标准。</w:t>
      </w:r>
    </w:p>
    <w:p w14:paraId="56156B1C">
      <w:pPr>
        <w:pStyle w:val="23"/>
        <w:ind w:firstLine="480"/>
        <w:rPr>
          <w:rFonts w:hint="eastAsia"/>
          <w:color w:val="auto"/>
          <w:highlight w:val="none"/>
        </w:rPr>
      </w:pPr>
      <w:r>
        <w:rPr>
          <w:rFonts w:hint="eastAsia"/>
          <w:color w:val="auto"/>
          <w:highlight w:val="none"/>
        </w:rPr>
        <w:t>4、固废</w:t>
      </w:r>
    </w:p>
    <w:p w14:paraId="251DAFBF">
      <w:pPr>
        <w:bidi w:val="0"/>
        <w:rPr>
          <w:rFonts w:hint="eastAsia"/>
          <w:color w:val="auto"/>
          <w:highlight w:val="none"/>
        </w:rPr>
      </w:pPr>
      <w:r>
        <w:rPr>
          <w:rFonts w:hint="eastAsia"/>
        </w:rPr>
        <w:t>本项目锅炉灰渣</w:t>
      </w:r>
      <w:r>
        <w:rPr>
          <w:rFonts w:hint="eastAsia"/>
          <w:lang w:val="en-US" w:eastAsia="zh-CN"/>
        </w:rPr>
        <w:t>和脱硫石膏回用于采矿区回填</w:t>
      </w:r>
      <w:r>
        <w:rPr>
          <w:rFonts w:hint="eastAsia"/>
        </w:rPr>
        <w:t>；本项目灰渣在冬季利用不畅（运输或利用途径不畅）情况下，为防止灰渣无序堆放，项目产生的锅炉灰渣</w:t>
      </w:r>
      <w:r>
        <w:rPr>
          <w:rFonts w:hint="eastAsia"/>
          <w:lang w:val="en-US" w:eastAsia="zh-CN"/>
        </w:rPr>
        <w:t>在本企业</w:t>
      </w:r>
      <w:r>
        <w:rPr>
          <w:rFonts w:hint="eastAsia"/>
        </w:rPr>
        <w:t>临时贮存，</w:t>
      </w:r>
      <w:r>
        <w:rPr>
          <w:rFonts w:hint="eastAsia"/>
          <w:lang w:val="en-US" w:eastAsia="zh-CN"/>
        </w:rPr>
        <w:t>企业现有灰渣贮存能力</w:t>
      </w:r>
      <w:r>
        <w:rPr>
          <w:rFonts w:hint="eastAsia"/>
        </w:rPr>
        <w:t>能够满足本项目事故情况下的临时灰渣贮存需求；运行期间产生的</w:t>
      </w:r>
      <w:r>
        <w:rPr>
          <w:rFonts w:hint="eastAsia"/>
          <w:lang w:val="en-US" w:eastAsia="zh-CN"/>
        </w:rPr>
        <w:t>废布袋、</w:t>
      </w:r>
      <w:r>
        <w:rPr>
          <w:rFonts w:hint="eastAsia"/>
        </w:rPr>
        <w:t>废离子交换树脂</w:t>
      </w:r>
      <w:r>
        <w:rPr>
          <w:rFonts w:hint="eastAsia"/>
          <w:lang w:val="en-US" w:eastAsia="zh-CN"/>
        </w:rPr>
        <w:t>和反渗透膜</w:t>
      </w:r>
      <w:r>
        <w:rPr>
          <w:rFonts w:hint="eastAsia"/>
        </w:rPr>
        <w:t>交由生产厂家再生利用；废催化剂</w:t>
      </w:r>
      <w:r>
        <w:rPr>
          <w:rFonts w:hint="eastAsia"/>
          <w:lang w:eastAsia="zh-CN"/>
        </w:rPr>
        <w:t>、</w:t>
      </w:r>
      <w:r>
        <w:rPr>
          <w:rFonts w:hint="eastAsia"/>
          <w:lang w:val="en-US" w:eastAsia="zh-CN"/>
        </w:rPr>
        <w:t>废机油</w:t>
      </w:r>
      <w:r>
        <w:rPr>
          <w:rFonts w:hint="eastAsia"/>
        </w:rPr>
        <w:t>交有资质单位处置。</w:t>
      </w:r>
    </w:p>
    <w:p w14:paraId="155C00FA">
      <w:pPr>
        <w:pStyle w:val="4"/>
        <w:bidi w:val="0"/>
        <w:ind w:left="0" w:leftChars="0" w:firstLine="0" w:firstLineChars="0"/>
        <w:rPr>
          <w:rFonts w:hint="eastAsia"/>
          <w:highlight w:val="none"/>
          <w:lang w:val="en-US" w:eastAsia="zh-CN"/>
        </w:rPr>
      </w:pPr>
      <w:bookmarkStart w:id="31" w:name="_Toc8972"/>
      <w:r>
        <w:rPr>
          <w:rFonts w:hint="eastAsia"/>
          <w:highlight w:val="none"/>
          <w:lang w:val="en-US" w:eastAsia="zh-CN"/>
        </w:rPr>
        <w:t>1.6</w:t>
      </w:r>
      <w:r>
        <w:rPr>
          <w:rFonts w:ascii="Times New Roman" w:hAnsi="Times New Roman"/>
          <w:color w:val="auto"/>
          <w:highlight w:val="none"/>
        </w:rPr>
        <w:t>环境影响评价工作主要结论</w:t>
      </w:r>
      <w:bookmarkEnd w:id="31"/>
    </w:p>
    <w:p w14:paraId="47234284">
      <w:pPr>
        <w:autoSpaceDE w:val="0"/>
        <w:autoSpaceDN w:val="0"/>
        <w:adjustRightInd w:val="0"/>
        <w:spacing w:line="360" w:lineRule="auto"/>
        <w:ind w:firstLine="480" w:firstLineChars="200"/>
        <w:jc w:val="left"/>
        <w:rPr>
          <w:rFonts w:ascii="Times New Roman" w:hAnsi="Times New Roman"/>
          <w:color w:val="auto"/>
          <w:highlight w:val="none"/>
        </w:rPr>
      </w:pPr>
      <w:r>
        <w:rPr>
          <w:rFonts w:cs="宋体"/>
          <w:sz w:val="24"/>
          <w:highlight w:val="none"/>
        </w:rPr>
        <w:t>建设项目符合国家和地方的产业政策，符合清洁生产要求，所排放的污染物采取了污染控制措施，污染物排放达标；预测表明对评价区的气、水、声环境影响较小，不会降低项目所在地的环境质量；符合总量控制；环境风险在可接受范围内。因此本报告书认为，在污染防治措施和环境风险防范措施到位的情况下，从环保角度来讲，本项目在评价区域内建设是可行的。</w:t>
      </w:r>
    </w:p>
    <w:p w14:paraId="7E43D7E0">
      <w:pPr>
        <w:rPr>
          <w:rFonts w:hint="default"/>
          <w:highlight w:val="none"/>
          <w:lang w:val="en-US" w:eastAsia="zh-CN"/>
        </w:rPr>
      </w:pPr>
      <w:r>
        <w:rPr>
          <w:rFonts w:ascii="Times New Roman" w:hAnsi="Times New Roman"/>
          <w:color w:val="auto"/>
          <w:highlight w:val="none"/>
        </w:rPr>
        <w:t>综上，该项目的建设从环境保护的角度分析是可行的。</w:t>
      </w:r>
    </w:p>
    <w:p w14:paraId="5DF2288B">
      <w:pPr>
        <w:bidi w:val="0"/>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926799F">
      <w:pPr>
        <w:pStyle w:val="3"/>
        <w:bidi w:val="0"/>
        <w:rPr>
          <w:rFonts w:hint="eastAsia" w:ascii="Times New Roman" w:hAnsi="Times New Roman" w:cs="Times New Roman"/>
          <w:highlight w:val="none"/>
          <w:lang w:val="en-US" w:eastAsia="zh-CN"/>
        </w:rPr>
      </w:pPr>
      <w:bookmarkStart w:id="32" w:name="_Toc2630"/>
      <w:r>
        <w:rPr>
          <w:rFonts w:hint="default" w:ascii="Times New Roman" w:hAnsi="Times New Roman" w:cs="Times New Roman"/>
          <w:highlight w:val="none"/>
          <w:lang w:val="en-US" w:eastAsia="zh-CN"/>
        </w:rPr>
        <w:t>2</w:t>
      </w:r>
      <w:r>
        <w:rPr>
          <w:rFonts w:hint="eastAsia" w:ascii="Times New Roman" w:hAnsi="Times New Roman" w:cs="Times New Roman"/>
          <w:highlight w:val="none"/>
          <w:lang w:val="en-US" w:eastAsia="zh-CN"/>
        </w:rPr>
        <w:t>总则</w:t>
      </w:r>
      <w:bookmarkEnd w:id="32"/>
    </w:p>
    <w:p w14:paraId="1F4593F3">
      <w:pPr>
        <w:pStyle w:val="4"/>
        <w:bidi w:val="0"/>
        <w:ind w:left="0" w:leftChars="0" w:firstLine="0" w:firstLineChars="0"/>
        <w:rPr>
          <w:rFonts w:hint="eastAsia" w:ascii="宋体" w:hAnsi="宋体" w:eastAsia="宋体" w:cs="宋体"/>
          <w:highlight w:val="none"/>
          <w:lang w:val="en-US" w:eastAsia="zh-CN"/>
        </w:rPr>
      </w:pPr>
      <w:bookmarkStart w:id="33" w:name="_Toc8515"/>
      <w:r>
        <w:rPr>
          <w:rFonts w:hint="default" w:ascii="Times New Roman" w:hAnsi="Times New Roman" w:cs="Times New Roman"/>
          <w:highlight w:val="none"/>
          <w:lang w:val="en-US" w:eastAsia="zh-CN"/>
        </w:rPr>
        <w:t>2.1</w:t>
      </w:r>
      <w:r>
        <w:rPr>
          <w:rFonts w:hint="eastAsia" w:ascii="宋体" w:hAnsi="宋体" w:eastAsia="宋体" w:cs="宋体"/>
          <w:highlight w:val="none"/>
          <w:lang w:val="en-US" w:eastAsia="zh-CN"/>
        </w:rPr>
        <w:t>编制依据</w:t>
      </w:r>
      <w:bookmarkEnd w:id="33"/>
    </w:p>
    <w:p w14:paraId="581A0E48">
      <w:pPr>
        <w:pStyle w:val="5"/>
        <w:bidi w:val="0"/>
        <w:ind w:left="0" w:leftChars="0" w:firstLine="0" w:firstLineChars="0"/>
        <w:rPr>
          <w:rFonts w:hint="eastAsia"/>
          <w:sz w:val="30"/>
          <w:szCs w:val="30"/>
          <w:highlight w:val="none"/>
          <w:lang w:val="en-US" w:eastAsia="zh-CN"/>
        </w:rPr>
      </w:pPr>
      <w:bookmarkStart w:id="34" w:name="_Toc13117"/>
      <w:r>
        <w:rPr>
          <w:rFonts w:hint="default" w:ascii="Times New Roman" w:hAnsi="Times New Roman" w:cs="Times New Roman"/>
          <w:sz w:val="30"/>
          <w:szCs w:val="30"/>
          <w:highlight w:val="none"/>
          <w:lang w:val="en-US" w:eastAsia="zh-CN"/>
        </w:rPr>
        <w:t>2.1.1</w:t>
      </w:r>
      <w:r>
        <w:rPr>
          <w:rFonts w:hint="eastAsia"/>
          <w:sz w:val="30"/>
          <w:szCs w:val="30"/>
          <w:highlight w:val="none"/>
          <w:lang w:val="en-US" w:eastAsia="zh-CN"/>
        </w:rPr>
        <w:t>相关法律、法规及文件</w:t>
      </w:r>
      <w:bookmarkEnd w:id="34"/>
    </w:p>
    <w:p w14:paraId="18C44A4E">
      <w:pPr>
        <w:ind w:firstLine="480"/>
        <w:rPr>
          <w:rFonts w:ascii="Times New Roman" w:hAnsi="Times New Roman"/>
          <w:color w:val="auto"/>
          <w:highlight w:val="none"/>
        </w:rPr>
      </w:pPr>
      <w:r>
        <w:rPr>
          <w:rFonts w:ascii="Times New Roman" w:hAnsi="Times New Roman"/>
          <w:color w:val="auto"/>
          <w:highlight w:val="none"/>
        </w:rPr>
        <w:t>（1）《中华人民共和国环境保护法》（2015年1月1日）；</w:t>
      </w:r>
    </w:p>
    <w:p w14:paraId="36E7E5B6">
      <w:pPr>
        <w:ind w:firstLine="480"/>
        <w:rPr>
          <w:rFonts w:ascii="Times New Roman" w:hAnsi="Times New Roman"/>
          <w:color w:val="auto"/>
          <w:highlight w:val="none"/>
        </w:rPr>
      </w:pPr>
      <w:r>
        <w:rPr>
          <w:rFonts w:ascii="Times New Roman" w:hAnsi="Times New Roman"/>
          <w:color w:val="auto"/>
          <w:highlight w:val="none"/>
        </w:rPr>
        <w:t>（2）《中华人民共和国大气污染防治法》（2018年10月26日）；</w:t>
      </w:r>
    </w:p>
    <w:p w14:paraId="2D37E960">
      <w:pPr>
        <w:ind w:firstLine="480"/>
        <w:rPr>
          <w:rFonts w:ascii="Times New Roman" w:hAnsi="Times New Roman"/>
          <w:color w:val="auto"/>
          <w:highlight w:val="none"/>
        </w:rPr>
      </w:pPr>
      <w:r>
        <w:rPr>
          <w:rFonts w:ascii="Times New Roman" w:hAnsi="Times New Roman"/>
          <w:color w:val="auto"/>
          <w:highlight w:val="none"/>
        </w:rPr>
        <w:t>（3）《中华人民共和国水污染防治法》（2018年1月1日）；</w:t>
      </w:r>
    </w:p>
    <w:p w14:paraId="2AAD13D6">
      <w:pPr>
        <w:ind w:firstLine="480"/>
        <w:rPr>
          <w:rFonts w:ascii="Times New Roman" w:hAnsi="Times New Roman"/>
          <w:color w:val="auto"/>
          <w:highlight w:val="none"/>
        </w:rPr>
      </w:pPr>
      <w:r>
        <w:rPr>
          <w:rFonts w:ascii="Times New Roman" w:hAnsi="Times New Roman"/>
          <w:color w:val="auto"/>
          <w:highlight w:val="none"/>
        </w:rPr>
        <w:t>（4）《中华人民共和国噪声污染防治法》（2021年12月24日）；</w:t>
      </w:r>
    </w:p>
    <w:p w14:paraId="2236CB28">
      <w:pPr>
        <w:ind w:firstLine="480"/>
        <w:rPr>
          <w:rFonts w:ascii="Times New Roman" w:hAnsi="Times New Roman"/>
          <w:color w:val="auto"/>
          <w:highlight w:val="none"/>
        </w:rPr>
      </w:pPr>
      <w:r>
        <w:rPr>
          <w:rFonts w:ascii="Times New Roman" w:hAnsi="Times New Roman"/>
          <w:color w:val="auto"/>
          <w:highlight w:val="none"/>
        </w:rPr>
        <w:t>（5）《中华人民共和国固体废物污染环境防治法》（2020年4月9日修订）；</w:t>
      </w:r>
    </w:p>
    <w:p w14:paraId="2ED64353">
      <w:pPr>
        <w:ind w:firstLine="480"/>
        <w:rPr>
          <w:rFonts w:ascii="Times New Roman" w:hAnsi="Times New Roman"/>
          <w:color w:val="auto"/>
          <w:highlight w:val="none"/>
        </w:rPr>
      </w:pPr>
      <w:r>
        <w:rPr>
          <w:rFonts w:ascii="Times New Roman" w:hAnsi="Times New Roman"/>
          <w:color w:val="auto"/>
          <w:highlight w:val="none"/>
        </w:rPr>
        <w:t>（6）《中华人民共和国环境影响评价法》（2018年12月29日）；</w:t>
      </w:r>
    </w:p>
    <w:p w14:paraId="32EFAD18">
      <w:pPr>
        <w:ind w:firstLine="480"/>
        <w:rPr>
          <w:rFonts w:ascii="Times New Roman" w:hAnsi="Times New Roman"/>
          <w:color w:val="auto"/>
          <w:highlight w:val="none"/>
        </w:rPr>
      </w:pPr>
      <w:r>
        <w:rPr>
          <w:rFonts w:ascii="Times New Roman" w:hAnsi="Times New Roman"/>
          <w:color w:val="auto"/>
          <w:highlight w:val="none"/>
        </w:rPr>
        <w:t>（7）《中华人民共和国土壤污染防治法》（2019年1月1日）</w:t>
      </w:r>
    </w:p>
    <w:p w14:paraId="21A18414">
      <w:pPr>
        <w:ind w:firstLine="480"/>
        <w:rPr>
          <w:rFonts w:ascii="Times New Roman" w:hAnsi="Times New Roman"/>
          <w:color w:val="auto"/>
          <w:highlight w:val="none"/>
        </w:rPr>
      </w:pPr>
      <w:r>
        <w:rPr>
          <w:rFonts w:ascii="Times New Roman" w:hAnsi="Times New Roman"/>
          <w:color w:val="auto"/>
          <w:highlight w:val="none"/>
        </w:rPr>
        <w:t>（8）《建设项目环境保护管理条例》（2017年10月1日）中华人民共和国国务院令第682号；</w:t>
      </w:r>
    </w:p>
    <w:p w14:paraId="763E6373">
      <w:pPr>
        <w:ind w:firstLine="480"/>
        <w:rPr>
          <w:rFonts w:ascii="Times New Roman" w:hAnsi="Times New Roman"/>
          <w:color w:val="auto"/>
          <w:highlight w:val="none"/>
        </w:rPr>
      </w:pPr>
      <w:r>
        <w:rPr>
          <w:rFonts w:ascii="Times New Roman" w:hAnsi="Times New Roman"/>
          <w:color w:val="auto"/>
          <w:highlight w:val="none"/>
        </w:rPr>
        <w:t>（9）《建设项目环境影响评价分类管理名录》（2021年版）；</w:t>
      </w:r>
    </w:p>
    <w:p w14:paraId="43C64926">
      <w:pPr>
        <w:ind w:firstLine="480"/>
        <w:rPr>
          <w:rFonts w:ascii="Times New Roman" w:hAnsi="Times New Roman"/>
          <w:color w:val="auto"/>
          <w:highlight w:val="none"/>
        </w:rPr>
      </w:pPr>
      <w:r>
        <w:rPr>
          <w:rFonts w:ascii="Times New Roman" w:hAnsi="Times New Roman"/>
          <w:color w:val="auto"/>
          <w:highlight w:val="none"/>
        </w:rPr>
        <w:t>（10）《产业结构调整指导目录（20</w:t>
      </w:r>
      <w:r>
        <w:rPr>
          <w:rFonts w:hint="eastAsia" w:ascii="Times New Roman" w:hAnsi="Times New Roman"/>
          <w:color w:val="auto"/>
          <w:highlight w:val="none"/>
          <w:lang w:val="en-US" w:eastAsia="zh-CN"/>
        </w:rPr>
        <w:t>24</w:t>
      </w:r>
      <w:r>
        <w:rPr>
          <w:rFonts w:ascii="Times New Roman" w:hAnsi="Times New Roman"/>
          <w:color w:val="auto"/>
          <w:highlight w:val="none"/>
        </w:rPr>
        <w:t>年本）》（</w:t>
      </w:r>
      <w:r>
        <w:rPr>
          <w:rFonts w:hint="eastAsia" w:ascii="Times New Roman" w:hAnsi="Times New Roman"/>
          <w:color w:val="auto"/>
          <w:highlight w:val="none"/>
        </w:rPr>
        <w:t>2024年2月1日</w:t>
      </w:r>
      <w:r>
        <w:rPr>
          <w:rFonts w:ascii="Times New Roman" w:hAnsi="Times New Roman"/>
          <w:color w:val="auto"/>
          <w:highlight w:val="none"/>
        </w:rPr>
        <w:t>）；</w:t>
      </w:r>
    </w:p>
    <w:p w14:paraId="2496AC3E">
      <w:pPr>
        <w:ind w:firstLine="480"/>
        <w:rPr>
          <w:rFonts w:ascii="Times New Roman" w:hAnsi="Times New Roman"/>
          <w:color w:val="auto"/>
          <w:highlight w:val="none"/>
        </w:rPr>
      </w:pPr>
      <w:r>
        <w:rPr>
          <w:rFonts w:ascii="Times New Roman" w:hAnsi="Times New Roman"/>
          <w:color w:val="auto"/>
          <w:highlight w:val="none"/>
        </w:rPr>
        <w:t>（11）《落实科学发展观加强环境保护的决定》（国发[2005]39号）（2005年12月15日）；</w:t>
      </w:r>
    </w:p>
    <w:p w14:paraId="55AF5BA7">
      <w:pPr>
        <w:ind w:firstLine="480"/>
        <w:rPr>
          <w:rFonts w:ascii="Times New Roman" w:hAnsi="Times New Roman"/>
          <w:color w:val="auto"/>
          <w:highlight w:val="none"/>
        </w:rPr>
      </w:pPr>
      <w:r>
        <w:rPr>
          <w:rFonts w:ascii="Times New Roman" w:hAnsi="Times New Roman"/>
          <w:color w:val="auto"/>
          <w:highlight w:val="none"/>
        </w:rPr>
        <w:t>（12）《燃煤二氧化硫排放污染防治技术政策》国家环境保护总局环发[2002]26号；</w:t>
      </w:r>
    </w:p>
    <w:p w14:paraId="17BE273E">
      <w:pPr>
        <w:ind w:firstLine="480"/>
        <w:rPr>
          <w:rFonts w:ascii="Times New Roman" w:hAnsi="Times New Roman"/>
          <w:color w:val="auto"/>
          <w:highlight w:val="none"/>
        </w:rPr>
      </w:pPr>
      <w:r>
        <w:rPr>
          <w:rFonts w:ascii="Times New Roman" w:hAnsi="Times New Roman"/>
          <w:color w:val="auto"/>
          <w:highlight w:val="none"/>
        </w:rPr>
        <w:t>（13）《</w:t>
      </w:r>
      <w:r>
        <w:rPr>
          <w:rFonts w:hint="eastAsia" w:ascii="Times New Roman" w:hAnsi="Times New Roman"/>
          <w:color w:val="auto"/>
          <w:highlight w:val="none"/>
        </w:rPr>
        <w:t>粉煤灰综合利用管理办法</w:t>
      </w:r>
      <w:r>
        <w:rPr>
          <w:rFonts w:ascii="Times New Roman" w:hAnsi="Times New Roman"/>
          <w:color w:val="auto"/>
          <w:highlight w:val="none"/>
        </w:rPr>
        <w:t>》</w:t>
      </w:r>
      <w:r>
        <w:rPr>
          <w:rFonts w:hint="eastAsia" w:ascii="Times New Roman" w:hAnsi="Times New Roman"/>
          <w:color w:val="auto"/>
          <w:highlight w:val="none"/>
        </w:rPr>
        <w:t>（2013年3月1日起施行）</w:t>
      </w:r>
      <w:r>
        <w:rPr>
          <w:rFonts w:ascii="Times New Roman" w:hAnsi="Times New Roman"/>
          <w:color w:val="auto"/>
          <w:highlight w:val="none"/>
        </w:rPr>
        <w:t>；</w:t>
      </w:r>
    </w:p>
    <w:p w14:paraId="12A8D66A">
      <w:pPr>
        <w:ind w:firstLine="480"/>
        <w:rPr>
          <w:rFonts w:ascii="Times New Roman" w:hAnsi="Times New Roman"/>
          <w:color w:val="auto"/>
          <w:highlight w:val="none"/>
        </w:rPr>
      </w:pPr>
      <w:r>
        <w:rPr>
          <w:rFonts w:ascii="Times New Roman" w:hAnsi="Times New Roman"/>
          <w:color w:val="auto"/>
          <w:highlight w:val="none"/>
        </w:rPr>
        <w:t>（14）《关于进一步加强环境影响评价管理防范环境风险的通知》（2012年7月3日）国家生态环境部环发［2012］77号；</w:t>
      </w:r>
    </w:p>
    <w:p w14:paraId="27FB332F">
      <w:pPr>
        <w:ind w:firstLine="480"/>
        <w:rPr>
          <w:rFonts w:ascii="Times New Roman" w:hAnsi="Times New Roman"/>
          <w:color w:val="auto"/>
          <w:highlight w:val="none"/>
        </w:rPr>
      </w:pPr>
      <w:r>
        <w:rPr>
          <w:rFonts w:ascii="Times New Roman" w:hAnsi="Times New Roman"/>
          <w:color w:val="auto"/>
          <w:highlight w:val="none"/>
        </w:rPr>
        <w:t>（15）《商品煤质量管理暂行办法》</w:t>
      </w:r>
      <w:r>
        <w:rPr>
          <w:rFonts w:hint="eastAsia" w:ascii="Times New Roman" w:hAnsi="Times New Roman"/>
          <w:color w:val="auto"/>
          <w:highlight w:val="none"/>
        </w:rPr>
        <w:t>（2015年1月1日起施）</w:t>
      </w:r>
      <w:r>
        <w:rPr>
          <w:rFonts w:ascii="Times New Roman" w:hAnsi="Times New Roman"/>
          <w:color w:val="auto"/>
          <w:highlight w:val="none"/>
        </w:rPr>
        <w:t>；</w:t>
      </w:r>
    </w:p>
    <w:p w14:paraId="406ED9F5">
      <w:pPr>
        <w:ind w:firstLine="480"/>
        <w:rPr>
          <w:rFonts w:ascii="Times New Roman" w:hAnsi="Times New Roman"/>
          <w:color w:val="auto"/>
          <w:highlight w:val="none"/>
        </w:rPr>
      </w:pPr>
      <w:r>
        <w:rPr>
          <w:rFonts w:ascii="Times New Roman" w:hAnsi="Times New Roman"/>
          <w:color w:val="auto"/>
          <w:highlight w:val="none"/>
        </w:rPr>
        <w:t>（16）《黑龙江省建设项目环境保护管理办法》</w:t>
      </w:r>
      <w:r>
        <w:rPr>
          <w:rFonts w:hint="eastAsia" w:ascii="Times New Roman" w:hAnsi="Times New Roman"/>
          <w:color w:val="auto"/>
          <w:highlight w:val="none"/>
        </w:rPr>
        <w:t>（</w:t>
      </w:r>
      <w:r>
        <w:rPr>
          <w:rFonts w:ascii="Times New Roman" w:hAnsi="Times New Roman"/>
          <w:color w:val="auto"/>
          <w:highlight w:val="none"/>
        </w:rPr>
        <w:t>黑龙江省人民政府令第23号</w:t>
      </w:r>
      <w:r>
        <w:rPr>
          <w:rFonts w:hint="eastAsia" w:ascii="Times New Roman" w:hAnsi="Times New Roman"/>
          <w:color w:val="auto"/>
          <w:highlight w:val="none"/>
        </w:rPr>
        <w:t>）</w:t>
      </w:r>
      <w:r>
        <w:rPr>
          <w:rFonts w:ascii="Times New Roman" w:hAnsi="Times New Roman"/>
          <w:color w:val="auto"/>
          <w:highlight w:val="none"/>
        </w:rPr>
        <w:t>；</w:t>
      </w:r>
    </w:p>
    <w:p w14:paraId="4C818882">
      <w:pPr>
        <w:ind w:firstLine="480"/>
        <w:rPr>
          <w:rFonts w:ascii="Times New Roman" w:hAnsi="Times New Roman"/>
          <w:color w:val="auto"/>
          <w:highlight w:val="none"/>
        </w:rPr>
      </w:pPr>
      <w:r>
        <w:rPr>
          <w:rFonts w:ascii="Times New Roman" w:hAnsi="Times New Roman"/>
          <w:color w:val="auto"/>
          <w:highlight w:val="none"/>
        </w:rPr>
        <w:t>（17）《黑龙江省大气污染防治行动计划实施细则》（黑政发[2014]1号）；</w:t>
      </w:r>
    </w:p>
    <w:p w14:paraId="64B6FDE9">
      <w:pPr>
        <w:ind w:firstLine="480"/>
        <w:rPr>
          <w:rFonts w:ascii="Times New Roman" w:hAnsi="Times New Roman"/>
          <w:color w:val="auto"/>
          <w:highlight w:val="none"/>
        </w:rPr>
      </w:pPr>
      <w:r>
        <w:rPr>
          <w:rFonts w:ascii="Times New Roman" w:hAnsi="Times New Roman"/>
          <w:color w:val="auto"/>
          <w:highlight w:val="none"/>
        </w:rPr>
        <w:t>（1</w:t>
      </w:r>
      <w:r>
        <w:rPr>
          <w:rFonts w:hint="eastAsia" w:ascii="Times New Roman" w:hAnsi="Times New Roman"/>
          <w:color w:val="auto"/>
          <w:highlight w:val="none"/>
        </w:rPr>
        <w:t>8</w:t>
      </w:r>
      <w:r>
        <w:rPr>
          <w:rFonts w:ascii="Times New Roman" w:hAnsi="Times New Roman"/>
          <w:color w:val="auto"/>
          <w:highlight w:val="none"/>
        </w:rPr>
        <w:t>）《黑龙江省大气污染防治条例》（</w:t>
      </w:r>
      <w:r>
        <w:rPr>
          <w:rFonts w:hint="eastAsia" w:ascii="Times New Roman" w:hAnsi="Times New Roman"/>
          <w:color w:val="auto"/>
          <w:highlight w:val="none"/>
          <w:lang w:val="en-US" w:eastAsia="zh-CN"/>
        </w:rPr>
        <w:t>2018年修订</w:t>
      </w:r>
      <w:r>
        <w:rPr>
          <w:rFonts w:ascii="Times New Roman" w:hAnsi="Times New Roman"/>
          <w:color w:val="auto"/>
          <w:highlight w:val="none"/>
        </w:rPr>
        <w:t>）；</w:t>
      </w:r>
    </w:p>
    <w:p w14:paraId="2CBF833B">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19</w:t>
      </w:r>
      <w:r>
        <w:rPr>
          <w:rFonts w:ascii="Times New Roman" w:hAnsi="Times New Roman"/>
          <w:color w:val="auto"/>
          <w:highlight w:val="none"/>
        </w:rPr>
        <w:t>）《国务院关于印发土壤污染防治行动计划的通知》（国发[2016]31号，2016.5.28）；</w:t>
      </w:r>
    </w:p>
    <w:p w14:paraId="51FFF93D">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20</w:t>
      </w:r>
      <w:r>
        <w:rPr>
          <w:rFonts w:ascii="Times New Roman" w:hAnsi="Times New Roman"/>
          <w:color w:val="auto"/>
          <w:highlight w:val="none"/>
        </w:rPr>
        <w:t>）《黑龙江省人民政府关于印发黑龙江省土壤污染防治实施方案的通知》（黑政发[2016]46号，2016.12.30）；</w:t>
      </w:r>
    </w:p>
    <w:p w14:paraId="622A7E08">
      <w:pPr>
        <w:ind w:firstLine="480"/>
        <w:rPr>
          <w:rFonts w:hint="eastAsia" w:eastAsia="宋体"/>
          <w:highlight w:val="none"/>
          <w:lang w:eastAsia="zh-CN"/>
        </w:rPr>
      </w:pP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21</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《黑龙江省城乡建设领域碳达峰实施方案》</w:t>
      </w:r>
      <w:r>
        <w:rPr>
          <w:rFonts w:hint="eastAsia" w:ascii="Times New Roman" w:hAnsi="Times New Roman" w:eastAsia="宋体" w:cs="Times New Roman"/>
          <w:color w:val="auto"/>
          <w:highlight w:val="none"/>
          <w:lang w:eastAsia="zh-CN"/>
        </w:rPr>
        <w:t>；</w:t>
      </w:r>
    </w:p>
    <w:p w14:paraId="4BE1A815">
      <w:pPr>
        <w:ind w:firstLine="480"/>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2</w:t>
      </w:r>
      <w:r>
        <w:rPr>
          <w:rFonts w:ascii="Times New Roman" w:hAnsi="Times New Roman"/>
          <w:color w:val="auto"/>
          <w:highlight w:val="none"/>
        </w:rPr>
        <w:t>）《中华人民共和国清洁生产促进法》（2012年7月1日）；</w:t>
      </w:r>
    </w:p>
    <w:p w14:paraId="2A8C5B9E">
      <w:pPr>
        <w:ind w:firstLine="480"/>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3</w:t>
      </w:r>
      <w:r>
        <w:rPr>
          <w:rFonts w:ascii="Times New Roman" w:hAnsi="Times New Roman"/>
          <w:color w:val="auto"/>
          <w:highlight w:val="none"/>
        </w:rPr>
        <w:t>）《中华人民共和国节约能源法》（2018年10月26日）；</w:t>
      </w:r>
    </w:p>
    <w:p w14:paraId="05EC225F">
      <w:pPr>
        <w:ind w:firstLine="480"/>
        <w:rPr>
          <w:rFonts w:ascii="Times New Roman" w:hAnsi="Times New Roman"/>
          <w:color w:val="auto"/>
          <w:highlight w:val="none"/>
        </w:rPr>
      </w:pPr>
      <w:r>
        <w:rPr>
          <w:rFonts w:ascii="Times New Roman" w:hAnsi="Times New Roman"/>
          <w:color w:val="auto"/>
          <w:highlight w:val="none"/>
        </w:rPr>
        <w:t>（2</w:t>
      </w:r>
      <w:r>
        <w:rPr>
          <w:rFonts w:hint="eastAsia" w:ascii="Times New Roman" w:hAnsi="Times New Roman"/>
          <w:color w:val="auto"/>
          <w:highlight w:val="none"/>
        </w:rPr>
        <w:t>4</w:t>
      </w:r>
      <w:r>
        <w:rPr>
          <w:rFonts w:ascii="Times New Roman" w:hAnsi="Times New Roman"/>
          <w:color w:val="auto"/>
          <w:highlight w:val="none"/>
        </w:rPr>
        <w:t>）《排污许可管理条例》（2021年3月1日）；</w:t>
      </w:r>
    </w:p>
    <w:p w14:paraId="3E4EF070">
      <w:pPr>
        <w:ind w:firstLine="480"/>
        <w:rPr>
          <w:rFonts w:ascii="Times New Roman" w:hAnsi="Times New Roman"/>
          <w:color w:val="auto"/>
          <w:highlight w:val="none"/>
        </w:rPr>
      </w:pPr>
      <w:r>
        <w:rPr>
          <w:rFonts w:ascii="Times New Roman" w:hAnsi="Times New Roman"/>
          <w:color w:val="auto"/>
          <w:highlight w:val="none"/>
        </w:rPr>
        <w:t>（25）《地下水管理条例》（2021年12月1日起施行）；</w:t>
      </w:r>
    </w:p>
    <w:p w14:paraId="0EDD830B">
      <w:pPr>
        <w:pStyle w:val="23"/>
        <w:ind w:firstLine="480"/>
        <w:rPr>
          <w:rFonts w:ascii="Times New Roman" w:hAnsi="Times New Roman"/>
          <w:color w:val="auto"/>
          <w:highlight w:val="none"/>
        </w:rPr>
      </w:pPr>
      <w:r>
        <w:rPr>
          <w:rFonts w:ascii="Times New Roman" w:hAnsi="Times New Roman"/>
          <w:color w:val="auto"/>
          <w:highlight w:val="none"/>
        </w:rPr>
        <w:t>（26）《关于印发&lt;全面实施燃煤电厂超低排放和节能改造工作方案&gt;的通知》（环发[2015]164号，2015年12月11日）；</w:t>
      </w:r>
    </w:p>
    <w:p w14:paraId="65B5967E">
      <w:pPr>
        <w:pStyle w:val="23"/>
        <w:ind w:firstLine="480"/>
        <w:rPr>
          <w:rFonts w:ascii="Times New Roman" w:hAnsi="Times New Roman"/>
          <w:color w:val="auto"/>
          <w:highlight w:val="none"/>
        </w:rPr>
      </w:pPr>
      <w:r>
        <w:rPr>
          <w:rFonts w:ascii="Times New Roman" w:hAnsi="Times New Roman"/>
          <w:color w:val="auto"/>
          <w:highlight w:val="none"/>
        </w:rPr>
        <w:t>（27）《黑龙江省城市供热条例》（</w:t>
      </w:r>
      <w:r>
        <w:rPr>
          <w:rFonts w:hint="eastAsia" w:ascii="Times New Roman" w:hAnsi="Times New Roman"/>
          <w:color w:val="auto"/>
          <w:highlight w:val="none"/>
          <w:lang w:val="en-US" w:eastAsia="zh-CN"/>
        </w:rPr>
        <w:t>2021年修正</w:t>
      </w:r>
      <w:r>
        <w:rPr>
          <w:rFonts w:ascii="Times New Roman" w:hAnsi="Times New Roman"/>
          <w:color w:val="auto"/>
          <w:highlight w:val="none"/>
        </w:rPr>
        <w:t>）；</w:t>
      </w:r>
    </w:p>
    <w:p w14:paraId="05AAE616">
      <w:pPr>
        <w:pStyle w:val="23"/>
        <w:ind w:firstLine="480"/>
        <w:rPr>
          <w:rFonts w:ascii="Times New Roman" w:hAnsi="Times New Roman"/>
          <w:color w:val="auto"/>
          <w:highlight w:val="none"/>
        </w:rPr>
      </w:pPr>
      <w:r>
        <w:rPr>
          <w:rFonts w:ascii="Times New Roman" w:hAnsi="Times New Roman"/>
          <w:color w:val="auto"/>
          <w:highlight w:val="none"/>
        </w:rPr>
        <w:t>（28）《北方地区清洁采暖规划》（2017-2030）；</w:t>
      </w:r>
    </w:p>
    <w:p w14:paraId="59CBBD42">
      <w:pPr>
        <w:pStyle w:val="23"/>
        <w:ind w:firstLine="480"/>
        <w:rPr>
          <w:rFonts w:ascii="Times New Roman" w:hAnsi="Times New Roman"/>
          <w:color w:val="auto"/>
          <w:highlight w:val="none"/>
        </w:rPr>
      </w:pPr>
      <w:r>
        <w:rPr>
          <w:rFonts w:ascii="Times New Roman" w:hAnsi="Times New Roman"/>
          <w:color w:val="auto"/>
          <w:highlight w:val="none"/>
        </w:rPr>
        <w:t>（29）《关于做好环境影响评价制度与排污许可制衔接相关工作的通知》；</w:t>
      </w:r>
    </w:p>
    <w:p w14:paraId="7A748A4F">
      <w:pPr>
        <w:pStyle w:val="23"/>
        <w:ind w:firstLine="480"/>
        <w:rPr>
          <w:rFonts w:ascii="Times New Roman" w:hAnsi="Times New Roman"/>
          <w:color w:val="auto"/>
          <w:highlight w:val="none"/>
        </w:rPr>
      </w:pPr>
      <w:r>
        <w:rPr>
          <w:rFonts w:ascii="Times New Roman" w:hAnsi="Times New Roman"/>
          <w:color w:val="auto"/>
          <w:highlight w:val="none"/>
        </w:rPr>
        <w:t>（30）《黑龙江省人民政府关于全面加强生态环境保护坚决打好污染防治攻坚战的实施意见》；</w:t>
      </w:r>
    </w:p>
    <w:p w14:paraId="02C2CF0D">
      <w:pPr>
        <w:ind w:firstLine="480"/>
        <w:rPr>
          <w:rFonts w:ascii="Times New Roman" w:hAnsi="Times New Roman"/>
          <w:color w:val="auto"/>
          <w:highlight w:val="none"/>
        </w:rPr>
      </w:pPr>
      <w:r>
        <w:rPr>
          <w:rFonts w:ascii="Times New Roman" w:hAnsi="Times New Roman"/>
          <w:color w:val="auto"/>
          <w:highlight w:val="none"/>
        </w:rPr>
        <w:t>（31）《环境空气细颗粒物污染物污染综合防治技术政策》；</w:t>
      </w:r>
    </w:p>
    <w:p w14:paraId="4E2C7C5F">
      <w:pPr>
        <w:ind w:firstLine="480"/>
        <w:rPr>
          <w:rFonts w:ascii="Times New Roman" w:hAnsi="Times New Roman"/>
          <w:color w:val="auto"/>
          <w:highlight w:val="none"/>
        </w:rPr>
      </w:pPr>
      <w:r>
        <w:rPr>
          <w:rFonts w:ascii="Times New Roman" w:hAnsi="Times New Roman"/>
          <w:color w:val="auto"/>
          <w:highlight w:val="none"/>
        </w:rPr>
        <w:t>（32）《黑龙江省人民政府关于实施“三线一单”生态环境分区管控的意见》（黑政发[2020]14号）；</w:t>
      </w:r>
    </w:p>
    <w:p w14:paraId="44ECC7E6">
      <w:pPr>
        <w:ind w:firstLine="480"/>
        <w:rPr>
          <w:rFonts w:ascii="Times New Roman" w:hAnsi="Times New Roman"/>
          <w:color w:val="auto"/>
          <w:highlight w:val="none"/>
        </w:rPr>
      </w:pPr>
      <w:r>
        <w:rPr>
          <w:rFonts w:ascii="Times New Roman" w:hAnsi="Times New Roman"/>
          <w:color w:val="auto"/>
          <w:highlight w:val="none"/>
        </w:rPr>
        <w:t>（33）</w:t>
      </w:r>
      <w:r>
        <w:rPr>
          <w:rFonts w:hint="eastAsia"/>
          <w:color w:val="auto"/>
          <w:sz w:val="24"/>
          <w:szCs w:val="24"/>
          <w:highlight w:val="none"/>
        </w:rPr>
        <w:t>《</w:t>
      </w:r>
      <w:r>
        <w:rPr>
          <w:rFonts w:hint="eastAsia"/>
          <w:color w:val="auto"/>
          <w:sz w:val="24"/>
          <w:szCs w:val="24"/>
          <w:highlight w:val="none"/>
          <w:lang w:eastAsia="zh-CN"/>
        </w:rPr>
        <w:t>牡丹江市</w:t>
      </w:r>
      <w:r>
        <w:rPr>
          <w:rFonts w:hint="eastAsia"/>
          <w:color w:val="auto"/>
          <w:sz w:val="24"/>
          <w:szCs w:val="24"/>
          <w:highlight w:val="none"/>
        </w:rPr>
        <w:t>人民政府关于实施“三线一单”生态环境分区管控的意见》（</w:t>
      </w:r>
      <w:r>
        <w:rPr>
          <w:rFonts w:hint="eastAsia"/>
          <w:color w:val="auto"/>
          <w:sz w:val="24"/>
          <w:szCs w:val="24"/>
          <w:highlight w:val="none"/>
          <w:lang w:val="en-US" w:eastAsia="zh-CN"/>
        </w:rPr>
        <w:t>牡</w:t>
      </w:r>
      <w:r>
        <w:rPr>
          <w:rFonts w:hint="eastAsia"/>
          <w:color w:val="auto"/>
          <w:sz w:val="24"/>
          <w:szCs w:val="24"/>
          <w:highlight w:val="none"/>
        </w:rPr>
        <w:t>政</w:t>
      </w:r>
      <w:r>
        <w:rPr>
          <w:rFonts w:hint="eastAsia"/>
          <w:color w:val="auto"/>
          <w:sz w:val="24"/>
          <w:szCs w:val="24"/>
          <w:highlight w:val="none"/>
          <w:lang w:val="en-US" w:eastAsia="zh-CN"/>
        </w:rPr>
        <w:t>发</w:t>
      </w:r>
      <w:r>
        <w:rPr>
          <w:rFonts w:hint="eastAsia"/>
          <w:color w:val="auto"/>
          <w:sz w:val="24"/>
          <w:szCs w:val="24"/>
          <w:highlight w:val="none"/>
        </w:rPr>
        <w:t>〔2021〕</w:t>
      </w:r>
      <w:r>
        <w:rPr>
          <w:rFonts w:hint="eastAsia"/>
          <w:color w:val="auto"/>
          <w:sz w:val="24"/>
          <w:szCs w:val="24"/>
          <w:highlight w:val="none"/>
          <w:lang w:val="en-US" w:eastAsia="zh-CN"/>
        </w:rPr>
        <w:t>5</w:t>
      </w:r>
      <w:r>
        <w:rPr>
          <w:rFonts w:hint="eastAsia"/>
          <w:color w:val="auto"/>
          <w:sz w:val="24"/>
          <w:szCs w:val="24"/>
          <w:highlight w:val="none"/>
        </w:rPr>
        <w:t>号）</w:t>
      </w:r>
      <w:r>
        <w:rPr>
          <w:rFonts w:ascii="Times New Roman" w:hAnsi="Times New Roman"/>
          <w:color w:val="auto"/>
          <w:highlight w:val="none"/>
        </w:rPr>
        <w:t>；</w:t>
      </w:r>
    </w:p>
    <w:p w14:paraId="7597E3DC">
      <w:pPr>
        <w:ind w:firstLine="480"/>
        <w:rPr>
          <w:rFonts w:ascii="Times New Roman" w:hAnsi="Times New Roman"/>
          <w:color w:val="auto"/>
          <w:highlight w:val="none"/>
        </w:rPr>
      </w:pPr>
      <w:r>
        <w:rPr>
          <w:rFonts w:ascii="Times New Roman" w:hAnsi="Times New Roman"/>
          <w:color w:val="auto"/>
          <w:highlight w:val="none"/>
        </w:rPr>
        <w:t>（3</w:t>
      </w:r>
      <w:r>
        <w:rPr>
          <w:rFonts w:hint="eastAsia" w:ascii="Times New Roman" w:hAnsi="Times New Roman"/>
          <w:color w:val="auto"/>
          <w:highlight w:val="none"/>
        </w:rPr>
        <w:t>4</w:t>
      </w:r>
      <w:r>
        <w:rPr>
          <w:rFonts w:ascii="Times New Roman" w:hAnsi="Times New Roman"/>
          <w:color w:val="auto"/>
          <w:highlight w:val="none"/>
        </w:rPr>
        <w:t>）《黑龙江省“十四五”生态环境保护规划》；</w:t>
      </w:r>
    </w:p>
    <w:p w14:paraId="7136ECC6">
      <w:pPr>
        <w:bidi w:val="0"/>
        <w:rPr>
          <w:rFonts w:hint="eastAsia"/>
          <w:highlight w:val="none"/>
          <w:lang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35</w:t>
      </w:r>
      <w:r>
        <w:rPr>
          <w:rFonts w:hint="eastAsia" w:ascii="Times New Roman" w:hAnsi="Times New Roman" w:cs="Times New Roman"/>
          <w:color w:val="auto"/>
          <w:highlight w:val="none"/>
          <w:lang w:eastAsia="zh-CN"/>
        </w:rPr>
        <w:t>）</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牡丹江“十四五”生态环境保护规划</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2022年10月12日</w:t>
      </w:r>
      <w:r>
        <w:rPr>
          <w:rFonts w:hint="eastAsia" w:ascii="Times New Roman" w:hAnsi="Times New Roman" w:eastAsia="宋体" w:cs="Times New Roman"/>
          <w:color w:val="auto"/>
          <w:highlight w:val="none"/>
          <w:lang w:eastAsia="zh-CN"/>
        </w:rPr>
        <w:t>）</w:t>
      </w:r>
    </w:p>
    <w:p w14:paraId="6D54A060">
      <w:pPr>
        <w:ind w:firstLine="480"/>
        <w:rPr>
          <w:rFonts w:hint="eastAsia" w:ascii="Times New Roman" w:hAnsi="Times New Roman"/>
          <w:color w:val="auto"/>
          <w:highlight w:val="none"/>
          <w:lang w:eastAsia="zh-CN"/>
        </w:rPr>
      </w:pP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35</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绥芬河市</w:t>
      </w:r>
      <w:r>
        <w:rPr>
          <w:rFonts w:hint="eastAsia" w:ascii="Times New Roman" w:hAnsi="Times New Roman"/>
          <w:color w:val="auto"/>
          <w:highlight w:val="none"/>
          <w:lang w:eastAsia="zh-CN"/>
        </w:rPr>
        <w:t>集中供热规划》（20</w:t>
      </w:r>
      <w:r>
        <w:rPr>
          <w:rFonts w:hint="eastAsia" w:ascii="Times New Roman" w:hAnsi="Times New Roman"/>
          <w:color w:val="auto"/>
          <w:highlight w:val="none"/>
          <w:lang w:val="en-US" w:eastAsia="zh-CN"/>
        </w:rPr>
        <w:t>16</w:t>
      </w:r>
      <w:r>
        <w:rPr>
          <w:rFonts w:hint="eastAsia" w:ascii="Times New Roman" w:hAnsi="Times New Roman"/>
          <w:color w:val="auto"/>
          <w:highlight w:val="none"/>
          <w:lang w:eastAsia="zh-CN"/>
        </w:rPr>
        <w:t>-2030年）；</w:t>
      </w:r>
    </w:p>
    <w:p w14:paraId="30BBBFCC">
      <w:pPr>
        <w:ind w:firstLine="48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（36）《关于印发改善牡丹江市区空气质量实施方案的通知》。</w:t>
      </w:r>
    </w:p>
    <w:p w14:paraId="47352808">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35" w:name="_Toc431"/>
      <w:r>
        <w:rPr>
          <w:rFonts w:hint="eastAsia" w:ascii="Times New Roman" w:hAnsi="Times New Roman" w:eastAsia="宋体" w:cs="Times New Roman"/>
          <w:sz w:val="30"/>
          <w:szCs w:val="30"/>
          <w:highlight w:val="none"/>
          <w:lang w:val="en-US" w:eastAsia="zh-CN"/>
        </w:rPr>
        <w:t>2.1.2有关技术导则规范</w:t>
      </w:r>
      <w:bookmarkEnd w:id="35"/>
    </w:p>
    <w:p w14:paraId="18D9E58A">
      <w:pPr>
        <w:ind w:firstLine="480"/>
        <w:rPr>
          <w:rFonts w:ascii="Times New Roman" w:hAnsi="Times New Roman"/>
          <w:color w:val="auto"/>
          <w:highlight w:val="none"/>
        </w:rPr>
      </w:pPr>
      <w:r>
        <w:rPr>
          <w:rFonts w:ascii="Times New Roman" w:hAnsi="Times New Roman"/>
          <w:color w:val="auto"/>
          <w:highlight w:val="none"/>
        </w:rPr>
        <w:t>（1）《建设项目环境影响评价技术导则 总纲》（HJ 2.1-2016）；</w:t>
      </w:r>
    </w:p>
    <w:p w14:paraId="04A0BF33">
      <w:pPr>
        <w:ind w:firstLine="480"/>
        <w:rPr>
          <w:rFonts w:ascii="Times New Roman" w:hAnsi="Times New Roman"/>
          <w:color w:val="auto"/>
          <w:highlight w:val="none"/>
        </w:rPr>
      </w:pPr>
      <w:r>
        <w:rPr>
          <w:rFonts w:ascii="Times New Roman" w:hAnsi="Times New Roman"/>
          <w:color w:val="auto"/>
          <w:highlight w:val="none"/>
        </w:rPr>
        <w:t>（2）《环境影响评价技术导则 大气环境》（HJ 2.2-2018）；</w:t>
      </w:r>
    </w:p>
    <w:p w14:paraId="62A72F54">
      <w:pPr>
        <w:ind w:firstLine="480"/>
        <w:rPr>
          <w:rFonts w:ascii="Times New Roman" w:hAnsi="Times New Roman"/>
          <w:color w:val="auto"/>
          <w:highlight w:val="none"/>
        </w:rPr>
      </w:pPr>
      <w:r>
        <w:rPr>
          <w:rFonts w:ascii="Times New Roman" w:hAnsi="Times New Roman"/>
          <w:color w:val="auto"/>
          <w:highlight w:val="none"/>
        </w:rPr>
        <w:t>（3）《环境影响评价技术导则 地表水环境》（HJ 2.3-2018）；</w:t>
      </w:r>
    </w:p>
    <w:p w14:paraId="2A1BE106">
      <w:pPr>
        <w:ind w:firstLine="480"/>
        <w:rPr>
          <w:rFonts w:ascii="Times New Roman" w:hAnsi="Times New Roman"/>
          <w:color w:val="auto"/>
          <w:highlight w:val="none"/>
        </w:rPr>
      </w:pPr>
      <w:r>
        <w:rPr>
          <w:rFonts w:ascii="Times New Roman" w:hAnsi="Times New Roman"/>
          <w:color w:val="auto"/>
          <w:highlight w:val="none"/>
        </w:rPr>
        <w:t>（4）《环境影响评价技术导则 声环境》（HJ 2.4—2021）；</w:t>
      </w:r>
    </w:p>
    <w:p w14:paraId="671D6633">
      <w:pPr>
        <w:ind w:firstLine="480"/>
        <w:rPr>
          <w:rFonts w:ascii="Times New Roman" w:hAnsi="Times New Roman"/>
          <w:color w:val="auto"/>
          <w:highlight w:val="none"/>
        </w:rPr>
      </w:pPr>
      <w:r>
        <w:rPr>
          <w:rFonts w:ascii="Times New Roman" w:hAnsi="Times New Roman"/>
          <w:color w:val="auto"/>
          <w:highlight w:val="none"/>
        </w:rPr>
        <w:t>（5）《环境影响评价技术导则 地下水环境》(HJ 610-2016)；</w:t>
      </w:r>
    </w:p>
    <w:p w14:paraId="125A1B54">
      <w:pPr>
        <w:ind w:firstLine="480"/>
        <w:rPr>
          <w:rFonts w:ascii="Times New Roman" w:hAnsi="Times New Roman"/>
          <w:color w:val="auto"/>
          <w:highlight w:val="none"/>
        </w:rPr>
      </w:pPr>
      <w:r>
        <w:rPr>
          <w:rFonts w:ascii="Times New Roman" w:hAnsi="Times New Roman"/>
          <w:color w:val="auto"/>
          <w:highlight w:val="none"/>
        </w:rPr>
        <w:t>（6）《建设项目环境风险评价技术导则》（HJ 169-2018）；</w:t>
      </w:r>
    </w:p>
    <w:p w14:paraId="25FB2105">
      <w:pPr>
        <w:ind w:firstLine="480"/>
        <w:rPr>
          <w:rFonts w:ascii="Times New Roman" w:hAnsi="Times New Roman"/>
          <w:color w:val="auto"/>
          <w:highlight w:val="none"/>
        </w:rPr>
      </w:pPr>
      <w:r>
        <w:rPr>
          <w:rFonts w:ascii="Times New Roman" w:hAnsi="Times New Roman"/>
          <w:color w:val="auto"/>
          <w:highlight w:val="none"/>
        </w:rPr>
        <w:t>（7）《环境影响评价技术导则 土壤环境（试行）》（HJ 964-2018）；</w:t>
      </w:r>
    </w:p>
    <w:p w14:paraId="4B6EA353">
      <w:pPr>
        <w:ind w:firstLine="480"/>
        <w:rPr>
          <w:rFonts w:ascii="Times New Roman" w:hAnsi="Times New Roman"/>
          <w:color w:val="auto"/>
          <w:highlight w:val="none"/>
        </w:rPr>
      </w:pPr>
      <w:r>
        <w:rPr>
          <w:rFonts w:ascii="Times New Roman" w:hAnsi="Times New Roman"/>
          <w:color w:val="auto"/>
          <w:highlight w:val="none"/>
        </w:rPr>
        <w:t>（8）《污染源源强核算技术指南 锅炉》（HJ</w:t>
      </w:r>
      <w:r>
        <w:rPr>
          <w:rFonts w:hint="eastAsia" w:ascii="Times New Roman" w:hAnsi="Times New Roman"/>
          <w:color w:val="auto"/>
          <w:highlight w:val="none"/>
        </w:rPr>
        <w:t xml:space="preserve"> </w:t>
      </w:r>
      <w:r>
        <w:rPr>
          <w:rFonts w:ascii="Times New Roman" w:hAnsi="Times New Roman"/>
          <w:color w:val="auto"/>
          <w:highlight w:val="none"/>
        </w:rPr>
        <w:t>991-2018）；</w:t>
      </w:r>
    </w:p>
    <w:p w14:paraId="0F241D6F">
      <w:pPr>
        <w:ind w:firstLine="480"/>
        <w:rPr>
          <w:rFonts w:ascii="Times New Roman" w:hAnsi="Times New Roman"/>
          <w:color w:val="auto"/>
          <w:highlight w:val="none"/>
        </w:rPr>
      </w:pPr>
      <w:r>
        <w:rPr>
          <w:rFonts w:ascii="Times New Roman" w:hAnsi="Times New Roman"/>
          <w:color w:val="auto"/>
          <w:highlight w:val="none"/>
        </w:rPr>
        <w:t>（9）《排污许可证申请与核发技术规范 锅炉》（HJ</w:t>
      </w:r>
      <w:r>
        <w:rPr>
          <w:rFonts w:hint="eastAsia" w:ascii="Times New Roman" w:hAnsi="Times New Roman"/>
          <w:color w:val="auto"/>
          <w:highlight w:val="none"/>
        </w:rPr>
        <w:t xml:space="preserve"> </w:t>
      </w:r>
      <w:r>
        <w:rPr>
          <w:rFonts w:ascii="Times New Roman" w:hAnsi="Times New Roman"/>
          <w:color w:val="auto"/>
          <w:highlight w:val="none"/>
        </w:rPr>
        <w:t>953 -2018）</w:t>
      </w:r>
    </w:p>
    <w:p w14:paraId="6C241183">
      <w:pPr>
        <w:ind w:firstLine="480"/>
        <w:rPr>
          <w:rFonts w:ascii="Times New Roman" w:hAnsi="Times New Roman"/>
          <w:color w:val="auto"/>
          <w:highlight w:val="none"/>
        </w:rPr>
      </w:pPr>
      <w:r>
        <w:rPr>
          <w:rFonts w:ascii="Times New Roman" w:hAnsi="Times New Roman"/>
          <w:color w:val="auto"/>
          <w:highlight w:val="none"/>
        </w:rPr>
        <w:t>（10）《排污单位自行监测技术指南 火力发电及锅炉》（HJ</w:t>
      </w:r>
      <w:r>
        <w:rPr>
          <w:rFonts w:hint="eastAsia" w:ascii="Times New Roman" w:hAnsi="Times New Roman"/>
          <w:color w:val="auto"/>
          <w:highlight w:val="none"/>
        </w:rPr>
        <w:t xml:space="preserve"> </w:t>
      </w:r>
      <w:r>
        <w:rPr>
          <w:rFonts w:ascii="Times New Roman" w:hAnsi="Times New Roman"/>
          <w:color w:val="auto"/>
          <w:highlight w:val="none"/>
        </w:rPr>
        <w:t>820-2017）</w:t>
      </w:r>
    </w:p>
    <w:p w14:paraId="59E77BD5">
      <w:pPr>
        <w:ind w:firstLine="480"/>
        <w:rPr>
          <w:rFonts w:ascii="Times New Roman" w:hAnsi="Times New Roman"/>
          <w:color w:val="auto"/>
          <w:highlight w:val="none"/>
        </w:rPr>
      </w:pPr>
      <w:r>
        <w:rPr>
          <w:rFonts w:ascii="Times New Roman" w:hAnsi="Times New Roman"/>
          <w:color w:val="auto"/>
          <w:highlight w:val="none"/>
        </w:rPr>
        <w:t>（11）《危险废物收集贮存运输技术规范》(HJ</w:t>
      </w:r>
      <w:r>
        <w:rPr>
          <w:rFonts w:hint="eastAsia" w:ascii="Times New Roman" w:hAnsi="Times New Roman"/>
          <w:color w:val="auto"/>
          <w:highlight w:val="none"/>
        </w:rPr>
        <w:t xml:space="preserve"> </w:t>
      </w:r>
      <w:r>
        <w:rPr>
          <w:rFonts w:ascii="Times New Roman" w:hAnsi="Times New Roman"/>
          <w:color w:val="auto"/>
          <w:highlight w:val="none"/>
        </w:rPr>
        <w:t>2025-2012)；</w:t>
      </w:r>
    </w:p>
    <w:p w14:paraId="69D2E7B8">
      <w:pPr>
        <w:ind w:firstLine="480"/>
        <w:rPr>
          <w:rFonts w:ascii="Times New Roman" w:hAnsi="Times New Roman"/>
          <w:color w:val="auto"/>
          <w:highlight w:val="none"/>
        </w:rPr>
      </w:pPr>
      <w:r>
        <w:rPr>
          <w:rFonts w:ascii="Times New Roman" w:hAnsi="Times New Roman"/>
          <w:color w:val="auto"/>
          <w:highlight w:val="none"/>
        </w:rPr>
        <w:t>（12）《环境影响评价技术导则 生态影响》（HJ 19-2022）；</w:t>
      </w:r>
    </w:p>
    <w:p w14:paraId="481A338D">
      <w:pPr>
        <w:ind w:firstLine="480"/>
        <w:rPr>
          <w:rFonts w:hint="eastAsia" w:ascii="Times New Roman" w:hAnsi="Times New Roman"/>
          <w:color w:val="auto"/>
          <w:highlight w:val="none"/>
        </w:rPr>
      </w:pPr>
      <w:r>
        <w:rPr>
          <w:rFonts w:ascii="Times New Roman" w:hAnsi="Times New Roman"/>
          <w:color w:val="auto"/>
          <w:highlight w:val="none"/>
        </w:rPr>
        <w:t>（13）《火电厂烟气脱硝工程技术规范 选择性非催化还原法》</w:t>
      </w:r>
      <w:r>
        <w:rPr>
          <w:rFonts w:hint="eastAsia" w:ascii="Times New Roman" w:hAnsi="Times New Roman"/>
          <w:color w:val="auto"/>
          <w:highlight w:val="none"/>
        </w:rPr>
        <w:t>（</w:t>
      </w:r>
      <w:r>
        <w:rPr>
          <w:rFonts w:ascii="Times New Roman" w:hAnsi="Times New Roman"/>
          <w:color w:val="auto"/>
          <w:highlight w:val="none"/>
        </w:rPr>
        <w:t>HJ 563－2010</w:t>
      </w:r>
      <w:r>
        <w:rPr>
          <w:rFonts w:hint="eastAsia" w:ascii="Times New Roman" w:hAnsi="Times New Roman"/>
          <w:color w:val="auto"/>
          <w:highlight w:val="none"/>
        </w:rPr>
        <w:t>）</w:t>
      </w:r>
      <w:r>
        <w:rPr>
          <w:rFonts w:ascii="Times New Roman" w:hAnsi="Times New Roman"/>
          <w:color w:val="auto"/>
          <w:highlight w:val="none"/>
        </w:rPr>
        <w:t>；</w:t>
      </w:r>
    </w:p>
    <w:p w14:paraId="473C5E69">
      <w:pPr>
        <w:pStyle w:val="23"/>
        <w:ind w:firstLine="480"/>
        <w:rPr>
          <w:rFonts w:ascii="Times New Roman" w:hAnsi="Times New Roman"/>
          <w:color w:val="auto"/>
          <w:highlight w:val="none"/>
        </w:rPr>
      </w:pPr>
      <w:r>
        <w:rPr>
          <w:rFonts w:ascii="Times New Roman" w:hAnsi="Times New Roman"/>
          <w:color w:val="auto"/>
          <w:highlight w:val="none"/>
        </w:rPr>
        <w:t>（14）</w:t>
      </w:r>
      <w:r>
        <w:rPr>
          <w:rFonts w:hint="eastAsia" w:ascii="Times New Roman" w:hAnsi="Times New Roman"/>
          <w:color w:val="auto"/>
          <w:highlight w:val="none"/>
          <w:lang w:val="en-US" w:eastAsia="zh-CN"/>
        </w:rPr>
        <w:t xml:space="preserve"> </w:t>
      </w:r>
      <w:r>
        <w:rPr>
          <w:rFonts w:ascii="Times New Roman" w:hAnsi="Times New Roman"/>
          <w:color w:val="auto"/>
          <w:highlight w:val="none"/>
        </w:rPr>
        <w:t>《火电厂烟气脱硝工程技术规范选择性催化还原法》（HJ</w:t>
      </w:r>
      <w:r>
        <w:rPr>
          <w:rFonts w:hint="eastAsia" w:ascii="Times New Roman" w:hAnsi="Times New Roman"/>
          <w:color w:val="auto"/>
          <w:highlight w:val="none"/>
        </w:rPr>
        <w:t xml:space="preserve"> </w:t>
      </w:r>
      <w:r>
        <w:rPr>
          <w:rFonts w:ascii="Times New Roman" w:hAnsi="Times New Roman"/>
          <w:color w:val="auto"/>
          <w:highlight w:val="none"/>
        </w:rPr>
        <w:t>562－2010）</w:t>
      </w:r>
    </w:p>
    <w:p w14:paraId="623C1058">
      <w:pPr>
        <w:pStyle w:val="21"/>
        <w:ind w:firstLine="480"/>
        <w:rPr>
          <w:rFonts w:ascii="Times New Roman" w:hAnsi="Times New Roman"/>
          <w:color w:val="auto"/>
          <w:kern w:val="2"/>
          <w:szCs w:val="22"/>
          <w:highlight w:val="none"/>
        </w:rPr>
      </w:pPr>
      <w:r>
        <w:rPr>
          <w:rFonts w:ascii="Times New Roman" w:hAnsi="Times New Roman"/>
          <w:color w:val="auto"/>
          <w:highlight w:val="none"/>
        </w:rPr>
        <w:t>（1</w:t>
      </w:r>
      <w:r>
        <w:rPr>
          <w:rFonts w:hint="eastAsia" w:ascii="Times New Roman" w:hAnsi="Times New Roman"/>
          <w:color w:val="auto"/>
          <w:highlight w:val="none"/>
        </w:rPr>
        <w:t>5</w:t>
      </w:r>
      <w:r>
        <w:rPr>
          <w:rFonts w:ascii="Times New Roman" w:hAnsi="Times New Roman"/>
          <w:color w:val="auto"/>
          <w:highlight w:val="none"/>
        </w:rPr>
        <w:t>）《工业锅炉烟气治理工程技术</w:t>
      </w:r>
      <w:r>
        <w:rPr>
          <w:rFonts w:ascii="Times New Roman" w:hAnsi="Times New Roman"/>
          <w:color w:val="auto"/>
          <w:kern w:val="2"/>
          <w:szCs w:val="22"/>
          <w:highlight w:val="none"/>
        </w:rPr>
        <w:t>规范》（HJ 462—2021）；</w:t>
      </w:r>
    </w:p>
    <w:p w14:paraId="300D3C60">
      <w:pPr>
        <w:rPr>
          <w:rFonts w:hint="eastAsia" w:ascii="Times New Roman" w:hAnsi="Times New Roman" w:eastAsia="宋体"/>
          <w:color w:val="auto"/>
          <w:kern w:val="2"/>
          <w:szCs w:val="22"/>
          <w:highlight w:val="none"/>
          <w:lang w:eastAsia="zh-CN"/>
        </w:rPr>
      </w:pPr>
      <w:r>
        <w:rPr>
          <w:rFonts w:ascii="Times New Roman" w:hAnsi="Times New Roman"/>
          <w:color w:val="auto"/>
          <w:kern w:val="2"/>
          <w:szCs w:val="22"/>
          <w:highlight w:val="none"/>
        </w:rPr>
        <w:t>（1</w:t>
      </w:r>
      <w:r>
        <w:rPr>
          <w:rFonts w:hint="eastAsia" w:ascii="Times New Roman" w:hAnsi="Times New Roman"/>
          <w:color w:val="auto"/>
          <w:kern w:val="2"/>
          <w:szCs w:val="22"/>
          <w:highlight w:val="none"/>
        </w:rPr>
        <w:t>6</w:t>
      </w:r>
      <w:r>
        <w:rPr>
          <w:rFonts w:ascii="Times New Roman" w:hAnsi="Times New Roman"/>
          <w:color w:val="auto"/>
          <w:kern w:val="2"/>
          <w:szCs w:val="22"/>
          <w:highlight w:val="none"/>
        </w:rPr>
        <w:t>）《烟气循环流化床法烟气脱硫工程通用技术规范》 (HJ 178—2018)</w:t>
      </w:r>
      <w:r>
        <w:rPr>
          <w:rFonts w:hint="eastAsia" w:ascii="Times New Roman" w:hAnsi="Times New Roman"/>
          <w:color w:val="auto"/>
          <w:kern w:val="2"/>
          <w:szCs w:val="22"/>
          <w:highlight w:val="none"/>
          <w:lang w:eastAsia="zh-CN"/>
        </w:rPr>
        <w:t>；</w:t>
      </w:r>
    </w:p>
    <w:p w14:paraId="6CEFF0F5">
      <w:pPr>
        <w:bidi w:val="0"/>
        <w:rPr>
          <w:rFonts w:hint="eastAsia" w:ascii="Times New Roman" w:hAnsi="Times New Roman"/>
          <w:color w:val="auto"/>
          <w:kern w:val="2"/>
          <w:szCs w:val="22"/>
          <w:highlight w:val="none"/>
          <w:lang w:eastAsia="zh-CN"/>
        </w:rPr>
      </w:pPr>
      <w:r>
        <w:rPr>
          <w:rFonts w:hint="eastAsia"/>
          <w:highlight w:val="none"/>
          <w:lang w:eastAsia="zh-CN"/>
        </w:rPr>
        <w:t>（</w:t>
      </w:r>
      <w:r>
        <w:rPr>
          <w:rFonts w:hint="eastAsia"/>
          <w:highlight w:val="none"/>
          <w:lang w:val="en-US" w:eastAsia="zh-CN"/>
        </w:rPr>
        <w:t>17</w:t>
      </w:r>
      <w:r>
        <w:rPr>
          <w:rFonts w:hint="eastAsia"/>
          <w:highlight w:val="none"/>
          <w:lang w:eastAsia="zh-CN"/>
        </w:rPr>
        <w:t>）《</w:t>
      </w:r>
      <w:r>
        <w:rPr>
          <w:rFonts w:hint="eastAsia"/>
          <w:highlight w:val="none"/>
          <w:lang w:val="en-US" w:eastAsia="zh-CN"/>
        </w:rPr>
        <w:t>工业锅炉污染防治可行技术指南</w:t>
      </w:r>
      <w:r>
        <w:rPr>
          <w:rFonts w:hint="eastAsia"/>
          <w:highlight w:val="none"/>
          <w:lang w:eastAsia="zh-CN"/>
        </w:rPr>
        <w:t>》</w:t>
      </w:r>
      <w:r>
        <w:rPr>
          <w:rFonts w:hint="eastAsia" w:ascii="Times New Roman" w:hAnsi="Times New Roman"/>
          <w:color w:val="auto"/>
          <w:kern w:val="2"/>
          <w:szCs w:val="22"/>
          <w:highlight w:val="none"/>
          <w:lang w:eastAsia="zh-CN"/>
        </w:rPr>
        <w:t>（</w:t>
      </w:r>
      <w:r>
        <w:rPr>
          <w:rFonts w:hint="eastAsia" w:ascii="Times New Roman" w:hAnsi="Times New Roman"/>
          <w:color w:val="auto"/>
          <w:kern w:val="2"/>
          <w:szCs w:val="22"/>
          <w:highlight w:val="none"/>
          <w:lang w:val="en-US" w:eastAsia="zh-CN"/>
        </w:rPr>
        <w:t>HJ 1178-2021</w:t>
      </w:r>
      <w:r>
        <w:rPr>
          <w:rFonts w:hint="eastAsia" w:ascii="Times New Roman" w:hAnsi="Times New Roman"/>
          <w:color w:val="auto"/>
          <w:kern w:val="2"/>
          <w:szCs w:val="22"/>
          <w:highlight w:val="none"/>
          <w:lang w:eastAsia="zh-CN"/>
        </w:rPr>
        <w:t>）。</w:t>
      </w:r>
    </w:p>
    <w:p w14:paraId="14338396">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36" w:name="_Toc11693"/>
      <w:r>
        <w:rPr>
          <w:rFonts w:hint="eastAsia" w:ascii="Times New Roman" w:hAnsi="Times New Roman" w:eastAsia="宋体" w:cs="Times New Roman"/>
          <w:sz w:val="30"/>
          <w:szCs w:val="30"/>
          <w:highlight w:val="none"/>
          <w:lang w:val="en-US" w:eastAsia="zh-CN"/>
        </w:rPr>
        <w:t>2.1.3其他技术资料</w:t>
      </w:r>
      <w:bookmarkEnd w:id="36"/>
    </w:p>
    <w:p w14:paraId="6BAE0F3D">
      <w:pPr>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1、建设单位提供其他材料</w:t>
      </w:r>
    </w:p>
    <w:p w14:paraId="4585AD7A">
      <w:pPr>
        <w:pStyle w:val="4"/>
        <w:bidi w:val="0"/>
        <w:ind w:left="0" w:leftChars="0" w:firstLine="0" w:firstLineChars="0"/>
        <w:rPr>
          <w:rFonts w:hint="eastAsia" w:ascii="Times New Roman" w:hAnsi="Times New Roman" w:cs="Times New Roman"/>
          <w:highlight w:val="none"/>
          <w:lang w:val="en-US" w:eastAsia="zh-CN"/>
        </w:rPr>
      </w:pPr>
      <w:bookmarkStart w:id="37" w:name="_Toc13923"/>
      <w:r>
        <w:rPr>
          <w:rFonts w:hint="eastAsia" w:ascii="Times New Roman" w:hAnsi="Times New Roman" w:cs="Times New Roman"/>
          <w:highlight w:val="none"/>
          <w:lang w:val="en-US" w:eastAsia="zh-CN"/>
        </w:rPr>
        <w:t>2.2评价目的与原则</w:t>
      </w:r>
      <w:bookmarkEnd w:id="37"/>
    </w:p>
    <w:p w14:paraId="54357085">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38" w:name="_Toc15903"/>
      <w:r>
        <w:rPr>
          <w:rFonts w:hint="eastAsia" w:ascii="Times New Roman" w:hAnsi="Times New Roman" w:eastAsia="宋体" w:cs="Times New Roman"/>
          <w:sz w:val="30"/>
          <w:szCs w:val="30"/>
          <w:highlight w:val="none"/>
          <w:lang w:val="en-US" w:eastAsia="zh-CN"/>
        </w:rPr>
        <w:t>2.2.1评价目的</w:t>
      </w:r>
      <w:bookmarkEnd w:id="38"/>
    </w:p>
    <w:p w14:paraId="2BC7CFCB">
      <w:pPr>
        <w:rPr>
          <w:rFonts w:ascii="Times New Roman" w:hAnsi="Times New Roman"/>
          <w:color w:val="auto"/>
          <w:highlight w:val="none"/>
        </w:rPr>
      </w:pPr>
      <w:r>
        <w:rPr>
          <w:rFonts w:ascii="Times New Roman" w:hAnsi="Times New Roman"/>
          <w:color w:val="auto"/>
          <w:highlight w:val="none"/>
        </w:rPr>
        <w:t>按照国家环境影响评价工作程序的要求，针对本工程排污的特点，在充分了解工程建设基本情况及所在区域环境功能要求和环境质量现状的基础上，通过对工程建设可能引起的环境问题进行分析，识别出本工程建设各阶段的环境影响因子，按照“达标排放”、“总量控制”的指导思想，依据国家和地方的有关法律、法规、标准的要求，提出技术可行、经济合理的污染防治措施及生态保护措施，预测本工程投产后所排污染物对周围环境产生影响的范围和程度，结合公众参与环境影响评价结果，从环境角度论证该工程建设的可行性，为项目环境管理和决策提供科学依据。</w:t>
      </w:r>
    </w:p>
    <w:p w14:paraId="25933F48">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39" w:name="_Toc10629"/>
      <w:r>
        <w:rPr>
          <w:rFonts w:hint="eastAsia" w:ascii="Times New Roman" w:hAnsi="Times New Roman" w:eastAsia="宋体" w:cs="Times New Roman"/>
          <w:sz w:val="30"/>
          <w:szCs w:val="30"/>
          <w:highlight w:val="none"/>
          <w:lang w:val="en-US" w:eastAsia="zh-CN"/>
        </w:rPr>
        <w:t>2.2.2评价原则</w:t>
      </w:r>
      <w:bookmarkEnd w:id="39"/>
    </w:p>
    <w:p w14:paraId="12F937BA">
      <w:pPr>
        <w:ind w:firstLine="480"/>
        <w:rPr>
          <w:rFonts w:ascii="Times New Roman" w:hAnsi="Times New Roman"/>
          <w:color w:val="auto"/>
          <w:highlight w:val="none"/>
        </w:rPr>
      </w:pPr>
      <w:r>
        <w:rPr>
          <w:rFonts w:ascii="Times New Roman" w:hAnsi="Times New Roman"/>
          <w:color w:val="auto"/>
          <w:highlight w:val="none"/>
        </w:rPr>
        <w:t>本项目的环境影响评价原则根据评价工作的流程和项目特性，分为以下三个原则，具体情况如下所述。</w:t>
      </w:r>
    </w:p>
    <w:p w14:paraId="58733F7A">
      <w:pPr>
        <w:ind w:firstLine="480"/>
        <w:rPr>
          <w:rFonts w:ascii="Times New Roman" w:hAnsi="Times New Roman"/>
          <w:color w:val="auto"/>
          <w:highlight w:val="none"/>
        </w:rPr>
      </w:pPr>
      <w:r>
        <w:rPr>
          <w:rFonts w:ascii="Times New Roman" w:hAnsi="Times New Roman"/>
          <w:color w:val="auto"/>
          <w:highlight w:val="none"/>
        </w:rPr>
        <w:t>（1）依法评价。本次环境影响评价贯彻执行了我国环境保护相关法律法规、标准、政策和规划等，优化了项目建设和环境管理。</w:t>
      </w:r>
    </w:p>
    <w:p w14:paraId="364A37C0">
      <w:pPr>
        <w:ind w:firstLine="480"/>
        <w:rPr>
          <w:rFonts w:ascii="Times New Roman" w:hAnsi="Times New Roman"/>
          <w:color w:val="auto"/>
          <w:highlight w:val="none"/>
        </w:rPr>
      </w:pPr>
      <w:r>
        <w:rPr>
          <w:rFonts w:ascii="Times New Roman" w:hAnsi="Times New Roman"/>
          <w:color w:val="auto"/>
          <w:highlight w:val="none"/>
        </w:rPr>
        <w:t>（2）科学评价。本次环境影响评价规范了环境影响评价方法，科学分析了项目建设对环境质量的影响。</w:t>
      </w:r>
    </w:p>
    <w:p w14:paraId="6F54F744">
      <w:pPr>
        <w:rPr>
          <w:rFonts w:ascii="Times New Roman" w:hAnsi="Times New Roman"/>
          <w:color w:val="auto"/>
          <w:highlight w:val="none"/>
        </w:rPr>
      </w:pPr>
      <w:r>
        <w:rPr>
          <w:rFonts w:ascii="Times New Roman" w:hAnsi="Times New Roman"/>
          <w:color w:val="auto"/>
          <w:highlight w:val="none"/>
        </w:rPr>
        <w:t>（3）突出重点。本次环境影响评价根据建设项目的工程内容及其特点，明确与环境要素间的作用效应关系，根据规划环境影响评价结论和审查意见，充分利用符合时效的数据资料及成果，对建设项目主要环境影响予以重点分析和评价。</w:t>
      </w:r>
    </w:p>
    <w:p w14:paraId="08C76A42">
      <w:pPr>
        <w:pStyle w:val="4"/>
        <w:bidi w:val="0"/>
        <w:ind w:left="0" w:leftChars="0" w:firstLine="0" w:firstLineChars="0"/>
        <w:rPr>
          <w:rFonts w:hint="eastAsia" w:ascii="Times New Roman" w:hAnsi="Times New Roman" w:cs="Times New Roman"/>
          <w:highlight w:val="none"/>
          <w:lang w:val="en-US" w:eastAsia="zh-CN"/>
        </w:rPr>
      </w:pPr>
      <w:bookmarkStart w:id="40" w:name="_Toc26353"/>
      <w:r>
        <w:rPr>
          <w:rFonts w:hint="eastAsia" w:ascii="Times New Roman" w:hAnsi="Times New Roman" w:cs="Times New Roman"/>
          <w:highlight w:val="none"/>
          <w:lang w:val="en-US" w:eastAsia="zh-CN"/>
        </w:rPr>
        <w:t>2.3评价因子与评价标准</w:t>
      </w:r>
      <w:bookmarkEnd w:id="40"/>
    </w:p>
    <w:p w14:paraId="1611964E">
      <w:pPr>
        <w:pStyle w:val="5"/>
        <w:bidi w:val="0"/>
        <w:ind w:left="0" w:leftChars="0" w:firstLine="0" w:firstLineChars="0"/>
        <w:rPr>
          <w:rFonts w:hint="eastAsia" w:ascii="Times New Roman" w:hAnsi="Times New Roman" w:eastAsia="宋体" w:cs="Times New Roman"/>
          <w:highlight w:val="none"/>
          <w:lang w:val="en-US" w:eastAsia="zh-CN"/>
        </w:rPr>
      </w:pPr>
      <w:bookmarkStart w:id="41" w:name="_Toc22913"/>
      <w:r>
        <w:rPr>
          <w:rFonts w:hint="eastAsia" w:ascii="Times New Roman" w:hAnsi="Times New Roman" w:eastAsia="宋体" w:cs="Times New Roman"/>
          <w:highlight w:val="none"/>
          <w:lang w:val="en-US" w:eastAsia="zh-CN"/>
        </w:rPr>
        <w:t>2.3.1环境影响因素识别</w:t>
      </w:r>
      <w:bookmarkEnd w:id="41"/>
    </w:p>
    <w:p w14:paraId="7672459D">
      <w:pPr>
        <w:ind w:firstLine="480"/>
        <w:rPr>
          <w:rFonts w:ascii="Times New Roman" w:hAnsi="Times New Roman"/>
          <w:color w:val="auto"/>
          <w:highlight w:val="none"/>
        </w:rPr>
      </w:pPr>
      <w:r>
        <w:rPr>
          <w:rFonts w:ascii="Times New Roman" w:hAnsi="Times New Roman"/>
          <w:color w:val="auto"/>
          <w:highlight w:val="none"/>
        </w:rPr>
        <w:t>在工程分析的基础上，通过工程污染源和环境影响分析，按施工期和运营期进行环境影响识别。根据建设项目对环境的影响程度，以及与国家和地方环境法律法规、环境标准的符合程度，确定重要环境因素。</w:t>
      </w:r>
    </w:p>
    <w:p w14:paraId="2483FFD0">
      <w:pPr>
        <w:ind w:firstLine="480"/>
        <w:rPr>
          <w:rFonts w:ascii="Times New Roman" w:hAnsi="Times New Roman"/>
          <w:color w:val="auto"/>
          <w:highlight w:val="none"/>
        </w:rPr>
      </w:pPr>
      <w:r>
        <w:rPr>
          <w:rFonts w:ascii="Times New Roman" w:hAnsi="Times New Roman"/>
          <w:color w:val="auto"/>
          <w:highlight w:val="none"/>
        </w:rPr>
        <w:t>1、施工期环境影响识别</w:t>
      </w:r>
    </w:p>
    <w:p w14:paraId="6C8F0F2E">
      <w:pPr>
        <w:ind w:firstLine="480"/>
        <w:rPr>
          <w:rFonts w:ascii="Times New Roman" w:hAnsi="Times New Roman"/>
          <w:color w:val="auto"/>
          <w:highlight w:val="none"/>
        </w:rPr>
      </w:pPr>
      <w:r>
        <w:rPr>
          <w:rFonts w:hint="eastAsia" w:ascii="Times New Roman" w:hAnsi="Times New Roman"/>
          <w:color w:val="auto"/>
          <w:highlight w:val="none"/>
        </w:rPr>
        <w:t>项目施工废水主要为施工废水及施工人员生活污水，会对周围区域水环境造成影响。施工废气主要来源于施工场地平整、机械车辆运输过程产生的扬尘，以及施工机械排放的烟气，主要污染物为颗粒物、CO、NOx、烟尘等。施工废气主要呈无组织排放。施工期主要噪声源为安装设备、建筑机械和车辆运输产生噪声，噪声源为80~ 90dB(A)。该些施工机械一般为间歇性工作，持续时间较短，影响具有明显的时限性。施工期固废主要为施工人员生活垃圾、建筑弃渣，</w:t>
      </w:r>
      <w:r>
        <w:rPr>
          <w:rFonts w:ascii="Times New Roman" w:hAnsi="Times New Roman"/>
          <w:color w:val="auto"/>
          <w:highlight w:val="none"/>
        </w:rPr>
        <w:t>若处理不当，将对周围环境产生一定的不利影响。</w:t>
      </w:r>
    </w:p>
    <w:p w14:paraId="00368EB9">
      <w:pPr>
        <w:ind w:firstLine="480"/>
        <w:rPr>
          <w:rFonts w:ascii="Times New Roman" w:hAnsi="Times New Roman"/>
          <w:color w:val="auto"/>
          <w:highlight w:val="none"/>
        </w:rPr>
      </w:pPr>
      <w:r>
        <w:rPr>
          <w:rFonts w:ascii="Times New Roman" w:hAnsi="Times New Roman"/>
          <w:color w:val="auto"/>
          <w:highlight w:val="none"/>
        </w:rPr>
        <w:t>2、运行期环境影响识别</w:t>
      </w:r>
    </w:p>
    <w:p w14:paraId="566855A4">
      <w:pPr>
        <w:ind w:firstLine="480"/>
        <w:rPr>
          <w:rFonts w:ascii="Times New Roman" w:hAnsi="Times New Roman"/>
          <w:color w:val="auto"/>
          <w:highlight w:val="none"/>
        </w:rPr>
      </w:pPr>
      <w:r>
        <w:rPr>
          <w:rFonts w:ascii="Times New Roman" w:hAnsi="Times New Roman"/>
          <w:color w:val="auto"/>
          <w:highlight w:val="none"/>
        </w:rPr>
        <w:t>（1）生态环境影响：</w:t>
      </w:r>
      <w:r>
        <w:rPr>
          <w:rFonts w:hint="eastAsia" w:ascii="Times New Roman" w:hAnsi="Times New Roman"/>
          <w:color w:val="auto"/>
          <w:highlight w:val="none"/>
          <w:lang w:val="en-US" w:eastAsia="zh-CN"/>
        </w:rPr>
        <w:t>项目</w:t>
      </w:r>
      <w:r>
        <w:rPr>
          <w:rFonts w:ascii="Times New Roman" w:hAnsi="Times New Roman"/>
          <w:color w:val="auto"/>
          <w:highlight w:val="none"/>
        </w:rPr>
        <w:t>占地面积</w:t>
      </w:r>
      <w:r>
        <w:rPr>
          <w:rFonts w:hint="eastAsia" w:ascii="Times New Roman" w:hAnsi="Times New Roman"/>
          <w:color w:val="auto"/>
          <w:highlight w:val="none"/>
          <w:lang w:val="en-US" w:eastAsia="zh-CN"/>
        </w:rPr>
        <w:t>1.3万</w:t>
      </w:r>
      <w:r>
        <w:rPr>
          <w:rFonts w:hint="eastAsia" w:ascii="Times New Roman" w:hAnsi="Times New Roman"/>
          <w:iCs/>
          <w:color w:val="auto"/>
          <w:highlight w:val="none"/>
        </w:rPr>
        <w:t>平方米</w:t>
      </w:r>
      <w:r>
        <w:rPr>
          <w:rFonts w:hint="eastAsia" w:ascii="Times New Roman" w:hAnsi="Times New Roman"/>
          <w:color w:val="auto"/>
          <w:highlight w:val="none"/>
        </w:rPr>
        <w:t>。</w:t>
      </w:r>
      <w:r>
        <w:rPr>
          <w:rFonts w:ascii="Times New Roman" w:hAnsi="Times New Roman"/>
          <w:color w:val="auto"/>
          <w:highlight w:val="none"/>
        </w:rPr>
        <w:t>无需动迁民宅及新征土地，影响范围内无自然保护区、世界文化和自然遗产地等特殊敏感区，也无风景名胜区、森林公园、地质公园、重要湿地、原始天然林、珍稀濒危野生动植物天然集中分布区等重要生态敏感区，属一般区域。对生态环境影响轻微。</w:t>
      </w:r>
    </w:p>
    <w:p w14:paraId="1AC3996B">
      <w:pPr>
        <w:ind w:firstLine="480"/>
        <w:rPr>
          <w:rFonts w:ascii="Times New Roman" w:hAnsi="Times New Roman"/>
          <w:color w:val="auto"/>
          <w:highlight w:val="none"/>
        </w:rPr>
      </w:pPr>
      <w:r>
        <w:rPr>
          <w:rFonts w:ascii="Times New Roman" w:hAnsi="Times New Roman"/>
          <w:color w:val="auto"/>
          <w:highlight w:val="none"/>
        </w:rPr>
        <w:t>（2）声环境影响：营运期噪声污染主要来源于厂区内各种泵类以及锅炉风机等设备噪声，声环境影响即上述污染源对厂区周围声环境的影响。</w:t>
      </w:r>
    </w:p>
    <w:p w14:paraId="2E6DAE2C">
      <w:pPr>
        <w:ind w:firstLine="480"/>
        <w:rPr>
          <w:rFonts w:ascii="Times New Roman" w:hAnsi="Times New Roman"/>
          <w:color w:val="auto"/>
          <w:highlight w:val="none"/>
        </w:rPr>
      </w:pPr>
      <w:r>
        <w:rPr>
          <w:rFonts w:ascii="Times New Roman" w:hAnsi="Times New Roman"/>
          <w:color w:val="auto"/>
          <w:highlight w:val="none"/>
        </w:rPr>
        <w:t>（3）环境空气影响：废气污染物主要存在于锅炉燃烧产生的烟气中，另外还有燃煤贮存、输送过程</w:t>
      </w:r>
      <w:r>
        <w:rPr>
          <w:rFonts w:hint="eastAsia" w:ascii="Times New Roman" w:hAnsi="Times New Roman"/>
          <w:color w:val="auto"/>
          <w:highlight w:val="none"/>
        </w:rPr>
        <w:t>、碎煤机室、各粉料仓等</w:t>
      </w:r>
      <w:r>
        <w:rPr>
          <w:rFonts w:ascii="Times New Roman" w:hAnsi="Times New Roman"/>
          <w:color w:val="auto"/>
          <w:highlight w:val="none"/>
        </w:rPr>
        <w:t>，主要的废气污染物为</w:t>
      </w:r>
      <w:r>
        <w:rPr>
          <w:rFonts w:hint="eastAsia" w:ascii="Times New Roman" w:hAnsi="Times New Roman"/>
          <w:color w:val="auto"/>
          <w:highlight w:val="none"/>
        </w:rPr>
        <w:t>烟尘</w:t>
      </w:r>
      <w:r>
        <w:rPr>
          <w:rFonts w:ascii="Times New Roman" w:hAnsi="Times New Roman"/>
          <w:color w:val="auto"/>
          <w:highlight w:val="none"/>
        </w:rPr>
        <w:t>、SO</w:t>
      </w:r>
      <w:r>
        <w:rPr>
          <w:rFonts w:ascii="Times New Roman" w:hAnsi="Times New Roman"/>
          <w:color w:val="auto"/>
          <w:highlight w:val="none"/>
          <w:vertAlign w:val="subscript"/>
        </w:rPr>
        <w:t>2</w:t>
      </w:r>
      <w:r>
        <w:rPr>
          <w:rFonts w:ascii="Times New Roman" w:hAnsi="Times New Roman"/>
          <w:color w:val="auto"/>
          <w:highlight w:val="none"/>
        </w:rPr>
        <w:t>、NOx、汞及其化合物、</w:t>
      </w:r>
      <w:r>
        <w:rPr>
          <w:rFonts w:hint="eastAsia" w:ascii="Times New Roman" w:hAnsi="Times New Roman"/>
          <w:color w:val="auto"/>
          <w:highlight w:val="none"/>
        </w:rPr>
        <w:t>林格曼黑度、</w:t>
      </w:r>
      <w:r>
        <w:rPr>
          <w:rFonts w:ascii="Times New Roman" w:hAnsi="Times New Roman"/>
          <w:color w:val="auto"/>
          <w:highlight w:val="none"/>
        </w:rPr>
        <w:t>NH</w:t>
      </w:r>
      <w:r>
        <w:rPr>
          <w:rFonts w:ascii="Times New Roman" w:hAnsi="Times New Roman"/>
          <w:color w:val="auto"/>
          <w:highlight w:val="none"/>
          <w:vertAlign w:val="subscript"/>
        </w:rPr>
        <w:t>3</w:t>
      </w:r>
      <w:r>
        <w:rPr>
          <w:rFonts w:hint="eastAsia" w:ascii="Times New Roman" w:hAnsi="Times New Roman"/>
          <w:color w:val="auto"/>
          <w:highlight w:val="none"/>
          <w:vertAlign w:val="baseline"/>
          <w:lang w:eastAsia="zh-CN"/>
        </w:rPr>
        <w:t>、</w:t>
      </w:r>
      <w:r>
        <w:rPr>
          <w:rFonts w:hint="eastAsia" w:ascii="Times New Roman" w:hAnsi="Times New Roman"/>
          <w:color w:val="auto"/>
          <w:highlight w:val="none"/>
          <w:vertAlign w:val="baseline"/>
          <w:lang w:val="en-US" w:eastAsia="zh-CN"/>
        </w:rPr>
        <w:t>颗粒物</w:t>
      </w:r>
      <w:r>
        <w:rPr>
          <w:rFonts w:ascii="Times New Roman" w:hAnsi="Times New Roman"/>
          <w:color w:val="auto"/>
          <w:highlight w:val="none"/>
        </w:rPr>
        <w:t>。环境空气影响即上述污染源对厂区周围居民的影响。</w:t>
      </w:r>
    </w:p>
    <w:p w14:paraId="47CFEB3B">
      <w:pPr>
        <w:ind w:firstLine="480"/>
        <w:rPr>
          <w:rFonts w:ascii="Times New Roman" w:hAnsi="Times New Roman"/>
          <w:color w:val="auto"/>
          <w:highlight w:val="none"/>
        </w:rPr>
      </w:pPr>
      <w:r>
        <w:rPr>
          <w:rFonts w:ascii="Times New Roman" w:hAnsi="Times New Roman"/>
          <w:color w:val="auto"/>
          <w:highlight w:val="none"/>
        </w:rPr>
        <w:t>（4）水环境影响：废水主要有</w:t>
      </w:r>
      <w:r>
        <w:rPr>
          <w:rFonts w:hint="eastAsia" w:ascii="Times New Roman" w:hAnsi="Times New Roman"/>
          <w:color w:val="auto"/>
          <w:highlight w:val="none"/>
          <w:lang w:val="en-US" w:eastAsia="zh-CN"/>
        </w:rPr>
        <w:t>生活污水、脱硫废水、</w:t>
      </w:r>
      <w:r>
        <w:rPr>
          <w:rFonts w:ascii="Times New Roman" w:hAnsi="Times New Roman"/>
          <w:color w:val="auto"/>
          <w:highlight w:val="none"/>
        </w:rPr>
        <w:t>锅炉排污水</w:t>
      </w:r>
      <w:r>
        <w:rPr>
          <w:rFonts w:hint="eastAsia" w:ascii="Times New Roman" w:hAnsi="Times New Roman"/>
          <w:color w:val="auto"/>
          <w:highlight w:val="none"/>
          <w:lang w:eastAsia="zh-CN"/>
        </w:rPr>
        <w:t>及软化水废水</w:t>
      </w:r>
      <w:r>
        <w:rPr>
          <w:rFonts w:ascii="Times New Roman" w:hAnsi="Times New Roman"/>
          <w:color w:val="auto"/>
          <w:highlight w:val="none"/>
        </w:rPr>
        <w:t>。</w:t>
      </w:r>
      <w:r>
        <w:rPr>
          <w:rFonts w:ascii="Times New Roman" w:hAnsi="Times New Roman"/>
          <w:highlight w:val="none"/>
        </w:rPr>
        <w:t>其中：</w:t>
      </w:r>
      <w:r>
        <w:rPr>
          <w:rFonts w:hint="eastAsia" w:ascii="Times New Roman" w:hAnsi="Times New Roman"/>
          <w:highlight w:val="none"/>
          <w:lang w:val="en-US" w:eastAsia="zh-CN"/>
        </w:rPr>
        <w:t>生活污水排入市政管网；</w:t>
      </w:r>
      <w:r>
        <w:rPr>
          <w:rFonts w:ascii="Times New Roman" w:hAnsi="Times New Roman"/>
          <w:highlight w:val="none"/>
        </w:rPr>
        <w:t>脱硫废水的主要污染因子为</w:t>
      </w:r>
      <w:r>
        <w:rPr>
          <w:rFonts w:hint="eastAsia" w:ascii="Times New Roman" w:hAnsi="Times New Roman"/>
          <w:highlight w:val="none"/>
        </w:rPr>
        <w:t>pH值、悬浮物、化学需氧量、氟化物、硫化物、总砷、总铅、总汞、总镉</w:t>
      </w:r>
      <w:r>
        <w:rPr>
          <w:rFonts w:ascii="Times New Roman" w:hAnsi="Times New Roman"/>
          <w:highlight w:val="none"/>
        </w:rPr>
        <w:t>；锅炉排污水的主要污染因子为少量盐类、SS。水环境影响即上述污染源对周围地表水环境的影响。本项目生产废水全部回收利用，不外排。</w:t>
      </w:r>
    </w:p>
    <w:p w14:paraId="0618ACB5">
      <w:pPr>
        <w:ind w:firstLine="480"/>
        <w:rPr>
          <w:rFonts w:hint="default" w:ascii="Times New Roman" w:hAnsi="Times New Roman" w:eastAsia="宋体"/>
          <w:color w:val="auto"/>
          <w:highlight w:val="none"/>
          <w:lang w:val="en-US" w:eastAsia="zh-CN"/>
        </w:rPr>
      </w:pP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5</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固废影响分析：本项目产生的炉灰、炉渣、脱硫石膏外售进行综合利用；废布袋、废离子交换树脂和反渗透膜由厂家回收处置；废机油、废催化剂暂存于危废贮存点，委托有资质单位处置。</w:t>
      </w:r>
    </w:p>
    <w:p w14:paraId="23739F69">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6</w:t>
      </w:r>
      <w:r>
        <w:rPr>
          <w:rFonts w:ascii="Times New Roman" w:hAnsi="Times New Roman"/>
          <w:color w:val="auto"/>
          <w:highlight w:val="none"/>
        </w:rPr>
        <w:t>）风险识别：本项目存在的主要环境风险物质为锅炉点火过程使用的柴油。</w:t>
      </w:r>
      <w:r>
        <w:rPr>
          <w:rFonts w:hint="eastAsia" w:ascii="Times New Roman" w:hAnsi="Times New Roman"/>
          <w:color w:val="auto"/>
          <w:highlight w:val="none"/>
        </w:rPr>
        <w:t>主要危险物质为轻柴油，厂区不设油区及油罐，采用油罐车运油到厂给锅炉点火，点火后油罐车离开厂区。</w:t>
      </w:r>
      <w:r>
        <w:rPr>
          <w:rFonts w:hint="eastAsia" w:ascii="Times New Roman" w:hAnsi="Times New Roman"/>
          <w:color w:val="auto"/>
          <w:highlight w:val="none"/>
          <w:lang w:val="en-US" w:eastAsia="zh-CN"/>
        </w:rPr>
        <w:t>本项目产生的废机油及时委托有资质单位处置。</w:t>
      </w:r>
    </w:p>
    <w:p w14:paraId="508496D7">
      <w:pPr>
        <w:pStyle w:val="26"/>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7</w:t>
      </w:r>
      <w:r>
        <w:rPr>
          <w:rFonts w:ascii="Times New Roman" w:hAnsi="Times New Roman"/>
          <w:color w:val="auto"/>
          <w:highlight w:val="none"/>
        </w:rPr>
        <w:t>）土壤环境影响</w:t>
      </w:r>
    </w:p>
    <w:p w14:paraId="60541402">
      <w:pPr>
        <w:pStyle w:val="26"/>
        <w:rPr>
          <w:rFonts w:ascii="Times New Roman" w:hAnsi="Times New Roman"/>
          <w:color w:val="auto"/>
          <w:highlight w:val="none"/>
        </w:rPr>
      </w:pPr>
      <w:r>
        <w:rPr>
          <w:rFonts w:ascii="Times New Roman" w:hAnsi="Times New Roman"/>
          <w:color w:val="auto"/>
          <w:highlight w:val="none"/>
        </w:rPr>
        <w:t>本项目运营期对土壤的影响主要是大气沉降落入土壤中，大气沉降量很少，对土壤环境影响较小。</w:t>
      </w:r>
    </w:p>
    <w:p w14:paraId="55F8E282">
      <w:pPr>
        <w:pStyle w:val="26"/>
        <w:rPr>
          <w:rFonts w:ascii="Times New Roman" w:hAnsi="Times New Roman"/>
          <w:color w:val="auto"/>
          <w:highlight w:val="none"/>
        </w:rPr>
      </w:pPr>
      <w:r>
        <w:rPr>
          <w:rFonts w:ascii="Times New Roman" w:hAnsi="Times New Roman"/>
          <w:color w:val="auto"/>
          <w:highlight w:val="none"/>
        </w:rPr>
        <w:t>环境因素识别通常采用矩阵法进行，根据该工程在施工期和运营期产生的环境影响的性质、工程周围环境特征及环境敏感程度，将本工程行为对各类环境要素产生的影响，按施工期和运营期制成环境影响识别与筛选矩阵表，见表2.3-1。</w:t>
      </w:r>
    </w:p>
    <w:p w14:paraId="6A03F574">
      <w:pPr>
        <w:pStyle w:val="29"/>
        <w:spacing w:line="240" w:lineRule="auto"/>
        <w:ind w:firstLine="480"/>
        <w:rPr>
          <w:rFonts w:hint="eastAsia" w:ascii="Times New Roman" w:hAnsi="Times New Roman" w:eastAsia="黑体" w:cs="Times New Roman"/>
          <w:color w:val="auto"/>
          <w:spacing w:val="0"/>
          <w:kern w:val="2"/>
          <w:sz w:val="24"/>
          <w:szCs w:val="24"/>
          <w:highlight w:val="none"/>
          <w:lang w:val="en-US" w:eastAsia="zh-CN" w:bidi="ar-SA"/>
        </w:rPr>
      </w:pPr>
      <w:r>
        <w:rPr>
          <w:rFonts w:hint="eastAsia" w:ascii="Times New Roman" w:hAnsi="Times New Roman" w:eastAsia="黑体" w:cs="Times New Roman"/>
          <w:color w:val="auto"/>
          <w:spacing w:val="0"/>
          <w:kern w:val="2"/>
          <w:sz w:val="24"/>
          <w:szCs w:val="24"/>
          <w:highlight w:val="none"/>
          <w:lang w:val="en-US" w:eastAsia="zh-CN" w:bidi="ar-SA"/>
        </w:rPr>
        <w:t>表2.3-1 环境影响因素识别矩阵</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31"/>
        <w:gridCol w:w="1632"/>
        <w:gridCol w:w="586"/>
        <w:gridCol w:w="547"/>
        <w:gridCol w:w="814"/>
        <w:gridCol w:w="652"/>
        <w:gridCol w:w="598"/>
        <w:gridCol w:w="652"/>
        <w:gridCol w:w="598"/>
        <w:gridCol w:w="580"/>
        <w:gridCol w:w="598"/>
        <w:gridCol w:w="634"/>
      </w:tblGrid>
      <w:tr w14:paraId="0E4FC2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restart"/>
            <w:noWrap w:val="0"/>
            <w:vAlign w:val="center"/>
          </w:tcPr>
          <w:p w14:paraId="42269282">
            <w:pPr>
              <w:pStyle w:val="27"/>
              <w:rPr>
                <w:rFonts w:ascii="Times New Roman" w:hAnsi="Times New Roman"/>
                <w:color w:val="auto"/>
                <w:highlight w:val="none"/>
              </w:rPr>
            </w:pPr>
            <w:r>
              <w:rPr>
                <w:rFonts w:ascii="Times New Roman" w:hAnsi="Times New Roman"/>
                <w:color w:val="auto"/>
                <w:highlight w:val="none"/>
              </w:rPr>
              <w:t>工程</w:t>
            </w:r>
          </w:p>
          <w:p w14:paraId="39FFF116">
            <w:pPr>
              <w:pStyle w:val="27"/>
              <w:rPr>
                <w:rFonts w:ascii="Times New Roman" w:hAnsi="Times New Roman"/>
                <w:color w:val="auto"/>
                <w:highlight w:val="none"/>
              </w:rPr>
            </w:pPr>
            <w:r>
              <w:rPr>
                <w:rFonts w:ascii="Times New Roman" w:hAnsi="Times New Roman"/>
                <w:color w:val="auto"/>
                <w:highlight w:val="none"/>
              </w:rPr>
              <w:t>阶段</w:t>
            </w:r>
          </w:p>
        </w:tc>
        <w:tc>
          <w:tcPr>
            <w:tcW w:w="1632" w:type="dxa"/>
            <w:vMerge w:val="restart"/>
            <w:noWrap w:val="0"/>
            <w:vAlign w:val="center"/>
          </w:tcPr>
          <w:p w14:paraId="6A7E3FA3">
            <w:pPr>
              <w:pStyle w:val="27"/>
              <w:rPr>
                <w:rFonts w:ascii="Times New Roman" w:hAnsi="Times New Roman"/>
                <w:color w:val="auto"/>
                <w:highlight w:val="none"/>
              </w:rPr>
            </w:pPr>
            <w:r>
              <w:rPr>
                <w:rFonts w:ascii="Times New Roman" w:hAnsi="Times New Roman"/>
                <w:color w:val="auto"/>
                <w:highlight w:val="none"/>
              </w:rPr>
              <w:t>工程作用因素</w:t>
            </w:r>
          </w:p>
        </w:tc>
        <w:tc>
          <w:tcPr>
            <w:tcW w:w="6259" w:type="dxa"/>
            <w:gridSpan w:val="10"/>
            <w:noWrap w:val="0"/>
            <w:vAlign w:val="center"/>
          </w:tcPr>
          <w:p w14:paraId="16E08C9D">
            <w:pPr>
              <w:pStyle w:val="27"/>
              <w:rPr>
                <w:rFonts w:ascii="Times New Roman" w:hAnsi="Times New Roman"/>
                <w:color w:val="auto"/>
                <w:highlight w:val="none"/>
              </w:rPr>
            </w:pPr>
            <w:r>
              <w:rPr>
                <w:rFonts w:ascii="Times New Roman" w:hAnsi="Times New Roman"/>
                <w:color w:val="auto"/>
                <w:highlight w:val="none"/>
              </w:rPr>
              <w:t>工程引起的环境影响及影响程度</w:t>
            </w:r>
          </w:p>
        </w:tc>
      </w:tr>
      <w:tr w14:paraId="73FC99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56" w:hRule="atLeast"/>
          <w:jc w:val="center"/>
        </w:trPr>
        <w:tc>
          <w:tcPr>
            <w:tcW w:w="631" w:type="dxa"/>
            <w:vMerge w:val="continue"/>
            <w:noWrap w:val="0"/>
            <w:vAlign w:val="center"/>
          </w:tcPr>
          <w:p w14:paraId="5DC6D47E">
            <w:pPr>
              <w:pStyle w:val="27"/>
              <w:rPr>
                <w:rFonts w:ascii="Times New Roman" w:hAnsi="Times New Roman"/>
                <w:color w:val="auto"/>
                <w:highlight w:val="none"/>
              </w:rPr>
            </w:pPr>
          </w:p>
        </w:tc>
        <w:tc>
          <w:tcPr>
            <w:tcW w:w="1632" w:type="dxa"/>
            <w:vMerge w:val="continue"/>
            <w:noWrap w:val="0"/>
            <w:vAlign w:val="center"/>
          </w:tcPr>
          <w:p w14:paraId="73614197">
            <w:pPr>
              <w:pStyle w:val="27"/>
              <w:rPr>
                <w:rFonts w:ascii="Times New Roman" w:hAnsi="Times New Roman"/>
                <w:color w:val="auto"/>
                <w:highlight w:val="none"/>
              </w:rPr>
            </w:pPr>
          </w:p>
        </w:tc>
        <w:tc>
          <w:tcPr>
            <w:tcW w:w="586" w:type="dxa"/>
            <w:noWrap w:val="0"/>
            <w:vAlign w:val="center"/>
          </w:tcPr>
          <w:p w14:paraId="00E7CC1C">
            <w:pPr>
              <w:pStyle w:val="27"/>
              <w:rPr>
                <w:rFonts w:ascii="Times New Roman" w:hAnsi="Times New Roman"/>
                <w:color w:val="auto"/>
                <w:highlight w:val="none"/>
              </w:rPr>
            </w:pPr>
            <w:r>
              <w:rPr>
                <w:rFonts w:ascii="Times New Roman" w:hAnsi="Times New Roman"/>
                <w:color w:val="auto"/>
                <w:highlight w:val="none"/>
              </w:rPr>
              <w:t>水文</w:t>
            </w:r>
          </w:p>
        </w:tc>
        <w:tc>
          <w:tcPr>
            <w:tcW w:w="547" w:type="dxa"/>
            <w:noWrap w:val="0"/>
            <w:vAlign w:val="center"/>
          </w:tcPr>
          <w:p w14:paraId="0BB68740">
            <w:pPr>
              <w:pStyle w:val="27"/>
              <w:rPr>
                <w:rFonts w:ascii="Times New Roman" w:hAnsi="Times New Roman"/>
                <w:color w:val="auto"/>
                <w:highlight w:val="none"/>
              </w:rPr>
            </w:pPr>
            <w:r>
              <w:rPr>
                <w:rFonts w:ascii="Times New Roman" w:hAnsi="Times New Roman"/>
                <w:color w:val="auto"/>
                <w:highlight w:val="none"/>
              </w:rPr>
              <w:t>水质</w:t>
            </w:r>
          </w:p>
        </w:tc>
        <w:tc>
          <w:tcPr>
            <w:tcW w:w="814" w:type="dxa"/>
            <w:noWrap w:val="0"/>
            <w:vAlign w:val="center"/>
          </w:tcPr>
          <w:p w14:paraId="258BCB9C">
            <w:pPr>
              <w:pStyle w:val="27"/>
              <w:rPr>
                <w:rFonts w:ascii="Times New Roman" w:hAnsi="Times New Roman"/>
                <w:color w:val="auto"/>
                <w:highlight w:val="none"/>
              </w:rPr>
            </w:pPr>
            <w:r>
              <w:rPr>
                <w:rFonts w:ascii="Times New Roman" w:hAnsi="Times New Roman"/>
                <w:color w:val="auto"/>
                <w:highlight w:val="none"/>
              </w:rPr>
              <w:t>土壤</w:t>
            </w:r>
          </w:p>
          <w:p w14:paraId="4DB8F390">
            <w:pPr>
              <w:pStyle w:val="27"/>
              <w:rPr>
                <w:rFonts w:ascii="Times New Roman" w:hAnsi="Times New Roman"/>
                <w:color w:val="auto"/>
                <w:highlight w:val="none"/>
              </w:rPr>
            </w:pPr>
            <w:r>
              <w:rPr>
                <w:rFonts w:ascii="Times New Roman" w:hAnsi="Times New Roman"/>
                <w:color w:val="auto"/>
                <w:highlight w:val="none"/>
              </w:rPr>
              <w:t>污染</w:t>
            </w:r>
          </w:p>
        </w:tc>
        <w:tc>
          <w:tcPr>
            <w:tcW w:w="652" w:type="dxa"/>
            <w:noWrap w:val="0"/>
            <w:vAlign w:val="center"/>
          </w:tcPr>
          <w:p w14:paraId="13979A4C">
            <w:pPr>
              <w:pStyle w:val="27"/>
              <w:rPr>
                <w:rFonts w:ascii="Times New Roman" w:hAnsi="Times New Roman"/>
                <w:color w:val="auto"/>
                <w:highlight w:val="none"/>
              </w:rPr>
            </w:pPr>
            <w:r>
              <w:rPr>
                <w:rFonts w:ascii="Times New Roman" w:hAnsi="Times New Roman"/>
                <w:color w:val="auto"/>
                <w:highlight w:val="none"/>
              </w:rPr>
              <w:t>声环境</w:t>
            </w:r>
          </w:p>
        </w:tc>
        <w:tc>
          <w:tcPr>
            <w:tcW w:w="598" w:type="dxa"/>
            <w:noWrap w:val="0"/>
            <w:vAlign w:val="center"/>
          </w:tcPr>
          <w:p w14:paraId="6232C0FE">
            <w:pPr>
              <w:pStyle w:val="27"/>
              <w:rPr>
                <w:rFonts w:ascii="Times New Roman" w:hAnsi="Times New Roman"/>
                <w:color w:val="auto"/>
                <w:highlight w:val="none"/>
              </w:rPr>
            </w:pPr>
            <w:r>
              <w:rPr>
                <w:rFonts w:ascii="Times New Roman" w:hAnsi="Times New Roman"/>
                <w:color w:val="auto"/>
                <w:highlight w:val="none"/>
              </w:rPr>
              <w:t>空气环境</w:t>
            </w:r>
          </w:p>
        </w:tc>
        <w:tc>
          <w:tcPr>
            <w:tcW w:w="652" w:type="dxa"/>
            <w:noWrap w:val="0"/>
            <w:vAlign w:val="center"/>
          </w:tcPr>
          <w:p w14:paraId="7516CF88">
            <w:pPr>
              <w:pStyle w:val="27"/>
              <w:rPr>
                <w:rFonts w:ascii="Times New Roman" w:hAnsi="Times New Roman"/>
                <w:color w:val="auto"/>
                <w:highlight w:val="none"/>
              </w:rPr>
            </w:pPr>
            <w:r>
              <w:rPr>
                <w:rFonts w:ascii="Times New Roman" w:hAnsi="Times New Roman"/>
                <w:color w:val="auto"/>
                <w:highlight w:val="none"/>
              </w:rPr>
              <w:t>生态</w:t>
            </w:r>
          </w:p>
          <w:p w14:paraId="62F18775">
            <w:pPr>
              <w:pStyle w:val="27"/>
              <w:rPr>
                <w:rFonts w:ascii="Times New Roman" w:hAnsi="Times New Roman"/>
                <w:color w:val="auto"/>
                <w:highlight w:val="none"/>
              </w:rPr>
            </w:pPr>
            <w:r>
              <w:rPr>
                <w:rFonts w:ascii="Times New Roman" w:hAnsi="Times New Roman"/>
                <w:color w:val="auto"/>
                <w:highlight w:val="none"/>
              </w:rPr>
              <w:t>环境</w:t>
            </w:r>
          </w:p>
        </w:tc>
        <w:tc>
          <w:tcPr>
            <w:tcW w:w="598" w:type="dxa"/>
            <w:noWrap w:val="0"/>
            <w:vAlign w:val="center"/>
          </w:tcPr>
          <w:p w14:paraId="02032CF6">
            <w:pPr>
              <w:pStyle w:val="27"/>
              <w:rPr>
                <w:rFonts w:ascii="Times New Roman" w:hAnsi="Times New Roman"/>
                <w:color w:val="auto"/>
                <w:highlight w:val="none"/>
              </w:rPr>
            </w:pPr>
            <w:r>
              <w:rPr>
                <w:rFonts w:ascii="Times New Roman" w:hAnsi="Times New Roman"/>
                <w:color w:val="auto"/>
                <w:highlight w:val="none"/>
              </w:rPr>
              <w:t>景观</w:t>
            </w:r>
          </w:p>
        </w:tc>
        <w:tc>
          <w:tcPr>
            <w:tcW w:w="580" w:type="dxa"/>
            <w:noWrap w:val="0"/>
            <w:vAlign w:val="center"/>
          </w:tcPr>
          <w:p w14:paraId="3FA68915">
            <w:pPr>
              <w:pStyle w:val="27"/>
              <w:rPr>
                <w:rFonts w:ascii="Times New Roman" w:hAnsi="Times New Roman"/>
                <w:color w:val="auto"/>
                <w:highlight w:val="none"/>
              </w:rPr>
            </w:pPr>
            <w:r>
              <w:rPr>
                <w:rFonts w:ascii="Times New Roman" w:hAnsi="Times New Roman"/>
                <w:color w:val="auto"/>
                <w:highlight w:val="none"/>
              </w:rPr>
              <w:t>文物</w:t>
            </w:r>
          </w:p>
        </w:tc>
        <w:tc>
          <w:tcPr>
            <w:tcW w:w="598" w:type="dxa"/>
            <w:noWrap w:val="0"/>
            <w:vAlign w:val="center"/>
          </w:tcPr>
          <w:p w14:paraId="516F6210">
            <w:pPr>
              <w:pStyle w:val="27"/>
              <w:rPr>
                <w:rFonts w:ascii="Times New Roman" w:hAnsi="Times New Roman"/>
                <w:color w:val="auto"/>
                <w:highlight w:val="none"/>
              </w:rPr>
            </w:pPr>
            <w:r>
              <w:rPr>
                <w:rFonts w:ascii="Times New Roman" w:hAnsi="Times New Roman"/>
                <w:color w:val="auto"/>
                <w:highlight w:val="none"/>
              </w:rPr>
              <w:t>环境</w:t>
            </w:r>
          </w:p>
          <w:p w14:paraId="4A6EB6D7">
            <w:pPr>
              <w:pStyle w:val="27"/>
              <w:rPr>
                <w:rFonts w:ascii="Times New Roman" w:hAnsi="Times New Roman"/>
                <w:color w:val="auto"/>
                <w:highlight w:val="none"/>
              </w:rPr>
            </w:pPr>
            <w:r>
              <w:rPr>
                <w:rFonts w:ascii="Times New Roman" w:hAnsi="Times New Roman"/>
                <w:color w:val="auto"/>
                <w:highlight w:val="none"/>
              </w:rPr>
              <w:t>卫生</w:t>
            </w:r>
          </w:p>
        </w:tc>
        <w:tc>
          <w:tcPr>
            <w:tcW w:w="634" w:type="dxa"/>
            <w:noWrap w:val="0"/>
            <w:vAlign w:val="center"/>
          </w:tcPr>
          <w:p w14:paraId="51304376">
            <w:pPr>
              <w:pStyle w:val="27"/>
              <w:rPr>
                <w:rFonts w:ascii="Times New Roman" w:hAnsi="Times New Roman"/>
                <w:color w:val="auto"/>
                <w:highlight w:val="none"/>
              </w:rPr>
            </w:pPr>
            <w:r>
              <w:rPr>
                <w:rFonts w:ascii="Times New Roman" w:hAnsi="Times New Roman"/>
                <w:color w:val="auto"/>
                <w:highlight w:val="none"/>
              </w:rPr>
              <w:t>人群健康</w:t>
            </w:r>
          </w:p>
        </w:tc>
      </w:tr>
      <w:tr w14:paraId="331B13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restart"/>
            <w:noWrap w:val="0"/>
            <w:vAlign w:val="center"/>
          </w:tcPr>
          <w:p w14:paraId="6E79FA20">
            <w:pPr>
              <w:pStyle w:val="27"/>
              <w:rPr>
                <w:rFonts w:ascii="Times New Roman" w:hAnsi="Times New Roman"/>
                <w:color w:val="auto"/>
                <w:highlight w:val="none"/>
              </w:rPr>
            </w:pPr>
            <w:r>
              <w:rPr>
                <w:rFonts w:ascii="Times New Roman" w:hAnsi="Times New Roman"/>
                <w:color w:val="auto"/>
                <w:highlight w:val="none"/>
              </w:rPr>
              <w:t>施工期</w:t>
            </w:r>
          </w:p>
        </w:tc>
        <w:tc>
          <w:tcPr>
            <w:tcW w:w="1632" w:type="dxa"/>
            <w:noWrap w:val="0"/>
            <w:vAlign w:val="center"/>
          </w:tcPr>
          <w:p w14:paraId="45034EFD">
            <w:pPr>
              <w:pStyle w:val="27"/>
              <w:rPr>
                <w:rFonts w:ascii="Times New Roman" w:hAnsi="Times New Roman"/>
                <w:color w:val="auto"/>
                <w:highlight w:val="none"/>
              </w:rPr>
            </w:pPr>
            <w:r>
              <w:rPr>
                <w:rFonts w:ascii="Times New Roman" w:hAnsi="Times New Roman"/>
                <w:color w:val="auto"/>
                <w:highlight w:val="none"/>
              </w:rPr>
              <w:t>土石方工程</w:t>
            </w:r>
          </w:p>
        </w:tc>
        <w:tc>
          <w:tcPr>
            <w:tcW w:w="586" w:type="dxa"/>
            <w:noWrap w:val="0"/>
            <w:vAlign w:val="center"/>
          </w:tcPr>
          <w:p w14:paraId="2CE7AACD">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2766AEEB">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5798B559">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1F2BBE2F">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0FBCA2F0">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112D67BE">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47426DD0">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603FD457">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11B038AC">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48989F72">
            <w:pPr>
              <w:pStyle w:val="27"/>
              <w:rPr>
                <w:rFonts w:ascii="Times New Roman" w:hAnsi="Times New Roman"/>
                <w:color w:val="auto"/>
                <w:highlight w:val="none"/>
              </w:rPr>
            </w:pPr>
            <w:r>
              <w:rPr>
                <w:rFonts w:ascii="Times New Roman" w:hAnsi="Times New Roman"/>
                <w:color w:val="auto"/>
                <w:highlight w:val="none"/>
              </w:rPr>
              <w:t>Δ</w:t>
            </w:r>
          </w:p>
        </w:tc>
      </w:tr>
      <w:tr w14:paraId="174118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474D006C">
            <w:pPr>
              <w:pStyle w:val="27"/>
              <w:rPr>
                <w:rFonts w:ascii="Times New Roman" w:hAnsi="Times New Roman"/>
                <w:color w:val="auto"/>
                <w:highlight w:val="none"/>
              </w:rPr>
            </w:pPr>
          </w:p>
        </w:tc>
        <w:tc>
          <w:tcPr>
            <w:tcW w:w="1632" w:type="dxa"/>
            <w:noWrap w:val="0"/>
            <w:vAlign w:val="center"/>
          </w:tcPr>
          <w:p w14:paraId="542617C8">
            <w:pPr>
              <w:pStyle w:val="27"/>
              <w:rPr>
                <w:rFonts w:ascii="Times New Roman" w:hAnsi="Times New Roman"/>
                <w:color w:val="auto"/>
                <w:highlight w:val="none"/>
              </w:rPr>
            </w:pPr>
            <w:r>
              <w:rPr>
                <w:rFonts w:ascii="Times New Roman" w:hAnsi="Times New Roman"/>
                <w:color w:val="auto"/>
                <w:highlight w:val="none"/>
              </w:rPr>
              <w:t>物料运输</w:t>
            </w:r>
          </w:p>
        </w:tc>
        <w:tc>
          <w:tcPr>
            <w:tcW w:w="586" w:type="dxa"/>
            <w:noWrap w:val="0"/>
            <w:vAlign w:val="center"/>
          </w:tcPr>
          <w:p w14:paraId="1C852153">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5D76F2CE">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2F0E06E1">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516A8817">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6E93CE7E">
            <w:pPr>
              <w:pStyle w:val="27"/>
              <w:rPr>
                <w:rFonts w:ascii="Times New Roman" w:hAnsi="Times New Roman"/>
                <w:color w:val="auto"/>
                <w:highlight w:val="none"/>
              </w:rPr>
            </w:pPr>
            <w:r>
              <w:rPr>
                <w:rFonts w:ascii="Times New Roman" w:hAnsi="Times New Roman"/>
                <w:color w:val="auto"/>
                <w:highlight w:val="none"/>
              </w:rPr>
              <w:t>Δ</w:t>
            </w:r>
          </w:p>
        </w:tc>
        <w:tc>
          <w:tcPr>
            <w:tcW w:w="652" w:type="dxa"/>
            <w:noWrap w:val="0"/>
            <w:vAlign w:val="center"/>
          </w:tcPr>
          <w:p w14:paraId="25A8C68B">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B491659">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0ED92886">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1C67A28">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1F698F43">
            <w:pPr>
              <w:pStyle w:val="27"/>
              <w:rPr>
                <w:rFonts w:ascii="Times New Roman" w:hAnsi="Times New Roman"/>
                <w:color w:val="auto"/>
                <w:highlight w:val="none"/>
              </w:rPr>
            </w:pPr>
            <w:r>
              <w:rPr>
                <w:rFonts w:ascii="Times New Roman" w:hAnsi="Times New Roman"/>
                <w:color w:val="auto"/>
                <w:highlight w:val="none"/>
              </w:rPr>
              <w:t>Δ</w:t>
            </w:r>
          </w:p>
        </w:tc>
      </w:tr>
      <w:tr w14:paraId="21B31F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70803AA9">
            <w:pPr>
              <w:pStyle w:val="27"/>
              <w:rPr>
                <w:rFonts w:ascii="Times New Roman" w:hAnsi="Times New Roman"/>
                <w:color w:val="auto"/>
                <w:highlight w:val="none"/>
              </w:rPr>
            </w:pPr>
          </w:p>
        </w:tc>
        <w:tc>
          <w:tcPr>
            <w:tcW w:w="1632" w:type="dxa"/>
            <w:noWrap w:val="0"/>
            <w:vAlign w:val="center"/>
          </w:tcPr>
          <w:p w14:paraId="63A56848">
            <w:pPr>
              <w:pStyle w:val="27"/>
              <w:rPr>
                <w:rFonts w:ascii="Times New Roman" w:hAnsi="Times New Roman"/>
                <w:color w:val="auto"/>
                <w:highlight w:val="none"/>
              </w:rPr>
            </w:pPr>
            <w:r>
              <w:rPr>
                <w:rFonts w:ascii="Times New Roman" w:hAnsi="Times New Roman"/>
                <w:color w:val="auto"/>
                <w:highlight w:val="none"/>
              </w:rPr>
              <w:t>施工噪声</w:t>
            </w:r>
          </w:p>
        </w:tc>
        <w:tc>
          <w:tcPr>
            <w:tcW w:w="586" w:type="dxa"/>
            <w:noWrap w:val="0"/>
            <w:vAlign w:val="center"/>
          </w:tcPr>
          <w:p w14:paraId="0D4ACDC9">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4E7F62B7">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19F7C86A">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6ED99BAE">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361BDDA4">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73068577">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01EA08C4">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0253EB25">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E260875">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22F10C02">
            <w:pPr>
              <w:pStyle w:val="27"/>
              <w:rPr>
                <w:rFonts w:ascii="Times New Roman" w:hAnsi="Times New Roman"/>
                <w:color w:val="auto"/>
                <w:highlight w:val="none"/>
              </w:rPr>
            </w:pPr>
            <w:r>
              <w:rPr>
                <w:rFonts w:ascii="Times New Roman" w:hAnsi="Times New Roman"/>
                <w:color w:val="auto"/>
                <w:highlight w:val="none"/>
              </w:rPr>
              <w:t>Δ</w:t>
            </w:r>
          </w:p>
        </w:tc>
      </w:tr>
      <w:tr w14:paraId="05CEFD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64B6FA11">
            <w:pPr>
              <w:pStyle w:val="27"/>
              <w:rPr>
                <w:rFonts w:ascii="Times New Roman" w:hAnsi="Times New Roman"/>
                <w:color w:val="auto"/>
                <w:highlight w:val="none"/>
              </w:rPr>
            </w:pPr>
          </w:p>
        </w:tc>
        <w:tc>
          <w:tcPr>
            <w:tcW w:w="1632" w:type="dxa"/>
            <w:noWrap w:val="0"/>
            <w:vAlign w:val="center"/>
          </w:tcPr>
          <w:p w14:paraId="6775347A">
            <w:pPr>
              <w:pStyle w:val="27"/>
              <w:rPr>
                <w:rFonts w:ascii="Times New Roman" w:hAnsi="Times New Roman"/>
                <w:color w:val="auto"/>
                <w:highlight w:val="none"/>
              </w:rPr>
            </w:pPr>
            <w:r>
              <w:rPr>
                <w:rFonts w:ascii="Times New Roman" w:hAnsi="Times New Roman"/>
                <w:color w:val="auto"/>
                <w:highlight w:val="none"/>
              </w:rPr>
              <w:t>建筑垃圾</w:t>
            </w:r>
          </w:p>
        </w:tc>
        <w:tc>
          <w:tcPr>
            <w:tcW w:w="586" w:type="dxa"/>
            <w:noWrap w:val="0"/>
            <w:vAlign w:val="center"/>
          </w:tcPr>
          <w:p w14:paraId="6EA07DEE">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3167F33F">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5BCFB197">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3D9C34A1">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0CDAFF46">
            <w:pPr>
              <w:pStyle w:val="27"/>
              <w:rPr>
                <w:rFonts w:ascii="Times New Roman" w:hAnsi="Times New Roman"/>
                <w:color w:val="auto"/>
                <w:highlight w:val="none"/>
              </w:rPr>
            </w:pPr>
            <w:r>
              <w:rPr>
                <w:rFonts w:ascii="Times New Roman" w:hAnsi="Times New Roman"/>
                <w:color w:val="auto"/>
                <w:highlight w:val="none"/>
              </w:rPr>
              <w:t>Δ</w:t>
            </w:r>
          </w:p>
        </w:tc>
        <w:tc>
          <w:tcPr>
            <w:tcW w:w="652" w:type="dxa"/>
            <w:noWrap w:val="0"/>
            <w:vAlign w:val="center"/>
          </w:tcPr>
          <w:p w14:paraId="0F73AF88">
            <w:pPr>
              <w:pStyle w:val="27"/>
              <w:rPr>
                <w:rFonts w:ascii="Times New Roman" w:hAnsi="Times New Roman"/>
                <w:color w:val="auto"/>
                <w:highlight w:val="none"/>
              </w:rPr>
            </w:pPr>
            <w:r>
              <w:rPr>
                <w:rFonts w:ascii="Times New Roman" w:hAnsi="Times New Roman"/>
                <w:color w:val="auto"/>
                <w:highlight w:val="none"/>
              </w:rPr>
              <w:t>Δ</w:t>
            </w:r>
          </w:p>
        </w:tc>
        <w:tc>
          <w:tcPr>
            <w:tcW w:w="598" w:type="dxa"/>
            <w:noWrap w:val="0"/>
            <w:vAlign w:val="center"/>
          </w:tcPr>
          <w:p w14:paraId="4DAAF3C9">
            <w:pPr>
              <w:pStyle w:val="27"/>
              <w:rPr>
                <w:rFonts w:ascii="Times New Roman" w:hAnsi="Times New Roman"/>
                <w:color w:val="auto"/>
                <w:highlight w:val="none"/>
              </w:rPr>
            </w:pPr>
            <w:r>
              <w:rPr>
                <w:rFonts w:ascii="Times New Roman" w:hAnsi="Times New Roman"/>
                <w:color w:val="auto"/>
                <w:highlight w:val="none"/>
              </w:rPr>
              <w:t>Δ</w:t>
            </w:r>
          </w:p>
        </w:tc>
        <w:tc>
          <w:tcPr>
            <w:tcW w:w="580" w:type="dxa"/>
            <w:noWrap w:val="0"/>
            <w:vAlign w:val="center"/>
          </w:tcPr>
          <w:p w14:paraId="1F38D381">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4DBA083D">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22AE820C">
            <w:pPr>
              <w:pStyle w:val="27"/>
              <w:rPr>
                <w:rFonts w:ascii="Times New Roman" w:hAnsi="Times New Roman"/>
                <w:color w:val="auto"/>
                <w:highlight w:val="none"/>
              </w:rPr>
            </w:pPr>
            <w:r>
              <w:rPr>
                <w:rFonts w:ascii="Times New Roman" w:hAnsi="Times New Roman"/>
                <w:color w:val="auto"/>
                <w:highlight w:val="none"/>
              </w:rPr>
              <w:t>Δ</w:t>
            </w:r>
          </w:p>
        </w:tc>
      </w:tr>
      <w:tr w14:paraId="4CBAA5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44516814">
            <w:pPr>
              <w:pStyle w:val="27"/>
              <w:rPr>
                <w:rFonts w:ascii="Times New Roman" w:hAnsi="Times New Roman"/>
                <w:color w:val="auto"/>
                <w:highlight w:val="none"/>
              </w:rPr>
            </w:pPr>
          </w:p>
        </w:tc>
        <w:tc>
          <w:tcPr>
            <w:tcW w:w="1632" w:type="dxa"/>
            <w:noWrap w:val="0"/>
            <w:vAlign w:val="center"/>
          </w:tcPr>
          <w:p w14:paraId="1CAE3CC9">
            <w:pPr>
              <w:pStyle w:val="27"/>
              <w:rPr>
                <w:rFonts w:ascii="Times New Roman" w:hAnsi="Times New Roman"/>
                <w:color w:val="auto"/>
                <w:highlight w:val="none"/>
              </w:rPr>
            </w:pPr>
            <w:r>
              <w:rPr>
                <w:rFonts w:ascii="Times New Roman" w:hAnsi="Times New Roman"/>
                <w:color w:val="auto"/>
                <w:highlight w:val="none"/>
              </w:rPr>
              <w:t>生活垃圾</w:t>
            </w:r>
          </w:p>
        </w:tc>
        <w:tc>
          <w:tcPr>
            <w:tcW w:w="586" w:type="dxa"/>
            <w:noWrap w:val="0"/>
            <w:vAlign w:val="center"/>
          </w:tcPr>
          <w:p w14:paraId="6540E730">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73380052">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0167BBE6">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10F0EA93">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8EECA0E">
            <w:pPr>
              <w:pStyle w:val="27"/>
              <w:rPr>
                <w:rFonts w:ascii="Times New Roman" w:hAnsi="Times New Roman"/>
                <w:color w:val="auto"/>
                <w:highlight w:val="none"/>
              </w:rPr>
            </w:pPr>
            <w:r>
              <w:rPr>
                <w:rFonts w:ascii="Times New Roman" w:hAnsi="Times New Roman"/>
                <w:color w:val="auto"/>
                <w:highlight w:val="none"/>
              </w:rPr>
              <w:t>Δ</w:t>
            </w:r>
          </w:p>
        </w:tc>
        <w:tc>
          <w:tcPr>
            <w:tcW w:w="652" w:type="dxa"/>
            <w:noWrap w:val="0"/>
            <w:vAlign w:val="center"/>
          </w:tcPr>
          <w:p w14:paraId="3AA5C70F">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013E2F2">
            <w:pPr>
              <w:pStyle w:val="27"/>
              <w:rPr>
                <w:rFonts w:ascii="Times New Roman" w:hAnsi="Times New Roman"/>
                <w:color w:val="auto"/>
                <w:highlight w:val="none"/>
              </w:rPr>
            </w:pPr>
            <w:r>
              <w:rPr>
                <w:rFonts w:ascii="Times New Roman" w:hAnsi="Times New Roman"/>
                <w:color w:val="auto"/>
                <w:highlight w:val="none"/>
              </w:rPr>
              <w:t>Δ</w:t>
            </w:r>
          </w:p>
        </w:tc>
        <w:tc>
          <w:tcPr>
            <w:tcW w:w="580" w:type="dxa"/>
            <w:noWrap w:val="0"/>
            <w:vAlign w:val="center"/>
          </w:tcPr>
          <w:p w14:paraId="76853A35">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1B926FC9">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226F02F9">
            <w:pPr>
              <w:pStyle w:val="27"/>
              <w:rPr>
                <w:rFonts w:ascii="Times New Roman" w:hAnsi="Times New Roman"/>
                <w:color w:val="auto"/>
                <w:highlight w:val="none"/>
              </w:rPr>
            </w:pPr>
            <w:r>
              <w:rPr>
                <w:rFonts w:ascii="Times New Roman" w:hAnsi="Times New Roman"/>
                <w:color w:val="auto"/>
                <w:highlight w:val="none"/>
              </w:rPr>
              <w:t>Δ</w:t>
            </w:r>
          </w:p>
        </w:tc>
      </w:tr>
      <w:tr w14:paraId="5B0DCE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108814CC">
            <w:pPr>
              <w:pStyle w:val="27"/>
              <w:rPr>
                <w:rFonts w:ascii="Times New Roman" w:hAnsi="Times New Roman"/>
                <w:color w:val="auto"/>
                <w:highlight w:val="none"/>
              </w:rPr>
            </w:pPr>
          </w:p>
        </w:tc>
        <w:tc>
          <w:tcPr>
            <w:tcW w:w="1632" w:type="dxa"/>
            <w:noWrap w:val="0"/>
            <w:vAlign w:val="center"/>
          </w:tcPr>
          <w:p w14:paraId="2F23C12F">
            <w:pPr>
              <w:pStyle w:val="27"/>
              <w:rPr>
                <w:rFonts w:ascii="Times New Roman" w:hAnsi="Times New Roman"/>
                <w:color w:val="auto"/>
                <w:highlight w:val="none"/>
              </w:rPr>
            </w:pPr>
            <w:r>
              <w:rPr>
                <w:rFonts w:ascii="Times New Roman" w:hAnsi="Times New Roman"/>
                <w:color w:val="auto"/>
                <w:highlight w:val="none"/>
              </w:rPr>
              <w:t>生活污水</w:t>
            </w:r>
          </w:p>
        </w:tc>
        <w:tc>
          <w:tcPr>
            <w:tcW w:w="586" w:type="dxa"/>
            <w:noWrap w:val="0"/>
            <w:vAlign w:val="center"/>
          </w:tcPr>
          <w:p w14:paraId="527CF1F5">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2F2D6EB3">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25E610FA">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7829577A">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6172BC1">
            <w:pPr>
              <w:pStyle w:val="27"/>
              <w:rPr>
                <w:rFonts w:ascii="Times New Roman" w:hAnsi="Times New Roman"/>
                <w:color w:val="auto"/>
                <w:highlight w:val="none"/>
              </w:rPr>
            </w:pPr>
            <w:r>
              <w:rPr>
                <w:rFonts w:ascii="Times New Roman" w:hAnsi="Times New Roman"/>
                <w:color w:val="auto"/>
                <w:highlight w:val="none"/>
              </w:rPr>
              <w:t>Δ</w:t>
            </w:r>
          </w:p>
        </w:tc>
        <w:tc>
          <w:tcPr>
            <w:tcW w:w="652" w:type="dxa"/>
            <w:noWrap w:val="0"/>
            <w:vAlign w:val="center"/>
          </w:tcPr>
          <w:p w14:paraId="3BDF36C7">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199E8FA2">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55C0DCB1">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9BFB0A2">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765C12A1">
            <w:pPr>
              <w:pStyle w:val="27"/>
              <w:rPr>
                <w:rFonts w:ascii="Times New Roman" w:hAnsi="Times New Roman"/>
                <w:color w:val="auto"/>
                <w:highlight w:val="none"/>
              </w:rPr>
            </w:pPr>
            <w:r>
              <w:rPr>
                <w:rFonts w:ascii="Times New Roman" w:hAnsi="Times New Roman"/>
                <w:color w:val="auto"/>
                <w:highlight w:val="none"/>
              </w:rPr>
              <w:t>Δ</w:t>
            </w:r>
          </w:p>
        </w:tc>
      </w:tr>
      <w:tr w14:paraId="6F7448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43B75E7F">
            <w:pPr>
              <w:pStyle w:val="27"/>
              <w:rPr>
                <w:rFonts w:ascii="Times New Roman" w:hAnsi="Times New Roman"/>
                <w:color w:val="auto"/>
                <w:highlight w:val="none"/>
              </w:rPr>
            </w:pPr>
          </w:p>
        </w:tc>
        <w:tc>
          <w:tcPr>
            <w:tcW w:w="1632" w:type="dxa"/>
            <w:noWrap w:val="0"/>
            <w:vAlign w:val="center"/>
          </w:tcPr>
          <w:p w14:paraId="46FD48E8">
            <w:pPr>
              <w:pStyle w:val="27"/>
              <w:rPr>
                <w:rFonts w:ascii="Times New Roman" w:hAnsi="Times New Roman"/>
                <w:color w:val="auto"/>
                <w:highlight w:val="none"/>
              </w:rPr>
            </w:pPr>
            <w:r>
              <w:rPr>
                <w:rFonts w:ascii="Times New Roman" w:hAnsi="Times New Roman"/>
                <w:color w:val="auto"/>
                <w:highlight w:val="none"/>
              </w:rPr>
              <w:t>地下水水质</w:t>
            </w:r>
          </w:p>
        </w:tc>
        <w:tc>
          <w:tcPr>
            <w:tcW w:w="586" w:type="dxa"/>
            <w:noWrap w:val="0"/>
            <w:vAlign w:val="center"/>
          </w:tcPr>
          <w:p w14:paraId="6D785C41">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64A26EFB">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6B446C3C">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2B0472DC">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616A03FA">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23E816E4">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3ECD6BD">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44934BB2">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439E7007">
            <w:pPr>
              <w:pStyle w:val="27"/>
              <w:rPr>
                <w:rFonts w:ascii="Times New Roman" w:hAnsi="Times New Roman"/>
                <w:color w:val="auto"/>
                <w:highlight w:val="none"/>
              </w:rPr>
            </w:pPr>
            <w:r>
              <w:rPr>
                <w:rFonts w:ascii="Times New Roman" w:hAnsi="Times New Roman"/>
                <w:color w:val="auto"/>
                <w:highlight w:val="none"/>
              </w:rPr>
              <w:t>×</w:t>
            </w:r>
          </w:p>
        </w:tc>
        <w:tc>
          <w:tcPr>
            <w:tcW w:w="634" w:type="dxa"/>
            <w:noWrap w:val="0"/>
            <w:vAlign w:val="center"/>
          </w:tcPr>
          <w:p w14:paraId="2FDEE5B3">
            <w:pPr>
              <w:pStyle w:val="27"/>
              <w:rPr>
                <w:rFonts w:ascii="Times New Roman" w:hAnsi="Times New Roman"/>
                <w:color w:val="auto"/>
                <w:highlight w:val="none"/>
              </w:rPr>
            </w:pPr>
            <w:r>
              <w:rPr>
                <w:rFonts w:ascii="Times New Roman" w:hAnsi="Times New Roman"/>
                <w:color w:val="auto"/>
                <w:highlight w:val="none"/>
              </w:rPr>
              <w:t>×</w:t>
            </w:r>
          </w:p>
        </w:tc>
      </w:tr>
      <w:tr w14:paraId="45506E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restart"/>
            <w:noWrap w:val="0"/>
            <w:vAlign w:val="center"/>
          </w:tcPr>
          <w:p w14:paraId="17ACA6E1">
            <w:pPr>
              <w:pStyle w:val="27"/>
              <w:rPr>
                <w:rFonts w:ascii="Times New Roman" w:hAnsi="Times New Roman"/>
                <w:color w:val="auto"/>
                <w:highlight w:val="none"/>
              </w:rPr>
            </w:pPr>
            <w:r>
              <w:rPr>
                <w:rFonts w:ascii="Times New Roman" w:hAnsi="Times New Roman"/>
                <w:color w:val="auto"/>
                <w:highlight w:val="none"/>
              </w:rPr>
              <w:t>运营期</w:t>
            </w:r>
          </w:p>
        </w:tc>
        <w:tc>
          <w:tcPr>
            <w:tcW w:w="1632" w:type="dxa"/>
            <w:noWrap w:val="0"/>
            <w:vAlign w:val="center"/>
          </w:tcPr>
          <w:p w14:paraId="487C8A29">
            <w:pPr>
              <w:pStyle w:val="27"/>
              <w:rPr>
                <w:rFonts w:ascii="Times New Roman" w:hAnsi="Times New Roman"/>
                <w:color w:val="auto"/>
                <w:highlight w:val="none"/>
              </w:rPr>
            </w:pPr>
            <w:r>
              <w:rPr>
                <w:rFonts w:ascii="Times New Roman" w:hAnsi="Times New Roman"/>
                <w:color w:val="auto"/>
                <w:highlight w:val="none"/>
              </w:rPr>
              <w:t>锅炉废气</w:t>
            </w:r>
          </w:p>
        </w:tc>
        <w:tc>
          <w:tcPr>
            <w:tcW w:w="586" w:type="dxa"/>
            <w:noWrap w:val="0"/>
            <w:vAlign w:val="center"/>
          </w:tcPr>
          <w:p w14:paraId="35E391CB">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1059C030">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0B26F5B6">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0A6920E5">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101E442F">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364B7AB4">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DC45045">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1913261A">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1E1DF7FA">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304A4768">
            <w:pPr>
              <w:pStyle w:val="27"/>
              <w:rPr>
                <w:rFonts w:ascii="Times New Roman" w:hAnsi="Times New Roman"/>
                <w:color w:val="auto"/>
                <w:highlight w:val="none"/>
              </w:rPr>
            </w:pPr>
            <w:r>
              <w:rPr>
                <w:rFonts w:ascii="Times New Roman" w:hAnsi="Times New Roman"/>
                <w:color w:val="auto"/>
                <w:highlight w:val="none"/>
              </w:rPr>
              <w:t>Δ</w:t>
            </w:r>
          </w:p>
        </w:tc>
      </w:tr>
      <w:tr w14:paraId="26B9EB4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2F13A526">
            <w:pPr>
              <w:pStyle w:val="27"/>
              <w:rPr>
                <w:rFonts w:ascii="Times New Roman" w:hAnsi="Times New Roman"/>
                <w:color w:val="auto"/>
                <w:highlight w:val="none"/>
              </w:rPr>
            </w:pPr>
          </w:p>
        </w:tc>
        <w:tc>
          <w:tcPr>
            <w:tcW w:w="1632" w:type="dxa"/>
            <w:noWrap w:val="0"/>
            <w:vAlign w:val="center"/>
          </w:tcPr>
          <w:p w14:paraId="5C447103">
            <w:pPr>
              <w:pStyle w:val="27"/>
              <w:rPr>
                <w:rFonts w:ascii="Times New Roman" w:hAnsi="Times New Roman"/>
                <w:color w:val="auto"/>
                <w:highlight w:val="none"/>
              </w:rPr>
            </w:pPr>
            <w:r>
              <w:rPr>
                <w:rFonts w:ascii="Times New Roman" w:hAnsi="Times New Roman"/>
                <w:color w:val="auto"/>
                <w:highlight w:val="none"/>
              </w:rPr>
              <w:t>设备噪声</w:t>
            </w:r>
          </w:p>
        </w:tc>
        <w:tc>
          <w:tcPr>
            <w:tcW w:w="586" w:type="dxa"/>
            <w:noWrap w:val="0"/>
            <w:vAlign w:val="center"/>
          </w:tcPr>
          <w:p w14:paraId="12A0E7BB">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1F4665D2">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3D092150">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5C69E898">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4C800958">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41819142">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2DFEABB">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7D0E9B68">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795946EE">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00114119">
            <w:pPr>
              <w:pStyle w:val="27"/>
              <w:rPr>
                <w:rFonts w:ascii="Times New Roman" w:hAnsi="Times New Roman"/>
                <w:color w:val="auto"/>
                <w:highlight w:val="none"/>
              </w:rPr>
            </w:pPr>
            <w:r>
              <w:rPr>
                <w:rFonts w:ascii="Times New Roman" w:hAnsi="Times New Roman"/>
                <w:color w:val="auto"/>
                <w:highlight w:val="none"/>
              </w:rPr>
              <w:t>Δ</w:t>
            </w:r>
          </w:p>
        </w:tc>
      </w:tr>
      <w:tr w14:paraId="4A270F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7DA46CB3">
            <w:pPr>
              <w:pStyle w:val="27"/>
              <w:rPr>
                <w:rFonts w:ascii="Times New Roman" w:hAnsi="Times New Roman"/>
                <w:color w:val="auto"/>
                <w:highlight w:val="none"/>
              </w:rPr>
            </w:pPr>
          </w:p>
        </w:tc>
        <w:tc>
          <w:tcPr>
            <w:tcW w:w="1632" w:type="dxa"/>
            <w:noWrap w:val="0"/>
            <w:vAlign w:val="center"/>
          </w:tcPr>
          <w:p w14:paraId="4679FC01">
            <w:pPr>
              <w:pStyle w:val="27"/>
              <w:rPr>
                <w:rFonts w:ascii="Times New Roman" w:hAnsi="Times New Roman"/>
                <w:color w:val="auto"/>
                <w:highlight w:val="none"/>
              </w:rPr>
            </w:pPr>
            <w:r>
              <w:rPr>
                <w:rFonts w:ascii="Times New Roman" w:hAnsi="Times New Roman"/>
                <w:color w:val="auto"/>
                <w:highlight w:val="none"/>
              </w:rPr>
              <w:t>地表径流</w:t>
            </w:r>
          </w:p>
        </w:tc>
        <w:tc>
          <w:tcPr>
            <w:tcW w:w="586" w:type="dxa"/>
            <w:noWrap w:val="0"/>
            <w:vAlign w:val="center"/>
          </w:tcPr>
          <w:p w14:paraId="373B16FD">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7C0DEC03">
            <w:pPr>
              <w:pStyle w:val="27"/>
              <w:rPr>
                <w:rFonts w:ascii="Times New Roman" w:hAnsi="Times New Roman"/>
                <w:color w:val="auto"/>
                <w:highlight w:val="none"/>
              </w:rPr>
            </w:pPr>
            <w:r>
              <w:rPr>
                <w:rFonts w:ascii="Times New Roman" w:hAnsi="Times New Roman"/>
                <w:color w:val="auto"/>
                <w:highlight w:val="none"/>
              </w:rPr>
              <w:t>Δ</w:t>
            </w:r>
          </w:p>
        </w:tc>
        <w:tc>
          <w:tcPr>
            <w:tcW w:w="814" w:type="dxa"/>
            <w:noWrap w:val="0"/>
            <w:vAlign w:val="center"/>
          </w:tcPr>
          <w:p w14:paraId="5DD74D64">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676C2967">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A0BB153">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73CF420B">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39013A06">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5A62E096">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FB071C6">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3D9400D7">
            <w:pPr>
              <w:pStyle w:val="27"/>
              <w:rPr>
                <w:rFonts w:ascii="Times New Roman" w:hAnsi="Times New Roman"/>
                <w:color w:val="auto"/>
                <w:highlight w:val="none"/>
              </w:rPr>
            </w:pPr>
            <w:r>
              <w:rPr>
                <w:rFonts w:ascii="Times New Roman" w:hAnsi="Times New Roman"/>
                <w:color w:val="auto"/>
                <w:highlight w:val="none"/>
              </w:rPr>
              <w:t>Δ</w:t>
            </w:r>
          </w:p>
        </w:tc>
      </w:tr>
      <w:tr w14:paraId="52219D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31" w:type="dxa"/>
            <w:vMerge w:val="continue"/>
            <w:noWrap w:val="0"/>
            <w:vAlign w:val="center"/>
          </w:tcPr>
          <w:p w14:paraId="37BCD02A">
            <w:pPr>
              <w:pStyle w:val="27"/>
              <w:rPr>
                <w:rFonts w:ascii="Times New Roman" w:hAnsi="Times New Roman"/>
                <w:color w:val="auto"/>
                <w:highlight w:val="none"/>
              </w:rPr>
            </w:pPr>
          </w:p>
        </w:tc>
        <w:tc>
          <w:tcPr>
            <w:tcW w:w="1632" w:type="dxa"/>
            <w:noWrap w:val="0"/>
            <w:vAlign w:val="center"/>
          </w:tcPr>
          <w:p w14:paraId="6C3048A4">
            <w:pPr>
              <w:pStyle w:val="27"/>
              <w:rPr>
                <w:rFonts w:ascii="Times New Roman" w:hAnsi="Times New Roman"/>
                <w:color w:val="auto"/>
                <w:highlight w:val="none"/>
              </w:rPr>
            </w:pPr>
            <w:r>
              <w:rPr>
                <w:rFonts w:ascii="Times New Roman" w:hAnsi="Times New Roman"/>
                <w:color w:val="auto"/>
                <w:highlight w:val="none"/>
              </w:rPr>
              <w:t>地下水水质</w:t>
            </w:r>
          </w:p>
        </w:tc>
        <w:tc>
          <w:tcPr>
            <w:tcW w:w="586" w:type="dxa"/>
            <w:noWrap w:val="0"/>
            <w:vAlign w:val="center"/>
          </w:tcPr>
          <w:p w14:paraId="52EB1DDD">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5060283C">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4739F1CC">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0B5576A4">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2AF0CEF5">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3C87EDB3">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AC20553">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431FAB12">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45C693D">
            <w:pPr>
              <w:pStyle w:val="27"/>
              <w:rPr>
                <w:rFonts w:ascii="Times New Roman" w:hAnsi="Times New Roman"/>
                <w:color w:val="auto"/>
                <w:highlight w:val="none"/>
              </w:rPr>
            </w:pPr>
            <w:r>
              <w:rPr>
                <w:rFonts w:ascii="Times New Roman" w:hAnsi="Times New Roman"/>
                <w:color w:val="auto"/>
                <w:highlight w:val="none"/>
              </w:rPr>
              <w:t>×</w:t>
            </w:r>
          </w:p>
        </w:tc>
        <w:tc>
          <w:tcPr>
            <w:tcW w:w="634" w:type="dxa"/>
            <w:noWrap w:val="0"/>
            <w:vAlign w:val="center"/>
          </w:tcPr>
          <w:p w14:paraId="77388C7C">
            <w:pPr>
              <w:pStyle w:val="27"/>
              <w:rPr>
                <w:rFonts w:ascii="Times New Roman" w:hAnsi="Times New Roman"/>
                <w:color w:val="auto"/>
                <w:highlight w:val="none"/>
              </w:rPr>
            </w:pPr>
            <w:r>
              <w:rPr>
                <w:rFonts w:ascii="Times New Roman" w:hAnsi="Times New Roman"/>
                <w:color w:val="auto"/>
                <w:highlight w:val="none"/>
              </w:rPr>
              <w:t>×</w:t>
            </w:r>
          </w:p>
        </w:tc>
      </w:tr>
      <w:tr w14:paraId="69E918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76" w:hRule="atLeast"/>
          <w:jc w:val="center"/>
        </w:trPr>
        <w:tc>
          <w:tcPr>
            <w:tcW w:w="631" w:type="dxa"/>
            <w:vMerge w:val="continue"/>
            <w:noWrap w:val="0"/>
            <w:vAlign w:val="center"/>
          </w:tcPr>
          <w:p w14:paraId="7993D67C">
            <w:pPr>
              <w:pStyle w:val="27"/>
              <w:rPr>
                <w:rFonts w:ascii="Times New Roman" w:hAnsi="Times New Roman"/>
                <w:color w:val="auto"/>
                <w:highlight w:val="none"/>
              </w:rPr>
            </w:pPr>
          </w:p>
        </w:tc>
        <w:tc>
          <w:tcPr>
            <w:tcW w:w="1632" w:type="dxa"/>
            <w:noWrap w:val="0"/>
            <w:vAlign w:val="center"/>
          </w:tcPr>
          <w:p w14:paraId="58B6945E">
            <w:pPr>
              <w:pStyle w:val="27"/>
              <w:rPr>
                <w:rFonts w:ascii="Times New Roman" w:hAnsi="Times New Roman"/>
                <w:color w:val="auto"/>
                <w:highlight w:val="none"/>
              </w:rPr>
            </w:pPr>
            <w:r>
              <w:rPr>
                <w:rFonts w:ascii="Times New Roman" w:hAnsi="Times New Roman"/>
                <w:color w:val="auto"/>
                <w:highlight w:val="none"/>
              </w:rPr>
              <w:t>土壤影响</w:t>
            </w:r>
          </w:p>
        </w:tc>
        <w:tc>
          <w:tcPr>
            <w:tcW w:w="586" w:type="dxa"/>
            <w:noWrap w:val="0"/>
            <w:vAlign w:val="center"/>
          </w:tcPr>
          <w:p w14:paraId="41933D3C">
            <w:pPr>
              <w:pStyle w:val="27"/>
              <w:rPr>
                <w:rFonts w:ascii="Times New Roman" w:hAnsi="Times New Roman"/>
                <w:color w:val="auto"/>
                <w:highlight w:val="none"/>
              </w:rPr>
            </w:pPr>
            <w:r>
              <w:rPr>
                <w:rFonts w:ascii="Times New Roman" w:hAnsi="Times New Roman"/>
                <w:color w:val="auto"/>
                <w:highlight w:val="none"/>
              </w:rPr>
              <w:t>×</w:t>
            </w:r>
          </w:p>
        </w:tc>
        <w:tc>
          <w:tcPr>
            <w:tcW w:w="547" w:type="dxa"/>
            <w:noWrap w:val="0"/>
            <w:vAlign w:val="center"/>
          </w:tcPr>
          <w:p w14:paraId="3B2116CF">
            <w:pPr>
              <w:pStyle w:val="27"/>
              <w:rPr>
                <w:rFonts w:ascii="Times New Roman" w:hAnsi="Times New Roman"/>
                <w:color w:val="auto"/>
                <w:highlight w:val="none"/>
              </w:rPr>
            </w:pPr>
            <w:r>
              <w:rPr>
                <w:rFonts w:ascii="Times New Roman" w:hAnsi="Times New Roman"/>
                <w:color w:val="auto"/>
                <w:highlight w:val="none"/>
              </w:rPr>
              <w:t>×</w:t>
            </w:r>
          </w:p>
        </w:tc>
        <w:tc>
          <w:tcPr>
            <w:tcW w:w="814" w:type="dxa"/>
            <w:noWrap w:val="0"/>
            <w:vAlign w:val="center"/>
          </w:tcPr>
          <w:p w14:paraId="4FA599FF">
            <w:pPr>
              <w:pStyle w:val="27"/>
              <w:rPr>
                <w:rFonts w:ascii="Times New Roman" w:hAnsi="Times New Roman"/>
                <w:color w:val="auto"/>
                <w:highlight w:val="none"/>
              </w:rPr>
            </w:pPr>
            <w:r>
              <w:rPr>
                <w:rFonts w:ascii="Times New Roman" w:hAnsi="Times New Roman"/>
                <w:color w:val="auto"/>
                <w:highlight w:val="none"/>
              </w:rPr>
              <w:t>Δ</w:t>
            </w:r>
          </w:p>
        </w:tc>
        <w:tc>
          <w:tcPr>
            <w:tcW w:w="652" w:type="dxa"/>
            <w:noWrap w:val="0"/>
            <w:vAlign w:val="center"/>
          </w:tcPr>
          <w:p w14:paraId="0D830F15">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50AAED6D">
            <w:pPr>
              <w:pStyle w:val="27"/>
              <w:rPr>
                <w:rFonts w:ascii="Times New Roman" w:hAnsi="Times New Roman"/>
                <w:color w:val="auto"/>
                <w:highlight w:val="none"/>
              </w:rPr>
            </w:pPr>
            <w:r>
              <w:rPr>
                <w:rFonts w:ascii="Times New Roman" w:hAnsi="Times New Roman"/>
                <w:color w:val="auto"/>
                <w:highlight w:val="none"/>
              </w:rPr>
              <w:t>×</w:t>
            </w:r>
          </w:p>
        </w:tc>
        <w:tc>
          <w:tcPr>
            <w:tcW w:w="652" w:type="dxa"/>
            <w:noWrap w:val="0"/>
            <w:vAlign w:val="center"/>
          </w:tcPr>
          <w:p w14:paraId="207A463E">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75A7B233">
            <w:pPr>
              <w:pStyle w:val="27"/>
              <w:rPr>
                <w:rFonts w:ascii="Times New Roman" w:hAnsi="Times New Roman"/>
                <w:color w:val="auto"/>
                <w:highlight w:val="none"/>
              </w:rPr>
            </w:pPr>
            <w:r>
              <w:rPr>
                <w:rFonts w:ascii="Times New Roman" w:hAnsi="Times New Roman"/>
                <w:color w:val="auto"/>
                <w:highlight w:val="none"/>
              </w:rPr>
              <w:t>×</w:t>
            </w:r>
          </w:p>
        </w:tc>
        <w:tc>
          <w:tcPr>
            <w:tcW w:w="580" w:type="dxa"/>
            <w:noWrap w:val="0"/>
            <w:vAlign w:val="center"/>
          </w:tcPr>
          <w:p w14:paraId="00DD42FB">
            <w:pPr>
              <w:pStyle w:val="27"/>
              <w:rPr>
                <w:rFonts w:ascii="Times New Roman" w:hAnsi="Times New Roman"/>
                <w:color w:val="auto"/>
                <w:highlight w:val="none"/>
              </w:rPr>
            </w:pPr>
            <w:r>
              <w:rPr>
                <w:rFonts w:ascii="Times New Roman" w:hAnsi="Times New Roman"/>
                <w:color w:val="auto"/>
                <w:highlight w:val="none"/>
              </w:rPr>
              <w:t>×</w:t>
            </w:r>
          </w:p>
        </w:tc>
        <w:tc>
          <w:tcPr>
            <w:tcW w:w="598" w:type="dxa"/>
            <w:noWrap w:val="0"/>
            <w:vAlign w:val="center"/>
          </w:tcPr>
          <w:p w14:paraId="49865BEA">
            <w:pPr>
              <w:pStyle w:val="27"/>
              <w:rPr>
                <w:rFonts w:ascii="Times New Roman" w:hAnsi="Times New Roman"/>
                <w:color w:val="auto"/>
                <w:highlight w:val="none"/>
              </w:rPr>
            </w:pPr>
            <w:r>
              <w:rPr>
                <w:rFonts w:ascii="Times New Roman" w:hAnsi="Times New Roman"/>
                <w:color w:val="auto"/>
                <w:highlight w:val="none"/>
              </w:rPr>
              <w:t>Δ</w:t>
            </w:r>
          </w:p>
        </w:tc>
        <w:tc>
          <w:tcPr>
            <w:tcW w:w="634" w:type="dxa"/>
            <w:noWrap w:val="0"/>
            <w:vAlign w:val="center"/>
          </w:tcPr>
          <w:p w14:paraId="25B8F118">
            <w:pPr>
              <w:pStyle w:val="27"/>
              <w:rPr>
                <w:rFonts w:ascii="Times New Roman" w:hAnsi="Times New Roman"/>
                <w:color w:val="auto"/>
                <w:highlight w:val="none"/>
              </w:rPr>
            </w:pPr>
            <w:r>
              <w:rPr>
                <w:rFonts w:ascii="Times New Roman" w:hAnsi="Times New Roman"/>
                <w:color w:val="auto"/>
                <w:highlight w:val="none"/>
              </w:rPr>
              <w:t>Δ</w:t>
            </w:r>
          </w:p>
        </w:tc>
      </w:tr>
    </w:tbl>
    <w:p w14:paraId="76F6FDB2">
      <w:pPr>
        <w:rPr>
          <w:rFonts w:ascii="Times New Roman" w:hAnsi="Times New Roman"/>
          <w:color w:val="auto"/>
          <w:sz w:val="21"/>
          <w:highlight w:val="none"/>
        </w:rPr>
      </w:pPr>
      <w:r>
        <w:rPr>
          <w:rFonts w:ascii="Times New Roman" w:hAnsi="Times New Roman"/>
          <w:color w:val="auto"/>
          <w:sz w:val="21"/>
          <w:highlight w:val="none"/>
        </w:rPr>
        <w:t>注：×无影响、—负面影响、Δ轻微影响、○较大影响、●有重大影响、</w:t>
      </w:r>
      <w:r>
        <w:rPr>
          <w:rFonts w:hint="eastAsia" w:ascii="宋体" w:hAnsi="宋体" w:cs="宋体"/>
          <w:color w:val="auto"/>
          <w:sz w:val="21"/>
          <w:highlight w:val="none"/>
        </w:rPr>
        <w:t>◎</w:t>
      </w:r>
      <w:r>
        <w:rPr>
          <w:rFonts w:ascii="Times New Roman" w:hAnsi="Times New Roman"/>
          <w:color w:val="auto"/>
          <w:sz w:val="21"/>
          <w:highlight w:val="none"/>
        </w:rPr>
        <w:t>可能有影响、</w:t>
      </w:r>
      <w:r>
        <w:rPr>
          <w:rFonts w:hint="eastAsia" w:ascii="宋体" w:hAnsi="宋体" w:cs="宋体"/>
          <w:color w:val="auto"/>
          <w:sz w:val="21"/>
          <w:highlight w:val="none"/>
        </w:rPr>
        <w:t>★</w:t>
      </w:r>
      <w:r>
        <w:rPr>
          <w:rFonts w:ascii="Times New Roman" w:hAnsi="Times New Roman"/>
          <w:color w:val="auto"/>
          <w:sz w:val="21"/>
          <w:highlight w:val="none"/>
        </w:rPr>
        <w:t>正面影响。</w:t>
      </w:r>
    </w:p>
    <w:p w14:paraId="6B718D35">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42" w:name="_Toc17479"/>
      <w:r>
        <w:rPr>
          <w:rFonts w:hint="eastAsia" w:ascii="Times New Roman" w:hAnsi="Times New Roman" w:eastAsia="宋体" w:cs="Times New Roman"/>
          <w:sz w:val="30"/>
          <w:szCs w:val="30"/>
          <w:highlight w:val="none"/>
          <w:lang w:val="en-US" w:eastAsia="zh-CN"/>
        </w:rPr>
        <w:t>2.3.2评价因子筛选</w:t>
      </w:r>
      <w:bookmarkEnd w:id="42"/>
    </w:p>
    <w:p w14:paraId="27894DD1">
      <w:pPr>
        <w:ind w:firstLine="480"/>
        <w:rPr>
          <w:rFonts w:ascii="Times New Roman" w:hAnsi="Times New Roman"/>
          <w:color w:val="auto"/>
          <w:highlight w:val="none"/>
        </w:rPr>
      </w:pPr>
      <w:r>
        <w:rPr>
          <w:rFonts w:ascii="Times New Roman" w:hAnsi="Times New Roman"/>
          <w:color w:val="auto"/>
          <w:highlight w:val="none"/>
        </w:rPr>
        <w:t>根据前述对本项目的特点、工程施工期及运营期产生的环境影响要素分析和识别，筛选出主要的环境影响评价因子，详见表2.3-2。</w:t>
      </w:r>
    </w:p>
    <w:p w14:paraId="5B2D5AD1">
      <w:pPr>
        <w:pStyle w:val="29"/>
        <w:spacing w:line="240" w:lineRule="auto"/>
        <w:ind w:firstLine="480"/>
        <w:rPr>
          <w:rFonts w:hint="eastAsia" w:ascii="Times New Roman" w:hAnsi="Times New Roman" w:eastAsia="黑体" w:cs="Times New Roman"/>
          <w:color w:val="auto"/>
          <w:spacing w:val="0"/>
          <w:kern w:val="2"/>
          <w:sz w:val="24"/>
          <w:szCs w:val="24"/>
          <w:highlight w:val="none"/>
          <w:lang w:val="en-US" w:eastAsia="zh-CN" w:bidi="ar-SA"/>
        </w:rPr>
      </w:pPr>
      <w:r>
        <w:rPr>
          <w:rFonts w:hint="eastAsia" w:ascii="Times New Roman" w:hAnsi="Times New Roman" w:eastAsia="黑体" w:cs="Times New Roman"/>
          <w:color w:val="auto"/>
          <w:spacing w:val="0"/>
          <w:kern w:val="2"/>
          <w:sz w:val="24"/>
          <w:szCs w:val="24"/>
          <w:highlight w:val="none"/>
          <w:lang w:val="en-US" w:eastAsia="zh-CN" w:bidi="ar-SA"/>
        </w:rPr>
        <w:t>表2.3-2 评价因子一览表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16"/>
        <w:gridCol w:w="1875"/>
        <w:gridCol w:w="5131"/>
      </w:tblGrid>
      <w:tr w14:paraId="1CB444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989" w:type="pct"/>
            <w:gridSpan w:val="2"/>
            <w:noWrap w:val="0"/>
            <w:vAlign w:val="center"/>
          </w:tcPr>
          <w:p w14:paraId="1D81F7A1">
            <w:pPr>
              <w:pStyle w:val="27"/>
              <w:rPr>
                <w:rFonts w:ascii="Times New Roman" w:hAnsi="Times New Roman"/>
                <w:color w:val="auto"/>
                <w:highlight w:val="none"/>
              </w:rPr>
            </w:pPr>
            <w:r>
              <w:rPr>
                <w:rFonts w:ascii="Times New Roman" w:hAnsi="Times New Roman"/>
                <w:color w:val="auto"/>
                <w:highlight w:val="none"/>
              </w:rPr>
              <w:t>项   目</w:t>
            </w:r>
          </w:p>
        </w:tc>
        <w:tc>
          <w:tcPr>
            <w:tcW w:w="3010" w:type="pct"/>
            <w:noWrap w:val="0"/>
            <w:vAlign w:val="center"/>
          </w:tcPr>
          <w:p w14:paraId="4D66703D">
            <w:pPr>
              <w:pStyle w:val="27"/>
              <w:rPr>
                <w:rFonts w:ascii="Times New Roman" w:hAnsi="Times New Roman"/>
                <w:color w:val="auto"/>
                <w:highlight w:val="none"/>
              </w:rPr>
            </w:pPr>
            <w:r>
              <w:rPr>
                <w:rFonts w:ascii="Times New Roman" w:hAnsi="Times New Roman"/>
                <w:color w:val="auto"/>
                <w:highlight w:val="none"/>
              </w:rPr>
              <w:t>评价因子</w:t>
            </w:r>
          </w:p>
        </w:tc>
      </w:tr>
      <w:tr w14:paraId="2B27AC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restart"/>
            <w:noWrap w:val="0"/>
            <w:vAlign w:val="center"/>
          </w:tcPr>
          <w:p w14:paraId="1546C659">
            <w:pPr>
              <w:pStyle w:val="27"/>
              <w:rPr>
                <w:rFonts w:ascii="Times New Roman" w:hAnsi="Times New Roman"/>
                <w:color w:val="auto"/>
                <w:highlight w:val="none"/>
              </w:rPr>
            </w:pPr>
            <w:r>
              <w:rPr>
                <w:rFonts w:ascii="Times New Roman" w:hAnsi="Times New Roman"/>
                <w:color w:val="auto"/>
                <w:highlight w:val="none"/>
              </w:rPr>
              <w:t>环境空气</w:t>
            </w:r>
          </w:p>
        </w:tc>
        <w:tc>
          <w:tcPr>
            <w:tcW w:w="1100" w:type="pct"/>
            <w:noWrap w:val="0"/>
            <w:vAlign w:val="center"/>
          </w:tcPr>
          <w:p w14:paraId="722007EA">
            <w:pPr>
              <w:pStyle w:val="27"/>
              <w:rPr>
                <w:rFonts w:ascii="Times New Roman" w:hAnsi="Times New Roman"/>
                <w:color w:val="auto"/>
                <w:highlight w:val="none"/>
              </w:rPr>
            </w:pPr>
            <w:r>
              <w:rPr>
                <w:rFonts w:ascii="Times New Roman" w:hAnsi="Times New Roman"/>
                <w:color w:val="auto"/>
                <w:highlight w:val="none"/>
              </w:rPr>
              <w:t>现状评价</w:t>
            </w:r>
          </w:p>
        </w:tc>
        <w:tc>
          <w:tcPr>
            <w:tcW w:w="3010" w:type="pct"/>
            <w:noWrap w:val="0"/>
            <w:vAlign w:val="center"/>
          </w:tcPr>
          <w:p w14:paraId="0E7BB5FA">
            <w:pPr>
              <w:pStyle w:val="27"/>
              <w:rPr>
                <w:rFonts w:ascii="Times New Roman" w:hAnsi="Times New Roman"/>
                <w:color w:val="auto"/>
                <w:highlight w:val="none"/>
              </w:rPr>
            </w:pPr>
            <w:r>
              <w:rPr>
                <w:rFonts w:ascii="Times New Roman" w:hAnsi="Times New Roman"/>
                <w:color w:val="auto"/>
                <w:highlight w:val="none"/>
              </w:rPr>
              <w:t>PM</w:t>
            </w:r>
            <w:r>
              <w:rPr>
                <w:rFonts w:ascii="Times New Roman" w:hAnsi="Times New Roman"/>
                <w:color w:val="auto"/>
                <w:highlight w:val="none"/>
                <w:vertAlign w:val="subscript"/>
              </w:rPr>
              <w:t>10</w:t>
            </w:r>
            <w:r>
              <w:rPr>
                <w:rFonts w:ascii="Times New Roman" w:hAnsi="Times New Roman"/>
                <w:color w:val="auto"/>
                <w:highlight w:val="none"/>
              </w:rPr>
              <w:t>、PM</w:t>
            </w:r>
            <w:r>
              <w:rPr>
                <w:rFonts w:ascii="Times New Roman" w:hAnsi="Times New Roman"/>
                <w:color w:val="auto"/>
                <w:highlight w:val="none"/>
                <w:vertAlign w:val="subscript"/>
              </w:rPr>
              <w:t>2.5</w:t>
            </w:r>
            <w:r>
              <w:rPr>
                <w:rFonts w:ascii="Times New Roman" w:hAnsi="Times New Roman"/>
                <w:color w:val="auto"/>
                <w:highlight w:val="none"/>
              </w:rPr>
              <w:t>、SO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2</w:t>
            </w:r>
            <w:r>
              <w:rPr>
                <w:rFonts w:ascii="Times New Roman" w:hAnsi="Times New Roman"/>
                <w:color w:val="auto"/>
                <w:highlight w:val="none"/>
              </w:rPr>
              <w:t>、CO、O</w:t>
            </w:r>
            <w:r>
              <w:rPr>
                <w:rFonts w:ascii="Times New Roman" w:hAnsi="Times New Roman"/>
                <w:color w:val="auto"/>
                <w:highlight w:val="none"/>
                <w:vertAlign w:val="subscript"/>
              </w:rPr>
              <w:t>3</w:t>
            </w:r>
            <w:r>
              <w:rPr>
                <w:rFonts w:ascii="Times New Roman" w:hAnsi="Times New Roman"/>
                <w:color w:val="auto"/>
                <w:highlight w:val="none"/>
              </w:rPr>
              <w:t>、</w:t>
            </w:r>
            <w:r>
              <w:rPr>
                <w:rFonts w:hint="eastAsia" w:ascii="Times New Roman" w:hAnsi="Times New Roman"/>
                <w:color w:val="auto"/>
                <w:highlight w:val="none"/>
                <w:lang w:val="en-US" w:eastAsia="zh-CN"/>
              </w:rPr>
              <w:t>汞及其化合物</w:t>
            </w:r>
            <w:r>
              <w:rPr>
                <w:rFonts w:ascii="Times New Roman" w:hAnsi="Times New Roman"/>
                <w:color w:val="auto"/>
                <w:highlight w:val="none"/>
              </w:rPr>
              <w:t>、TSP、NH</w:t>
            </w:r>
            <w:r>
              <w:rPr>
                <w:rFonts w:ascii="Times New Roman" w:hAnsi="Times New Roman"/>
                <w:color w:val="auto"/>
                <w:highlight w:val="none"/>
                <w:vertAlign w:val="subscript"/>
              </w:rPr>
              <w:t>3、</w:t>
            </w:r>
            <w:r>
              <w:rPr>
                <w:rFonts w:ascii="Times New Roman" w:hAnsi="Times New Roman"/>
                <w:color w:val="auto"/>
                <w:highlight w:val="none"/>
              </w:rPr>
              <w:t>NO</w:t>
            </w:r>
            <w:r>
              <w:rPr>
                <w:rFonts w:ascii="Times New Roman" w:hAnsi="Times New Roman"/>
                <w:color w:val="auto"/>
                <w:highlight w:val="none"/>
                <w:vertAlign w:val="subscript"/>
              </w:rPr>
              <w:t>x</w:t>
            </w:r>
          </w:p>
        </w:tc>
      </w:tr>
      <w:tr w14:paraId="4202FB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continue"/>
            <w:noWrap w:val="0"/>
            <w:vAlign w:val="center"/>
          </w:tcPr>
          <w:p w14:paraId="63B4D2D3">
            <w:pPr>
              <w:pStyle w:val="27"/>
              <w:rPr>
                <w:rFonts w:ascii="Times New Roman" w:hAnsi="Times New Roman"/>
                <w:color w:val="auto"/>
                <w:highlight w:val="none"/>
              </w:rPr>
            </w:pPr>
          </w:p>
        </w:tc>
        <w:tc>
          <w:tcPr>
            <w:tcW w:w="1100" w:type="pct"/>
            <w:noWrap w:val="0"/>
            <w:vAlign w:val="center"/>
          </w:tcPr>
          <w:p w14:paraId="07D1DB1A">
            <w:pPr>
              <w:pStyle w:val="27"/>
              <w:rPr>
                <w:rFonts w:ascii="Times New Roman" w:hAnsi="Times New Roman"/>
                <w:color w:val="auto"/>
                <w:highlight w:val="none"/>
              </w:rPr>
            </w:pPr>
            <w:r>
              <w:rPr>
                <w:rFonts w:ascii="Times New Roman" w:hAnsi="Times New Roman"/>
                <w:color w:val="auto"/>
                <w:highlight w:val="none"/>
              </w:rPr>
              <w:t>预测评价</w:t>
            </w:r>
          </w:p>
        </w:tc>
        <w:tc>
          <w:tcPr>
            <w:tcW w:w="3010" w:type="pct"/>
            <w:noWrap w:val="0"/>
            <w:vAlign w:val="center"/>
          </w:tcPr>
          <w:p w14:paraId="5253C1AC">
            <w:pPr>
              <w:pStyle w:val="27"/>
              <w:rPr>
                <w:rFonts w:hint="default" w:ascii="Times New Roman" w:hAnsi="Times New Roman" w:eastAsia="新宋体"/>
                <w:color w:val="auto"/>
                <w:highlight w:val="none"/>
                <w:vertAlign w:val="baseline"/>
                <w:lang w:val="en-US" w:eastAsia="zh-CN"/>
              </w:rPr>
            </w:pPr>
            <w:r>
              <w:rPr>
                <w:rFonts w:ascii="Times New Roman" w:hAnsi="Times New Roman"/>
                <w:color w:val="auto"/>
                <w:highlight w:val="none"/>
              </w:rPr>
              <w:t>PM</w:t>
            </w:r>
            <w:r>
              <w:rPr>
                <w:rFonts w:ascii="Times New Roman" w:hAnsi="Times New Roman"/>
                <w:color w:val="auto"/>
                <w:highlight w:val="none"/>
                <w:vertAlign w:val="subscript"/>
              </w:rPr>
              <w:t>10</w:t>
            </w:r>
            <w:r>
              <w:rPr>
                <w:rFonts w:ascii="Times New Roman" w:hAnsi="Times New Roman"/>
                <w:color w:val="auto"/>
                <w:highlight w:val="none"/>
              </w:rPr>
              <w:t>、PM</w:t>
            </w:r>
            <w:r>
              <w:rPr>
                <w:rFonts w:ascii="Times New Roman" w:hAnsi="Times New Roman"/>
                <w:color w:val="auto"/>
                <w:highlight w:val="none"/>
                <w:vertAlign w:val="subscript"/>
              </w:rPr>
              <w:t>2.5</w:t>
            </w:r>
            <w:r>
              <w:rPr>
                <w:rFonts w:ascii="Times New Roman" w:hAnsi="Times New Roman"/>
                <w:color w:val="auto"/>
                <w:highlight w:val="none"/>
              </w:rPr>
              <w:t>、TSP、SO</w:t>
            </w:r>
            <w:r>
              <w:rPr>
                <w:rFonts w:ascii="Times New Roman" w:hAnsi="Times New Roman"/>
                <w:color w:val="auto"/>
                <w:highlight w:val="none"/>
                <w:vertAlign w:val="subscript"/>
              </w:rPr>
              <w:t>2</w:t>
            </w:r>
            <w:r>
              <w:rPr>
                <w:rFonts w:hint="eastAsia" w:ascii="Times New Roman" w:hAnsi="Times New Roman"/>
                <w:color w:val="auto"/>
                <w:highlight w:val="none"/>
              </w:rPr>
              <w:t>、</w:t>
            </w:r>
            <w:r>
              <w:rPr>
                <w:rFonts w:hint="eastAsia" w:ascii="Times New Roman" w:hAnsi="Times New Roman"/>
                <w:color w:val="auto"/>
                <w:highlight w:val="none"/>
                <w:lang w:val="en-US" w:eastAsia="zh-CN"/>
              </w:rPr>
              <w:t>汞及其化合物</w:t>
            </w:r>
            <w:r>
              <w:rPr>
                <w:rFonts w:ascii="Times New Roman" w:hAnsi="Times New Roman"/>
                <w:color w:val="auto"/>
                <w:highlight w:val="none"/>
              </w:rPr>
              <w:t>、NH</w:t>
            </w:r>
            <w:r>
              <w:rPr>
                <w:rFonts w:ascii="Times New Roman" w:hAnsi="Times New Roman"/>
                <w:color w:val="auto"/>
                <w:highlight w:val="none"/>
                <w:vertAlign w:val="subscript"/>
              </w:rPr>
              <w:t>3、</w:t>
            </w:r>
            <w:r>
              <w:rPr>
                <w:rFonts w:ascii="Times New Roman" w:hAnsi="Times New Roman"/>
                <w:color w:val="auto"/>
                <w:highlight w:val="none"/>
              </w:rPr>
              <w:t>NO</w:t>
            </w:r>
            <w:r>
              <w:rPr>
                <w:rFonts w:ascii="Times New Roman" w:hAnsi="Times New Roman"/>
                <w:color w:val="auto"/>
                <w:highlight w:val="none"/>
                <w:vertAlign w:val="subscript"/>
              </w:rPr>
              <w:t>2</w:t>
            </w:r>
            <w:r>
              <w:rPr>
                <w:rFonts w:hint="eastAsia" w:ascii="Times New Roman" w:hAnsi="Times New Roman"/>
                <w:color w:val="auto"/>
                <w:highlight w:val="none"/>
                <w:vertAlign w:val="subscript"/>
                <w:lang w:eastAsia="zh-CN"/>
              </w:rPr>
              <w:t>、</w:t>
            </w:r>
            <w:r>
              <w:rPr>
                <w:rFonts w:hint="eastAsia" w:ascii="Times New Roman" w:hAnsi="Times New Roman"/>
                <w:color w:val="auto"/>
                <w:highlight w:val="none"/>
                <w:vertAlign w:val="baseline"/>
                <w:lang w:val="en-US" w:eastAsia="zh-CN"/>
              </w:rPr>
              <w:t>林格曼黑度</w:t>
            </w:r>
          </w:p>
        </w:tc>
      </w:tr>
      <w:tr w14:paraId="0EA683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restart"/>
            <w:noWrap w:val="0"/>
            <w:vAlign w:val="center"/>
          </w:tcPr>
          <w:p w14:paraId="4B3A5923">
            <w:pPr>
              <w:pStyle w:val="27"/>
              <w:rPr>
                <w:rFonts w:ascii="Times New Roman" w:hAnsi="Times New Roman"/>
                <w:color w:val="auto"/>
                <w:highlight w:val="none"/>
              </w:rPr>
            </w:pPr>
            <w:r>
              <w:rPr>
                <w:rFonts w:ascii="Times New Roman" w:hAnsi="Times New Roman"/>
                <w:color w:val="auto"/>
                <w:highlight w:val="none"/>
              </w:rPr>
              <w:t>地表水环境</w:t>
            </w:r>
          </w:p>
        </w:tc>
        <w:tc>
          <w:tcPr>
            <w:tcW w:w="1100" w:type="pct"/>
            <w:noWrap w:val="0"/>
            <w:vAlign w:val="center"/>
          </w:tcPr>
          <w:p w14:paraId="4903CECF">
            <w:pPr>
              <w:pStyle w:val="27"/>
              <w:rPr>
                <w:rFonts w:ascii="Times New Roman" w:hAnsi="Times New Roman"/>
                <w:color w:val="auto"/>
                <w:highlight w:val="none"/>
              </w:rPr>
            </w:pPr>
            <w:r>
              <w:rPr>
                <w:rFonts w:ascii="Times New Roman" w:hAnsi="Times New Roman"/>
                <w:color w:val="auto"/>
                <w:highlight w:val="none"/>
              </w:rPr>
              <w:t>现状评价</w:t>
            </w:r>
          </w:p>
        </w:tc>
        <w:tc>
          <w:tcPr>
            <w:tcW w:w="3010" w:type="pct"/>
            <w:noWrap w:val="0"/>
            <w:vAlign w:val="center"/>
          </w:tcPr>
          <w:p w14:paraId="0E7BE4E2">
            <w:pPr>
              <w:pStyle w:val="27"/>
              <w:rPr>
                <w:rFonts w:ascii="Times New Roman" w:hAnsi="Times New Roman"/>
                <w:color w:val="auto"/>
                <w:highlight w:val="none"/>
              </w:rPr>
            </w:pPr>
            <w:r>
              <w:rPr>
                <w:rFonts w:ascii="Times New Roman" w:hAnsi="Times New Roman"/>
                <w:color w:val="auto"/>
                <w:highlight w:val="none"/>
              </w:rPr>
              <w:t>pH</w:t>
            </w:r>
            <w:r>
              <w:rPr>
                <w:rFonts w:hint="eastAsia" w:ascii="Times New Roman" w:hAnsi="Times New Roman"/>
                <w:color w:val="auto"/>
                <w:highlight w:val="none"/>
              </w:rPr>
              <w:t>、高锰酸盐指数、化学耗氧量（COD</w:t>
            </w:r>
            <w:r>
              <w:rPr>
                <w:rFonts w:hint="eastAsia" w:ascii="Times New Roman" w:hAnsi="Times New Roman"/>
                <w:color w:val="auto"/>
                <w:highlight w:val="none"/>
                <w:vertAlign w:val="subscript"/>
              </w:rPr>
              <w:t>Cr</w:t>
            </w:r>
            <w:r>
              <w:rPr>
                <w:rFonts w:hint="eastAsia" w:ascii="Times New Roman" w:hAnsi="Times New Roman"/>
                <w:color w:val="auto"/>
                <w:highlight w:val="none"/>
              </w:rPr>
              <w:t>）、生化需氧量（BOD</w:t>
            </w:r>
            <w:r>
              <w:rPr>
                <w:rFonts w:hint="eastAsia" w:ascii="Times New Roman" w:hAnsi="Times New Roman"/>
                <w:color w:val="auto"/>
                <w:highlight w:val="none"/>
                <w:vertAlign w:val="subscript"/>
              </w:rPr>
              <w:t>5</w:t>
            </w:r>
            <w:r>
              <w:rPr>
                <w:rFonts w:hint="eastAsia" w:ascii="Times New Roman" w:hAnsi="Times New Roman"/>
                <w:color w:val="auto"/>
                <w:highlight w:val="none"/>
              </w:rPr>
              <w:t>）、氨氮（NH</w:t>
            </w:r>
            <w:r>
              <w:rPr>
                <w:rFonts w:hint="eastAsia" w:ascii="Times New Roman" w:hAnsi="Times New Roman"/>
                <w:color w:val="auto"/>
                <w:highlight w:val="none"/>
                <w:vertAlign w:val="subscript"/>
              </w:rPr>
              <w:t>3</w:t>
            </w:r>
            <w:r>
              <w:rPr>
                <w:rFonts w:hint="eastAsia" w:ascii="Times New Roman" w:hAnsi="Times New Roman"/>
                <w:color w:val="auto"/>
                <w:highlight w:val="none"/>
              </w:rPr>
              <w:t>-N）、石油类、总磷、总氮、溶解氧</w:t>
            </w:r>
          </w:p>
        </w:tc>
      </w:tr>
      <w:tr w14:paraId="5FA5E4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continue"/>
            <w:noWrap w:val="0"/>
            <w:vAlign w:val="center"/>
          </w:tcPr>
          <w:p w14:paraId="7B038CFA">
            <w:pPr>
              <w:pStyle w:val="27"/>
              <w:rPr>
                <w:rFonts w:ascii="Times New Roman" w:hAnsi="Times New Roman"/>
                <w:color w:val="auto"/>
                <w:highlight w:val="none"/>
              </w:rPr>
            </w:pPr>
          </w:p>
        </w:tc>
        <w:tc>
          <w:tcPr>
            <w:tcW w:w="1100" w:type="pct"/>
            <w:noWrap w:val="0"/>
            <w:vAlign w:val="center"/>
          </w:tcPr>
          <w:p w14:paraId="2614AE98">
            <w:pPr>
              <w:pStyle w:val="27"/>
              <w:rPr>
                <w:rFonts w:ascii="Times New Roman" w:hAnsi="Times New Roman"/>
                <w:color w:val="auto"/>
                <w:highlight w:val="none"/>
              </w:rPr>
            </w:pPr>
            <w:r>
              <w:rPr>
                <w:rFonts w:ascii="Times New Roman" w:hAnsi="Times New Roman"/>
                <w:color w:val="auto"/>
                <w:highlight w:val="none"/>
              </w:rPr>
              <w:t>预测分析</w:t>
            </w:r>
          </w:p>
        </w:tc>
        <w:tc>
          <w:tcPr>
            <w:tcW w:w="3010" w:type="pct"/>
            <w:noWrap w:val="0"/>
            <w:vAlign w:val="center"/>
          </w:tcPr>
          <w:p w14:paraId="188DBADD">
            <w:pPr>
              <w:pStyle w:val="27"/>
              <w:rPr>
                <w:rFonts w:ascii="Times New Roman" w:hAnsi="Times New Roman"/>
                <w:color w:val="auto"/>
                <w:highlight w:val="none"/>
              </w:rPr>
            </w:pPr>
            <w:r>
              <w:rPr>
                <w:rFonts w:ascii="Times New Roman" w:hAnsi="Times New Roman"/>
                <w:color w:val="auto"/>
                <w:highlight w:val="none"/>
              </w:rPr>
              <w:t>/</w:t>
            </w:r>
          </w:p>
        </w:tc>
      </w:tr>
      <w:tr w14:paraId="2CB906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restart"/>
            <w:noWrap w:val="0"/>
            <w:vAlign w:val="center"/>
          </w:tcPr>
          <w:p w14:paraId="17C4C93D">
            <w:pPr>
              <w:pStyle w:val="27"/>
              <w:rPr>
                <w:rFonts w:ascii="Times New Roman" w:hAnsi="Times New Roman"/>
                <w:color w:val="auto"/>
                <w:highlight w:val="none"/>
              </w:rPr>
            </w:pPr>
            <w:r>
              <w:rPr>
                <w:rFonts w:ascii="Times New Roman" w:hAnsi="Times New Roman"/>
                <w:color w:val="auto"/>
                <w:highlight w:val="none"/>
              </w:rPr>
              <w:t>声环境</w:t>
            </w:r>
          </w:p>
        </w:tc>
        <w:tc>
          <w:tcPr>
            <w:tcW w:w="1100" w:type="pct"/>
            <w:noWrap w:val="0"/>
            <w:vAlign w:val="center"/>
          </w:tcPr>
          <w:p w14:paraId="36302E90">
            <w:pPr>
              <w:pStyle w:val="27"/>
              <w:rPr>
                <w:rFonts w:ascii="Times New Roman" w:hAnsi="Times New Roman"/>
                <w:color w:val="auto"/>
                <w:highlight w:val="none"/>
              </w:rPr>
            </w:pPr>
            <w:r>
              <w:rPr>
                <w:rFonts w:ascii="Times New Roman" w:hAnsi="Times New Roman"/>
                <w:color w:val="auto"/>
                <w:highlight w:val="none"/>
              </w:rPr>
              <w:t>现状评价</w:t>
            </w:r>
          </w:p>
        </w:tc>
        <w:tc>
          <w:tcPr>
            <w:tcW w:w="3010" w:type="pct"/>
            <w:vMerge w:val="restart"/>
            <w:noWrap w:val="0"/>
            <w:vAlign w:val="center"/>
          </w:tcPr>
          <w:p w14:paraId="4D886EB9">
            <w:pPr>
              <w:pStyle w:val="27"/>
              <w:rPr>
                <w:rFonts w:ascii="Times New Roman" w:hAnsi="Times New Roman"/>
                <w:color w:val="auto"/>
                <w:highlight w:val="none"/>
              </w:rPr>
            </w:pPr>
            <w:r>
              <w:rPr>
                <w:rFonts w:hint="default" w:ascii="Times New Roman" w:hAnsi="Times New Roman"/>
                <w:color w:val="auto"/>
                <w:highlight w:val="none"/>
              </w:rPr>
              <w:t>等效连续A声级</w:t>
            </w:r>
          </w:p>
        </w:tc>
      </w:tr>
      <w:tr w14:paraId="31D76C5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continue"/>
            <w:noWrap w:val="0"/>
            <w:vAlign w:val="center"/>
          </w:tcPr>
          <w:p w14:paraId="0D08B751">
            <w:pPr>
              <w:pStyle w:val="27"/>
              <w:rPr>
                <w:rFonts w:ascii="Times New Roman" w:hAnsi="Times New Roman"/>
                <w:color w:val="auto"/>
                <w:highlight w:val="none"/>
              </w:rPr>
            </w:pPr>
          </w:p>
        </w:tc>
        <w:tc>
          <w:tcPr>
            <w:tcW w:w="1100" w:type="pct"/>
            <w:noWrap w:val="0"/>
            <w:vAlign w:val="center"/>
          </w:tcPr>
          <w:p w14:paraId="29DDD65B">
            <w:pPr>
              <w:pStyle w:val="27"/>
              <w:rPr>
                <w:rFonts w:ascii="Times New Roman" w:hAnsi="Times New Roman"/>
                <w:color w:val="auto"/>
                <w:highlight w:val="none"/>
              </w:rPr>
            </w:pPr>
            <w:r>
              <w:rPr>
                <w:rFonts w:ascii="Times New Roman" w:hAnsi="Times New Roman"/>
                <w:color w:val="auto"/>
                <w:highlight w:val="none"/>
              </w:rPr>
              <w:t>预测评价</w:t>
            </w:r>
          </w:p>
        </w:tc>
        <w:tc>
          <w:tcPr>
            <w:tcW w:w="3010" w:type="pct"/>
            <w:vMerge w:val="continue"/>
            <w:noWrap w:val="0"/>
            <w:vAlign w:val="center"/>
          </w:tcPr>
          <w:p w14:paraId="11999FA6">
            <w:pPr>
              <w:pStyle w:val="27"/>
              <w:rPr>
                <w:rFonts w:ascii="Times New Roman" w:hAnsi="Times New Roman"/>
                <w:color w:val="auto"/>
                <w:highlight w:val="none"/>
              </w:rPr>
            </w:pPr>
          </w:p>
        </w:tc>
      </w:tr>
      <w:tr w14:paraId="36F0B1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172" w:hRule="atLeast"/>
          <w:jc w:val="center"/>
        </w:trPr>
        <w:tc>
          <w:tcPr>
            <w:tcW w:w="889" w:type="pct"/>
            <w:vMerge w:val="restart"/>
            <w:noWrap w:val="0"/>
            <w:vAlign w:val="center"/>
          </w:tcPr>
          <w:p w14:paraId="46EA1086">
            <w:pPr>
              <w:spacing w:line="240" w:lineRule="auto"/>
              <w:ind w:firstLine="0" w:firstLineChars="0"/>
              <w:jc w:val="center"/>
              <w:rPr>
                <w:rFonts w:hint="eastAsia" w:ascii="Times New Roman" w:hAnsi="Times New Roman" w:eastAsia="宋体"/>
                <w:color w:val="auto"/>
                <w:highlight w:val="none"/>
                <w:lang w:eastAsia="zh-CN"/>
              </w:rPr>
            </w:pPr>
            <w:r>
              <w:rPr>
                <w:color w:val="auto"/>
                <w:sz w:val="21"/>
                <w:szCs w:val="21"/>
                <w:highlight w:val="none"/>
              </w:rPr>
              <w:t>土壤</w:t>
            </w:r>
          </w:p>
        </w:tc>
        <w:tc>
          <w:tcPr>
            <w:tcW w:w="1100" w:type="pct"/>
            <w:noWrap w:val="0"/>
            <w:vAlign w:val="center"/>
          </w:tcPr>
          <w:p w14:paraId="181FD939">
            <w:pPr>
              <w:spacing w:line="240" w:lineRule="auto"/>
              <w:ind w:firstLine="0" w:firstLineChars="0"/>
              <w:jc w:val="center"/>
              <w:rPr>
                <w:rFonts w:ascii="Times New Roman" w:hAnsi="Times New Roman"/>
                <w:color w:val="auto"/>
                <w:kern w:val="2"/>
                <w:sz w:val="24"/>
                <w:szCs w:val="22"/>
                <w:highlight w:val="none"/>
                <w:lang w:val="en-US" w:eastAsia="zh-CN" w:bidi="ar-SA"/>
              </w:rPr>
            </w:pPr>
            <w:r>
              <w:rPr>
                <w:color w:val="auto"/>
                <w:sz w:val="21"/>
                <w:szCs w:val="21"/>
                <w:highlight w:val="none"/>
              </w:rPr>
              <w:t>现状评价</w:t>
            </w:r>
          </w:p>
        </w:tc>
        <w:tc>
          <w:tcPr>
            <w:tcW w:w="3010" w:type="pct"/>
            <w:noWrap w:val="0"/>
            <w:vAlign w:val="center"/>
          </w:tcPr>
          <w:p w14:paraId="36090E95">
            <w:pPr>
              <w:spacing w:line="240" w:lineRule="auto"/>
              <w:ind w:firstLine="0" w:firstLineChars="0"/>
              <w:jc w:val="center"/>
              <w:rPr>
                <w:rFonts w:ascii="Times New Roman" w:hAnsi="Times New Roman"/>
                <w:color w:val="auto"/>
                <w:highlight w:val="none"/>
              </w:rPr>
            </w:pPr>
            <w:r>
              <w:rPr>
                <w:color w:val="auto"/>
                <w:sz w:val="21"/>
                <w:szCs w:val="21"/>
                <w:highlight w:val="none"/>
              </w:rPr>
              <w:t>砷、镉、铬（六价）、铜 、铅、汞、镍、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硝基苯、苯胺、2-氯酚、苯并[a]蒽、苯并[a]芘、苯并[b]荧蒽、苯并[k]荧蒽、䓛、二苯并[a, h]蒽、茚并[1,2,3-cd]芘、萘共45项</w:t>
            </w:r>
          </w:p>
        </w:tc>
      </w:tr>
      <w:tr w14:paraId="1C6199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continue"/>
            <w:noWrap w:val="0"/>
            <w:vAlign w:val="center"/>
          </w:tcPr>
          <w:p w14:paraId="1BD45358">
            <w:pPr>
              <w:spacing w:line="240" w:lineRule="auto"/>
              <w:ind w:firstLine="0" w:firstLineChars="0"/>
              <w:jc w:val="center"/>
              <w:rPr>
                <w:rFonts w:ascii="Times New Roman" w:hAnsi="Times New Roman"/>
                <w:color w:val="auto"/>
                <w:highlight w:val="none"/>
              </w:rPr>
            </w:pPr>
          </w:p>
        </w:tc>
        <w:tc>
          <w:tcPr>
            <w:tcW w:w="1100" w:type="pct"/>
            <w:noWrap w:val="0"/>
            <w:vAlign w:val="center"/>
          </w:tcPr>
          <w:p w14:paraId="38ED13D3">
            <w:pPr>
              <w:spacing w:line="240" w:lineRule="auto"/>
              <w:ind w:firstLine="0" w:firstLineChars="0"/>
              <w:jc w:val="center"/>
              <w:rPr>
                <w:rFonts w:ascii="Times New Roman" w:hAnsi="Times New Roman"/>
                <w:color w:val="auto"/>
                <w:kern w:val="2"/>
                <w:sz w:val="24"/>
                <w:szCs w:val="22"/>
                <w:highlight w:val="none"/>
                <w:lang w:val="en-US" w:eastAsia="zh-CN" w:bidi="ar-SA"/>
              </w:rPr>
            </w:pPr>
            <w:r>
              <w:rPr>
                <w:color w:val="auto"/>
                <w:sz w:val="21"/>
                <w:szCs w:val="21"/>
                <w:highlight w:val="none"/>
              </w:rPr>
              <w:t>预测评价</w:t>
            </w:r>
          </w:p>
        </w:tc>
        <w:tc>
          <w:tcPr>
            <w:tcW w:w="3010" w:type="pct"/>
            <w:noWrap w:val="0"/>
            <w:vAlign w:val="center"/>
          </w:tcPr>
          <w:p w14:paraId="034CE95D">
            <w:pPr>
              <w:spacing w:line="240" w:lineRule="auto"/>
              <w:ind w:firstLine="0" w:firstLineChars="0"/>
              <w:jc w:val="center"/>
              <w:rPr>
                <w:rFonts w:ascii="Times New Roman" w:hAnsi="Times New Roman"/>
                <w:color w:val="auto"/>
                <w:highlight w:val="none"/>
              </w:rPr>
            </w:pPr>
            <w:r>
              <w:rPr>
                <w:color w:val="auto"/>
                <w:sz w:val="21"/>
                <w:szCs w:val="21"/>
                <w:highlight w:val="none"/>
              </w:rPr>
              <w:t>汞</w:t>
            </w:r>
          </w:p>
        </w:tc>
      </w:tr>
      <w:tr w14:paraId="27E2F7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restart"/>
            <w:noWrap w:val="0"/>
            <w:vAlign w:val="center"/>
          </w:tcPr>
          <w:p w14:paraId="14673930">
            <w:pPr>
              <w:pStyle w:val="27"/>
              <w:rPr>
                <w:rFonts w:ascii="Times New Roman" w:hAnsi="Times New Roman"/>
                <w:color w:val="auto"/>
                <w:highlight w:val="none"/>
              </w:rPr>
            </w:pPr>
            <w:r>
              <w:rPr>
                <w:rFonts w:ascii="Times New Roman" w:hAnsi="Times New Roman"/>
                <w:color w:val="auto"/>
                <w:highlight w:val="none"/>
              </w:rPr>
              <w:t>固体废物</w:t>
            </w:r>
          </w:p>
        </w:tc>
        <w:tc>
          <w:tcPr>
            <w:tcW w:w="1100" w:type="pct"/>
            <w:noWrap w:val="0"/>
            <w:vAlign w:val="center"/>
          </w:tcPr>
          <w:p w14:paraId="40432F7F">
            <w:pPr>
              <w:pStyle w:val="27"/>
              <w:rPr>
                <w:rFonts w:ascii="Times New Roman" w:hAnsi="Times New Roman"/>
                <w:color w:val="auto"/>
                <w:highlight w:val="none"/>
              </w:rPr>
            </w:pPr>
            <w:r>
              <w:rPr>
                <w:rFonts w:ascii="Times New Roman" w:hAnsi="Times New Roman"/>
                <w:color w:val="auto"/>
                <w:highlight w:val="none"/>
              </w:rPr>
              <w:t>现状评价</w:t>
            </w:r>
          </w:p>
        </w:tc>
        <w:tc>
          <w:tcPr>
            <w:tcW w:w="3010" w:type="pct"/>
            <w:noWrap w:val="0"/>
            <w:vAlign w:val="center"/>
          </w:tcPr>
          <w:p w14:paraId="4E861A0B">
            <w:pPr>
              <w:pStyle w:val="27"/>
              <w:rPr>
                <w:rFonts w:ascii="Times New Roman" w:hAnsi="Times New Roman"/>
                <w:color w:val="auto"/>
                <w:highlight w:val="none"/>
              </w:rPr>
            </w:pPr>
            <w:r>
              <w:rPr>
                <w:rFonts w:ascii="Times New Roman" w:hAnsi="Times New Roman"/>
                <w:color w:val="auto"/>
                <w:highlight w:val="none"/>
              </w:rPr>
              <w:t>—</w:t>
            </w:r>
          </w:p>
        </w:tc>
      </w:tr>
      <w:tr w14:paraId="70B907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889" w:type="pct"/>
            <w:vMerge w:val="continue"/>
            <w:noWrap w:val="0"/>
            <w:vAlign w:val="center"/>
          </w:tcPr>
          <w:p w14:paraId="7C57EBB7">
            <w:pPr>
              <w:pStyle w:val="27"/>
              <w:rPr>
                <w:rFonts w:ascii="Times New Roman" w:hAnsi="Times New Roman"/>
                <w:color w:val="auto"/>
                <w:highlight w:val="none"/>
              </w:rPr>
            </w:pPr>
          </w:p>
        </w:tc>
        <w:tc>
          <w:tcPr>
            <w:tcW w:w="1100" w:type="pct"/>
            <w:noWrap w:val="0"/>
            <w:vAlign w:val="center"/>
          </w:tcPr>
          <w:p w14:paraId="03A5BFE7">
            <w:pPr>
              <w:pStyle w:val="27"/>
              <w:rPr>
                <w:rFonts w:ascii="Times New Roman" w:hAnsi="Times New Roman"/>
                <w:color w:val="auto"/>
                <w:highlight w:val="none"/>
              </w:rPr>
            </w:pPr>
            <w:r>
              <w:rPr>
                <w:rFonts w:ascii="Times New Roman" w:hAnsi="Times New Roman"/>
                <w:color w:val="auto"/>
                <w:highlight w:val="none"/>
              </w:rPr>
              <w:t>预测分析</w:t>
            </w:r>
          </w:p>
        </w:tc>
        <w:tc>
          <w:tcPr>
            <w:tcW w:w="3010" w:type="pct"/>
            <w:noWrap w:val="0"/>
            <w:vAlign w:val="center"/>
          </w:tcPr>
          <w:p w14:paraId="7ED0C1DE">
            <w:pPr>
              <w:pStyle w:val="27"/>
              <w:rPr>
                <w:rFonts w:ascii="Times New Roman" w:hAnsi="Times New Roman"/>
                <w:color w:val="auto"/>
                <w:highlight w:val="none"/>
              </w:rPr>
            </w:pPr>
            <w:r>
              <w:rPr>
                <w:rFonts w:ascii="Times New Roman" w:hAnsi="Times New Roman"/>
                <w:color w:val="auto"/>
                <w:highlight w:val="none"/>
              </w:rPr>
              <w:t>固体废物处理或处置率、处理或处置方式</w:t>
            </w:r>
          </w:p>
        </w:tc>
      </w:tr>
    </w:tbl>
    <w:p w14:paraId="74C1771A">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eastAsia" w:ascii="Times New Roman" w:hAnsi="Times New Roman" w:eastAsia="黑体" w:cs="Times New Roman"/>
          <w:color w:val="auto"/>
          <w:spacing w:val="0"/>
          <w:kern w:val="2"/>
          <w:sz w:val="24"/>
          <w:szCs w:val="24"/>
          <w:highlight w:val="none"/>
          <w:lang w:val="en-US" w:eastAsia="zh-CN" w:bidi="ar-SA"/>
        </w:rPr>
        <w:t>表2.3-3本项目生态评价因子的识别</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187"/>
        <w:gridCol w:w="2100"/>
        <w:gridCol w:w="2126"/>
        <w:gridCol w:w="1276"/>
        <w:gridCol w:w="1184"/>
      </w:tblGrid>
      <w:tr w14:paraId="256188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noWrap w:val="0"/>
            <w:vAlign w:val="center"/>
          </w:tcPr>
          <w:p w14:paraId="1375BBCD">
            <w:pPr>
              <w:pStyle w:val="28"/>
              <w:spacing w:line="240" w:lineRule="auto"/>
              <w:ind w:firstLine="0" w:firstLineChars="0"/>
              <w:jc w:val="center"/>
              <w:rPr>
                <w:color w:val="auto"/>
                <w:sz w:val="21"/>
                <w:szCs w:val="21"/>
                <w:highlight w:val="none"/>
              </w:rPr>
            </w:pPr>
            <w:r>
              <w:rPr>
                <w:rFonts w:hint="eastAsia"/>
                <w:color w:val="auto"/>
                <w:sz w:val="21"/>
                <w:szCs w:val="21"/>
                <w:highlight w:val="none"/>
              </w:rPr>
              <w:t>时期</w:t>
            </w:r>
          </w:p>
        </w:tc>
        <w:tc>
          <w:tcPr>
            <w:tcW w:w="1187" w:type="dxa"/>
            <w:noWrap w:val="0"/>
            <w:vAlign w:val="center"/>
          </w:tcPr>
          <w:p w14:paraId="41BA3FD8">
            <w:pPr>
              <w:pStyle w:val="28"/>
              <w:spacing w:line="240" w:lineRule="auto"/>
              <w:ind w:firstLine="0" w:firstLineChars="0"/>
              <w:jc w:val="center"/>
              <w:rPr>
                <w:rFonts w:hint="eastAsia"/>
                <w:color w:val="auto"/>
                <w:sz w:val="21"/>
                <w:szCs w:val="21"/>
                <w:highlight w:val="none"/>
              </w:rPr>
            </w:pPr>
            <w:r>
              <w:rPr>
                <w:rFonts w:hint="eastAsia"/>
                <w:color w:val="auto"/>
                <w:sz w:val="21"/>
                <w:szCs w:val="21"/>
                <w:highlight w:val="none"/>
              </w:rPr>
              <w:t>受影响</w:t>
            </w:r>
          </w:p>
          <w:p w14:paraId="438CB549">
            <w:pPr>
              <w:pStyle w:val="28"/>
              <w:spacing w:line="240" w:lineRule="auto"/>
              <w:ind w:firstLine="0" w:firstLineChars="0"/>
              <w:jc w:val="center"/>
              <w:rPr>
                <w:color w:val="auto"/>
                <w:sz w:val="21"/>
                <w:szCs w:val="21"/>
                <w:highlight w:val="none"/>
              </w:rPr>
            </w:pPr>
            <w:r>
              <w:rPr>
                <w:rFonts w:hint="eastAsia"/>
                <w:color w:val="auto"/>
                <w:sz w:val="21"/>
                <w:szCs w:val="21"/>
                <w:highlight w:val="none"/>
              </w:rPr>
              <w:t>对象</w:t>
            </w:r>
          </w:p>
        </w:tc>
        <w:tc>
          <w:tcPr>
            <w:tcW w:w="2100" w:type="dxa"/>
            <w:noWrap w:val="0"/>
            <w:vAlign w:val="center"/>
          </w:tcPr>
          <w:p w14:paraId="7399617D">
            <w:pPr>
              <w:pStyle w:val="28"/>
              <w:spacing w:line="240" w:lineRule="auto"/>
              <w:ind w:firstLine="0" w:firstLineChars="0"/>
              <w:jc w:val="center"/>
              <w:rPr>
                <w:color w:val="auto"/>
                <w:sz w:val="21"/>
                <w:szCs w:val="21"/>
                <w:highlight w:val="none"/>
              </w:rPr>
            </w:pPr>
            <w:r>
              <w:rPr>
                <w:rFonts w:hint="eastAsia"/>
                <w:color w:val="auto"/>
                <w:sz w:val="21"/>
                <w:szCs w:val="21"/>
                <w:highlight w:val="none"/>
              </w:rPr>
              <w:t>评价因子</w:t>
            </w:r>
          </w:p>
        </w:tc>
        <w:tc>
          <w:tcPr>
            <w:tcW w:w="2126" w:type="dxa"/>
            <w:noWrap w:val="0"/>
            <w:vAlign w:val="center"/>
          </w:tcPr>
          <w:p w14:paraId="25A60B53">
            <w:pPr>
              <w:pStyle w:val="28"/>
              <w:spacing w:line="240" w:lineRule="auto"/>
              <w:ind w:firstLine="0" w:firstLineChars="0"/>
              <w:jc w:val="center"/>
              <w:rPr>
                <w:color w:val="auto"/>
                <w:sz w:val="21"/>
                <w:szCs w:val="21"/>
                <w:highlight w:val="none"/>
              </w:rPr>
            </w:pPr>
            <w:r>
              <w:rPr>
                <w:rFonts w:hint="eastAsia"/>
                <w:color w:val="auto"/>
                <w:sz w:val="21"/>
                <w:szCs w:val="21"/>
                <w:highlight w:val="none"/>
              </w:rPr>
              <w:t>工程内容及影响方式</w:t>
            </w:r>
          </w:p>
        </w:tc>
        <w:tc>
          <w:tcPr>
            <w:tcW w:w="1276" w:type="dxa"/>
            <w:noWrap w:val="0"/>
            <w:vAlign w:val="center"/>
          </w:tcPr>
          <w:p w14:paraId="7C75BEF1">
            <w:pPr>
              <w:pStyle w:val="28"/>
              <w:spacing w:line="240" w:lineRule="auto"/>
              <w:ind w:firstLine="0" w:firstLineChars="0"/>
              <w:jc w:val="center"/>
              <w:rPr>
                <w:color w:val="auto"/>
                <w:sz w:val="21"/>
                <w:szCs w:val="21"/>
                <w:highlight w:val="none"/>
              </w:rPr>
            </w:pPr>
            <w:r>
              <w:rPr>
                <w:rFonts w:hint="eastAsia"/>
                <w:color w:val="auto"/>
                <w:sz w:val="21"/>
                <w:szCs w:val="21"/>
                <w:highlight w:val="none"/>
              </w:rPr>
              <w:t>影响性质</w:t>
            </w:r>
          </w:p>
        </w:tc>
        <w:tc>
          <w:tcPr>
            <w:tcW w:w="1184" w:type="dxa"/>
            <w:noWrap w:val="0"/>
            <w:vAlign w:val="center"/>
          </w:tcPr>
          <w:p w14:paraId="215BC44A">
            <w:pPr>
              <w:pStyle w:val="28"/>
              <w:spacing w:line="240" w:lineRule="auto"/>
              <w:ind w:firstLine="0" w:firstLineChars="0"/>
              <w:jc w:val="center"/>
              <w:rPr>
                <w:color w:val="auto"/>
                <w:sz w:val="21"/>
                <w:szCs w:val="21"/>
                <w:highlight w:val="none"/>
              </w:rPr>
            </w:pPr>
            <w:r>
              <w:rPr>
                <w:rFonts w:hint="eastAsia"/>
                <w:color w:val="auto"/>
                <w:sz w:val="21"/>
                <w:szCs w:val="21"/>
                <w:highlight w:val="none"/>
              </w:rPr>
              <w:t>影响程度</w:t>
            </w:r>
          </w:p>
        </w:tc>
      </w:tr>
      <w:tr w14:paraId="18E270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restart"/>
            <w:noWrap w:val="0"/>
            <w:vAlign w:val="center"/>
          </w:tcPr>
          <w:p w14:paraId="7EC6ECAE">
            <w:pPr>
              <w:pStyle w:val="28"/>
              <w:spacing w:line="240" w:lineRule="auto"/>
              <w:ind w:firstLine="0" w:firstLineChars="0"/>
              <w:jc w:val="center"/>
              <w:rPr>
                <w:color w:val="auto"/>
                <w:sz w:val="21"/>
                <w:szCs w:val="21"/>
                <w:highlight w:val="none"/>
              </w:rPr>
            </w:pPr>
            <w:r>
              <w:rPr>
                <w:rFonts w:hint="eastAsia"/>
                <w:color w:val="auto"/>
                <w:sz w:val="21"/>
                <w:szCs w:val="21"/>
                <w:highlight w:val="none"/>
              </w:rPr>
              <w:t>施工期</w:t>
            </w:r>
          </w:p>
        </w:tc>
        <w:tc>
          <w:tcPr>
            <w:tcW w:w="1187" w:type="dxa"/>
            <w:noWrap w:val="0"/>
            <w:vAlign w:val="center"/>
          </w:tcPr>
          <w:p w14:paraId="256AFA8B">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w:t>
            </w:r>
          </w:p>
        </w:tc>
        <w:tc>
          <w:tcPr>
            <w:tcW w:w="2100" w:type="dxa"/>
            <w:noWrap w:val="0"/>
            <w:vAlign w:val="center"/>
          </w:tcPr>
          <w:p w14:paraId="2BE0FD86">
            <w:pPr>
              <w:pStyle w:val="28"/>
              <w:spacing w:line="240" w:lineRule="auto"/>
              <w:ind w:firstLine="0" w:firstLineChars="0"/>
              <w:jc w:val="center"/>
              <w:rPr>
                <w:color w:val="auto"/>
                <w:sz w:val="21"/>
                <w:szCs w:val="21"/>
                <w:highlight w:val="none"/>
              </w:rPr>
            </w:pPr>
            <w:r>
              <w:rPr>
                <w:rFonts w:hint="eastAsia"/>
                <w:color w:val="auto"/>
                <w:sz w:val="21"/>
                <w:szCs w:val="21"/>
                <w:highlight w:val="none"/>
              </w:rPr>
              <w:t>分布范围、种群数量、种群结构、行为</w:t>
            </w:r>
          </w:p>
        </w:tc>
        <w:tc>
          <w:tcPr>
            <w:tcW w:w="2126" w:type="dxa"/>
            <w:noWrap w:val="0"/>
            <w:vAlign w:val="center"/>
          </w:tcPr>
          <w:p w14:paraId="59BF84A2">
            <w:pPr>
              <w:pStyle w:val="28"/>
              <w:spacing w:line="240" w:lineRule="auto"/>
              <w:ind w:firstLine="0" w:firstLineChars="0"/>
              <w:jc w:val="center"/>
              <w:rPr>
                <w:color w:val="auto"/>
                <w:sz w:val="21"/>
                <w:szCs w:val="21"/>
                <w:highlight w:val="none"/>
              </w:rPr>
            </w:pPr>
            <w:r>
              <w:rPr>
                <w:rFonts w:hint="eastAsia"/>
                <w:color w:val="auto"/>
                <w:sz w:val="21"/>
                <w:szCs w:val="21"/>
                <w:highlight w:val="none"/>
              </w:rPr>
              <w:t>土石方施工等施工建设内容/间接</w:t>
            </w:r>
          </w:p>
        </w:tc>
        <w:tc>
          <w:tcPr>
            <w:tcW w:w="1276" w:type="dxa"/>
            <w:noWrap w:val="0"/>
            <w:vAlign w:val="center"/>
          </w:tcPr>
          <w:p w14:paraId="488FC603">
            <w:pPr>
              <w:pStyle w:val="28"/>
              <w:spacing w:line="240" w:lineRule="auto"/>
              <w:ind w:firstLine="0" w:firstLineChars="0"/>
              <w:jc w:val="center"/>
              <w:rPr>
                <w:color w:val="auto"/>
                <w:sz w:val="21"/>
                <w:szCs w:val="21"/>
                <w:highlight w:val="none"/>
              </w:rPr>
            </w:pPr>
            <w:r>
              <w:rPr>
                <w:rFonts w:hint="eastAsia"/>
                <w:color w:val="auto"/>
                <w:sz w:val="21"/>
                <w:szCs w:val="21"/>
                <w:highlight w:val="none"/>
              </w:rPr>
              <w:t>短期可逆</w:t>
            </w:r>
          </w:p>
        </w:tc>
        <w:tc>
          <w:tcPr>
            <w:tcW w:w="1184" w:type="dxa"/>
            <w:noWrap w:val="0"/>
            <w:vAlign w:val="center"/>
          </w:tcPr>
          <w:p w14:paraId="24FAD04C">
            <w:pPr>
              <w:pStyle w:val="28"/>
              <w:spacing w:line="240" w:lineRule="auto"/>
              <w:ind w:firstLine="0" w:firstLineChars="0"/>
              <w:jc w:val="center"/>
              <w:rPr>
                <w:color w:val="auto"/>
                <w:sz w:val="21"/>
                <w:szCs w:val="21"/>
                <w:highlight w:val="none"/>
              </w:rPr>
            </w:pPr>
            <w:r>
              <w:rPr>
                <w:rFonts w:hint="eastAsia"/>
                <w:color w:val="auto"/>
                <w:sz w:val="21"/>
                <w:szCs w:val="21"/>
                <w:highlight w:val="none"/>
              </w:rPr>
              <w:t>弱</w:t>
            </w:r>
          </w:p>
        </w:tc>
      </w:tr>
      <w:tr w14:paraId="08B69A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609B4233">
            <w:pPr>
              <w:pStyle w:val="28"/>
              <w:spacing w:line="240" w:lineRule="auto"/>
              <w:ind w:firstLine="0" w:firstLineChars="0"/>
              <w:jc w:val="center"/>
              <w:rPr>
                <w:color w:val="auto"/>
                <w:sz w:val="21"/>
                <w:szCs w:val="21"/>
                <w:highlight w:val="none"/>
              </w:rPr>
            </w:pPr>
          </w:p>
        </w:tc>
        <w:tc>
          <w:tcPr>
            <w:tcW w:w="1187" w:type="dxa"/>
            <w:noWrap w:val="0"/>
            <w:vAlign w:val="center"/>
          </w:tcPr>
          <w:p w14:paraId="65A1A30D">
            <w:pPr>
              <w:pStyle w:val="28"/>
              <w:spacing w:line="240" w:lineRule="auto"/>
              <w:ind w:firstLine="0" w:firstLineChars="0"/>
              <w:jc w:val="center"/>
              <w:rPr>
                <w:color w:val="auto"/>
                <w:sz w:val="21"/>
                <w:szCs w:val="21"/>
                <w:highlight w:val="none"/>
              </w:rPr>
            </w:pPr>
            <w:r>
              <w:rPr>
                <w:rFonts w:hint="eastAsia"/>
                <w:color w:val="auto"/>
                <w:sz w:val="21"/>
                <w:szCs w:val="21"/>
                <w:highlight w:val="none"/>
              </w:rPr>
              <w:t>生境</w:t>
            </w:r>
          </w:p>
        </w:tc>
        <w:tc>
          <w:tcPr>
            <w:tcW w:w="2100" w:type="dxa"/>
            <w:noWrap w:val="0"/>
            <w:vAlign w:val="center"/>
          </w:tcPr>
          <w:p w14:paraId="40F465DE">
            <w:pPr>
              <w:pStyle w:val="28"/>
              <w:spacing w:line="240" w:lineRule="auto"/>
              <w:ind w:firstLine="0" w:firstLineChars="0"/>
              <w:jc w:val="center"/>
              <w:rPr>
                <w:color w:val="auto"/>
                <w:sz w:val="21"/>
                <w:szCs w:val="21"/>
                <w:highlight w:val="none"/>
              </w:rPr>
            </w:pPr>
            <w:r>
              <w:rPr>
                <w:rFonts w:hint="eastAsia"/>
                <w:color w:val="auto"/>
                <w:sz w:val="21"/>
                <w:szCs w:val="21"/>
                <w:highlight w:val="none"/>
              </w:rPr>
              <w:t>生境面积、质量、连通性等</w:t>
            </w:r>
          </w:p>
        </w:tc>
        <w:tc>
          <w:tcPr>
            <w:tcW w:w="2126" w:type="dxa"/>
            <w:noWrap w:val="0"/>
            <w:vAlign w:val="center"/>
          </w:tcPr>
          <w:p w14:paraId="03E4DF92">
            <w:pPr>
              <w:pStyle w:val="28"/>
              <w:spacing w:line="240" w:lineRule="auto"/>
              <w:ind w:firstLine="0" w:firstLineChars="0"/>
              <w:jc w:val="center"/>
              <w:rPr>
                <w:color w:val="auto"/>
                <w:sz w:val="21"/>
                <w:szCs w:val="21"/>
                <w:highlight w:val="none"/>
              </w:rPr>
            </w:pPr>
            <w:r>
              <w:rPr>
                <w:rFonts w:hint="eastAsia"/>
                <w:color w:val="auto"/>
                <w:sz w:val="21"/>
                <w:szCs w:val="21"/>
                <w:highlight w:val="none"/>
              </w:rPr>
              <w:t>土石方施工等施工建设内容/间接</w:t>
            </w:r>
          </w:p>
        </w:tc>
        <w:tc>
          <w:tcPr>
            <w:tcW w:w="1276" w:type="dxa"/>
            <w:noWrap w:val="0"/>
            <w:vAlign w:val="center"/>
          </w:tcPr>
          <w:p w14:paraId="732EBF84">
            <w:pPr>
              <w:pStyle w:val="28"/>
              <w:spacing w:line="240" w:lineRule="auto"/>
              <w:ind w:firstLine="0" w:firstLineChars="0"/>
              <w:jc w:val="center"/>
              <w:rPr>
                <w:color w:val="auto"/>
                <w:sz w:val="21"/>
                <w:szCs w:val="21"/>
                <w:highlight w:val="none"/>
              </w:rPr>
            </w:pPr>
            <w:r>
              <w:rPr>
                <w:rFonts w:hint="eastAsia"/>
                <w:color w:val="auto"/>
                <w:sz w:val="21"/>
                <w:szCs w:val="21"/>
                <w:highlight w:val="none"/>
              </w:rPr>
              <w:t>短期可逆</w:t>
            </w:r>
          </w:p>
        </w:tc>
        <w:tc>
          <w:tcPr>
            <w:tcW w:w="1184" w:type="dxa"/>
            <w:noWrap w:val="0"/>
            <w:vAlign w:val="center"/>
          </w:tcPr>
          <w:p w14:paraId="537D657A">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5EC4E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2B20E44A">
            <w:pPr>
              <w:pStyle w:val="28"/>
              <w:spacing w:line="240" w:lineRule="auto"/>
              <w:ind w:firstLine="0" w:firstLineChars="0"/>
              <w:jc w:val="center"/>
              <w:rPr>
                <w:color w:val="auto"/>
                <w:sz w:val="21"/>
                <w:szCs w:val="21"/>
                <w:highlight w:val="none"/>
              </w:rPr>
            </w:pPr>
          </w:p>
        </w:tc>
        <w:tc>
          <w:tcPr>
            <w:tcW w:w="1187" w:type="dxa"/>
            <w:noWrap w:val="0"/>
            <w:vAlign w:val="center"/>
          </w:tcPr>
          <w:p w14:paraId="571FCA40">
            <w:pPr>
              <w:pStyle w:val="28"/>
              <w:spacing w:line="240" w:lineRule="auto"/>
              <w:ind w:firstLine="0" w:firstLineChars="0"/>
              <w:jc w:val="center"/>
              <w:rPr>
                <w:color w:val="auto"/>
                <w:sz w:val="21"/>
                <w:szCs w:val="21"/>
                <w:highlight w:val="none"/>
              </w:rPr>
            </w:pPr>
            <w:r>
              <w:rPr>
                <w:rFonts w:hint="eastAsia"/>
                <w:color w:val="auto"/>
                <w:sz w:val="21"/>
                <w:szCs w:val="21"/>
                <w:highlight w:val="none"/>
              </w:rPr>
              <w:t>生物群落</w:t>
            </w:r>
          </w:p>
        </w:tc>
        <w:tc>
          <w:tcPr>
            <w:tcW w:w="2100" w:type="dxa"/>
            <w:noWrap w:val="0"/>
            <w:vAlign w:val="center"/>
          </w:tcPr>
          <w:p w14:paraId="34C00160">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物种组成、群落结构</w:t>
            </w:r>
          </w:p>
        </w:tc>
        <w:tc>
          <w:tcPr>
            <w:tcW w:w="2126" w:type="dxa"/>
            <w:noWrap w:val="0"/>
            <w:vAlign w:val="center"/>
          </w:tcPr>
          <w:p w14:paraId="722D03E7">
            <w:pPr>
              <w:pStyle w:val="28"/>
              <w:spacing w:line="240" w:lineRule="auto"/>
              <w:ind w:firstLine="0" w:firstLineChars="0"/>
              <w:jc w:val="center"/>
              <w:rPr>
                <w:color w:val="auto"/>
                <w:sz w:val="21"/>
                <w:szCs w:val="21"/>
                <w:highlight w:val="none"/>
              </w:rPr>
            </w:pPr>
            <w:r>
              <w:rPr>
                <w:rFonts w:hint="eastAsia"/>
                <w:color w:val="auto"/>
                <w:sz w:val="21"/>
                <w:szCs w:val="21"/>
                <w:highlight w:val="none"/>
              </w:rPr>
              <w:t>土石方施工等施工建设内容/间接</w:t>
            </w:r>
          </w:p>
        </w:tc>
        <w:tc>
          <w:tcPr>
            <w:tcW w:w="1276" w:type="dxa"/>
            <w:noWrap w:val="0"/>
            <w:vAlign w:val="center"/>
          </w:tcPr>
          <w:p w14:paraId="65263716">
            <w:pPr>
              <w:pStyle w:val="28"/>
              <w:spacing w:line="240" w:lineRule="auto"/>
              <w:ind w:firstLine="0" w:firstLineChars="0"/>
              <w:jc w:val="center"/>
              <w:rPr>
                <w:color w:val="auto"/>
                <w:sz w:val="21"/>
                <w:szCs w:val="21"/>
                <w:highlight w:val="none"/>
              </w:rPr>
            </w:pPr>
            <w:r>
              <w:rPr>
                <w:rFonts w:hint="eastAsia"/>
                <w:color w:val="auto"/>
                <w:sz w:val="21"/>
                <w:szCs w:val="21"/>
                <w:highlight w:val="none"/>
              </w:rPr>
              <w:t>短期可逆</w:t>
            </w:r>
          </w:p>
        </w:tc>
        <w:tc>
          <w:tcPr>
            <w:tcW w:w="1184" w:type="dxa"/>
            <w:noWrap w:val="0"/>
            <w:vAlign w:val="center"/>
          </w:tcPr>
          <w:p w14:paraId="699F5A74">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486D5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204B2DBA">
            <w:pPr>
              <w:pStyle w:val="28"/>
              <w:spacing w:line="240" w:lineRule="auto"/>
              <w:ind w:firstLine="0" w:firstLineChars="0"/>
              <w:jc w:val="center"/>
              <w:rPr>
                <w:color w:val="auto"/>
                <w:sz w:val="21"/>
                <w:szCs w:val="21"/>
                <w:highlight w:val="none"/>
              </w:rPr>
            </w:pPr>
          </w:p>
        </w:tc>
        <w:tc>
          <w:tcPr>
            <w:tcW w:w="1187" w:type="dxa"/>
            <w:noWrap w:val="0"/>
            <w:vAlign w:val="center"/>
          </w:tcPr>
          <w:p w14:paraId="363849E6">
            <w:pPr>
              <w:pStyle w:val="28"/>
              <w:spacing w:line="240" w:lineRule="auto"/>
              <w:ind w:firstLine="0" w:firstLineChars="0"/>
              <w:jc w:val="center"/>
              <w:rPr>
                <w:color w:val="auto"/>
                <w:sz w:val="21"/>
                <w:szCs w:val="21"/>
                <w:highlight w:val="none"/>
              </w:rPr>
            </w:pPr>
            <w:r>
              <w:rPr>
                <w:rFonts w:hint="eastAsia"/>
                <w:color w:val="auto"/>
                <w:sz w:val="21"/>
                <w:szCs w:val="21"/>
                <w:highlight w:val="none"/>
              </w:rPr>
              <w:t>生态系统</w:t>
            </w:r>
          </w:p>
        </w:tc>
        <w:tc>
          <w:tcPr>
            <w:tcW w:w="2100" w:type="dxa"/>
            <w:noWrap w:val="0"/>
            <w:vAlign w:val="center"/>
          </w:tcPr>
          <w:p w14:paraId="5BA88120">
            <w:pPr>
              <w:pStyle w:val="28"/>
              <w:spacing w:line="240" w:lineRule="auto"/>
              <w:ind w:firstLine="0" w:firstLineChars="0"/>
              <w:jc w:val="center"/>
              <w:rPr>
                <w:color w:val="auto"/>
                <w:sz w:val="21"/>
                <w:szCs w:val="21"/>
                <w:highlight w:val="none"/>
              </w:rPr>
            </w:pPr>
            <w:r>
              <w:rPr>
                <w:rFonts w:hint="eastAsia"/>
                <w:color w:val="auto"/>
                <w:sz w:val="21"/>
                <w:szCs w:val="21"/>
                <w:highlight w:val="none"/>
              </w:rPr>
              <w:t>植被覆盖度、生产力、生物量、生态系统功能</w:t>
            </w:r>
          </w:p>
        </w:tc>
        <w:tc>
          <w:tcPr>
            <w:tcW w:w="2126" w:type="dxa"/>
            <w:noWrap w:val="0"/>
            <w:vAlign w:val="center"/>
          </w:tcPr>
          <w:p w14:paraId="2864DD7D">
            <w:pPr>
              <w:pStyle w:val="28"/>
              <w:spacing w:line="240" w:lineRule="auto"/>
              <w:ind w:firstLine="0" w:firstLineChars="0"/>
              <w:jc w:val="center"/>
              <w:rPr>
                <w:color w:val="auto"/>
                <w:sz w:val="21"/>
                <w:szCs w:val="21"/>
                <w:highlight w:val="none"/>
              </w:rPr>
            </w:pPr>
            <w:r>
              <w:rPr>
                <w:rFonts w:hint="eastAsia"/>
                <w:color w:val="auto"/>
                <w:sz w:val="21"/>
                <w:szCs w:val="21"/>
                <w:highlight w:val="none"/>
              </w:rPr>
              <w:t>土石方施工等施工建设内容/间接</w:t>
            </w:r>
          </w:p>
        </w:tc>
        <w:tc>
          <w:tcPr>
            <w:tcW w:w="1276" w:type="dxa"/>
            <w:noWrap w:val="0"/>
            <w:vAlign w:val="center"/>
          </w:tcPr>
          <w:p w14:paraId="3E1A1385">
            <w:pPr>
              <w:pStyle w:val="28"/>
              <w:spacing w:line="240" w:lineRule="auto"/>
              <w:ind w:firstLine="0" w:firstLineChars="0"/>
              <w:jc w:val="center"/>
              <w:rPr>
                <w:color w:val="auto"/>
                <w:sz w:val="21"/>
                <w:szCs w:val="21"/>
                <w:highlight w:val="none"/>
              </w:rPr>
            </w:pPr>
            <w:r>
              <w:rPr>
                <w:rFonts w:hint="eastAsia"/>
                <w:color w:val="auto"/>
                <w:sz w:val="21"/>
                <w:szCs w:val="21"/>
                <w:highlight w:val="none"/>
              </w:rPr>
              <w:t>短期可逆</w:t>
            </w:r>
          </w:p>
        </w:tc>
        <w:tc>
          <w:tcPr>
            <w:tcW w:w="1184" w:type="dxa"/>
            <w:noWrap w:val="0"/>
            <w:vAlign w:val="center"/>
          </w:tcPr>
          <w:p w14:paraId="6B783153">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6A5C09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4B4FC955">
            <w:pPr>
              <w:pStyle w:val="28"/>
              <w:spacing w:line="240" w:lineRule="auto"/>
              <w:ind w:firstLine="0" w:firstLineChars="0"/>
              <w:jc w:val="center"/>
              <w:rPr>
                <w:color w:val="auto"/>
                <w:sz w:val="21"/>
                <w:szCs w:val="21"/>
                <w:highlight w:val="none"/>
              </w:rPr>
            </w:pPr>
          </w:p>
        </w:tc>
        <w:tc>
          <w:tcPr>
            <w:tcW w:w="1187" w:type="dxa"/>
            <w:noWrap w:val="0"/>
            <w:vAlign w:val="center"/>
          </w:tcPr>
          <w:p w14:paraId="2B76B650">
            <w:pPr>
              <w:pStyle w:val="28"/>
              <w:spacing w:line="240" w:lineRule="auto"/>
              <w:ind w:firstLine="0" w:firstLineChars="0"/>
              <w:jc w:val="center"/>
              <w:rPr>
                <w:color w:val="auto"/>
                <w:sz w:val="21"/>
                <w:szCs w:val="21"/>
                <w:highlight w:val="none"/>
              </w:rPr>
            </w:pPr>
            <w:r>
              <w:rPr>
                <w:rFonts w:hint="eastAsia"/>
                <w:color w:val="auto"/>
                <w:sz w:val="21"/>
                <w:szCs w:val="21"/>
                <w:highlight w:val="none"/>
              </w:rPr>
              <w:t>生物多样性</w:t>
            </w:r>
          </w:p>
        </w:tc>
        <w:tc>
          <w:tcPr>
            <w:tcW w:w="2100" w:type="dxa"/>
            <w:noWrap w:val="0"/>
            <w:vAlign w:val="center"/>
          </w:tcPr>
          <w:p w14:paraId="624BBE2B">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物种丰富度、均匀度、优势度</w:t>
            </w:r>
          </w:p>
        </w:tc>
        <w:tc>
          <w:tcPr>
            <w:tcW w:w="2126" w:type="dxa"/>
            <w:noWrap w:val="0"/>
            <w:vAlign w:val="center"/>
          </w:tcPr>
          <w:p w14:paraId="7219C491">
            <w:pPr>
              <w:pStyle w:val="28"/>
              <w:spacing w:line="240" w:lineRule="auto"/>
              <w:ind w:firstLine="0" w:firstLineChars="0"/>
              <w:jc w:val="center"/>
              <w:rPr>
                <w:color w:val="auto"/>
                <w:sz w:val="21"/>
                <w:szCs w:val="21"/>
                <w:highlight w:val="none"/>
              </w:rPr>
            </w:pPr>
            <w:r>
              <w:rPr>
                <w:rFonts w:hint="eastAsia"/>
                <w:color w:val="auto"/>
                <w:sz w:val="21"/>
                <w:szCs w:val="21"/>
                <w:highlight w:val="none"/>
              </w:rPr>
              <w:t>土石方施工等施工建设内容/间接</w:t>
            </w:r>
          </w:p>
        </w:tc>
        <w:tc>
          <w:tcPr>
            <w:tcW w:w="1276" w:type="dxa"/>
            <w:noWrap w:val="0"/>
            <w:vAlign w:val="center"/>
          </w:tcPr>
          <w:p w14:paraId="6106D8CD">
            <w:pPr>
              <w:pStyle w:val="28"/>
              <w:spacing w:line="240" w:lineRule="auto"/>
              <w:ind w:firstLine="0" w:firstLineChars="0"/>
              <w:jc w:val="center"/>
              <w:rPr>
                <w:color w:val="auto"/>
                <w:sz w:val="21"/>
                <w:szCs w:val="21"/>
                <w:highlight w:val="none"/>
              </w:rPr>
            </w:pPr>
            <w:r>
              <w:rPr>
                <w:rFonts w:hint="eastAsia"/>
                <w:color w:val="auto"/>
                <w:sz w:val="21"/>
                <w:szCs w:val="21"/>
                <w:highlight w:val="none"/>
              </w:rPr>
              <w:t>短期可逆</w:t>
            </w:r>
          </w:p>
        </w:tc>
        <w:tc>
          <w:tcPr>
            <w:tcW w:w="1184" w:type="dxa"/>
            <w:noWrap w:val="0"/>
            <w:vAlign w:val="center"/>
          </w:tcPr>
          <w:p w14:paraId="56C3A8DE">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29482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restart"/>
            <w:noWrap w:val="0"/>
            <w:vAlign w:val="center"/>
          </w:tcPr>
          <w:p w14:paraId="140174C2">
            <w:pPr>
              <w:pStyle w:val="28"/>
              <w:spacing w:line="240" w:lineRule="auto"/>
              <w:ind w:firstLine="0" w:firstLineChars="0"/>
              <w:jc w:val="center"/>
              <w:rPr>
                <w:color w:val="auto"/>
                <w:sz w:val="21"/>
                <w:szCs w:val="21"/>
                <w:highlight w:val="none"/>
              </w:rPr>
            </w:pPr>
            <w:r>
              <w:rPr>
                <w:rFonts w:hint="eastAsia"/>
                <w:color w:val="auto"/>
                <w:sz w:val="21"/>
                <w:szCs w:val="21"/>
                <w:highlight w:val="none"/>
              </w:rPr>
              <w:t>运营期</w:t>
            </w:r>
          </w:p>
        </w:tc>
        <w:tc>
          <w:tcPr>
            <w:tcW w:w="1187" w:type="dxa"/>
            <w:noWrap w:val="0"/>
            <w:vAlign w:val="center"/>
          </w:tcPr>
          <w:p w14:paraId="59AD994C">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w:t>
            </w:r>
          </w:p>
        </w:tc>
        <w:tc>
          <w:tcPr>
            <w:tcW w:w="2100" w:type="dxa"/>
            <w:noWrap w:val="0"/>
            <w:vAlign w:val="center"/>
          </w:tcPr>
          <w:p w14:paraId="5DB62AF0">
            <w:pPr>
              <w:pStyle w:val="28"/>
              <w:spacing w:line="240" w:lineRule="auto"/>
              <w:ind w:firstLine="0" w:firstLineChars="0"/>
              <w:jc w:val="center"/>
              <w:rPr>
                <w:color w:val="auto"/>
                <w:sz w:val="21"/>
                <w:szCs w:val="21"/>
                <w:highlight w:val="none"/>
              </w:rPr>
            </w:pPr>
            <w:r>
              <w:rPr>
                <w:rFonts w:hint="eastAsia"/>
                <w:color w:val="auto"/>
                <w:sz w:val="21"/>
                <w:szCs w:val="21"/>
                <w:highlight w:val="none"/>
              </w:rPr>
              <w:t>分布范围、种群数量、种群结构、行为</w:t>
            </w:r>
          </w:p>
        </w:tc>
        <w:tc>
          <w:tcPr>
            <w:tcW w:w="2126" w:type="dxa"/>
            <w:noWrap w:val="0"/>
            <w:vAlign w:val="center"/>
          </w:tcPr>
          <w:p w14:paraId="0BBE5987">
            <w:pPr>
              <w:pStyle w:val="28"/>
              <w:spacing w:line="240" w:lineRule="auto"/>
              <w:ind w:firstLine="0" w:firstLineChars="0"/>
              <w:jc w:val="center"/>
              <w:rPr>
                <w:color w:val="auto"/>
                <w:sz w:val="21"/>
                <w:szCs w:val="21"/>
                <w:highlight w:val="none"/>
              </w:rPr>
            </w:pPr>
            <w:r>
              <w:rPr>
                <w:rFonts w:hint="eastAsia"/>
                <w:color w:val="auto"/>
                <w:sz w:val="21"/>
                <w:szCs w:val="21"/>
                <w:highlight w:val="none"/>
              </w:rPr>
              <w:t>锅炉废气、噪声/间接</w:t>
            </w:r>
          </w:p>
        </w:tc>
        <w:tc>
          <w:tcPr>
            <w:tcW w:w="1276" w:type="dxa"/>
            <w:noWrap w:val="0"/>
            <w:vAlign w:val="center"/>
          </w:tcPr>
          <w:p w14:paraId="098E03A0">
            <w:pPr>
              <w:pStyle w:val="28"/>
              <w:spacing w:line="240" w:lineRule="auto"/>
              <w:ind w:firstLine="0" w:firstLineChars="0"/>
              <w:jc w:val="center"/>
              <w:rPr>
                <w:color w:val="auto"/>
                <w:sz w:val="21"/>
                <w:szCs w:val="21"/>
                <w:highlight w:val="none"/>
              </w:rPr>
            </w:pPr>
            <w:r>
              <w:rPr>
                <w:rFonts w:hint="eastAsia"/>
                <w:color w:val="auto"/>
                <w:sz w:val="21"/>
                <w:szCs w:val="21"/>
                <w:highlight w:val="none"/>
              </w:rPr>
              <w:t>长期可逆</w:t>
            </w:r>
          </w:p>
        </w:tc>
        <w:tc>
          <w:tcPr>
            <w:tcW w:w="1184" w:type="dxa"/>
            <w:noWrap w:val="0"/>
            <w:vAlign w:val="center"/>
          </w:tcPr>
          <w:p w14:paraId="29BD08FF">
            <w:pPr>
              <w:pStyle w:val="28"/>
              <w:spacing w:line="240" w:lineRule="auto"/>
              <w:ind w:firstLine="0" w:firstLineChars="0"/>
              <w:jc w:val="center"/>
              <w:rPr>
                <w:color w:val="auto"/>
                <w:sz w:val="21"/>
                <w:szCs w:val="21"/>
                <w:highlight w:val="none"/>
              </w:rPr>
            </w:pPr>
            <w:r>
              <w:rPr>
                <w:rFonts w:hint="eastAsia"/>
                <w:color w:val="auto"/>
                <w:sz w:val="21"/>
                <w:szCs w:val="21"/>
                <w:highlight w:val="none"/>
              </w:rPr>
              <w:t>弱</w:t>
            </w:r>
          </w:p>
        </w:tc>
      </w:tr>
      <w:tr w14:paraId="4EDD0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1F0526B8">
            <w:pPr>
              <w:pStyle w:val="28"/>
              <w:spacing w:line="240" w:lineRule="auto"/>
              <w:ind w:firstLine="0" w:firstLineChars="0"/>
              <w:jc w:val="center"/>
              <w:rPr>
                <w:color w:val="auto"/>
                <w:sz w:val="21"/>
                <w:szCs w:val="21"/>
                <w:highlight w:val="none"/>
              </w:rPr>
            </w:pPr>
          </w:p>
        </w:tc>
        <w:tc>
          <w:tcPr>
            <w:tcW w:w="1187" w:type="dxa"/>
            <w:noWrap w:val="0"/>
            <w:vAlign w:val="center"/>
          </w:tcPr>
          <w:p w14:paraId="0A879CF2">
            <w:pPr>
              <w:pStyle w:val="28"/>
              <w:spacing w:line="240" w:lineRule="auto"/>
              <w:ind w:firstLine="0" w:firstLineChars="0"/>
              <w:jc w:val="center"/>
              <w:rPr>
                <w:color w:val="auto"/>
                <w:sz w:val="21"/>
                <w:szCs w:val="21"/>
                <w:highlight w:val="none"/>
              </w:rPr>
            </w:pPr>
            <w:r>
              <w:rPr>
                <w:rFonts w:hint="eastAsia"/>
                <w:color w:val="auto"/>
                <w:sz w:val="21"/>
                <w:szCs w:val="21"/>
                <w:highlight w:val="none"/>
              </w:rPr>
              <w:t>生境</w:t>
            </w:r>
          </w:p>
        </w:tc>
        <w:tc>
          <w:tcPr>
            <w:tcW w:w="2100" w:type="dxa"/>
            <w:noWrap w:val="0"/>
            <w:vAlign w:val="center"/>
          </w:tcPr>
          <w:p w14:paraId="47A5EF32">
            <w:pPr>
              <w:pStyle w:val="28"/>
              <w:spacing w:line="240" w:lineRule="auto"/>
              <w:ind w:firstLine="0" w:firstLineChars="0"/>
              <w:jc w:val="center"/>
              <w:rPr>
                <w:color w:val="auto"/>
                <w:sz w:val="21"/>
                <w:szCs w:val="21"/>
                <w:highlight w:val="none"/>
              </w:rPr>
            </w:pPr>
            <w:r>
              <w:rPr>
                <w:rFonts w:hint="eastAsia"/>
                <w:color w:val="auto"/>
                <w:sz w:val="21"/>
                <w:szCs w:val="21"/>
                <w:highlight w:val="none"/>
              </w:rPr>
              <w:t>生境面积、质量、连通性等</w:t>
            </w:r>
          </w:p>
        </w:tc>
        <w:tc>
          <w:tcPr>
            <w:tcW w:w="2126" w:type="dxa"/>
            <w:noWrap w:val="0"/>
            <w:vAlign w:val="center"/>
          </w:tcPr>
          <w:p w14:paraId="6E0C4E9B">
            <w:pPr>
              <w:pStyle w:val="28"/>
              <w:spacing w:line="240" w:lineRule="auto"/>
              <w:ind w:firstLine="0" w:firstLineChars="0"/>
              <w:jc w:val="center"/>
              <w:rPr>
                <w:color w:val="auto"/>
                <w:sz w:val="21"/>
                <w:szCs w:val="21"/>
                <w:highlight w:val="none"/>
              </w:rPr>
            </w:pPr>
            <w:r>
              <w:rPr>
                <w:rFonts w:hint="eastAsia"/>
                <w:color w:val="auto"/>
                <w:sz w:val="21"/>
                <w:szCs w:val="21"/>
                <w:highlight w:val="none"/>
              </w:rPr>
              <w:t>锅炉废气、噪声/间接</w:t>
            </w:r>
          </w:p>
        </w:tc>
        <w:tc>
          <w:tcPr>
            <w:tcW w:w="1276" w:type="dxa"/>
            <w:noWrap w:val="0"/>
            <w:vAlign w:val="center"/>
          </w:tcPr>
          <w:p w14:paraId="6CF1017C">
            <w:pPr>
              <w:pStyle w:val="28"/>
              <w:spacing w:line="240" w:lineRule="auto"/>
              <w:ind w:firstLine="0" w:firstLineChars="0"/>
              <w:jc w:val="center"/>
              <w:rPr>
                <w:color w:val="auto"/>
                <w:sz w:val="21"/>
                <w:szCs w:val="21"/>
                <w:highlight w:val="none"/>
              </w:rPr>
            </w:pPr>
            <w:r>
              <w:rPr>
                <w:rFonts w:hint="eastAsia"/>
                <w:color w:val="auto"/>
                <w:sz w:val="21"/>
                <w:szCs w:val="21"/>
                <w:highlight w:val="none"/>
              </w:rPr>
              <w:t>长期可逆</w:t>
            </w:r>
          </w:p>
        </w:tc>
        <w:tc>
          <w:tcPr>
            <w:tcW w:w="1184" w:type="dxa"/>
            <w:noWrap w:val="0"/>
            <w:vAlign w:val="center"/>
          </w:tcPr>
          <w:p w14:paraId="0DDAEA80">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64F2C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361F4C4F">
            <w:pPr>
              <w:pStyle w:val="28"/>
              <w:spacing w:line="240" w:lineRule="auto"/>
              <w:ind w:firstLine="0" w:firstLineChars="0"/>
              <w:jc w:val="center"/>
              <w:rPr>
                <w:color w:val="auto"/>
                <w:sz w:val="21"/>
                <w:szCs w:val="21"/>
                <w:highlight w:val="none"/>
              </w:rPr>
            </w:pPr>
          </w:p>
        </w:tc>
        <w:tc>
          <w:tcPr>
            <w:tcW w:w="1187" w:type="dxa"/>
            <w:noWrap w:val="0"/>
            <w:vAlign w:val="center"/>
          </w:tcPr>
          <w:p w14:paraId="5AFC3323">
            <w:pPr>
              <w:pStyle w:val="28"/>
              <w:spacing w:line="240" w:lineRule="auto"/>
              <w:ind w:firstLine="0" w:firstLineChars="0"/>
              <w:jc w:val="center"/>
              <w:rPr>
                <w:color w:val="auto"/>
                <w:sz w:val="21"/>
                <w:szCs w:val="21"/>
                <w:highlight w:val="none"/>
              </w:rPr>
            </w:pPr>
            <w:r>
              <w:rPr>
                <w:rFonts w:hint="eastAsia"/>
                <w:color w:val="auto"/>
                <w:sz w:val="21"/>
                <w:szCs w:val="21"/>
                <w:highlight w:val="none"/>
              </w:rPr>
              <w:t>生物群落</w:t>
            </w:r>
          </w:p>
        </w:tc>
        <w:tc>
          <w:tcPr>
            <w:tcW w:w="2100" w:type="dxa"/>
            <w:noWrap w:val="0"/>
            <w:vAlign w:val="center"/>
          </w:tcPr>
          <w:p w14:paraId="73EC700F">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物种组成、群落结构</w:t>
            </w:r>
          </w:p>
        </w:tc>
        <w:tc>
          <w:tcPr>
            <w:tcW w:w="2126" w:type="dxa"/>
            <w:noWrap w:val="0"/>
            <w:vAlign w:val="center"/>
          </w:tcPr>
          <w:p w14:paraId="55F2D4CD">
            <w:pPr>
              <w:pStyle w:val="28"/>
              <w:spacing w:line="240" w:lineRule="auto"/>
              <w:ind w:firstLine="0" w:firstLineChars="0"/>
              <w:jc w:val="center"/>
              <w:rPr>
                <w:color w:val="auto"/>
                <w:sz w:val="21"/>
                <w:szCs w:val="21"/>
                <w:highlight w:val="none"/>
              </w:rPr>
            </w:pPr>
            <w:r>
              <w:rPr>
                <w:rFonts w:hint="eastAsia"/>
                <w:color w:val="auto"/>
                <w:sz w:val="21"/>
                <w:szCs w:val="21"/>
                <w:highlight w:val="none"/>
              </w:rPr>
              <w:t>锅炉废气、噪声/间接</w:t>
            </w:r>
          </w:p>
        </w:tc>
        <w:tc>
          <w:tcPr>
            <w:tcW w:w="1276" w:type="dxa"/>
            <w:noWrap w:val="0"/>
            <w:vAlign w:val="center"/>
          </w:tcPr>
          <w:p w14:paraId="788519DA">
            <w:pPr>
              <w:pStyle w:val="28"/>
              <w:spacing w:line="240" w:lineRule="auto"/>
              <w:ind w:firstLine="0" w:firstLineChars="0"/>
              <w:jc w:val="center"/>
              <w:rPr>
                <w:color w:val="auto"/>
                <w:sz w:val="21"/>
                <w:szCs w:val="21"/>
                <w:highlight w:val="none"/>
              </w:rPr>
            </w:pPr>
            <w:r>
              <w:rPr>
                <w:rFonts w:hint="eastAsia"/>
                <w:color w:val="auto"/>
                <w:sz w:val="21"/>
                <w:szCs w:val="21"/>
                <w:highlight w:val="none"/>
              </w:rPr>
              <w:t>长期可逆</w:t>
            </w:r>
          </w:p>
        </w:tc>
        <w:tc>
          <w:tcPr>
            <w:tcW w:w="1184" w:type="dxa"/>
            <w:noWrap w:val="0"/>
            <w:vAlign w:val="center"/>
          </w:tcPr>
          <w:p w14:paraId="2F34A193">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2BDE26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1A5B1CB4">
            <w:pPr>
              <w:pStyle w:val="28"/>
              <w:spacing w:line="240" w:lineRule="auto"/>
              <w:ind w:firstLine="0" w:firstLineChars="0"/>
              <w:jc w:val="center"/>
              <w:rPr>
                <w:color w:val="auto"/>
                <w:sz w:val="21"/>
                <w:szCs w:val="21"/>
                <w:highlight w:val="none"/>
              </w:rPr>
            </w:pPr>
          </w:p>
        </w:tc>
        <w:tc>
          <w:tcPr>
            <w:tcW w:w="1187" w:type="dxa"/>
            <w:noWrap w:val="0"/>
            <w:vAlign w:val="center"/>
          </w:tcPr>
          <w:p w14:paraId="0DBCBB29">
            <w:pPr>
              <w:pStyle w:val="28"/>
              <w:spacing w:line="240" w:lineRule="auto"/>
              <w:ind w:firstLine="0" w:firstLineChars="0"/>
              <w:jc w:val="center"/>
              <w:rPr>
                <w:color w:val="auto"/>
                <w:sz w:val="21"/>
                <w:szCs w:val="21"/>
                <w:highlight w:val="none"/>
              </w:rPr>
            </w:pPr>
            <w:r>
              <w:rPr>
                <w:rFonts w:hint="eastAsia"/>
                <w:color w:val="auto"/>
                <w:sz w:val="21"/>
                <w:szCs w:val="21"/>
                <w:highlight w:val="none"/>
              </w:rPr>
              <w:t>生态系统</w:t>
            </w:r>
          </w:p>
        </w:tc>
        <w:tc>
          <w:tcPr>
            <w:tcW w:w="2100" w:type="dxa"/>
            <w:noWrap w:val="0"/>
            <w:vAlign w:val="center"/>
          </w:tcPr>
          <w:p w14:paraId="27398F14">
            <w:pPr>
              <w:pStyle w:val="28"/>
              <w:spacing w:line="240" w:lineRule="auto"/>
              <w:ind w:firstLine="0" w:firstLineChars="0"/>
              <w:jc w:val="center"/>
              <w:rPr>
                <w:color w:val="auto"/>
                <w:sz w:val="21"/>
                <w:szCs w:val="21"/>
                <w:highlight w:val="none"/>
              </w:rPr>
            </w:pPr>
            <w:r>
              <w:rPr>
                <w:rFonts w:hint="eastAsia"/>
                <w:color w:val="auto"/>
                <w:sz w:val="21"/>
                <w:szCs w:val="21"/>
                <w:highlight w:val="none"/>
              </w:rPr>
              <w:t>植被覆盖度、生产力、生物量、生态系统功能</w:t>
            </w:r>
          </w:p>
        </w:tc>
        <w:tc>
          <w:tcPr>
            <w:tcW w:w="2126" w:type="dxa"/>
            <w:noWrap w:val="0"/>
            <w:vAlign w:val="center"/>
          </w:tcPr>
          <w:p w14:paraId="15CC4C70">
            <w:pPr>
              <w:pStyle w:val="28"/>
              <w:spacing w:line="240" w:lineRule="auto"/>
              <w:ind w:firstLine="0" w:firstLineChars="0"/>
              <w:jc w:val="center"/>
              <w:rPr>
                <w:color w:val="auto"/>
                <w:sz w:val="21"/>
                <w:szCs w:val="21"/>
                <w:highlight w:val="none"/>
              </w:rPr>
            </w:pPr>
            <w:r>
              <w:rPr>
                <w:rFonts w:hint="eastAsia"/>
                <w:color w:val="auto"/>
                <w:sz w:val="21"/>
                <w:szCs w:val="21"/>
                <w:highlight w:val="none"/>
              </w:rPr>
              <w:t>锅炉废气、噪声/间接</w:t>
            </w:r>
          </w:p>
        </w:tc>
        <w:tc>
          <w:tcPr>
            <w:tcW w:w="1276" w:type="dxa"/>
            <w:noWrap w:val="0"/>
            <w:vAlign w:val="center"/>
          </w:tcPr>
          <w:p w14:paraId="1F79A8B9">
            <w:pPr>
              <w:pStyle w:val="28"/>
              <w:spacing w:line="240" w:lineRule="auto"/>
              <w:ind w:firstLine="0" w:firstLineChars="0"/>
              <w:jc w:val="center"/>
              <w:rPr>
                <w:color w:val="auto"/>
                <w:sz w:val="21"/>
                <w:szCs w:val="21"/>
                <w:highlight w:val="none"/>
              </w:rPr>
            </w:pPr>
            <w:r>
              <w:rPr>
                <w:rFonts w:hint="eastAsia"/>
                <w:color w:val="auto"/>
                <w:sz w:val="21"/>
                <w:szCs w:val="21"/>
                <w:highlight w:val="none"/>
              </w:rPr>
              <w:t>长期可逆</w:t>
            </w:r>
          </w:p>
        </w:tc>
        <w:tc>
          <w:tcPr>
            <w:tcW w:w="1184" w:type="dxa"/>
            <w:noWrap w:val="0"/>
            <w:vAlign w:val="center"/>
          </w:tcPr>
          <w:p w14:paraId="1502F4C8">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r w14:paraId="6611BE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dxa"/>
            <w:vMerge w:val="continue"/>
            <w:noWrap w:val="0"/>
            <w:vAlign w:val="center"/>
          </w:tcPr>
          <w:p w14:paraId="14A2267C">
            <w:pPr>
              <w:pStyle w:val="28"/>
              <w:spacing w:line="240" w:lineRule="auto"/>
              <w:ind w:firstLine="0" w:firstLineChars="0"/>
              <w:jc w:val="center"/>
              <w:rPr>
                <w:color w:val="auto"/>
                <w:sz w:val="21"/>
                <w:szCs w:val="21"/>
                <w:highlight w:val="none"/>
              </w:rPr>
            </w:pPr>
          </w:p>
        </w:tc>
        <w:tc>
          <w:tcPr>
            <w:tcW w:w="1187" w:type="dxa"/>
            <w:noWrap w:val="0"/>
            <w:vAlign w:val="center"/>
          </w:tcPr>
          <w:p w14:paraId="1AED44FF">
            <w:pPr>
              <w:pStyle w:val="28"/>
              <w:spacing w:line="240" w:lineRule="auto"/>
              <w:ind w:firstLine="0" w:firstLineChars="0"/>
              <w:jc w:val="center"/>
              <w:rPr>
                <w:color w:val="auto"/>
                <w:sz w:val="21"/>
                <w:szCs w:val="21"/>
                <w:highlight w:val="none"/>
              </w:rPr>
            </w:pPr>
            <w:r>
              <w:rPr>
                <w:rFonts w:hint="eastAsia"/>
                <w:color w:val="auto"/>
                <w:sz w:val="21"/>
                <w:szCs w:val="21"/>
                <w:highlight w:val="none"/>
              </w:rPr>
              <w:t>生物多样性</w:t>
            </w:r>
          </w:p>
        </w:tc>
        <w:tc>
          <w:tcPr>
            <w:tcW w:w="2100" w:type="dxa"/>
            <w:noWrap w:val="0"/>
            <w:vAlign w:val="center"/>
          </w:tcPr>
          <w:p w14:paraId="6CB0EEB3">
            <w:pPr>
              <w:pStyle w:val="28"/>
              <w:spacing w:line="240" w:lineRule="auto"/>
              <w:ind w:firstLine="0" w:firstLineChars="0"/>
              <w:jc w:val="center"/>
              <w:rPr>
                <w:color w:val="auto"/>
                <w:sz w:val="21"/>
                <w:szCs w:val="21"/>
                <w:highlight w:val="none"/>
              </w:rPr>
            </w:pPr>
            <w:r>
              <w:rPr>
                <w:rFonts w:hint="eastAsia"/>
                <w:color w:val="auto"/>
                <w:sz w:val="21"/>
                <w:szCs w:val="21"/>
                <w:highlight w:val="none"/>
              </w:rPr>
              <w:t>物种丰富度、均匀度、优势度</w:t>
            </w:r>
          </w:p>
        </w:tc>
        <w:tc>
          <w:tcPr>
            <w:tcW w:w="2126" w:type="dxa"/>
            <w:noWrap w:val="0"/>
            <w:vAlign w:val="center"/>
          </w:tcPr>
          <w:p w14:paraId="0444CFCE">
            <w:pPr>
              <w:pStyle w:val="28"/>
              <w:spacing w:line="240" w:lineRule="auto"/>
              <w:ind w:firstLine="0" w:firstLineChars="0"/>
              <w:jc w:val="center"/>
              <w:rPr>
                <w:color w:val="auto"/>
                <w:sz w:val="21"/>
                <w:szCs w:val="21"/>
                <w:highlight w:val="none"/>
              </w:rPr>
            </w:pPr>
            <w:r>
              <w:rPr>
                <w:rFonts w:hint="eastAsia"/>
                <w:color w:val="auto"/>
                <w:sz w:val="21"/>
                <w:szCs w:val="21"/>
                <w:highlight w:val="none"/>
              </w:rPr>
              <w:t>锅炉废气、噪声/间接</w:t>
            </w:r>
          </w:p>
        </w:tc>
        <w:tc>
          <w:tcPr>
            <w:tcW w:w="1276" w:type="dxa"/>
            <w:noWrap w:val="0"/>
            <w:vAlign w:val="center"/>
          </w:tcPr>
          <w:p w14:paraId="1B4031B8">
            <w:pPr>
              <w:pStyle w:val="28"/>
              <w:spacing w:line="240" w:lineRule="auto"/>
              <w:ind w:firstLine="0" w:firstLineChars="0"/>
              <w:jc w:val="center"/>
              <w:rPr>
                <w:color w:val="auto"/>
                <w:sz w:val="21"/>
                <w:szCs w:val="21"/>
                <w:highlight w:val="none"/>
              </w:rPr>
            </w:pPr>
            <w:r>
              <w:rPr>
                <w:rFonts w:hint="eastAsia"/>
                <w:color w:val="auto"/>
                <w:sz w:val="21"/>
                <w:szCs w:val="21"/>
                <w:highlight w:val="none"/>
              </w:rPr>
              <w:t>长期可逆</w:t>
            </w:r>
          </w:p>
        </w:tc>
        <w:tc>
          <w:tcPr>
            <w:tcW w:w="1184" w:type="dxa"/>
            <w:noWrap w:val="0"/>
            <w:vAlign w:val="center"/>
          </w:tcPr>
          <w:p w14:paraId="2A987EED">
            <w:pPr>
              <w:pStyle w:val="28"/>
              <w:spacing w:line="240" w:lineRule="auto"/>
              <w:ind w:firstLine="0" w:firstLineChars="0"/>
              <w:jc w:val="center"/>
              <w:rPr>
                <w:color w:val="auto"/>
                <w:sz w:val="21"/>
                <w:szCs w:val="21"/>
                <w:highlight w:val="none"/>
              </w:rPr>
            </w:pPr>
            <w:r>
              <w:rPr>
                <w:rFonts w:hint="eastAsia"/>
                <w:color w:val="auto"/>
                <w:sz w:val="21"/>
                <w:szCs w:val="21"/>
                <w:highlight w:val="none"/>
              </w:rPr>
              <w:t>无</w:t>
            </w:r>
          </w:p>
        </w:tc>
      </w:tr>
    </w:tbl>
    <w:p w14:paraId="7D06B7C6">
      <w:pPr>
        <w:pStyle w:val="5"/>
        <w:bidi w:val="0"/>
        <w:ind w:left="0" w:leftChars="0" w:firstLine="0" w:firstLineChars="0"/>
        <w:rPr>
          <w:rFonts w:hint="eastAsia"/>
          <w:sz w:val="30"/>
          <w:szCs w:val="30"/>
          <w:highlight w:val="none"/>
          <w:lang w:val="en-US" w:eastAsia="zh-CN"/>
        </w:rPr>
      </w:pPr>
      <w:bookmarkStart w:id="43" w:name="_Toc13255"/>
      <w:r>
        <w:rPr>
          <w:rFonts w:hint="default" w:ascii="Times New Roman" w:hAnsi="Times New Roman" w:cs="Times New Roman"/>
          <w:sz w:val="30"/>
          <w:szCs w:val="30"/>
          <w:highlight w:val="none"/>
          <w:lang w:val="en-US" w:eastAsia="zh-CN"/>
        </w:rPr>
        <w:t>2.3.3</w:t>
      </w:r>
      <w:r>
        <w:rPr>
          <w:rFonts w:hint="eastAsia"/>
          <w:sz w:val="30"/>
          <w:szCs w:val="30"/>
          <w:highlight w:val="none"/>
          <w:lang w:val="en-US" w:eastAsia="zh-CN"/>
        </w:rPr>
        <w:t>环境功能划分</w:t>
      </w:r>
      <w:bookmarkEnd w:id="43"/>
    </w:p>
    <w:p w14:paraId="1A969E03">
      <w:pPr>
        <w:pStyle w:val="26"/>
        <w:rPr>
          <w:rFonts w:ascii="Times New Roman" w:hAnsi="Times New Roman"/>
          <w:color w:val="auto"/>
          <w:highlight w:val="none"/>
        </w:rPr>
      </w:pPr>
      <w:r>
        <w:rPr>
          <w:rFonts w:ascii="Times New Roman" w:hAnsi="Times New Roman"/>
          <w:color w:val="auto"/>
          <w:highlight w:val="none"/>
        </w:rPr>
        <w:t>本项目环境功能区划见表2.3-</w:t>
      </w:r>
      <w:r>
        <w:rPr>
          <w:rFonts w:hint="eastAsia" w:ascii="Times New Roman" w:hAnsi="Times New Roman"/>
          <w:color w:val="auto"/>
          <w:highlight w:val="none"/>
        </w:rPr>
        <w:t>4</w:t>
      </w:r>
      <w:r>
        <w:rPr>
          <w:rFonts w:ascii="Times New Roman" w:hAnsi="Times New Roman"/>
          <w:color w:val="auto"/>
          <w:highlight w:val="none"/>
        </w:rPr>
        <w:t>。</w:t>
      </w:r>
    </w:p>
    <w:p w14:paraId="21054BA4">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 2.3-</w:t>
      </w:r>
      <w:r>
        <w:rPr>
          <w:rFonts w:hint="eastAsia" w:ascii="Times New Roman" w:hAnsi="Times New Roman" w:eastAsia="黑体" w:cs="Times New Roman"/>
          <w:color w:val="auto"/>
          <w:spacing w:val="0"/>
          <w:kern w:val="2"/>
          <w:sz w:val="24"/>
          <w:szCs w:val="24"/>
          <w:highlight w:val="none"/>
          <w:lang w:val="en-US" w:eastAsia="zh-CN" w:bidi="ar-SA"/>
        </w:rPr>
        <w:t>4</w:t>
      </w:r>
      <w:r>
        <w:rPr>
          <w:rFonts w:hint="default" w:ascii="Times New Roman" w:hAnsi="Times New Roman" w:eastAsia="黑体" w:cs="Times New Roman"/>
          <w:color w:val="auto"/>
          <w:spacing w:val="0"/>
          <w:kern w:val="2"/>
          <w:sz w:val="24"/>
          <w:szCs w:val="24"/>
          <w:highlight w:val="none"/>
          <w:lang w:val="en-US" w:eastAsia="zh-CN" w:bidi="ar-SA"/>
        </w:rPr>
        <w:t>环境功能区划一览表</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989"/>
        <w:gridCol w:w="1613"/>
        <w:gridCol w:w="1200"/>
        <w:gridCol w:w="3995"/>
      </w:tblGrid>
      <w:tr w14:paraId="5DC4F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425" w:type="pct"/>
            <w:noWrap w:val="0"/>
            <w:vAlign w:val="center"/>
          </w:tcPr>
          <w:p w14:paraId="7C49878A">
            <w:pPr>
              <w:pStyle w:val="27"/>
              <w:rPr>
                <w:rFonts w:ascii="Times New Roman" w:hAnsi="Times New Roman"/>
                <w:color w:val="auto"/>
                <w:highlight w:val="none"/>
              </w:rPr>
            </w:pPr>
            <w:r>
              <w:rPr>
                <w:rFonts w:ascii="Times New Roman" w:hAnsi="Times New Roman"/>
                <w:color w:val="auto"/>
                <w:highlight w:val="none"/>
              </w:rPr>
              <w:t>序号</w:t>
            </w:r>
          </w:p>
        </w:tc>
        <w:tc>
          <w:tcPr>
            <w:tcW w:w="580" w:type="pct"/>
            <w:noWrap w:val="0"/>
            <w:vAlign w:val="center"/>
          </w:tcPr>
          <w:p w14:paraId="67AA65E6">
            <w:pPr>
              <w:pStyle w:val="27"/>
              <w:rPr>
                <w:rFonts w:ascii="Times New Roman" w:hAnsi="Times New Roman"/>
                <w:color w:val="auto"/>
                <w:highlight w:val="none"/>
              </w:rPr>
            </w:pPr>
            <w:r>
              <w:rPr>
                <w:rFonts w:ascii="Times New Roman" w:hAnsi="Times New Roman"/>
                <w:color w:val="auto"/>
                <w:highlight w:val="none"/>
              </w:rPr>
              <w:t>环境要素</w:t>
            </w:r>
          </w:p>
        </w:tc>
        <w:tc>
          <w:tcPr>
            <w:tcW w:w="946" w:type="pct"/>
            <w:noWrap w:val="0"/>
            <w:vAlign w:val="center"/>
          </w:tcPr>
          <w:p w14:paraId="6526C2C8">
            <w:pPr>
              <w:pStyle w:val="27"/>
              <w:rPr>
                <w:rFonts w:ascii="Times New Roman" w:hAnsi="Times New Roman"/>
                <w:color w:val="auto"/>
                <w:highlight w:val="none"/>
              </w:rPr>
            </w:pPr>
            <w:r>
              <w:rPr>
                <w:rFonts w:ascii="Times New Roman" w:hAnsi="Times New Roman"/>
                <w:color w:val="auto"/>
                <w:highlight w:val="none"/>
              </w:rPr>
              <w:t>所属区域</w:t>
            </w:r>
          </w:p>
        </w:tc>
        <w:tc>
          <w:tcPr>
            <w:tcW w:w="704" w:type="pct"/>
            <w:noWrap w:val="0"/>
            <w:vAlign w:val="center"/>
          </w:tcPr>
          <w:p w14:paraId="0C800E64">
            <w:pPr>
              <w:pStyle w:val="27"/>
              <w:rPr>
                <w:rFonts w:ascii="Times New Roman" w:hAnsi="Times New Roman"/>
                <w:color w:val="auto"/>
                <w:highlight w:val="none"/>
              </w:rPr>
            </w:pPr>
            <w:r>
              <w:rPr>
                <w:rFonts w:ascii="Times New Roman" w:hAnsi="Times New Roman"/>
                <w:color w:val="auto"/>
                <w:highlight w:val="none"/>
              </w:rPr>
              <w:t>功能区划</w:t>
            </w:r>
          </w:p>
        </w:tc>
        <w:tc>
          <w:tcPr>
            <w:tcW w:w="2343" w:type="pct"/>
            <w:noWrap w:val="0"/>
            <w:vAlign w:val="center"/>
          </w:tcPr>
          <w:p w14:paraId="482E9F21">
            <w:pPr>
              <w:pStyle w:val="27"/>
              <w:rPr>
                <w:rFonts w:ascii="Times New Roman" w:hAnsi="Times New Roman"/>
                <w:color w:val="auto"/>
                <w:highlight w:val="none"/>
              </w:rPr>
            </w:pPr>
            <w:r>
              <w:rPr>
                <w:rFonts w:ascii="Times New Roman" w:hAnsi="Times New Roman"/>
                <w:color w:val="auto"/>
                <w:highlight w:val="none"/>
              </w:rPr>
              <w:t>划分依据</w:t>
            </w:r>
          </w:p>
        </w:tc>
      </w:tr>
      <w:tr w14:paraId="068AC5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noWrap w:val="0"/>
            <w:vAlign w:val="center"/>
          </w:tcPr>
          <w:p w14:paraId="6D20C7F6">
            <w:pPr>
              <w:pStyle w:val="27"/>
              <w:rPr>
                <w:rFonts w:ascii="Times New Roman" w:hAnsi="Times New Roman"/>
                <w:color w:val="auto"/>
                <w:highlight w:val="none"/>
              </w:rPr>
            </w:pPr>
            <w:r>
              <w:rPr>
                <w:rFonts w:ascii="Times New Roman" w:hAnsi="Times New Roman"/>
                <w:color w:val="auto"/>
                <w:highlight w:val="none"/>
              </w:rPr>
              <w:t>1</w:t>
            </w:r>
          </w:p>
        </w:tc>
        <w:tc>
          <w:tcPr>
            <w:tcW w:w="580" w:type="pct"/>
            <w:noWrap w:val="0"/>
            <w:vAlign w:val="center"/>
          </w:tcPr>
          <w:p w14:paraId="384C3595">
            <w:pPr>
              <w:pStyle w:val="27"/>
              <w:rPr>
                <w:rFonts w:ascii="Times New Roman" w:hAnsi="Times New Roman"/>
                <w:color w:val="auto"/>
                <w:highlight w:val="none"/>
              </w:rPr>
            </w:pPr>
            <w:r>
              <w:rPr>
                <w:rFonts w:ascii="Times New Roman" w:hAnsi="Times New Roman"/>
                <w:color w:val="auto"/>
                <w:highlight w:val="none"/>
              </w:rPr>
              <w:t>环境空气</w:t>
            </w:r>
          </w:p>
        </w:tc>
        <w:tc>
          <w:tcPr>
            <w:tcW w:w="946" w:type="pct"/>
            <w:noWrap w:val="0"/>
            <w:vAlign w:val="center"/>
          </w:tcPr>
          <w:p w14:paraId="31CB6C05">
            <w:pPr>
              <w:pStyle w:val="27"/>
              <w:rPr>
                <w:rFonts w:ascii="Times New Roman" w:hAnsi="Times New Roman"/>
                <w:color w:val="auto"/>
                <w:highlight w:val="none"/>
              </w:rPr>
            </w:pPr>
            <w:r>
              <w:rPr>
                <w:rFonts w:hint="eastAsia" w:ascii="Times New Roman" w:hAnsi="Times New Roman"/>
                <w:color w:val="auto"/>
                <w:highlight w:val="none"/>
                <w:lang w:val="en-US" w:eastAsia="zh-CN"/>
              </w:rPr>
              <w:t>牡丹江市绥芬河市</w:t>
            </w:r>
          </w:p>
        </w:tc>
        <w:tc>
          <w:tcPr>
            <w:tcW w:w="704" w:type="pct"/>
            <w:noWrap w:val="0"/>
            <w:vAlign w:val="center"/>
          </w:tcPr>
          <w:p w14:paraId="68D1794A">
            <w:pPr>
              <w:pStyle w:val="27"/>
              <w:rPr>
                <w:rFonts w:ascii="Times New Roman" w:hAnsi="Times New Roman"/>
                <w:color w:val="auto"/>
                <w:highlight w:val="none"/>
              </w:rPr>
            </w:pPr>
            <w:r>
              <w:rPr>
                <w:rFonts w:ascii="Times New Roman" w:hAnsi="Times New Roman"/>
                <w:color w:val="auto"/>
                <w:highlight w:val="none"/>
              </w:rPr>
              <w:t>二类区</w:t>
            </w:r>
          </w:p>
        </w:tc>
        <w:tc>
          <w:tcPr>
            <w:tcW w:w="2343" w:type="pct"/>
            <w:noWrap w:val="0"/>
            <w:vAlign w:val="center"/>
          </w:tcPr>
          <w:p w14:paraId="1381866B">
            <w:pPr>
              <w:pStyle w:val="27"/>
              <w:rPr>
                <w:rFonts w:ascii="Times New Roman" w:hAnsi="Times New Roman"/>
                <w:color w:val="auto"/>
                <w:highlight w:val="none"/>
              </w:rPr>
            </w:pPr>
            <w:r>
              <w:rPr>
                <w:rFonts w:ascii="Times New Roman" w:hAnsi="Times New Roman"/>
                <w:color w:val="auto"/>
                <w:highlight w:val="none"/>
              </w:rPr>
              <w:t>《环境空气质量标准》（GB3095-2012）</w:t>
            </w:r>
          </w:p>
        </w:tc>
      </w:tr>
      <w:tr w14:paraId="56DDC2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noWrap w:val="0"/>
            <w:vAlign w:val="center"/>
          </w:tcPr>
          <w:p w14:paraId="66FD93AA">
            <w:pPr>
              <w:pStyle w:val="27"/>
              <w:rPr>
                <w:rFonts w:ascii="Times New Roman" w:hAnsi="Times New Roman"/>
                <w:color w:val="auto"/>
                <w:highlight w:val="none"/>
              </w:rPr>
            </w:pPr>
            <w:r>
              <w:rPr>
                <w:rFonts w:ascii="Times New Roman" w:hAnsi="Times New Roman"/>
                <w:color w:val="auto"/>
                <w:highlight w:val="none"/>
              </w:rPr>
              <w:t>2</w:t>
            </w:r>
          </w:p>
        </w:tc>
        <w:tc>
          <w:tcPr>
            <w:tcW w:w="580" w:type="pct"/>
            <w:noWrap w:val="0"/>
            <w:vAlign w:val="center"/>
          </w:tcPr>
          <w:p w14:paraId="118D93BD">
            <w:pPr>
              <w:pStyle w:val="27"/>
              <w:rPr>
                <w:rFonts w:ascii="Times New Roman" w:hAnsi="Times New Roman"/>
                <w:color w:val="auto"/>
                <w:highlight w:val="none"/>
              </w:rPr>
            </w:pPr>
            <w:r>
              <w:rPr>
                <w:rFonts w:ascii="Times New Roman" w:hAnsi="Times New Roman"/>
                <w:color w:val="auto"/>
                <w:highlight w:val="none"/>
              </w:rPr>
              <w:t>地表水</w:t>
            </w:r>
          </w:p>
        </w:tc>
        <w:tc>
          <w:tcPr>
            <w:tcW w:w="946" w:type="pct"/>
            <w:noWrap w:val="0"/>
            <w:vAlign w:val="center"/>
          </w:tcPr>
          <w:p w14:paraId="05EDE5B8">
            <w:pPr>
              <w:pStyle w:val="27"/>
              <w:rPr>
                <w:rFonts w:hint="eastAsia" w:ascii="Times New Roman" w:hAnsi="Times New Roman" w:eastAsia="新宋体"/>
                <w:color w:val="auto"/>
                <w:highlight w:val="none"/>
                <w:lang w:eastAsia="zh-CN"/>
              </w:rPr>
            </w:pPr>
            <w:r>
              <w:rPr>
                <w:rFonts w:hint="eastAsia" w:ascii="Times New Roman" w:hAnsi="Times New Roman"/>
                <w:color w:val="auto"/>
                <w:highlight w:val="none"/>
                <w:lang w:val="en-US" w:eastAsia="zh-CN"/>
              </w:rPr>
              <w:t>绥芬河</w:t>
            </w:r>
          </w:p>
        </w:tc>
        <w:tc>
          <w:tcPr>
            <w:tcW w:w="704" w:type="pct"/>
            <w:noWrap w:val="0"/>
            <w:vAlign w:val="center"/>
          </w:tcPr>
          <w:p w14:paraId="20DE0E22">
            <w:pPr>
              <w:pStyle w:val="27"/>
              <w:rPr>
                <w:rFonts w:ascii="Times New Roman" w:hAnsi="Times New Roman"/>
                <w:color w:val="auto"/>
                <w:highlight w:val="none"/>
              </w:rPr>
            </w:pPr>
            <w:r>
              <w:rPr>
                <w:rFonts w:hint="eastAsia" w:ascii="宋体" w:hAnsi="宋体" w:eastAsia="宋体" w:cs="宋体"/>
                <w:color w:val="auto"/>
                <w:highlight w:val="none"/>
              </w:rPr>
              <w:t>Ⅲ</w:t>
            </w:r>
            <w:r>
              <w:rPr>
                <w:rFonts w:ascii="Times New Roman" w:hAnsi="Times New Roman"/>
                <w:color w:val="auto"/>
                <w:highlight w:val="none"/>
              </w:rPr>
              <w:t>类</w:t>
            </w:r>
          </w:p>
        </w:tc>
        <w:tc>
          <w:tcPr>
            <w:tcW w:w="2343" w:type="pct"/>
            <w:noWrap w:val="0"/>
            <w:vAlign w:val="center"/>
          </w:tcPr>
          <w:p w14:paraId="1CEFDF49">
            <w:pPr>
              <w:pStyle w:val="27"/>
              <w:rPr>
                <w:rFonts w:hint="eastAsia" w:ascii="Times New Roman" w:hAnsi="Times New Roman" w:eastAsia="新宋体"/>
                <w:color w:val="auto"/>
                <w:highlight w:val="none"/>
                <w:lang w:eastAsia="zh-CN"/>
              </w:rPr>
            </w:pPr>
            <w:r>
              <w:rPr>
                <w:rFonts w:hint="eastAsia" w:ascii="Times New Roman" w:hAnsi="Times New Roman"/>
                <w:color w:val="auto"/>
                <w:highlight w:val="none"/>
                <w:lang w:eastAsia="zh-CN"/>
              </w:rPr>
              <w:t>《全国重要江河湖泊水功能区划》（2011-2030</w:t>
            </w:r>
            <w:r>
              <w:rPr>
                <w:rFonts w:hint="eastAsia" w:ascii="Times New Roman" w:hAnsi="Times New Roman"/>
                <w:color w:val="auto"/>
                <w:highlight w:val="none"/>
                <w:lang w:val="en-US" w:eastAsia="zh-CN"/>
              </w:rPr>
              <w:t>年</w:t>
            </w:r>
            <w:r>
              <w:rPr>
                <w:rFonts w:hint="eastAsia" w:ascii="Times New Roman" w:hAnsi="Times New Roman"/>
                <w:color w:val="auto"/>
                <w:highlight w:val="none"/>
                <w:lang w:eastAsia="zh-CN"/>
              </w:rPr>
              <w:t>）</w:t>
            </w:r>
          </w:p>
        </w:tc>
      </w:tr>
      <w:tr w14:paraId="5E465D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noWrap w:val="0"/>
            <w:vAlign w:val="center"/>
          </w:tcPr>
          <w:p w14:paraId="2C297C88">
            <w:pPr>
              <w:pStyle w:val="27"/>
              <w:rPr>
                <w:rFonts w:ascii="Times New Roman" w:hAnsi="Times New Roman"/>
                <w:color w:val="auto"/>
                <w:highlight w:val="none"/>
              </w:rPr>
            </w:pPr>
            <w:r>
              <w:rPr>
                <w:rFonts w:ascii="Times New Roman" w:hAnsi="Times New Roman"/>
                <w:color w:val="auto"/>
                <w:highlight w:val="none"/>
              </w:rPr>
              <w:t>3</w:t>
            </w:r>
          </w:p>
        </w:tc>
        <w:tc>
          <w:tcPr>
            <w:tcW w:w="580" w:type="pct"/>
            <w:noWrap w:val="0"/>
            <w:vAlign w:val="center"/>
          </w:tcPr>
          <w:p w14:paraId="22A71798">
            <w:pPr>
              <w:pStyle w:val="27"/>
              <w:rPr>
                <w:rFonts w:ascii="Times New Roman" w:hAnsi="Times New Roman"/>
                <w:color w:val="auto"/>
                <w:highlight w:val="none"/>
              </w:rPr>
            </w:pPr>
            <w:r>
              <w:rPr>
                <w:rFonts w:ascii="Times New Roman" w:hAnsi="Times New Roman"/>
                <w:color w:val="auto"/>
                <w:highlight w:val="none"/>
              </w:rPr>
              <w:t>地下水</w:t>
            </w:r>
          </w:p>
        </w:tc>
        <w:tc>
          <w:tcPr>
            <w:tcW w:w="946" w:type="pct"/>
            <w:noWrap w:val="0"/>
            <w:vAlign w:val="center"/>
          </w:tcPr>
          <w:p w14:paraId="19D2DC94">
            <w:pPr>
              <w:pStyle w:val="27"/>
              <w:rPr>
                <w:rFonts w:ascii="Times New Roman" w:hAnsi="Times New Roman"/>
                <w:color w:val="auto"/>
                <w:highlight w:val="none"/>
              </w:rPr>
            </w:pPr>
            <w:r>
              <w:rPr>
                <w:rFonts w:hint="eastAsia" w:ascii="Times New Roman" w:hAnsi="Times New Roman"/>
                <w:color w:val="auto"/>
                <w:highlight w:val="none"/>
                <w:lang w:val="en-US" w:eastAsia="zh-CN"/>
              </w:rPr>
              <w:t>牡丹江市绥芬河市</w:t>
            </w:r>
          </w:p>
        </w:tc>
        <w:tc>
          <w:tcPr>
            <w:tcW w:w="704" w:type="pct"/>
            <w:noWrap w:val="0"/>
            <w:vAlign w:val="center"/>
          </w:tcPr>
          <w:p w14:paraId="701DE06B">
            <w:pPr>
              <w:pStyle w:val="27"/>
              <w:rPr>
                <w:rFonts w:ascii="Times New Roman" w:hAnsi="Times New Roman"/>
                <w:color w:val="auto"/>
                <w:highlight w:val="none"/>
              </w:rPr>
            </w:pPr>
            <w:r>
              <w:rPr>
                <w:rFonts w:hint="eastAsia" w:ascii="宋体" w:hAnsi="宋体" w:eastAsia="宋体" w:cs="宋体"/>
                <w:color w:val="auto"/>
                <w:highlight w:val="none"/>
              </w:rPr>
              <w:t>Ⅲ</w:t>
            </w:r>
            <w:r>
              <w:rPr>
                <w:rFonts w:ascii="Times New Roman" w:hAnsi="Times New Roman"/>
                <w:color w:val="auto"/>
                <w:highlight w:val="none"/>
              </w:rPr>
              <w:t>类</w:t>
            </w:r>
          </w:p>
        </w:tc>
        <w:tc>
          <w:tcPr>
            <w:tcW w:w="2343" w:type="pct"/>
            <w:noWrap w:val="0"/>
            <w:vAlign w:val="center"/>
          </w:tcPr>
          <w:p w14:paraId="53C09A52">
            <w:pPr>
              <w:pStyle w:val="27"/>
              <w:jc w:val="center"/>
              <w:rPr>
                <w:rFonts w:ascii="Times New Roman" w:hAnsi="Times New Roman"/>
                <w:color w:val="auto"/>
                <w:highlight w:val="none"/>
              </w:rPr>
            </w:pPr>
            <w:r>
              <w:rPr>
                <w:rFonts w:ascii="Times New Roman" w:hAnsi="Times New Roman"/>
                <w:color w:val="auto"/>
                <w:highlight w:val="none"/>
              </w:rPr>
              <w:t>《地下水质量标准》（GB/T14848-2017）</w:t>
            </w:r>
          </w:p>
        </w:tc>
      </w:tr>
      <w:tr w14:paraId="44C24B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vMerge w:val="restart"/>
            <w:noWrap w:val="0"/>
            <w:vAlign w:val="center"/>
          </w:tcPr>
          <w:p w14:paraId="77DC438E">
            <w:pPr>
              <w:pStyle w:val="27"/>
              <w:rPr>
                <w:rFonts w:ascii="Times New Roman" w:hAnsi="Times New Roman"/>
                <w:color w:val="auto"/>
                <w:highlight w:val="none"/>
              </w:rPr>
            </w:pPr>
            <w:r>
              <w:rPr>
                <w:rFonts w:ascii="Times New Roman" w:hAnsi="Times New Roman"/>
                <w:color w:val="auto"/>
                <w:highlight w:val="none"/>
              </w:rPr>
              <w:t>4</w:t>
            </w:r>
          </w:p>
        </w:tc>
        <w:tc>
          <w:tcPr>
            <w:tcW w:w="580" w:type="pct"/>
            <w:vMerge w:val="restart"/>
            <w:noWrap w:val="0"/>
            <w:vAlign w:val="center"/>
          </w:tcPr>
          <w:p w14:paraId="7CC57DE1">
            <w:pPr>
              <w:pStyle w:val="27"/>
              <w:rPr>
                <w:rFonts w:ascii="Times New Roman" w:hAnsi="Times New Roman"/>
                <w:color w:val="auto"/>
                <w:highlight w:val="none"/>
              </w:rPr>
            </w:pPr>
            <w:r>
              <w:rPr>
                <w:rFonts w:ascii="Times New Roman" w:hAnsi="Times New Roman"/>
                <w:color w:val="auto"/>
                <w:highlight w:val="none"/>
              </w:rPr>
              <w:t>噪声</w:t>
            </w:r>
          </w:p>
        </w:tc>
        <w:tc>
          <w:tcPr>
            <w:tcW w:w="946" w:type="pct"/>
            <w:vMerge w:val="restart"/>
            <w:noWrap w:val="0"/>
            <w:vAlign w:val="center"/>
          </w:tcPr>
          <w:p w14:paraId="5EBAC600">
            <w:pPr>
              <w:pStyle w:val="27"/>
              <w:rPr>
                <w:rFonts w:ascii="Times New Roman" w:hAnsi="Times New Roman"/>
                <w:color w:val="auto"/>
                <w:highlight w:val="none"/>
              </w:rPr>
            </w:pPr>
            <w:r>
              <w:rPr>
                <w:rFonts w:hint="eastAsia" w:ascii="Times New Roman" w:hAnsi="Times New Roman"/>
                <w:color w:val="auto"/>
                <w:highlight w:val="none"/>
                <w:lang w:val="en-US" w:eastAsia="zh-CN"/>
              </w:rPr>
              <w:t>牡丹江市绥芬河市</w:t>
            </w:r>
          </w:p>
        </w:tc>
        <w:tc>
          <w:tcPr>
            <w:tcW w:w="704" w:type="pct"/>
            <w:vMerge w:val="restart"/>
            <w:noWrap w:val="0"/>
            <w:vAlign w:val="center"/>
          </w:tcPr>
          <w:p w14:paraId="13D2FDFD">
            <w:pPr>
              <w:pStyle w:val="27"/>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2类</w:t>
            </w:r>
          </w:p>
        </w:tc>
        <w:tc>
          <w:tcPr>
            <w:tcW w:w="2343" w:type="pct"/>
            <w:noWrap w:val="0"/>
            <w:vAlign w:val="center"/>
          </w:tcPr>
          <w:p w14:paraId="51745A1F">
            <w:pPr>
              <w:pStyle w:val="27"/>
              <w:rPr>
                <w:rFonts w:hint="eastAsia" w:ascii="Times New Roman" w:hAnsi="Times New Roman" w:eastAsia="新宋体"/>
                <w:color w:val="auto"/>
                <w:highlight w:val="none"/>
                <w:lang w:eastAsia="zh-CN"/>
              </w:rPr>
            </w:pPr>
            <w:r>
              <w:rPr>
                <w:rFonts w:hint="eastAsia" w:ascii="Times New Roman" w:hAnsi="Times New Roman"/>
                <w:color w:val="auto"/>
                <w:highlight w:val="none"/>
                <w:lang w:val="en-US" w:eastAsia="zh-CN"/>
              </w:rPr>
              <w:t>《2024年黑龙江省生态环境质量状况》</w:t>
            </w:r>
          </w:p>
        </w:tc>
      </w:tr>
      <w:tr w14:paraId="5E18A4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vMerge w:val="continue"/>
            <w:noWrap w:val="0"/>
            <w:vAlign w:val="center"/>
          </w:tcPr>
          <w:p w14:paraId="59D12A10">
            <w:pPr>
              <w:pStyle w:val="27"/>
              <w:rPr>
                <w:rFonts w:ascii="Times New Roman" w:hAnsi="Times New Roman"/>
                <w:color w:val="auto"/>
                <w:highlight w:val="none"/>
              </w:rPr>
            </w:pPr>
          </w:p>
        </w:tc>
        <w:tc>
          <w:tcPr>
            <w:tcW w:w="580" w:type="pct"/>
            <w:vMerge w:val="continue"/>
            <w:noWrap w:val="0"/>
            <w:vAlign w:val="center"/>
          </w:tcPr>
          <w:p w14:paraId="73A97E62">
            <w:pPr>
              <w:pStyle w:val="27"/>
              <w:rPr>
                <w:rFonts w:ascii="Times New Roman" w:hAnsi="Times New Roman"/>
                <w:color w:val="auto"/>
                <w:highlight w:val="none"/>
              </w:rPr>
            </w:pPr>
          </w:p>
        </w:tc>
        <w:tc>
          <w:tcPr>
            <w:tcW w:w="946" w:type="pct"/>
            <w:vMerge w:val="continue"/>
            <w:noWrap w:val="0"/>
            <w:vAlign w:val="center"/>
          </w:tcPr>
          <w:p w14:paraId="472725EE">
            <w:pPr>
              <w:pStyle w:val="27"/>
              <w:rPr>
                <w:rFonts w:ascii="Times New Roman" w:hAnsi="Times New Roman"/>
                <w:color w:val="auto"/>
                <w:highlight w:val="none"/>
              </w:rPr>
            </w:pPr>
          </w:p>
        </w:tc>
        <w:tc>
          <w:tcPr>
            <w:tcW w:w="704" w:type="pct"/>
            <w:vMerge w:val="continue"/>
            <w:noWrap w:val="0"/>
            <w:vAlign w:val="center"/>
          </w:tcPr>
          <w:p w14:paraId="1042313A">
            <w:pPr>
              <w:pStyle w:val="27"/>
              <w:rPr>
                <w:rFonts w:hint="default" w:ascii="Times New Roman" w:hAnsi="Times New Roman"/>
                <w:color w:val="auto"/>
                <w:highlight w:val="none"/>
                <w:lang w:val="en-US" w:eastAsia="zh-CN"/>
              </w:rPr>
            </w:pPr>
          </w:p>
        </w:tc>
        <w:tc>
          <w:tcPr>
            <w:tcW w:w="2343" w:type="pct"/>
            <w:noWrap w:val="0"/>
            <w:vAlign w:val="center"/>
          </w:tcPr>
          <w:p w14:paraId="3A54FB69">
            <w:pPr>
              <w:pStyle w:val="27"/>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《声环境质量标准》（GB3096-2008）</w:t>
            </w:r>
          </w:p>
        </w:tc>
      </w:tr>
      <w:tr w14:paraId="4FFE7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25" w:type="pct"/>
            <w:noWrap w:val="0"/>
            <w:vAlign w:val="center"/>
          </w:tcPr>
          <w:p w14:paraId="088F5EB7">
            <w:pPr>
              <w:pStyle w:val="27"/>
              <w:rPr>
                <w:rFonts w:hint="eastAsia" w:ascii="Times New Roman" w:hAnsi="Times New Roman" w:eastAsia="新宋体"/>
                <w:color w:val="auto"/>
                <w:highlight w:val="none"/>
                <w:lang w:val="en-US" w:eastAsia="zh-CN"/>
              </w:rPr>
            </w:pPr>
            <w:r>
              <w:rPr>
                <w:rFonts w:hint="eastAsia" w:ascii="Times New Roman" w:hAnsi="Times New Roman"/>
                <w:color w:val="auto"/>
                <w:highlight w:val="none"/>
                <w:lang w:val="en-US" w:eastAsia="zh-CN"/>
              </w:rPr>
              <w:t>5</w:t>
            </w:r>
          </w:p>
        </w:tc>
        <w:tc>
          <w:tcPr>
            <w:tcW w:w="580" w:type="pct"/>
            <w:noWrap w:val="0"/>
            <w:vAlign w:val="center"/>
          </w:tcPr>
          <w:p w14:paraId="61B59871">
            <w:pPr>
              <w:pStyle w:val="27"/>
              <w:rPr>
                <w:rFonts w:hint="eastAsia" w:ascii="Times New Roman" w:hAnsi="Times New Roman" w:eastAsia="新宋体"/>
                <w:color w:val="auto"/>
                <w:highlight w:val="none"/>
                <w:lang w:val="en-US" w:eastAsia="zh-CN"/>
              </w:rPr>
            </w:pPr>
            <w:r>
              <w:rPr>
                <w:rFonts w:hint="eastAsia" w:ascii="Times New Roman" w:hAnsi="Times New Roman"/>
                <w:color w:val="auto"/>
                <w:highlight w:val="none"/>
                <w:lang w:val="en-US" w:eastAsia="zh-CN"/>
              </w:rPr>
              <w:t>土壤</w:t>
            </w:r>
          </w:p>
        </w:tc>
        <w:tc>
          <w:tcPr>
            <w:tcW w:w="946" w:type="pct"/>
            <w:noWrap w:val="0"/>
            <w:vAlign w:val="center"/>
          </w:tcPr>
          <w:p w14:paraId="4EC53AF0">
            <w:pPr>
              <w:pStyle w:val="27"/>
              <w:rPr>
                <w:rFonts w:hint="default" w:ascii="Times New Roman" w:hAnsi="Times New Roman" w:eastAsia="新宋体"/>
                <w:color w:val="auto"/>
                <w:highlight w:val="none"/>
                <w:lang w:val="en-US" w:eastAsia="zh-CN"/>
              </w:rPr>
            </w:pPr>
            <w:r>
              <w:rPr>
                <w:rFonts w:hint="eastAsia" w:ascii="Times New Roman" w:hAnsi="Times New Roman"/>
                <w:color w:val="auto"/>
                <w:highlight w:val="none"/>
                <w:lang w:val="en-US" w:eastAsia="zh-CN"/>
              </w:rPr>
              <w:t>牡丹江市绥芬河市</w:t>
            </w:r>
          </w:p>
        </w:tc>
        <w:tc>
          <w:tcPr>
            <w:tcW w:w="704" w:type="pct"/>
            <w:noWrap w:val="0"/>
            <w:vAlign w:val="center"/>
          </w:tcPr>
          <w:p w14:paraId="4E4A899C">
            <w:pPr>
              <w:pStyle w:val="27"/>
              <w:rPr>
                <w:rFonts w:hint="default" w:ascii="Times New Roman" w:hAnsi="Times New Roman"/>
                <w:color w:val="auto"/>
                <w:highlight w:val="none"/>
                <w:lang w:val="en-US" w:eastAsia="zh-CN"/>
              </w:rPr>
            </w:pPr>
            <w:r>
              <w:rPr>
                <w:rFonts w:hint="eastAsia" w:ascii="Times New Roman" w:hAnsi="Times New Roman"/>
                <w:color w:val="auto"/>
                <w:highlight w:val="none"/>
                <w:lang w:val="en-US" w:eastAsia="zh-CN"/>
              </w:rPr>
              <w:t>/</w:t>
            </w:r>
          </w:p>
        </w:tc>
        <w:tc>
          <w:tcPr>
            <w:tcW w:w="2343" w:type="pct"/>
            <w:noWrap w:val="0"/>
            <w:vAlign w:val="center"/>
          </w:tcPr>
          <w:p w14:paraId="5984F14E">
            <w:pPr>
              <w:pStyle w:val="27"/>
              <w:rPr>
                <w:rFonts w:hint="eastAsia" w:ascii="Times New Roman" w:hAnsi="Times New Roman"/>
                <w:color w:val="auto"/>
                <w:highlight w:val="none"/>
                <w:lang w:val="en-US" w:eastAsia="zh-CN"/>
              </w:rPr>
            </w:pPr>
            <w:r>
              <w:rPr>
                <w:rFonts w:hint="eastAsia" w:ascii="Times New Roman" w:hAnsi="Times New Roman"/>
                <w:color w:val="auto"/>
                <w:highlight w:val="none"/>
              </w:rPr>
              <w:t>居住区土壤环境执行《土壤环境质量 建设用地土壤污染风险管控标准（试行）》（GB36600-2018）中第一类建设用地风险筛选值；项目厂址土壤环境执行《土壤环境质量 建设用地土壤污染风险管控标准（试行）》（GB36600-2018）中第二类建设用地风险筛选值；农田土壤环境执行《土壤环境质量 农用地土壤污染风险管控标准（试行）》（GB15618-2018）风险筛选值</w:t>
            </w:r>
          </w:p>
        </w:tc>
      </w:tr>
    </w:tbl>
    <w:p w14:paraId="0036D252">
      <w:pPr>
        <w:pStyle w:val="5"/>
        <w:bidi w:val="0"/>
        <w:ind w:left="0" w:leftChars="0" w:firstLine="0" w:firstLineChars="0"/>
        <w:rPr>
          <w:rFonts w:hint="eastAsia"/>
          <w:sz w:val="30"/>
          <w:szCs w:val="30"/>
          <w:highlight w:val="none"/>
          <w:lang w:val="en-US" w:eastAsia="zh-CN"/>
        </w:rPr>
      </w:pPr>
      <w:bookmarkStart w:id="44" w:name="_Toc12349"/>
      <w:r>
        <w:rPr>
          <w:rFonts w:hint="default" w:ascii="Times New Roman" w:hAnsi="Times New Roman" w:cs="Times New Roman"/>
          <w:sz w:val="30"/>
          <w:szCs w:val="30"/>
          <w:highlight w:val="none"/>
          <w:lang w:val="en-US" w:eastAsia="zh-CN"/>
        </w:rPr>
        <w:t>2.3.4</w:t>
      </w:r>
      <w:r>
        <w:rPr>
          <w:rFonts w:hint="eastAsia"/>
          <w:sz w:val="30"/>
          <w:szCs w:val="30"/>
          <w:highlight w:val="none"/>
          <w:lang w:val="en-US" w:eastAsia="zh-CN"/>
        </w:rPr>
        <w:t>评价标准</w:t>
      </w:r>
      <w:bookmarkEnd w:id="44"/>
    </w:p>
    <w:p w14:paraId="23C3D632">
      <w:pPr>
        <w:rPr>
          <w:rFonts w:ascii="Times New Roman" w:hAnsi="Times New Roman"/>
          <w:highlight w:val="none"/>
        </w:rPr>
      </w:pPr>
      <w:r>
        <w:rPr>
          <w:rFonts w:ascii="Times New Roman" w:hAnsi="Times New Roman"/>
          <w:highlight w:val="none"/>
        </w:rPr>
        <w:t>（1）环境质量标准</w:t>
      </w:r>
    </w:p>
    <w:p w14:paraId="66E8BF97">
      <w:pPr>
        <w:ind w:firstLine="480"/>
        <w:rPr>
          <w:rFonts w:ascii="Times New Roman" w:hAnsi="Times New Roman"/>
          <w:highlight w:val="none"/>
        </w:rPr>
      </w:pPr>
      <w:r>
        <w:rPr>
          <w:rFonts w:ascii="Times New Roman" w:hAnsi="Times New Roman"/>
          <w:highlight w:val="none"/>
        </w:rPr>
        <w:t>1、环境空气质量标准</w:t>
      </w:r>
    </w:p>
    <w:p w14:paraId="1C857C61">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eastAsia="黑体" w:cs="Times New Roman"/>
          <w:color w:val="auto"/>
          <w:spacing w:val="0"/>
          <w:sz w:val="24"/>
          <w:szCs w:val="24"/>
          <w:highlight w:val="none"/>
        </w:rPr>
      </w:pPr>
      <w:r>
        <w:rPr>
          <w:rFonts w:hint="default" w:ascii="Times New Roman" w:hAnsi="Times New Roman" w:eastAsia="黑体" w:cs="Times New Roman"/>
          <w:color w:val="auto"/>
          <w:spacing w:val="0"/>
          <w:sz w:val="24"/>
          <w:szCs w:val="24"/>
          <w:highlight w:val="none"/>
        </w:rPr>
        <w:t>表2.3-</w:t>
      </w:r>
      <w:r>
        <w:rPr>
          <w:rFonts w:hint="eastAsia" w:ascii="Times New Roman" w:hAnsi="Times New Roman" w:eastAsia="黑体" w:cs="Times New Roman"/>
          <w:color w:val="auto"/>
          <w:spacing w:val="0"/>
          <w:sz w:val="24"/>
          <w:szCs w:val="24"/>
          <w:highlight w:val="none"/>
        </w:rPr>
        <w:t>5</w:t>
      </w:r>
      <w:r>
        <w:rPr>
          <w:rFonts w:hint="default" w:ascii="Times New Roman" w:hAnsi="Times New Roman" w:eastAsia="黑体" w:cs="Times New Roman"/>
          <w:color w:val="auto"/>
          <w:spacing w:val="0"/>
          <w:sz w:val="24"/>
          <w:szCs w:val="24"/>
          <w:highlight w:val="none"/>
        </w:rPr>
        <w:t>环境空气质量标准  单位：μg/m</w:t>
      </w:r>
      <w:r>
        <w:rPr>
          <w:rFonts w:hint="default" w:ascii="Times New Roman" w:hAnsi="Times New Roman" w:eastAsia="黑体" w:cs="Times New Roman"/>
          <w:color w:val="auto"/>
          <w:spacing w:val="0"/>
          <w:sz w:val="24"/>
          <w:szCs w:val="24"/>
          <w:highlight w:val="none"/>
          <w:vertAlign w:val="superscript"/>
        </w:rPr>
        <w:t>3</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42"/>
        <w:gridCol w:w="1396"/>
        <w:gridCol w:w="2037"/>
        <w:gridCol w:w="1599"/>
        <w:gridCol w:w="2448"/>
      </w:tblGrid>
      <w:tr w14:paraId="0CEE2C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611" w:type="pct"/>
            <w:noWrap w:val="0"/>
            <w:vAlign w:val="center"/>
          </w:tcPr>
          <w:p w14:paraId="255526AA">
            <w:pPr>
              <w:pStyle w:val="27"/>
              <w:rPr>
                <w:rFonts w:ascii="Times New Roman" w:hAnsi="Times New Roman"/>
                <w:highlight w:val="none"/>
              </w:rPr>
            </w:pPr>
            <w:r>
              <w:rPr>
                <w:rFonts w:ascii="Times New Roman" w:hAnsi="Times New Roman"/>
                <w:highlight w:val="none"/>
              </w:rPr>
              <w:t>序号</w:t>
            </w:r>
          </w:p>
        </w:tc>
        <w:tc>
          <w:tcPr>
            <w:tcW w:w="819" w:type="pct"/>
            <w:noWrap w:val="0"/>
            <w:vAlign w:val="center"/>
          </w:tcPr>
          <w:p w14:paraId="18650433">
            <w:pPr>
              <w:pStyle w:val="27"/>
              <w:rPr>
                <w:rFonts w:ascii="Times New Roman" w:hAnsi="Times New Roman"/>
                <w:highlight w:val="none"/>
              </w:rPr>
            </w:pPr>
            <w:r>
              <w:rPr>
                <w:rFonts w:ascii="Times New Roman" w:hAnsi="Times New Roman"/>
                <w:highlight w:val="none"/>
              </w:rPr>
              <w:t>污染物</w:t>
            </w:r>
          </w:p>
        </w:tc>
        <w:tc>
          <w:tcPr>
            <w:tcW w:w="1195" w:type="pct"/>
            <w:noWrap w:val="0"/>
            <w:vAlign w:val="center"/>
          </w:tcPr>
          <w:p w14:paraId="2D664237">
            <w:pPr>
              <w:pStyle w:val="27"/>
              <w:rPr>
                <w:rFonts w:ascii="Times New Roman" w:hAnsi="Times New Roman"/>
                <w:highlight w:val="none"/>
              </w:rPr>
            </w:pPr>
            <w:r>
              <w:rPr>
                <w:rFonts w:ascii="Times New Roman" w:hAnsi="Times New Roman"/>
                <w:highlight w:val="none"/>
              </w:rPr>
              <w:t>取值时间</w:t>
            </w:r>
          </w:p>
        </w:tc>
        <w:tc>
          <w:tcPr>
            <w:tcW w:w="938" w:type="pct"/>
            <w:noWrap w:val="0"/>
            <w:vAlign w:val="center"/>
          </w:tcPr>
          <w:p w14:paraId="0723EA8E">
            <w:pPr>
              <w:pStyle w:val="27"/>
              <w:rPr>
                <w:rFonts w:ascii="Times New Roman" w:hAnsi="Times New Roman"/>
                <w:highlight w:val="none"/>
              </w:rPr>
            </w:pPr>
            <w:r>
              <w:rPr>
                <w:rFonts w:ascii="Times New Roman" w:hAnsi="Times New Roman"/>
                <w:highlight w:val="none"/>
              </w:rPr>
              <w:t>浓度限值</w:t>
            </w:r>
          </w:p>
        </w:tc>
        <w:tc>
          <w:tcPr>
            <w:tcW w:w="1436" w:type="pct"/>
            <w:noWrap w:val="0"/>
            <w:vAlign w:val="center"/>
          </w:tcPr>
          <w:p w14:paraId="35E73206">
            <w:pPr>
              <w:pStyle w:val="27"/>
              <w:rPr>
                <w:rFonts w:ascii="Times New Roman" w:hAnsi="Times New Roman"/>
                <w:highlight w:val="none"/>
              </w:rPr>
            </w:pPr>
            <w:r>
              <w:rPr>
                <w:rFonts w:ascii="Times New Roman" w:hAnsi="Times New Roman"/>
                <w:highlight w:val="none"/>
              </w:rPr>
              <w:t>标准来源</w:t>
            </w:r>
          </w:p>
        </w:tc>
      </w:tr>
      <w:tr w14:paraId="436CDB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noWrap w:val="0"/>
            <w:vAlign w:val="center"/>
          </w:tcPr>
          <w:p w14:paraId="72C90799">
            <w:pPr>
              <w:pStyle w:val="27"/>
              <w:rPr>
                <w:rFonts w:ascii="Times New Roman" w:hAnsi="Times New Roman"/>
                <w:highlight w:val="none"/>
              </w:rPr>
            </w:pPr>
            <w:r>
              <w:rPr>
                <w:rFonts w:ascii="Times New Roman" w:hAnsi="Times New Roman"/>
                <w:highlight w:val="none"/>
              </w:rPr>
              <w:t>1</w:t>
            </w:r>
          </w:p>
        </w:tc>
        <w:tc>
          <w:tcPr>
            <w:tcW w:w="819" w:type="pct"/>
            <w:vMerge w:val="restart"/>
            <w:noWrap w:val="0"/>
            <w:vAlign w:val="center"/>
          </w:tcPr>
          <w:p w14:paraId="0621C8B4">
            <w:pPr>
              <w:pStyle w:val="27"/>
              <w:rPr>
                <w:rFonts w:ascii="Times New Roman" w:hAnsi="Times New Roman"/>
                <w:highlight w:val="none"/>
              </w:rPr>
            </w:pPr>
            <w:r>
              <w:rPr>
                <w:rFonts w:ascii="Times New Roman" w:hAnsi="Times New Roman"/>
                <w:highlight w:val="none"/>
              </w:rPr>
              <w:t>SO</w:t>
            </w:r>
            <w:r>
              <w:rPr>
                <w:rFonts w:ascii="Times New Roman" w:hAnsi="Times New Roman"/>
                <w:highlight w:val="none"/>
                <w:vertAlign w:val="subscript"/>
              </w:rPr>
              <w:t>2</w:t>
            </w:r>
          </w:p>
        </w:tc>
        <w:tc>
          <w:tcPr>
            <w:tcW w:w="1195" w:type="pct"/>
            <w:noWrap w:val="0"/>
            <w:vAlign w:val="center"/>
          </w:tcPr>
          <w:p w14:paraId="40D74581">
            <w:pPr>
              <w:pStyle w:val="27"/>
              <w:rPr>
                <w:rFonts w:ascii="Times New Roman" w:hAnsi="Times New Roman"/>
                <w:highlight w:val="none"/>
              </w:rPr>
            </w:pPr>
            <w:r>
              <w:rPr>
                <w:rFonts w:ascii="Times New Roman" w:hAnsi="Times New Roman"/>
                <w:highlight w:val="none"/>
              </w:rPr>
              <w:t>年平均</w:t>
            </w:r>
          </w:p>
        </w:tc>
        <w:tc>
          <w:tcPr>
            <w:tcW w:w="938" w:type="pct"/>
            <w:noWrap w:val="0"/>
            <w:vAlign w:val="center"/>
          </w:tcPr>
          <w:p w14:paraId="6F7CD635">
            <w:pPr>
              <w:pStyle w:val="27"/>
              <w:rPr>
                <w:rFonts w:ascii="Times New Roman" w:hAnsi="Times New Roman"/>
                <w:highlight w:val="none"/>
              </w:rPr>
            </w:pPr>
            <w:r>
              <w:rPr>
                <w:rFonts w:ascii="Times New Roman" w:hAnsi="Times New Roman"/>
                <w:highlight w:val="none"/>
              </w:rPr>
              <w:t>60</w:t>
            </w:r>
          </w:p>
        </w:tc>
        <w:tc>
          <w:tcPr>
            <w:tcW w:w="1436" w:type="pct"/>
            <w:vMerge w:val="restart"/>
            <w:noWrap w:val="0"/>
            <w:vAlign w:val="center"/>
          </w:tcPr>
          <w:p w14:paraId="0544454F">
            <w:pPr>
              <w:pStyle w:val="27"/>
              <w:rPr>
                <w:rFonts w:ascii="Times New Roman" w:hAnsi="Times New Roman"/>
                <w:highlight w:val="none"/>
              </w:rPr>
            </w:pPr>
            <w:r>
              <w:rPr>
                <w:rFonts w:ascii="Times New Roman" w:hAnsi="Times New Roman"/>
                <w:highlight w:val="none"/>
              </w:rPr>
              <w:t>《环境空气质量标准》</w:t>
            </w:r>
          </w:p>
          <w:p w14:paraId="08D5F8B9">
            <w:pPr>
              <w:pStyle w:val="27"/>
              <w:rPr>
                <w:rFonts w:ascii="Times New Roman" w:hAnsi="Times New Roman"/>
                <w:highlight w:val="none"/>
              </w:rPr>
            </w:pPr>
            <w:r>
              <w:rPr>
                <w:rFonts w:ascii="Times New Roman" w:hAnsi="Times New Roman"/>
                <w:highlight w:val="none"/>
              </w:rPr>
              <w:t>（GB3095-2012）二级标准</w:t>
            </w:r>
          </w:p>
        </w:tc>
      </w:tr>
      <w:tr w14:paraId="713A019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6904A023">
            <w:pPr>
              <w:pStyle w:val="27"/>
              <w:rPr>
                <w:rFonts w:ascii="Times New Roman" w:hAnsi="Times New Roman"/>
                <w:highlight w:val="none"/>
              </w:rPr>
            </w:pPr>
          </w:p>
        </w:tc>
        <w:tc>
          <w:tcPr>
            <w:tcW w:w="819" w:type="pct"/>
            <w:vMerge w:val="continue"/>
            <w:noWrap w:val="0"/>
            <w:vAlign w:val="center"/>
          </w:tcPr>
          <w:p w14:paraId="727977C5">
            <w:pPr>
              <w:pStyle w:val="27"/>
              <w:rPr>
                <w:rFonts w:ascii="Times New Roman" w:hAnsi="Times New Roman"/>
                <w:highlight w:val="none"/>
              </w:rPr>
            </w:pPr>
          </w:p>
        </w:tc>
        <w:tc>
          <w:tcPr>
            <w:tcW w:w="1195" w:type="pct"/>
            <w:noWrap w:val="0"/>
            <w:vAlign w:val="center"/>
          </w:tcPr>
          <w:p w14:paraId="3B0F2DC0">
            <w:pPr>
              <w:pStyle w:val="27"/>
              <w:rPr>
                <w:rFonts w:ascii="Times New Roman" w:hAnsi="Times New Roman"/>
                <w:highlight w:val="none"/>
              </w:rPr>
            </w:pPr>
            <w:r>
              <w:rPr>
                <w:rFonts w:ascii="Times New Roman" w:hAnsi="Times New Roman"/>
                <w:highlight w:val="none"/>
              </w:rPr>
              <w:t>24小时平均</w:t>
            </w:r>
          </w:p>
        </w:tc>
        <w:tc>
          <w:tcPr>
            <w:tcW w:w="938" w:type="pct"/>
            <w:noWrap w:val="0"/>
            <w:vAlign w:val="center"/>
          </w:tcPr>
          <w:p w14:paraId="108B84E5">
            <w:pPr>
              <w:pStyle w:val="27"/>
              <w:rPr>
                <w:rFonts w:ascii="Times New Roman" w:hAnsi="Times New Roman"/>
                <w:highlight w:val="none"/>
              </w:rPr>
            </w:pPr>
            <w:r>
              <w:rPr>
                <w:rFonts w:ascii="Times New Roman" w:hAnsi="Times New Roman"/>
                <w:highlight w:val="none"/>
              </w:rPr>
              <w:t>150</w:t>
            </w:r>
          </w:p>
        </w:tc>
        <w:tc>
          <w:tcPr>
            <w:tcW w:w="1436" w:type="pct"/>
            <w:vMerge w:val="continue"/>
            <w:noWrap w:val="0"/>
            <w:vAlign w:val="center"/>
          </w:tcPr>
          <w:p w14:paraId="3650B8EE">
            <w:pPr>
              <w:pStyle w:val="27"/>
              <w:rPr>
                <w:rFonts w:ascii="Times New Roman" w:hAnsi="Times New Roman"/>
                <w:highlight w:val="none"/>
              </w:rPr>
            </w:pPr>
          </w:p>
        </w:tc>
      </w:tr>
      <w:tr w14:paraId="5548F5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3E2D0B5D">
            <w:pPr>
              <w:pStyle w:val="27"/>
              <w:rPr>
                <w:rFonts w:ascii="Times New Roman" w:hAnsi="Times New Roman"/>
                <w:highlight w:val="none"/>
              </w:rPr>
            </w:pPr>
          </w:p>
        </w:tc>
        <w:tc>
          <w:tcPr>
            <w:tcW w:w="819" w:type="pct"/>
            <w:vMerge w:val="continue"/>
            <w:noWrap w:val="0"/>
            <w:vAlign w:val="center"/>
          </w:tcPr>
          <w:p w14:paraId="3C1FF6AE">
            <w:pPr>
              <w:pStyle w:val="27"/>
              <w:rPr>
                <w:rFonts w:ascii="Times New Roman" w:hAnsi="Times New Roman"/>
                <w:highlight w:val="none"/>
              </w:rPr>
            </w:pPr>
          </w:p>
        </w:tc>
        <w:tc>
          <w:tcPr>
            <w:tcW w:w="1195" w:type="pct"/>
            <w:noWrap w:val="0"/>
            <w:vAlign w:val="center"/>
          </w:tcPr>
          <w:p w14:paraId="53028E07">
            <w:pPr>
              <w:pStyle w:val="27"/>
              <w:rPr>
                <w:rFonts w:ascii="Times New Roman" w:hAnsi="Times New Roman"/>
                <w:highlight w:val="none"/>
              </w:rPr>
            </w:pPr>
            <w:r>
              <w:rPr>
                <w:rFonts w:ascii="Times New Roman" w:hAnsi="Times New Roman"/>
                <w:highlight w:val="none"/>
              </w:rPr>
              <w:t>1小时平均</w:t>
            </w:r>
          </w:p>
        </w:tc>
        <w:tc>
          <w:tcPr>
            <w:tcW w:w="938" w:type="pct"/>
            <w:noWrap w:val="0"/>
            <w:vAlign w:val="center"/>
          </w:tcPr>
          <w:p w14:paraId="188902D7">
            <w:pPr>
              <w:pStyle w:val="27"/>
              <w:rPr>
                <w:rFonts w:ascii="Times New Roman" w:hAnsi="Times New Roman"/>
                <w:highlight w:val="none"/>
              </w:rPr>
            </w:pPr>
            <w:r>
              <w:rPr>
                <w:rFonts w:ascii="Times New Roman" w:hAnsi="Times New Roman"/>
                <w:highlight w:val="none"/>
              </w:rPr>
              <w:t>500</w:t>
            </w:r>
          </w:p>
        </w:tc>
        <w:tc>
          <w:tcPr>
            <w:tcW w:w="1436" w:type="pct"/>
            <w:vMerge w:val="continue"/>
            <w:noWrap w:val="0"/>
            <w:vAlign w:val="center"/>
          </w:tcPr>
          <w:p w14:paraId="43E02AD0">
            <w:pPr>
              <w:pStyle w:val="27"/>
              <w:rPr>
                <w:rFonts w:ascii="Times New Roman" w:hAnsi="Times New Roman"/>
                <w:highlight w:val="none"/>
              </w:rPr>
            </w:pPr>
          </w:p>
        </w:tc>
      </w:tr>
      <w:tr w14:paraId="3A7360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noWrap w:val="0"/>
            <w:vAlign w:val="center"/>
          </w:tcPr>
          <w:p w14:paraId="2D8614CE">
            <w:pPr>
              <w:pStyle w:val="27"/>
              <w:rPr>
                <w:rFonts w:ascii="Times New Roman" w:hAnsi="Times New Roman"/>
                <w:highlight w:val="none"/>
              </w:rPr>
            </w:pPr>
            <w:r>
              <w:rPr>
                <w:rFonts w:ascii="Times New Roman" w:hAnsi="Times New Roman"/>
                <w:highlight w:val="none"/>
              </w:rPr>
              <w:t>2</w:t>
            </w:r>
          </w:p>
        </w:tc>
        <w:tc>
          <w:tcPr>
            <w:tcW w:w="819" w:type="pct"/>
            <w:vMerge w:val="restart"/>
            <w:noWrap w:val="0"/>
            <w:vAlign w:val="center"/>
          </w:tcPr>
          <w:p w14:paraId="41B7C857">
            <w:pPr>
              <w:pStyle w:val="27"/>
              <w:rPr>
                <w:rFonts w:ascii="Times New Roman" w:hAnsi="Times New Roman"/>
                <w:highlight w:val="none"/>
              </w:rPr>
            </w:pPr>
            <w:r>
              <w:rPr>
                <w:rFonts w:ascii="Times New Roman" w:hAnsi="Times New Roman"/>
                <w:highlight w:val="none"/>
              </w:rPr>
              <w:t>PM</w:t>
            </w:r>
            <w:r>
              <w:rPr>
                <w:rFonts w:ascii="Times New Roman" w:hAnsi="Times New Roman"/>
                <w:highlight w:val="none"/>
                <w:vertAlign w:val="subscript"/>
              </w:rPr>
              <w:t>10</w:t>
            </w:r>
          </w:p>
        </w:tc>
        <w:tc>
          <w:tcPr>
            <w:tcW w:w="1195" w:type="pct"/>
            <w:noWrap w:val="0"/>
            <w:vAlign w:val="center"/>
          </w:tcPr>
          <w:p w14:paraId="58A3F092">
            <w:pPr>
              <w:pStyle w:val="27"/>
              <w:rPr>
                <w:rFonts w:ascii="Times New Roman" w:hAnsi="Times New Roman"/>
                <w:highlight w:val="none"/>
              </w:rPr>
            </w:pPr>
            <w:r>
              <w:rPr>
                <w:rFonts w:ascii="Times New Roman" w:hAnsi="Times New Roman"/>
                <w:highlight w:val="none"/>
              </w:rPr>
              <w:t>年平均</w:t>
            </w:r>
          </w:p>
        </w:tc>
        <w:tc>
          <w:tcPr>
            <w:tcW w:w="938" w:type="pct"/>
            <w:noWrap w:val="0"/>
            <w:vAlign w:val="center"/>
          </w:tcPr>
          <w:p w14:paraId="6E0AF4A7">
            <w:pPr>
              <w:pStyle w:val="27"/>
              <w:rPr>
                <w:rFonts w:ascii="Times New Roman" w:hAnsi="Times New Roman"/>
                <w:highlight w:val="none"/>
              </w:rPr>
            </w:pPr>
            <w:r>
              <w:rPr>
                <w:rFonts w:ascii="Times New Roman" w:hAnsi="Times New Roman"/>
                <w:highlight w:val="none"/>
              </w:rPr>
              <w:t>70</w:t>
            </w:r>
          </w:p>
        </w:tc>
        <w:tc>
          <w:tcPr>
            <w:tcW w:w="1436" w:type="pct"/>
            <w:vMerge w:val="continue"/>
            <w:noWrap w:val="0"/>
            <w:vAlign w:val="center"/>
          </w:tcPr>
          <w:p w14:paraId="55C3FC5C">
            <w:pPr>
              <w:pStyle w:val="27"/>
              <w:rPr>
                <w:rFonts w:ascii="Times New Roman" w:hAnsi="Times New Roman"/>
                <w:highlight w:val="none"/>
              </w:rPr>
            </w:pPr>
          </w:p>
        </w:tc>
      </w:tr>
      <w:tr w14:paraId="2D8603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43E79BFA">
            <w:pPr>
              <w:pStyle w:val="27"/>
              <w:rPr>
                <w:rFonts w:ascii="Times New Roman" w:hAnsi="Times New Roman"/>
                <w:highlight w:val="none"/>
              </w:rPr>
            </w:pPr>
          </w:p>
        </w:tc>
        <w:tc>
          <w:tcPr>
            <w:tcW w:w="819" w:type="pct"/>
            <w:vMerge w:val="continue"/>
            <w:noWrap w:val="0"/>
            <w:vAlign w:val="center"/>
          </w:tcPr>
          <w:p w14:paraId="748D9A32">
            <w:pPr>
              <w:pStyle w:val="27"/>
              <w:rPr>
                <w:rFonts w:ascii="Times New Roman" w:hAnsi="Times New Roman"/>
                <w:highlight w:val="none"/>
              </w:rPr>
            </w:pPr>
          </w:p>
        </w:tc>
        <w:tc>
          <w:tcPr>
            <w:tcW w:w="1195" w:type="pct"/>
            <w:noWrap w:val="0"/>
            <w:vAlign w:val="center"/>
          </w:tcPr>
          <w:p w14:paraId="762FE449">
            <w:pPr>
              <w:pStyle w:val="27"/>
              <w:rPr>
                <w:rFonts w:ascii="Times New Roman" w:hAnsi="Times New Roman"/>
                <w:highlight w:val="none"/>
              </w:rPr>
            </w:pPr>
            <w:r>
              <w:rPr>
                <w:rFonts w:ascii="Times New Roman" w:hAnsi="Times New Roman"/>
                <w:highlight w:val="none"/>
              </w:rPr>
              <w:t>24小时平均</w:t>
            </w:r>
          </w:p>
        </w:tc>
        <w:tc>
          <w:tcPr>
            <w:tcW w:w="938" w:type="pct"/>
            <w:noWrap w:val="0"/>
            <w:vAlign w:val="center"/>
          </w:tcPr>
          <w:p w14:paraId="66401045">
            <w:pPr>
              <w:pStyle w:val="27"/>
              <w:rPr>
                <w:rFonts w:ascii="Times New Roman" w:hAnsi="Times New Roman"/>
                <w:highlight w:val="none"/>
              </w:rPr>
            </w:pPr>
            <w:r>
              <w:rPr>
                <w:rFonts w:ascii="Times New Roman" w:hAnsi="Times New Roman"/>
                <w:highlight w:val="none"/>
              </w:rPr>
              <w:t>150</w:t>
            </w:r>
          </w:p>
        </w:tc>
        <w:tc>
          <w:tcPr>
            <w:tcW w:w="1436" w:type="pct"/>
            <w:vMerge w:val="continue"/>
            <w:noWrap w:val="0"/>
            <w:vAlign w:val="center"/>
          </w:tcPr>
          <w:p w14:paraId="1460BF27">
            <w:pPr>
              <w:pStyle w:val="27"/>
              <w:rPr>
                <w:rFonts w:ascii="Times New Roman" w:hAnsi="Times New Roman"/>
                <w:highlight w:val="none"/>
              </w:rPr>
            </w:pPr>
          </w:p>
        </w:tc>
      </w:tr>
      <w:tr w14:paraId="09DA0B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noWrap w:val="0"/>
            <w:vAlign w:val="center"/>
          </w:tcPr>
          <w:p w14:paraId="1F79D090">
            <w:pPr>
              <w:pStyle w:val="27"/>
              <w:rPr>
                <w:rFonts w:ascii="Times New Roman" w:hAnsi="Times New Roman"/>
                <w:highlight w:val="none"/>
              </w:rPr>
            </w:pPr>
            <w:r>
              <w:rPr>
                <w:rFonts w:ascii="Times New Roman" w:hAnsi="Times New Roman"/>
                <w:highlight w:val="none"/>
              </w:rPr>
              <w:t>3</w:t>
            </w:r>
          </w:p>
        </w:tc>
        <w:tc>
          <w:tcPr>
            <w:tcW w:w="819" w:type="pct"/>
            <w:vMerge w:val="restart"/>
            <w:noWrap w:val="0"/>
            <w:vAlign w:val="center"/>
          </w:tcPr>
          <w:p w14:paraId="12CBE7EA">
            <w:pPr>
              <w:pStyle w:val="27"/>
              <w:rPr>
                <w:rFonts w:ascii="Times New Roman" w:hAnsi="Times New Roman"/>
                <w:highlight w:val="none"/>
              </w:rPr>
            </w:pPr>
            <w:r>
              <w:rPr>
                <w:rFonts w:ascii="Times New Roman" w:hAnsi="Times New Roman"/>
                <w:highlight w:val="none"/>
              </w:rPr>
              <w:t>NO</w:t>
            </w:r>
            <w:r>
              <w:rPr>
                <w:rFonts w:ascii="Times New Roman" w:hAnsi="Times New Roman"/>
                <w:highlight w:val="none"/>
                <w:vertAlign w:val="subscript"/>
              </w:rPr>
              <w:t>2</w:t>
            </w:r>
          </w:p>
        </w:tc>
        <w:tc>
          <w:tcPr>
            <w:tcW w:w="1195" w:type="pct"/>
            <w:noWrap w:val="0"/>
            <w:vAlign w:val="center"/>
          </w:tcPr>
          <w:p w14:paraId="01D34F42">
            <w:pPr>
              <w:pStyle w:val="27"/>
              <w:rPr>
                <w:rFonts w:ascii="Times New Roman" w:hAnsi="Times New Roman"/>
                <w:highlight w:val="none"/>
              </w:rPr>
            </w:pPr>
            <w:r>
              <w:rPr>
                <w:rFonts w:ascii="Times New Roman" w:hAnsi="Times New Roman"/>
                <w:highlight w:val="none"/>
              </w:rPr>
              <w:t>年平均</w:t>
            </w:r>
          </w:p>
        </w:tc>
        <w:tc>
          <w:tcPr>
            <w:tcW w:w="938" w:type="pct"/>
            <w:noWrap w:val="0"/>
            <w:vAlign w:val="center"/>
          </w:tcPr>
          <w:p w14:paraId="7A4B3CDA">
            <w:pPr>
              <w:pStyle w:val="27"/>
              <w:rPr>
                <w:rFonts w:ascii="Times New Roman" w:hAnsi="Times New Roman"/>
                <w:highlight w:val="none"/>
              </w:rPr>
            </w:pPr>
            <w:r>
              <w:rPr>
                <w:rFonts w:ascii="Times New Roman" w:hAnsi="Times New Roman"/>
                <w:highlight w:val="none"/>
              </w:rPr>
              <w:t>40</w:t>
            </w:r>
          </w:p>
        </w:tc>
        <w:tc>
          <w:tcPr>
            <w:tcW w:w="1436" w:type="pct"/>
            <w:vMerge w:val="continue"/>
            <w:noWrap w:val="0"/>
            <w:vAlign w:val="center"/>
          </w:tcPr>
          <w:p w14:paraId="4EB02A55">
            <w:pPr>
              <w:pStyle w:val="27"/>
              <w:rPr>
                <w:rFonts w:ascii="Times New Roman" w:hAnsi="Times New Roman"/>
                <w:highlight w:val="none"/>
              </w:rPr>
            </w:pPr>
          </w:p>
        </w:tc>
      </w:tr>
      <w:tr w14:paraId="4C12F4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67DB5F13">
            <w:pPr>
              <w:pStyle w:val="27"/>
              <w:rPr>
                <w:rFonts w:ascii="Times New Roman" w:hAnsi="Times New Roman"/>
                <w:highlight w:val="none"/>
              </w:rPr>
            </w:pPr>
          </w:p>
        </w:tc>
        <w:tc>
          <w:tcPr>
            <w:tcW w:w="819" w:type="pct"/>
            <w:vMerge w:val="continue"/>
            <w:noWrap w:val="0"/>
            <w:vAlign w:val="center"/>
          </w:tcPr>
          <w:p w14:paraId="4A7419E2">
            <w:pPr>
              <w:pStyle w:val="27"/>
              <w:rPr>
                <w:rFonts w:ascii="Times New Roman" w:hAnsi="Times New Roman"/>
                <w:highlight w:val="none"/>
              </w:rPr>
            </w:pPr>
          </w:p>
        </w:tc>
        <w:tc>
          <w:tcPr>
            <w:tcW w:w="1195" w:type="pct"/>
            <w:noWrap w:val="0"/>
            <w:vAlign w:val="center"/>
          </w:tcPr>
          <w:p w14:paraId="7980851E">
            <w:pPr>
              <w:pStyle w:val="27"/>
              <w:rPr>
                <w:rFonts w:ascii="Times New Roman" w:hAnsi="Times New Roman"/>
                <w:highlight w:val="none"/>
              </w:rPr>
            </w:pPr>
            <w:r>
              <w:rPr>
                <w:rFonts w:ascii="Times New Roman" w:hAnsi="Times New Roman"/>
                <w:highlight w:val="none"/>
              </w:rPr>
              <w:t>24小时平均</w:t>
            </w:r>
          </w:p>
        </w:tc>
        <w:tc>
          <w:tcPr>
            <w:tcW w:w="938" w:type="pct"/>
            <w:noWrap w:val="0"/>
            <w:vAlign w:val="center"/>
          </w:tcPr>
          <w:p w14:paraId="397FE66D">
            <w:pPr>
              <w:pStyle w:val="27"/>
              <w:rPr>
                <w:rFonts w:ascii="Times New Roman" w:hAnsi="Times New Roman"/>
                <w:highlight w:val="none"/>
              </w:rPr>
            </w:pPr>
            <w:r>
              <w:rPr>
                <w:rFonts w:ascii="Times New Roman" w:hAnsi="Times New Roman"/>
                <w:highlight w:val="none"/>
              </w:rPr>
              <w:t>80</w:t>
            </w:r>
          </w:p>
        </w:tc>
        <w:tc>
          <w:tcPr>
            <w:tcW w:w="1436" w:type="pct"/>
            <w:vMerge w:val="continue"/>
            <w:noWrap w:val="0"/>
            <w:vAlign w:val="center"/>
          </w:tcPr>
          <w:p w14:paraId="000B0056">
            <w:pPr>
              <w:pStyle w:val="27"/>
              <w:rPr>
                <w:rFonts w:ascii="Times New Roman" w:hAnsi="Times New Roman"/>
                <w:highlight w:val="none"/>
              </w:rPr>
            </w:pPr>
          </w:p>
        </w:tc>
      </w:tr>
      <w:tr w14:paraId="34876D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21C90EAC">
            <w:pPr>
              <w:pStyle w:val="27"/>
              <w:rPr>
                <w:rFonts w:ascii="Times New Roman" w:hAnsi="Times New Roman"/>
                <w:highlight w:val="none"/>
              </w:rPr>
            </w:pPr>
          </w:p>
        </w:tc>
        <w:tc>
          <w:tcPr>
            <w:tcW w:w="819" w:type="pct"/>
            <w:vMerge w:val="continue"/>
            <w:noWrap w:val="0"/>
            <w:vAlign w:val="center"/>
          </w:tcPr>
          <w:p w14:paraId="29F9F04A">
            <w:pPr>
              <w:pStyle w:val="27"/>
              <w:rPr>
                <w:rFonts w:ascii="Times New Roman" w:hAnsi="Times New Roman"/>
                <w:highlight w:val="none"/>
              </w:rPr>
            </w:pPr>
          </w:p>
        </w:tc>
        <w:tc>
          <w:tcPr>
            <w:tcW w:w="1195" w:type="pct"/>
            <w:noWrap w:val="0"/>
            <w:vAlign w:val="center"/>
          </w:tcPr>
          <w:p w14:paraId="2388E2FF">
            <w:pPr>
              <w:pStyle w:val="27"/>
              <w:rPr>
                <w:rFonts w:ascii="Times New Roman" w:hAnsi="Times New Roman"/>
                <w:highlight w:val="none"/>
              </w:rPr>
            </w:pPr>
            <w:r>
              <w:rPr>
                <w:rFonts w:ascii="Times New Roman" w:hAnsi="Times New Roman"/>
                <w:highlight w:val="none"/>
              </w:rPr>
              <w:t>1小时平均</w:t>
            </w:r>
          </w:p>
        </w:tc>
        <w:tc>
          <w:tcPr>
            <w:tcW w:w="938" w:type="pct"/>
            <w:noWrap w:val="0"/>
            <w:vAlign w:val="center"/>
          </w:tcPr>
          <w:p w14:paraId="38ADA0E8">
            <w:pPr>
              <w:pStyle w:val="27"/>
              <w:rPr>
                <w:rFonts w:ascii="Times New Roman" w:hAnsi="Times New Roman"/>
                <w:highlight w:val="none"/>
              </w:rPr>
            </w:pPr>
            <w:r>
              <w:rPr>
                <w:rFonts w:ascii="Times New Roman" w:hAnsi="Times New Roman"/>
                <w:highlight w:val="none"/>
              </w:rPr>
              <w:t>200</w:t>
            </w:r>
          </w:p>
        </w:tc>
        <w:tc>
          <w:tcPr>
            <w:tcW w:w="1436" w:type="pct"/>
            <w:vMerge w:val="continue"/>
            <w:noWrap w:val="0"/>
            <w:vAlign w:val="center"/>
          </w:tcPr>
          <w:p w14:paraId="31D3EEF3">
            <w:pPr>
              <w:pStyle w:val="27"/>
              <w:rPr>
                <w:rFonts w:ascii="Times New Roman" w:hAnsi="Times New Roman"/>
                <w:highlight w:val="none"/>
              </w:rPr>
            </w:pPr>
          </w:p>
        </w:tc>
      </w:tr>
      <w:tr w14:paraId="79412F7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noWrap w:val="0"/>
            <w:vAlign w:val="center"/>
          </w:tcPr>
          <w:p w14:paraId="7E0DECDB">
            <w:pPr>
              <w:pStyle w:val="27"/>
              <w:rPr>
                <w:rFonts w:ascii="Times New Roman" w:hAnsi="Times New Roman"/>
                <w:highlight w:val="none"/>
              </w:rPr>
            </w:pPr>
            <w:r>
              <w:rPr>
                <w:rFonts w:ascii="Times New Roman" w:hAnsi="Times New Roman"/>
                <w:highlight w:val="none"/>
              </w:rPr>
              <w:t>4</w:t>
            </w:r>
          </w:p>
        </w:tc>
        <w:tc>
          <w:tcPr>
            <w:tcW w:w="819" w:type="pct"/>
            <w:vMerge w:val="restart"/>
            <w:noWrap w:val="0"/>
            <w:vAlign w:val="center"/>
          </w:tcPr>
          <w:p w14:paraId="3D880160">
            <w:pPr>
              <w:pStyle w:val="27"/>
              <w:rPr>
                <w:rFonts w:ascii="Times New Roman" w:hAnsi="Times New Roman"/>
                <w:highlight w:val="none"/>
              </w:rPr>
            </w:pPr>
            <w:r>
              <w:rPr>
                <w:rFonts w:ascii="Times New Roman" w:hAnsi="Times New Roman"/>
                <w:highlight w:val="none"/>
              </w:rPr>
              <w:t>PM</w:t>
            </w:r>
            <w:r>
              <w:rPr>
                <w:rFonts w:ascii="Times New Roman" w:hAnsi="Times New Roman"/>
                <w:highlight w:val="none"/>
                <w:vertAlign w:val="subscript"/>
              </w:rPr>
              <w:t>2.5</w:t>
            </w:r>
          </w:p>
        </w:tc>
        <w:tc>
          <w:tcPr>
            <w:tcW w:w="1195" w:type="pct"/>
            <w:noWrap w:val="0"/>
            <w:vAlign w:val="center"/>
          </w:tcPr>
          <w:p w14:paraId="01A62112">
            <w:pPr>
              <w:pStyle w:val="27"/>
              <w:rPr>
                <w:rFonts w:ascii="Times New Roman" w:hAnsi="Times New Roman"/>
                <w:highlight w:val="none"/>
              </w:rPr>
            </w:pPr>
            <w:r>
              <w:rPr>
                <w:rFonts w:ascii="Times New Roman" w:hAnsi="Times New Roman"/>
                <w:highlight w:val="none"/>
              </w:rPr>
              <w:t>年平均</w:t>
            </w:r>
          </w:p>
        </w:tc>
        <w:tc>
          <w:tcPr>
            <w:tcW w:w="938" w:type="pct"/>
            <w:noWrap w:val="0"/>
            <w:vAlign w:val="center"/>
          </w:tcPr>
          <w:p w14:paraId="06E4ED98">
            <w:pPr>
              <w:pStyle w:val="27"/>
              <w:rPr>
                <w:rFonts w:ascii="Times New Roman" w:hAnsi="Times New Roman"/>
                <w:highlight w:val="none"/>
              </w:rPr>
            </w:pPr>
            <w:r>
              <w:rPr>
                <w:rFonts w:ascii="Times New Roman" w:hAnsi="Times New Roman"/>
                <w:highlight w:val="none"/>
              </w:rPr>
              <w:t>35</w:t>
            </w:r>
          </w:p>
        </w:tc>
        <w:tc>
          <w:tcPr>
            <w:tcW w:w="1436" w:type="pct"/>
            <w:vMerge w:val="continue"/>
            <w:noWrap w:val="0"/>
            <w:vAlign w:val="center"/>
          </w:tcPr>
          <w:p w14:paraId="0B9B0D64">
            <w:pPr>
              <w:pStyle w:val="27"/>
              <w:rPr>
                <w:rFonts w:ascii="Times New Roman" w:hAnsi="Times New Roman"/>
                <w:highlight w:val="none"/>
              </w:rPr>
            </w:pPr>
          </w:p>
        </w:tc>
      </w:tr>
      <w:tr w14:paraId="0FA207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406C8E66">
            <w:pPr>
              <w:pStyle w:val="27"/>
              <w:rPr>
                <w:rFonts w:ascii="Times New Roman" w:hAnsi="Times New Roman"/>
                <w:highlight w:val="none"/>
              </w:rPr>
            </w:pPr>
          </w:p>
        </w:tc>
        <w:tc>
          <w:tcPr>
            <w:tcW w:w="819" w:type="pct"/>
            <w:vMerge w:val="continue"/>
            <w:noWrap w:val="0"/>
            <w:vAlign w:val="center"/>
          </w:tcPr>
          <w:p w14:paraId="0F182C9D">
            <w:pPr>
              <w:pStyle w:val="27"/>
              <w:rPr>
                <w:rFonts w:ascii="Times New Roman" w:hAnsi="Times New Roman"/>
                <w:highlight w:val="none"/>
              </w:rPr>
            </w:pPr>
          </w:p>
        </w:tc>
        <w:tc>
          <w:tcPr>
            <w:tcW w:w="1195" w:type="pct"/>
            <w:noWrap w:val="0"/>
            <w:vAlign w:val="center"/>
          </w:tcPr>
          <w:p w14:paraId="4B217855">
            <w:pPr>
              <w:pStyle w:val="27"/>
              <w:rPr>
                <w:rFonts w:ascii="Times New Roman" w:hAnsi="Times New Roman"/>
                <w:highlight w:val="none"/>
              </w:rPr>
            </w:pPr>
            <w:r>
              <w:rPr>
                <w:rFonts w:ascii="Times New Roman" w:hAnsi="Times New Roman"/>
                <w:highlight w:val="none"/>
              </w:rPr>
              <w:t>24小时平均</w:t>
            </w:r>
          </w:p>
        </w:tc>
        <w:tc>
          <w:tcPr>
            <w:tcW w:w="938" w:type="pct"/>
            <w:noWrap w:val="0"/>
            <w:vAlign w:val="center"/>
          </w:tcPr>
          <w:p w14:paraId="35F22E87">
            <w:pPr>
              <w:pStyle w:val="27"/>
              <w:rPr>
                <w:rFonts w:ascii="Times New Roman" w:hAnsi="Times New Roman"/>
                <w:highlight w:val="none"/>
              </w:rPr>
            </w:pPr>
            <w:r>
              <w:rPr>
                <w:rFonts w:ascii="Times New Roman" w:hAnsi="Times New Roman"/>
                <w:highlight w:val="none"/>
              </w:rPr>
              <w:t>75</w:t>
            </w:r>
          </w:p>
        </w:tc>
        <w:tc>
          <w:tcPr>
            <w:tcW w:w="1436" w:type="pct"/>
            <w:vMerge w:val="continue"/>
            <w:noWrap w:val="0"/>
            <w:vAlign w:val="center"/>
          </w:tcPr>
          <w:p w14:paraId="2FB1FD49">
            <w:pPr>
              <w:pStyle w:val="27"/>
              <w:rPr>
                <w:rFonts w:ascii="Times New Roman" w:hAnsi="Times New Roman"/>
                <w:highlight w:val="none"/>
              </w:rPr>
            </w:pPr>
          </w:p>
        </w:tc>
      </w:tr>
      <w:tr w14:paraId="464E91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noWrap w:val="0"/>
            <w:vAlign w:val="center"/>
          </w:tcPr>
          <w:p w14:paraId="5E1A24D3">
            <w:pPr>
              <w:pStyle w:val="27"/>
              <w:rPr>
                <w:rFonts w:ascii="Times New Roman" w:hAnsi="Times New Roman"/>
                <w:highlight w:val="none"/>
              </w:rPr>
            </w:pPr>
            <w:r>
              <w:rPr>
                <w:rFonts w:ascii="Times New Roman" w:hAnsi="Times New Roman"/>
                <w:highlight w:val="none"/>
              </w:rPr>
              <w:t>5</w:t>
            </w:r>
          </w:p>
        </w:tc>
        <w:tc>
          <w:tcPr>
            <w:tcW w:w="819" w:type="pct"/>
            <w:vMerge w:val="restart"/>
            <w:noWrap w:val="0"/>
            <w:vAlign w:val="center"/>
          </w:tcPr>
          <w:p w14:paraId="31814F09">
            <w:pPr>
              <w:pStyle w:val="27"/>
              <w:rPr>
                <w:rFonts w:ascii="Times New Roman" w:hAnsi="Times New Roman"/>
                <w:highlight w:val="none"/>
              </w:rPr>
            </w:pPr>
            <w:r>
              <w:rPr>
                <w:rFonts w:ascii="Times New Roman" w:hAnsi="Times New Roman"/>
                <w:highlight w:val="none"/>
              </w:rPr>
              <w:t>CO</w:t>
            </w:r>
          </w:p>
        </w:tc>
        <w:tc>
          <w:tcPr>
            <w:tcW w:w="1195" w:type="pct"/>
            <w:noWrap w:val="0"/>
            <w:vAlign w:val="center"/>
          </w:tcPr>
          <w:p w14:paraId="3348C923">
            <w:pPr>
              <w:pStyle w:val="27"/>
              <w:rPr>
                <w:rFonts w:ascii="Times New Roman" w:hAnsi="Times New Roman"/>
                <w:highlight w:val="none"/>
              </w:rPr>
            </w:pPr>
            <w:r>
              <w:rPr>
                <w:rFonts w:ascii="Times New Roman" w:hAnsi="Times New Roman"/>
                <w:highlight w:val="none"/>
              </w:rPr>
              <w:t>24小时平均</w:t>
            </w:r>
          </w:p>
        </w:tc>
        <w:tc>
          <w:tcPr>
            <w:tcW w:w="938" w:type="pct"/>
            <w:noWrap w:val="0"/>
            <w:vAlign w:val="center"/>
          </w:tcPr>
          <w:p w14:paraId="0066B0C5">
            <w:pPr>
              <w:pStyle w:val="27"/>
              <w:rPr>
                <w:rFonts w:ascii="Times New Roman" w:hAnsi="Times New Roman"/>
                <w:highlight w:val="none"/>
              </w:rPr>
            </w:pPr>
            <w:r>
              <w:rPr>
                <w:rFonts w:ascii="Times New Roman" w:hAnsi="Times New Roman"/>
                <w:highlight w:val="none"/>
              </w:rPr>
              <w:t>4mg/m</w:t>
            </w:r>
            <w:r>
              <w:rPr>
                <w:rFonts w:ascii="Times New Roman" w:hAnsi="Times New Roman"/>
                <w:highlight w:val="none"/>
                <w:vertAlign w:val="superscript"/>
              </w:rPr>
              <w:t>3</w:t>
            </w:r>
          </w:p>
        </w:tc>
        <w:tc>
          <w:tcPr>
            <w:tcW w:w="1436" w:type="pct"/>
            <w:vMerge w:val="continue"/>
            <w:noWrap w:val="0"/>
            <w:vAlign w:val="center"/>
          </w:tcPr>
          <w:p w14:paraId="67A1AEE1">
            <w:pPr>
              <w:pStyle w:val="27"/>
              <w:rPr>
                <w:rFonts w:ascii="Times New Roman" w:hAnsi="Times New Roman"/>
                <w:highlight w:val="none"/>
              </w:rPr>
            </w:pPr>
          </w:p>
        </w:tc>
      </w:tr>
      <w:tr w14:paraId="0AB988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tcBorders>
              <w:bottom w:val="single" w:color="auto" w:sz="2" w:space="0"/>
            </w:tcBorders>
            <w:noWrap w:val="0"/>
            <w:vAlign w:val="center"/>
          </w:tcPr>
          <w:p w14:paraId="03A73904">
            <w:pPr>
              <w:pStyle w:val="27"/>
              <w:rPr>
                <w:rFonts w:ascii="Times New Roman" w:hAnsi="Times New Roman"/>
                <w:highlight w:val="none"/>
              </w:rPr>
            </w:pPr>
          </w:p>
        </w:tc>
        <w:tc>
          <w:tcPr>
            <w:tcW w:w="819" w:type="pct"/>
            <w:vMerge w:val="continue"/>
            <w:noWrap w:val="0"/>
            <w:vAlign w:val="center"/>
          </w:tcPr>
          <w:p w14:paraId="1FF44A85">
            <w:pPr>
              <w:pStyle w:val="27"/>
              <w:rPr>
                <w:rFonts w:ascii="Times New Roman" w:hAnsi="Times New Roman"/>
                <w:highlight w:val="none"/>
              </w:rPr>
            </w:pPr>
          </w:p>
        </w:tc>
        <w:tc>
          <w:tcPr>
            <w:tcW w:w="1195" w:type="pct"/>
            <w:noWrap w:val="0"/>
            <w:vAlign w:val="center"/>
          </w:tcPr>
          <w:p w14:paraId="5B3F6BBE">
            <w:pPr>
              <w:pStyle w:val="27"/>
              <w:rPr>
                <w:rFonts w:ascii="Times New Roman" w:hAnsi="Times New Roman"/>
                <w:highlight w:val="none"/>
              </w:rPr>
            </w:pPr>
            <w:r>
              <w:rPr>
                <w:rFonts w:ascii="Times New Roman" w:hAnsi="Times New Roman"/>
                <w:highlight w:val="none"/>
              </w:rPr>
              <w:t>1小时平均</w:t>
            </w:r>
          </w:p>
        </w:tc>
        <w:tc>
          <w:tcPr>
            <w:tcW w:w="938" w:type="pct"/>
            <w:noWrap w:val="0"/>
            <w:vAlign w:val="center"/>
          </w:tcPr>
          <w:p w14:paraId="287B6255">
            <w:pPr>
              <w:pStyle w:val="27"/>
              <w:rPr>
                <w:rFonts w:ascii="Times New Roman" w:hAnsi="Times New Roman"/>
                <w:highlight w:val="none"/>
              </w:rPr>
            </w:pPr>
            <w:r>
              <w:rPr>
                <w:rFonts w:ascii="Times New Roman" w:hAnsi="Times New Roman"/>
                <w:highlight w:val="none"/>
              </w:rPr>
              <w:t>10mg/m</w:t>
            </w:r>
            <w:r>
              <w:rPr>
                <w:rFonts w:ascii="Times New Roman" w:hAnsi="Times New Roman"/>
                <w:highlight w:val="none"/>
                <w:vertAlign w:val="superscript"/>
              </w:rPr>
              <w:t>3</w:t>
            </w:r>
          </w:p>
        </w:tc>
        <w:tc>
          <w:tcPr>
            <w:tcW w:w="1436" w:type="pct"/>
            <w:vMerge w:val="continue"/>
            <w:noWrap w:val="0"/>
            <w:vAlign w:val="center"/>
          </w:tcPr>
          <w:p w14:paraId="4006C352">
            <w:pPr>
              <w:pStyle w:val="27"/>
              <w:rPr>
                <w:rFonts w:ascii="Times New Roman" w:hAnsi="Times New Roman"/>
                <w:highlight w:val="none"/>
              </w:rPr>
            </w:pPr>
          </w:p>
        </w:tc>
      </w:tr>
      <w:tr w14:paraId="6DCF33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restart"/>
            <w:tcBorders>
              <w:top w:val="single" w:color="auto" w:sz="2" w:space="0"/>
            </w:tcBorders>
            <w:noWrap w:val="0"/>
            <w:vAlign w:val="center"/>
          </w:tcPr>
          <w:p w14:paraId="6BE2C556">
            <w:pPr>
              <w:pStyle w:val="27"/>
              <w:rPr>
                <w:rFonts w:ascii="Times New Roman" w:hAnsi="Times New Roman"/>
                <w:highlight w:val="none"/>
              </w:rPr>
            </w:pPr>
            <w:r>
              <w:rPr>
                <w:rFonts w:ascii="Times New Roman" w:hAnsi="Times New Roman"/>
                <w:highlight w:val="none"/>
              </w:rPr>
              <w:t>6</w:t>
            </w:r>
          </w:p>
        </w:tc>
        <w:tc>
          <w:tcPr>
            <w:tcW w:w="819" w:type="pct"/>
            <w:vMerge w:val="restart"/>
            <w:noWrap w:val="0"/>
            <w:vAlign w:val="center"/>
          </w:tcPr>
          <w:p w14:paraId="71AC2EA1">
            <w:pPr>
              <w:pStyle w:val="27"/>
              <w:rPr>
                <w:rFonts w:ascii="Times New Roman" w:hAnsi="Times New Roman"/>
                <w:highlight w:val="none"/>
              </w:rPr>
            </w:pPr>
            <w:r>
              <w:rPr>
                <w:rFonts w:ascii="Times New Roman" w:hAnsi="Times New Roman"/>
                <w:highlight w:val="none"/>
              </w:rPr>
              <w:t>O</w:t>
            </w:r>
            <w:r>
              <w:rPr>
                <w:rFonts w:ascii="Times New Roman" w:hAnsi="Times New Roman"/>
                <w:highlight w:val="none"/>
                <w:vertAlign w:val="subscript"/>
              </w:rPr>
              <w:t>3</w:t>
            </w:r>
          </w:p>
        </w:tc>
        <w:tc>
          <w:tcPr>
            <w:tcW w:w="1195" w:type="pct"/>
            <w:noWrap w:val="0"/>
            <w:vAlign w:val="center"/>
          </w:tcPr>
          <w:p w14:paraId="71A11C99">
            <w:pPr>
              <w:pStyle w:val="27"/>
              <w:rPr>
                <w:rFonts w:ascii="Times New Roman" w:hAnsi="Times New Roman"/>
                <w:highlight w:val="none"/>
              </w:rPr>
            </w:pPr>
            <w:r>
              <w:rPr>
                <w:rFonts w:ascii="Times New Roman" w:hAnsi="Times New Roman"/>
                <w:highlight w:val="none"/>
              </w:rPr>
              <w:t>日最大8小时平均</w:t>
            </w:r>
          </w:p>
        </w:tc>
        <w:tc>
          <w:tcPr>
            <w:tcW w:w="938" w:type="pct"/>
            <w:noWrap w:val="0"/>
            <w:vAlign w:val="center"/>
          </w:tcPr>
          <w:p w14:paraId="18612756">
            <w:pPr>
              <w:pStyle w:val="27"/>
              <w:rPr>
                <w:rFonts w:ascii="Times New Roman" w:hAnsi="Times New Roman"/>
                <w:highlight w:val="none"/>
              </w:rPr>
            </w:pPr>
            <w:r>
              <w:rPr>
                <w:rFonts w:ascii="Times New Roman" w:hAnsi="Times New Roman"/>
                <w:highlight w:val="none"/>
              </w:rPr>
              <w:t>160</w:t>
            </w:r>
          </w:p>
        </w:tc>
        <w:tc>
          <w:tcPr>
            <w:tcW w:w="1436" w:type="pct"/>
            <w:vMerge w:val="continue"/>
            <w:noWrap w:val="0"/>
            <w:vAlign w:val="center"/>
          </w:tcPr>
          <w:p w14:paraId="1A2CD437">
            <w:pPr>
              <w:pStyle w:val="27"/>
              <w:rPr>
                <w:rFonts w:ascii="Times New Roman" w:hAnsi="Times New Roman"/>
                <w:highlight w:val="none"/>
              </w:rPr>
            </w:pPr>
          </w:p>
        </w:tc>
      </w:tr>
      <w:tr w14:paraId="71CDA3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1" w:type="pct"/>
            <w:vMerge w:val="continue"/>
            <w:noWrap w:val="0"/>
            <w:vAlign w:val="center"/>
          </w:tcPr>
          <w:p w14:paraId="731A2E69">
            <w:pPr>
              <w:pStyle w:val="27"/>
              <w:rPr>
                <w:rFonts w:ascii="Times New Roman" w:hAnsi="Times New Roman"/>
                <w:highlight w:val="none"/>
              </w:rPr>
            </w:pPr>
          </w:p>
        </w:tc>
        <w:tc>
          <w:tcPr>
            <w:tcW w:w="819" w:type="pct"/>
            <w:vMerge w:val="continue"/>
            <w:noWrap w:val="0"/>
            <w:vAlign w:val="center"/>
          </w:tcPr>
          <w:p w14:paraId="56CC63E3">
            <w:pPr>
              <w:pStyle w:val="27"/>
              <w:rPr>
                <w:rFonts w:ascii="Times New Roman" w:hAnsi="Times New Roman"/>
                <w:highlight w:val="none"/>
              </w:rPr>
            </w:pPr>
          </w:p>
        </w:tc>
        <w:tc>
          <w:tcPr>
            <w:tcW w:w="1195" w:type="pct"/>
            <w:noWrap w:val="0"/>
            <w:vAlign w:val="center"/>
          </w:tcPr>
          <w:p w14:paraId="7F878839">
            <w:pPr>
              <w:pStyle w:val="27"/>
              <w:rPr>
                <w:rFonts w:ascii="Times New Roman" w:hAnsi="Times New Roman"/>
                <w:highlight w:val="none"/>
              </w:rPr>
            </w:pPr>
            <w:r>
              <w:rPr>
                <w:rFonts w:ascii="Times New Roman" w:hAnsi="Times New Roman"/>
                <w:highlight w:val="none"/>
              </w:rPr>
              <w:t>1小时平均</w:t>
            </w:r>
          </w:p>
        </w:tc>
        <w:tc>
          <w:tcPr>
            <w:tcW w:w="938" w:type="pct"/>
            <w:noWrap w:val="0"/>
            <w:vAlign w:val="center"/>
          </w:tcPr>
          <w:p w14:paraId="5609D699">
            <w:pPr>
              <w:pStyle w:val="27"/>
              <w:rPr>
                <w:rFonts w:ascii="Times New Roman" w:hAnsi="Times New Roman"/>
                <w:highlight w:val="none"/>
              </w:rPr>
            </w:pPr>
            <w:r>
              <w:rPr>
                <w:rFonts w:ascii="Times New Roman" w:hAnsi="Times New Roman"/>
                <w:highlight w:val="none"/>
              </w:rPr>
              <w:t>200</w:t>
            </w:r>
          </w:p>
        </w:tc>
        <w:tc>
          <w:tcPr>
            <w:tcW w:w="1436" w:type="pct"/>
            <w:vMerge w:val="continue"/>
            <w:noWrap w:val="0"/>
            <w:vAlign w:val="center"/>
          </w:tcPr>
          <w:p w14:paraId="767721BB">
            <w:pPr>
              <w:pStyle w:val="27"/>
              <w:rPr>
                <w:rFonts w:ascii="Times New Roman" w:hAnsi="Times New Roman"/>
                <w:highlight w:val="none"/>
              </w:rPr>
            </w:pPr>
          </w:p>
        </w:tc>
      </w:tr>
      <w:tr w14:paraId="78F4FD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5" w:hRule="atLeast"/>
          <w:jc w:val="center"/>
        </w:trPr>
        <w:tc>
          <w:tcPr>
            <w:tcW w:w="611" w:type="pct"/>
            <w:vMerge w:val="restart"/>
            <w:noWrap w:val="0"/>
            <w:vAlign w:val="center"/>
          </w:tcPr>
          <w:p w14:paraId="19603B5D">
            <w:pPr>
              <w:pStyle w:val="27"/>
              <w:rPr>
                <w:rFonts w:ascii="Times New Roman" w:hAnsi="Times New Roman"/>
                <w:highlight w:val="none"/>
              </w:rPr>
            </w:pPr>
            <w:r>
              <w:rPr>
                <w:rFonts w:ascii="Times New Roman" w:hAnsi="Times New Roman"/>
                <w:highlight w:val="none"/>
              </w:rPr>
              <w:t>7</w:t>
            </w:r>
          </w:p>
        </w:tc>
        <w:tc>
          <w:tcPr>
            <w:tcW w:w="819" w:type="pct"/>
            <w:vMerge w:val="restart"/>
            <w:noWrap w:val="0"/>
            <w:vAlign w:val="center"/>
          </w:tcPr>
          <w:p w14:paraId="20C2615C">
            <w:pPr>
              <w:pStyle w:val="27"/>
              <w:rPr>
                <w:rFonts w:ascii="Times New Roman" w:hAnsi="Times New Roman"/>
                <w:highlight w:val="none"/>
              </w:rPr>
            </w:pPr>
            <w:r>
              <w:rPr>
                <w:rFonts w:ascii="Times New Roman" w:hAnsi="Times New Roman"/>
                <w:highlight w:val="none"/>
              </w:rPr>
              <w:t>TSP</w:t>
            </w:r>
          </w:p>
        </w:tc>
        <w:tc>
          <w:tcPr>
            <w:tcW w:w="1195" w:type="pct"/>
            <w:tcBorders>
              <w:bottom w:val="single" w:color="auto" w:sz="2" w:space="0"/>
            </w:tcBorders>
            <w:noWrap w:val="0"/>
            <w:vAlign w:val="center"/>
          </w:tcPr>
          <w:p w14:paraId="588E0229">
            <w:pPr>
              <w:pStyle w:val="27"/>
              <w:rPr>
                <w:rFonts w:ascii="Times New Roman" w:hAnsi="Times New Roman"/>
                <w:highlight w:val="none"/>
              </w:rPr>
            </w:pPr>
            <w:r>
              <w:rPr>
                <w:rFonts w:ascii="Times New Roman" w:hAnsi="Times New Roman"/>
                <w:highlight w:val="none"/>
              </w:rPr>
              <w:t>年平均</w:t>
            </w:r>
          </w:p>
        </w:tc>
        <w:tc>
          <w:tcPr>
            <w:tcW w:w="938" w:type="pct"/>
            <w:tcBorders>
              <w:bottom w:val="single" w:color="auto" w:sz="2" w:space="0"/>
            </w:tcBorders>
            <w:noWrap w:val="0"/>
            <w:vAlign w:val="center"/>
          </w:tcPr>
          <w:p w14:paraId="7FC41295">
            <w:pPr>
              <w:pStyle w:val="27"/>
              <w:rPr>
                <w:rFonts w:ascii="Times New Roman" w:hAnsi="Times New Roman"/>
                <w:highlight w:val="none"/>
              </w:rPr>
            </w:pPr>
            <w:r>
              <w:rPr>
                <w:rFonts w:ascii="Times New Roman" w:hAnsi="Times New Roman"/>
                <w:highlight w:val="none"/>
              </w:rPr>
              <w:t>200</w:t>
            </w:r>
          </w:p>
        </w:tc>
        <w:tc>
          <w:tcPr>
            <w:tcW w:w="1436" w:type="pct"/>
            <w:vMerge w:val="continue"/>
            <w:noWrap w:val="0"/>
            <w:vAlign w:val="center"/>
          </w:tcPr>
          <w:p w14:paraId="1CF4A0B1">
            <w:pPr>
              <w:pStyle w:val="27"/>
              <w:rPr>
                <w:rFonts w:ascii="Times New Roman" w:hAnsi="Times New Roman"/>
                <w:highlight w:val="none"/>
              </w:rPr>
            </w:pPr>
          </w:p>
        </w:tc>
      </w:tr>
      <w:tr w14:paraId="0FB614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vMerge w:val="continue"/>
            <w:noWrap w:val="0"/>
            <w:vAlign w:val="center"/>
          </w:tcPr>
          <w:p w14:paraId="5621A1E2">
            <w:pPr>
              <w:pStyle w:val="27"/>
              <w:rPr>
                <w:rFonts w:ascii="Times New Roman" w:hAnsi="Times New Roman"/>
                <w:highlight w:val="none"/>
              </w:rPr>
            </w:pPr>
          </w:p>
        </w:tc>
        <w:tc>
          <w:tcPr>
            <w:tcW w:w="819" w:type="pct"/>
            <w:vMerge w:val="continue"/>
            <w:noWrap w:val="0"/>
            <w:vAlign w:val="center"/>
          </w:tcPr>
          <w:p w14:paraId="07215AFB">
            <w:pPr>
              <w:pStyle w:val="27"/>
              <w:rPr>
                <w:rFonts w:ascii="Times New Roman" w:hAnsi="Times New Roman"/>
                <w:highlight w:val="none"/>
              </w:rPr>
            </w:pPr>
          </w:p>
        </w:tc>
        <w:tc>
          <w:tcPr>
            <w:tcW w:w="1195" w:type="pct"/>
            <w:tcBorders>
              <w:top w:val="single" w:color="auto" w:sz="2" w:space="0"/>
              <w:bottom w:val="single" w:color="auto" w:sz="2" w:space="0"/>
            </w:tcBorders>
            <w:noWrap w:val="0"/>
            <w:vAlign w:val="center"/>
          </w:tcPr>
          <w:p w14:paraId="23D770A8">
            <w:pPr>
              <w:pStyle w:val="27"/>
              <w:rPr>
                <w:rFonts w:ascii="Times New Roman" w:hAnsi="Times New Roman"/>
                <w:highlight w:val="none"/>
              </w:rPr>
            </w:pPr>
            <w:r>
              <w:rPr>
                <w:rFonts w:ascii="Times New Roman" w:hAnsi="Times New Roman"/>
                <w:highlight w:val="none"/>
              </w:rPr>
              <w:t>24小时平均</w:t>
            </w:r>
          </w:p>
        </w:tc>
        <w:tc>
          <w:tcPr>
            <w:tcW w:w="938" w:type="pct"/>
            <w:tcBorders>
              <w:top w:val="single" w:color="auto" w:sz="2" w:space="0"/>
              <w:bottom w:val="single" w:color="auto" w:sz="2" w:space="0"/>
            </w:tcBorders>
            <w:noWrap w:val="0"/>
            <w:vAlign w:val="center"/>
          </w:tcPr>
          <w:p w14:paraId="5309D663">
            <w:pPr>
              <w:pStyle w:val="27"/>
              <w:rPr>
                <w:rFonts w:ascii="Times New Roman" w:hAnsi="Times New Roman"/>
                <w:highlight w:val="none"/>
              </w:rPr>
            </w:pPr>
            <w:r>
              <w:rPr>
                <w:rFonts w:ascii="Times New Roman" w:hAnsi="Times New Roman"/>
                <w:highlight w:val="none"/>
              </w:rPr>
              <w:t>300</w:t>
            </w:r>
          </w:p>
        </w:tc>
        <w:tc>
          <w:tcPr>
            <w:tcW w:w="1436" w:type="pct"/>
            <w:vMerge w:val="continue"/>
            <w:noWrap w:val="0"/>
            <w:vAlign w:val="center"/>
          </w:tcPr>
          <w:p w14:paraId="43AB6583">
            <w:pPr>
              <w:pStyle w:val="27"/>
              <w:rPr>
                <w:rFonts w:ascii="Times New Roman" w:hAnsi="Times New Roman"/>
                <w:highlight w:val="none"/>
              </w:rPr>
            </w:pPr>
          </w:p>
        </w:tc>
      </w:tr>
      <w:tr w14:paraId="6E324D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vMerge w:val="restart"/>
            <w:noWrap w:val="0"/>
            <w:vAlign w:val="center"/>
          </w:tcPr>
          <w:p w14:paraId="5B7B4B26">
            <w:pPr>
              <w:pStyle w:val="27"/>
              <w:rPr>
                <w:rFonts w:ascii="Times New Roman" w:hAnsi="Times New Roman"/>
                <w:highlight w:val="none"/>
              </w:rPr>
            </w:pPr>
            <w:r>
              <w:rPr>
                <w:rFonts w:ascii="Times New Roman" w:hAnsi="Times New Roman"/>
                <w:highlight w:val="none"/>
              </w:rPr>
              <w:t>8</w:t>
            </w:r>
          </w:p>
        </w:tc>
        <w:tc>
          <w:tcPr>
            <w:tcW w:w="819" w:type="pct"/>
            <w:vMerge w:val="restart"/>
            <w:noWrap w:val="0"/>
            <w:vAlign w:val="center"/>
          </w:tcPr>
          <w:p w14:paraId="56C19970">
            <w:pPr>
              <w:pStyle w:val="27"/>
              <w:rPr>
                <w:rFonts w:ascii="Times New Roman" w:hAnsi="Times New Roman"/>
                <w:highlight w:val="none"/>
              </w:rPr>
            </w:pPr>
            <w:r>
              <w:rPr>
                <w:rFonts w:ascii="Times New Roman" w:hAnsi="Times New Roman"/>
                <w:highlight w:val="none"/>
              </w:rPr>
              <w:t>NOx</w:t>
            </w:r>
          </w:p>
        </w:tc>
        <w:tc>
          <w:tcPr>
            <w:tcW w:w="1195" w:type="pct"/>
            <w:tcBorders>
              <w:top w:val="single" w:color="auto" w:sz="2" w:space="0"/>
              <w:bottom w:val="single" w:color="auto" w:sz="2" w:space="0"/>
            </w:tcBorders>
            <w:noWrap w:val="0"/>
            <w:vAlign w:val="center"/>
          </w:tcPr>
          <w:p w14:paraId="4B3EB7AB">
            <w:pPr>
              <w:pStyle w:val="27"/>
              <w:rPr>
                <w:rFonts w:ascii="Times New Roman" w:hAnsi="Times New Roman"/>
                <w:highlight w:val="none"/>
              </w:rPr>
            </w:pPr>
            <w:r>
              <w:rPr>
                <w:rFonts w:ascii="Times New Roman" w:hAnsi="Times New Roman"/>
                <w:highlight w:val="none"/>
              </w:rPr>
              <w:t>年平均</w:t>
            </w:r>
          </w:p>
        </w:tc>
        <w:tc>
          <w:tcPr>
            <w:tcW w:w="938" w:type="pct"/>
            <w:tcBorders>
              <w:top w:val="single" w:color="auto" w:sz="2" w:space="0"/>
              <w:bottom w:val="single" w:color="auto" w:sz="2" w:space="0"/>
            </w:tcBorders>
            <w:noWrap w:val="0"/>
            <w:vAlign w:val="center"/>
          </w:tcPr>
          <w:p w14:paraId="0E0FB464">
            <w:pPr>
              <w:pStyle w:val="27"/>
              <w:rPr>
                <w:rFonts w:ascii="Times New Roman" w:hAnsi="Times New Roman"/>
                <w:highlight w:val="none"/>
              </w:rPr>
            </w:pPr>
            <w:r>
              <w:rPr>
                <w:rFonts w:ascii="Times New Roman" w:hAnsi="Times New Roman"/>
                <w:highlight w:val="none"/>
              </w:rPr>
              <w:t>50</w:t>
            </w:r>
          </w:p>
        </w:tc>
        <w:tc>
          <w:tcPr>
            <w:tcW w:w="1436" w:type="pct"/>
            <w:vMerge w:val="continue"/>
            <w:noWrap w:val="0"/>
            <w:vAlign w:val="center"/>
          </w:tcPr>
          <w:p w14:paraId="5B3759AA">
            <w:pPr>
              <w:pStyle w:val="27"/>
              <w:rPr>
                <w:rFonts w:ascii="Times New Roman" w:hAnsi="Times New Roman"/>
                <w:highlight w:val="none"/>
              </w:rPr>
            </w:pPr>
          </w:p>
        </w:tc>
      </w:tr>
      <w:tr w14:paraId="66B42F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vMerge w:val="continue"/>
            <w:noWrap w:val="0"/>
            <w:vAlign w:val="center"/>
          </w:tcPr>
          <w:p w14:paraId="5A7309A4">
            <w:pPr>
              <w:pStyle w:val="27"/>
              <w:rPr>
                <w:rFonts w:ascii="Times New Roman" w:hAnsi="Times New Roman"/>
                <w:highlight w:val="none"/>
              </w:rPr>
            </w:pPr>
          </w:p>
        </w:tc>
        <w:tc>
          <w:tcPr>
            <w:tcW w:w="819" w:type="pct"/>
            <w:vMerge w:val="continue"/>
            <w:noWrap w:val="0"/>
            <w:vAlign w:val="center"/>
          </w:tcPr>
          <w:p w14:paraId="32E7BD23">
            <w:pPr>
              <w:pStyle w:val="27"/>
              <w:rPr>
                <w:rFonts w:ascii="Times New Roman" w:hAnsi="Times New Roman"/>
                <w:highlight w:val="none"/>
              </w:rPr>
            </w:pPr>
          </w:p>
        </w:tc>
        <w:tc>
          <w:tcPr>
            <w:tcW w:w="1195" w:type="pct"/>
            <w:tcBorders>
              <w:top w:val="single" w:color="auto" w:sz="2" w:space="0"/>
              <w:bottom w:val="single" w:color="auto" w:sz="2" w:space="0"/>
            </w:tcBorders>
            <w:noWrap w:val="0"/>
            <w:vAlign w:val="center"/>
          </w:tcPr>
          <w:p w14:paraId="5DF81B4C">
            <w:pPr>
              <w:pStyle w:val="27"/>
              <w:rPr>
                <w:rFonts w:ascii="Times New Roman" w:hAnsi="Times New Roman"/>
                <w:highlight w:val="none"/>
              </w:rPr>
            </w:pPr>
            <w:r>
              <w:rPr>
                <w:rFonts w:ascii="Times New Roman" w:hAnsi="Times New Roman"/>
                <w:highlight w:val="none"/>
              </w:rPr>
              <w:t>24小时平均</w:t>
            </w:r>
          </w:p>
        </w:tc>
        <w:tc>
          <w:tcPr>
            <w:tcW w:w="938" w:type="pct"/>
            <w:tcBorders>
              <w:top w:val="single" w:color="auto" w:sz="2" w:space="0"/>
              <w:bottom w:val="single" w:color="auto" w:sz="2" w:space="0"/>
            </w:tcBorders>
            <w:noWrap w:val="0"/>
            <w:vAlign w:val="center"/>
          </w:tcPr>
          <w:p w14:paraId="33E2B631">
            <w:pPr>
              <w:pStyle w:val="27"/>
              <w:rPr>
                <w:rFonts w:ascii="Times New Roman" w:hAnsi="Times New Roman"/>
                <w:highlight w:val="none"/>
              </w:rPr>
            </w:pPr>
            <w:r>
              <w:rPr>
                <w:rFonts w:ascii="Times New Roman" w:hAnsi="Times New Roman"/>
                <w:highlight w:val="none"/>
              </w:rPr>
              <w:t>100</w:t>
            </w:r>
          </w:p>
        </w:tc>
        <w:tc>
          <w:tcPr>
            <w:tcW w:w="1436" w:type="pct"/>
            <w:vMerge w:val="continue"/>
            <w:noWrap w:val="0"/>
            <w:vAlign w:val="center"/>
          </w:tcPr>
          <w:p w14:paraId="1480B0C4">
            <w:pPr>
              <w:pStyle w:val="27"/>
              <w:rPr>
                <w:rFonts w:ascii="Times New Roman" w:hAnsi="Times New Roman"/>
                <w:highlight w:val="none"/>
              </w:rPr>
            </w:pPr>
          </w:p>
        </w:tc>
      </w:tr>
      <w:tr w14:paraId="5E94AA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vMerge w:val="continue"/>
            <w:noWrap w:val="0"/>
            <w:vAlign w:val="center"/>
          </w:tcPr>
          <w:p w14:paraId="20B243C1">
            <w:pPr>
              <w:pStyle w:val="27"/>
              <w:rPr>
                <w:rFonts w:ascii="Times New Roman" w:hAnsi="Times New Roman"/>
                <w:highlight w:val="none"/>
              </w:rPr>
            </w:pPr>
          </w:p>
        </w:tc>
        <w:tc>
          <w:tcPr>
            <w:tcW w:w="819" w:type="pct"/>
            <w:vMerge w:val="continue"/>
            <w:noWrap w:val="0"/>
            <w:vAlign w:val="center"/>
          </w:tcPr>
          <w:p w14:paraId="1BF76BA4">
            <w:pPr>
              <w:pStyle w:val="27"/>
              <w:rPr>
                <w:rFonts w:ascii="Times New Roman" w:hAnsi="Times New Roman"/>
                <w:highlight w:val="none"/>
              </w:rPr>
            </w:pPr>
          </w:p>
        </w:tc>
        <w:tc>
          <w:tcPr>
            <w:tcW w:w="1195" w:type="pct"/>
            <w:tcBorders>
              <w:top w:val="single" w:color="auto" w:sz="2" w:space="0"/>
              <w:bottom w:val="single" w:color="auto" w:sz="2" w:space="0"/>
            </w:tcBorders>
            <w:noWrap w:val="0"/>
            <w:vAlign w:val="center"/>
          </w:tcPr>
          <w:p w14:paraId="427CABE9">
            <w:pPr>
              <w:pStyle w:val="27"/>
              <w:rPr>
                <w:rFonts w:ascii="Times New Roman" w:hAnsi="Times New Roman"/>
                <w:highlight w:val="none"/>
              </w:rPr>
            </w:pPr>
            <w:r>
              <w:rPr>
                <w:rFonts w:ascii="Times New Roman" w:hAnsi="Times New Roman"/>
                <w:highlight w:val="none"/>
              </w:rPr>
              <w:t>1小时平均</w:t>
            </w:r>
          </w:p>
        </w:tc>
        <w:tc>
          <w:tcPr>
            <w:tcW w:w="938" w:type="pct"/>
            <w:tcBorders>
              <w:top w:val="single" w:color="auto" w:sz="2" w:space="0"/>
              <w:bottom w:val="single" w:color="auto" w:sz="2" w:space="0"/>
            </w:tcBorders>
            <w:noWrap w:val="0"/>
            <w:vAlign w:val="center"/>
          </w:tcPr>
          <w:p w14:paraId="33D8B8E1">
            <w:pPr>
              <w:pStyle w:val="27"/>
              <w:rPr>
                <w:rFonts w:ascii="Times New Roman" w:hAnsi="Times New Roman"/>
                <w:highlight w:val="none"/>
              </w:rPr>
            </w:pPr>
            <w:r>
              <w:rPr>
                <w:rFonts w:ascii="Times New Roman" w:hAnsi="Times New Roman"/>
                <w:highlight w:val="none"/>
              </w:rPr>
              <w:t>250</w:t>
            </w:r>
          </w:p>
        </w:tc>
        <w:tc>
          <w:tcPr>
            <w:tcW w:w="1436" w:type="pct"/>
            <w:vMerge w:val="continue"/>
            <w:noWrap w:val="0"/>
            <w:vAlign w:val="center"/>
          </w:tcPr>
          <w:p w14:paraId="286850C7">
            <w:pPr>
              <w:pStyle w:val="27"/>
              <w:rPr>
                <w:rFonts w:ascii="Times New Roman" w:hAnsi="Times New Roman"/>
                <w:highlight w:val="none"/>
              </w:rPr>
            </w:pPr>
          </w:p>
        </w:tc>
      </w:tr>
      <w:tr w14:paraId="630DA9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noWrap w:val="0"/>
            <w:vAlign w:val="center"/>
          </w:tcPr>
          <w:p w14:paraId="4BC23973">
            <w:pPr>
              <w:pStyle w:val="27"/>
              <w:rPr>
                <w:rFonts w:ascii="Times New Roman" w:hAnsi="Times New Roman"/>
                <w:highlight w:val="none"/>
              </w:rPr>
            </w:pPr>
            <w:r>
              <w:rPr>
                <w:rFonts w:ascii="Times New Roman" w:hAnsi="Times New Roman"/>
                <w:highlight w:val="none"/>
              </w:rPr>
              <w:t>9</w:t>
            </w:r>
          </w:p>
        </w:tc>
        <w:tc>
          <w:tcPr>
            <w:tcW w:w="819" w:type="pct"/>
            <w:noWrap w:val="0"/>
            <w:vAlign w:val="center"/>
          </w:tcPr>
          <w:p w14:paraId="525DECBF">
            <w:pPr>
              <w:pStyle w:val="27"/>
              <w:rPr>
                <w:rFonts w:ascii="Times New Roman" w:hAnsi="Times New Roman"/>
                <w:highlight w:val="none"/>
              </w:rPr>
            </w:pPr>
            <w:r>
              <w:rPr>
                <w:rFonts w:ascii="Times New Roman" w:hAnsi="Times New Roman"/>
                <w:highlight w:val="none"/>
              </w:rPr>
              <w:t>Hg</w:t>
            </w:r>
          </w:p>
        </w:tc>
        <w:tc>
          <w:tcPr>
            <w:tcW w:w="1195" w:type="pct"/>
            <w:tcBorders>
              <w:top w:val="single" w:color="auto" w:sz="2" w:space="0"/>
              <w:bottom w:val="single" w:color="auto" w:sz="2" w:space="0"/>
            </w:tcBorders>
            <w:noWrap w:val="0"/>
            <w:vAlign w:val="center"/>
          </w:tcPr>
          <w:p w14:paraId="7ADB54C8">
            <w:pPr>
              <w:pStyle w:val="27"/>
              <w:rPr>
                <w:rFonts w:ascii="Times New Roman" w:hAnsi="Times New Roman"/>
                <w:highlight w:val="none"/>
              </w:rPr>
            </w:pPr>
            <w:r>
              <w:rPr>
                <w:rFonts w:ascii="Times New Roman" w:hAnsi="Times New Roman"/>
                <w:highlight w:val="none"/>
              </w:rPr>
              <w:t>年平均</w:t>
            </w:r>
          </w:p>
        </w:tc>
        <w:tc>
          <w:tcPr>
            <w:tcW w:w="938" w:type="pct"/>
            <w:tcBorders>
              <w:top w:val="single" w:color="auto" w:sz="2" w:space="0"/>
              <w:bottom w:val="single" w:color="auto" w:sz="2" w:space="0"/>
            </w:tcBorders>
            <w:noWrap w:val="0"/>
            <w:vAlign w:val="center"/>
          </w:tcPr>
          <w:p w14:paraId="5D41BC93">
            <w:pPr>
              <w:pStyle w:val="27"/>
              <w:rPr>
                <w:rFonts w:ascii="Times New Roman" w:hAnsi="Times New Roman"/>
                <w:highlight w:val="none"/>
              </w:rPr>
            </w:pPr>
            <w:r>
              <w:rPr>
                <w:rFonts w:ascii="Times New Roman" w:hAnsi="Times New Roman"/>
                <w:highlight w:val="none"/>
              </w:rPr>
              <w:t>0.05</w:t>
            </w:r>
          </w:p>
        </w:tc>
        <w:tc>
          <w:tcPr>
            <w:tcW w:w="1436" w:type="pct"/>
            <w:noWrap w:val="0"/>
            <w:vAlign w:val="center"/>
          </w:tcPr>
          <w:p w14:paraId="0353C6B7">
            <w:pPr>
              <w:pStyle w:val="27"/>
              <w:rPr>
                <w:rFonts w:ascii="Times New Roman" w:hAnsi="Times New Roman"/>
                <w:highlight w:val="none"/>
              </w:rPr>
            </w:pPr>
            <w:r>
              <w:rPr>
                <w:rFonts w:ascii="Times New Roman" w:hAnsi="Times New Roman"/>
                <w:highlight w:val="none"/>
              </w:rPr>
              <w:t xml:space="preserve">《环境空气质量标准》（GB3095-2012）附录A </w:t>
            </w:r>
          </w:p>
        </w:tc>
      </w:tr>
      <w:tr w14:paraId="09E5813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611" w:type="pct"/>
            <w:noWrap w:val="0"/>
            <w:vAlign w:val="center"/>
          </w:tcPr>
          <w:p w14:paraId="7FC4C91D">
            <w:pPr>
              <w:pStyle w:val="27"/>
              <w:rPr>
                <w:rFonts w:ascii="Times New Roman" w:hAnsi="Times New Roman"/>
                <w:highlight w:val="none"/>
              </w:rPr>
            </w:pPr>
            <w:r>
              <w:rPr>
                <w:rFonts w:ascii="Times New Roman" w:hAnsi="Times New Roman"/>
                <w:highlight w:val="none"/>
              </w:rPr>
              <w:t>10</w:t>
            </w:r>
          </w:p>
        </w:tc>
        <w:tc>
          <w:tcPr>
            <w:tcW w:w="819" w:type="pct"/>
            <w:noWrap w:val="0"/>
            <w:vAlign w:val="center"/>
          </w:tcPr>
          <w:p w14:paraId="7EC017A4">
            <w:pPr>
              <w:pStyle w:val="27"/>
              <w:rPr>
                <w:rFonts w:ascii="Times New Roman" w:hAnsi="Times New Roman"/>
                <w:highlight w:val="none"/>
              </w:rPr>
            </w:pPr>
            <w:r>
              <w:rPr>
                <w:rFonts w:ascii="Times New Roman" w:hAnsi="Times New Roman"/>
                <w:highlight w:val="none"/>
              </w:rPr>
              <w:t>NH</w:t>
            </w:r>
            <w:r>
              <w:rPr>
                <w:rFonts w:ascii="Times New Roman" w:hAnsi="Times New Roman"/>
                <w:highlight w:val="none"/>
                <w:vertAlign w:val="subscript"/>
              </w:rPr>
              <w:t>3</w:t>
            </w:r>
          </w:p>
        </w:tc>
        <w:tc>
          <w:tcPr>
            <w:tcW w:w="1195" w:type="pct"/>
            <w:tcBorders>
              <w:top w:val="single" w:color="auto" w:sz="2" w:space="0"/>
              <w:bottom w:val="single" w:color="auto" w:sz="12" w:space="0"/>
            </w:tcBorders>
            <w:noWrap w:val="0"/>
            <w:vAlign w:val="center"/>
          </w:tcPr>
          <w:p w14:paraId="2E497CA6">
            <w:pPr>
              <w:pStyle w:val="27"/>
              <w:rPr>
                <w:rFonts w:ascii="Times New Roman" w:hAnsi="Times New Roman"/>
                <w:highlight w:val="none"/>
              </w:rPr>
            </w:pPr>
            <w:r>
              <w:rPr>
                <w:rFonts w:ascii="Times New Roman" w:hAnsi="Times New Roman"/>
                <w:highlight w:val="none"/>
              </w:rPr>
              <w:t>1小时平均</w:t>
            </w:r>
          </w:p>
        </w:tc>
        <w:tc>
          <w:tcPr>
            <w:tcW w:w="938" w:type="pct"/>
            <w:tcBorders>
              <w:top w:val="single" w:color="auto" w:sz="2" w:space="0"/>
              <w:bottom w:val="single" w:color="auto" w:sz="12" w:space="0"/>
            </w:tcBorders>
            <w:noWrap w:val="0"/>
            <w:vAlign w:val="center"/>
          </w:tcPr>
          <w:p w14:paraId="71326591">
            <w:pPr>
              <w:pStyle w:val="27"/>
              <w:rPr>
                <w:rFonts w:ascii="Times New Roman" w:hAnsi="Times New Roman"/>
                <w:highlight w:val="none"/>
              </w:rPr>
            </w:pPr>
            <w:r>
              <w:rPr>
                <w:rFonts w:ascii="Times New Roman" w:hAnsi="Times New Roman"/>
                <w:highlight w:val="none"/>
              </w:rPr>
              <w:t>200</w:t>
            </w:r>
          </w:p>
        </w:tc>
        <w:tc>
          <w:tcPr>
            <w:tcW w:w="1436" w:type="pct"/>
            <w:noWrap w:val="0"/>
            <w:vAlign w:val="center"/>
          </w:tcPr>
          <w:p w14:paraId="5DBD01B2">
            <w:pPr>
              <w:pStyle w:val="27"/>
              <w:rPr>
                <w:rFonts w:ascii="Times New Roman" w:hAnsi="Times New Roman"/>
                <w:highlight w:val="none"/>
              </w:rPr>
            </w:pPr>
            <w:r>
              <w:rPr>
                <w:rFonts w:ascii="Times New Roman" w:hAnsi="Times New Roman"/>
                <w:highlight w:val="none"/>
              </w:rPr>
              <w:t>《环境影响评价技术导则—大气环境》（HJ2.2-2018）附录D</w:t>
            </w:r>
          </w:p>
        </w:tc>
      </w:tr>
    </w:tbl>
    <w:p w14:paraId="4004F464">
      <w:pPr>
        <w:rPr>
          <w:rFonts w:hint="eastAsia"/>
          <w:highlight w:val="none"/>
          <w:lang w:val="en-US" w:eastAsia="zh-CN"/>
        </w:rPr>
      </w:pPr>
      <w:r>
        <w:rPr>
          <w:rFonts w:hint="eastAsia"/>
          <w:highlight w:val="none"/>
          <w:lang w:val="en-US" w:eastAsia="zh-CN"/>
        </w:rPr>
        <w:t>2、地表水环境质量标准</w:t>
      </w:r>
    </w:p>
    <w:p w14:paraId="356D2FFB">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黑体" w:cs="Times New Roman"/>
          <w:color w:val="auto"/>
          <w:spacing w:val="20"/>
          <w:sz w:val="24"/>
          <w:szCs w:val="24"/>
          <w:highlight w:val="none"/>
        </w:rPr>
      </w:pPr>
      <w:r>
        <w:rPr>
          <w:rFonts w:hint="default" w:ascii="Times New Roman" w:hAnsi="Times New Roman" w:eastAsia="宋体" w:cs="Times New Roman"/>
          <w:color w:val="auto"/>
          <w:spacing w:val="0"/>
          <w:sz w:val="24"/>
          <w:highlight w:val="none"/>
          <w:lang w:val="en-US" w:eastAsia="zh-CN"/>
        </w:rPr>
        <w:t>本项目所在区域</w:t>
      </w:r>
      <w:r>
        <w:rPr>
          <w:rFonts w:hint="default" w:ascii="Times New Roman" w:hAnsi="Times New Roman" w:cs="Times New Roman"/>
          <w:color w:val="auto"/>
          <w:spacing w:val="0"/>
          <w:sz w:val="24"/>
          <w:highlight w:val="none"/>
          <w:lang w:val="en-US" w:eastAsia="zh-CN"/>
        </w:rPr>
        <w:t>水系为绥芬河，所在河流</w:t>
      </w:r>
      <w:r>
        <w:rPr>
          <w:rFonts w:hint="default" w:ascii="Times New Roman" w:hAnsi="Times New Roman" w:eastAsia="宋体" w:cs="Times New Roman"/>
          <w:color w:val="auto"/>
          <w:spacing w:val="0"/>
          <w:sz w:val="24"/>
          <w:highlight w:val="none"/>
          <w:lang w:val="en-US" w:eastAsia="zh-CN"/>
        </w:rPr>
        <w:t>为</w:t>
      </w:r>
      <w:r>
        <w:rPr>
          <w:rFonts w:hint="eastAsia" w:cs="Times New Roman"/>
          <w:color w:val="auto"/>
          <w:spacing w:val="0"/>
          <w:sz w:val="24"/>
          <w:highlight w:val="none"/>
          <w:lang w:val="en-US" w:eastAsia="zh-CN"/>
        </w:rPr>
        <w:t>北大河</w:t>
      </w:r>
      <w:r>
        <w:rPr>
          <w:rFonts w:hint="default" w:ascii="Times New Roman" w:hAnsi="Times New Roman" w:eastAsia="宋体" w:cs="Times New Roman"/>
          <w:color w:val="auto"/>
          <w:spacing w:val="0"/>
          <w:sz w:val="24"/>
          <w:highlight w:val="none"/>
          <w:lang w:val="en-US" w:eastAsia="zh-CN"/>
        </w:rPr>
        <w:t>，</w:t>
      </w:r>
      <w:r>
        <w:rPr>
          <w:rFonts w:hint="eastAsia" w:cs="Times New Roman"/>
          <w:color w:val="auto"/>
          <w:spacing w:val="0"/>
          <w:sz w:val="24"/>
          <w:highlight w:val="none"/>
          <w:lang w:val="en-US" w:eastAsia="zh-CN"/>
        </w:rPr>
        <w:t>北大河</w:t>
      </w:r>
      <w:r>
        <w:rPr>
          <w:rFonts w:hint="default" w:ascii="Times New Roman" w:hAnsi="Times New Roman" w:cs="Times New Roman"/>
          <w:color w:val="auto"/>
          <w:spacing w:val="0"/>
          <w:sz w:val="24"/>
          <w:highlight w:val="none"/>
          <w:lang w:val="en-US" w:eastAsia="zh-CN"/>
        </w:rPr>
        <w:t>为小绥芬河支流，因</w:t>
      </w:r>
      <w:r>
        <w:rPr>
          <w:rFonts w:hint="eastAsia" w:cs="Times New Roman"/>
          <w:color w:val="auto"/>
          <w:spacing w:val="0"/>
          <w:sz w:val="24"/>
          <w:highlight w:val="none"/>
          <w:lang w:val="en-US" w:eastAsia="zh-CN"/>
        </w:rPr>
        <w:t>北大河</w:t>
      </w:r>
      <w:r>
        <w:rPr>
          <w:rFonts w:hint="default" w:ascii="Times New Roman" w:hAnsi="Times New Roman" w:cs="Times New Roman"/>
          <w:color w:val="auto"/>
          <w:spacing w:val="0"/>
          <w:sz w:val="24"/>
          <w:highlight w:val="none"/>
          <w:lang w:val="en-US" w:eastAsia="zh-CN"/>
        </w:rPr>
        <w:t>无水体功能，本项目参照小绥芬河水体功能类别，</w:t>
      </w:r>
      <w:r>
        <w:rPr>
          <w:rFonts w:hint="eastAsia" w:cs="Times New Roman"/>
          <w:color w:val="auto"/>
          <w:spacing w:val="0"/>
          <w:sz w:val="24"/>
          <w:highlight w:val="none"/>
          <w:lang w:val="en-US" w:eastAsia="zh-CN"/>
        </w:rPr>
        <w:t>本</w:t>
      </w:r>
      <w:r>
        <w:rPr>
          <w:rFonts w:hint="default" w:ascii="Times New Roman" w:hAnsi="Times New Roman" w:cs="Times New Roman"/>
          <w:color w:val="auto"/>
          <w:spacing w:val="0"/>
          <w:sz w:val="24"/>
          <w:highlight w:val="none"/>
          <w:lang w:val="en-US" w:eastAsia="zh-CN"/>
        </w:rPr>
        <w:t>项目</w:t>
      </w:r>
      <w:r>
        <w:rPr>
          <w:rFonts w:hint="default" w:ascii="Times New Roman" w:hAnsi="Times New Roman" w:eastAsia="宋体" w:cs="Times New Roman"/>
          <w:color w:val="auto"/>
          <w:sz w:val="24"/>
          <w:highlight w:val="none"/>
          <w:lang w:val="en-US" w:eastAsia="zh-CN"/>
        </w:rPr>
        <w:t>位于</w:t>
      </w:r>
      <w:r>
        <w:rPr>
          <w:rFonts w:hint="default" w:ascii="Times New Roman" w:hAnsi="Times New Roman" w:cs="Times New Roman"/>
          <w:color w:val="auto"/>
          <w:sz w:val="24"/>
          <w:highlight w:val="none"/>
          <w:lang w:val="en-US" w:eastAsia="zh-CN"/>
        </w:rPr>
        <w:t>小绥芬河（老莱营村-大、小绥芬河汇合口</w:t>
      </w:r>
      <w:r>
        <w:rPr>
          <w:rFonts w:hint="default" w:ascii="Times New Roman" w:hAnsi="Times New Roman" w:eastAsia="宋体" w:cs="Times New Roman"/>
          <w:color w:val="auto"/>
          <w:sz w:val="24"/>
          <w:highlight w:val="none"/>
          <w:lang w:val="en-US" w:eastAsia="zh-CN"/>
        </w:rPr>
        <w:t>断面</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根据《全国重要江河湖泊水功能区划（2011～2030年）》</w:t>
      </w:r>
      <w:r>
        <w:rPr>
          <w:rFonts w:hint="default" w:ascii="Times New Roman" w:hAnsi="Times New Roman" w:cs="Times New Roman"/>
          <w:color w:val="auto"/>
          <w:kern w:val="0"/>
          <w:sz w:val="24"/>
          <w:szCs w:val="24"/>
          <w:highlight w:val="none"/>
          <w:lang w:val="en-US" w:eastAsia="zh-CN" w:bidi="ar"/>
        </w:rPr>
        <w:t>，水质类别为</w:t>
      </w:r>
      <w:r>
        <w:rPr>
          <w:rFonts w:hint="default" w:ascii="Times New Roman" w:hAnsi="Times New Roman" w:eastAsia="宋体" w:cs="Times New Roman"/>
          <w:color w:val="auto"/>
          <w:sz w:val="24"/>
          <w:highlight w:val="none"/>
        </w:rPr>
        <w:t>Ⅲ</w:t>
      </w:r>
      <w:r>
        <w:rPr>
          <w:rFonts w:hint="default" w:ascii="Times New Roman" w:hAnsi="Times New Roman" w:cs="Times New Roman"/>
          <w:color w:val="auto"/>
          <w:kern w:val="0"/>
          <w:sz w:val="24"/>
          <w:szCs w:val="24"/>
          <w:highlight w:val="none"/>
          <w:lang w:val="en-US" w:eastAsia="zh-CN" w:bidi="ar"/>
        </w:rPr>
        <w:t>类，</w:t>
      </w:r>
      <w:r>
        <w:rPr>
          <w:rFonts w:hint="default" w:ascii="Times New Roman" w:hAnsi="Times New Roman" w:eastAsia="宋体" w:cs="Times New Roman"/>
          <w:color w:val="auto"/>
          <w:sz w:val="24"/>
          <w:highlight w:val="none"/>
          <w:lang w:val="en-US" w:eastAsia="zh-CN"/>
        </w:rPr>
        <w:t>执行</w:t>
      </w:r>
      <w:r>
        <w:rPr>
          <w:rFonts w:hint="default" w:ascii="Times New Roman" w:hAnsi="Times New Roman" w:eastAsia="宋体" w:cs="Times New Roman"/>
          <w:color w:val="auto"/>
          <w:sz w:val="24"/>
          <w:highlight w:val="none"/>
        </w:rPr>
        <w:t>《地表水环境质量标准》（GB3838-2002）中Ⅲ类水体标准</w:t>
      </w:r>
      <w:r>
        <w:rPr>
          <w:rFonts w:hint="default" w:ascii="Times New Roman" w:hAnsi="Times New Roman" w:cs="Times New Roman"/>
          <w:color w:val="auto"/>
          <w:sz w:val="24"/>
          <w:highlight w:val="none"/>
          <w:lang w:eastAsia="zh-CN"/>
        </w:rPr>
        <w:t>。</w:t>
      </w:r>
      <w:r>
        <w:rPr>
          <w:rFonts w:hint="eastAsia" w:cs="Times New Roman"/>
          <w:color w:val="auto"/>
          <w:sz w:val="24"/>
          <w:highlight w:val="none"/>
          <w:lang w:val="en-US" w:eastAsia="zh-CN"/>
        </w:rPr>
        <w:t>本项目</w:t>
      </w:r>
      <w:r>
        <w:rPr>
          <w:rFonts w:hint="default" w:ascii="Times New Roman" w:hAnsi="Times New Roman" w:eastAsia="宋体" w:cs="Times New Roman"/>
          <w:color w:val="auto"/>
          <w:spacing w:val="0"/>
          <w:sz w:val="24"/>
          <w:highlight w:val="none"/>
          <w:lang w:val="en-US" w:eastAsia="zh-CN"/>
        </w:rPr>
        <w:t>地表水环境质量执行标准见表2</w:t>
      </w:r>
      <w:r>
        <w:rPr>
          <w:rFonts w:hint="eastAsia" w:ascii="Times New Roman" w:hAnsi="Times New Roman" w:eastAsia="宋体" w:cs="Times New Roman"/>
          <w:color w:val="auto"/>
          <w:spacing w:val="0"/>
          <w:sz w:val="24"/>
          <w:highlight w:val="none"/>
          <w:lang w:val="en-US" w:eastAsia="zh-CN"/>
        </w:rPr>
        <w:t>.</w:t>
      </w:r>
      <w:r>
        <w:rPr>
          <w:rFonts w:hint="default" w:ascii="Times New Roman" w:hAnsi="Times New Roman" w:eastAsia="宋体" w:cs="Times New Roman"/>
          <w:color w:val="auto"/>
          <w:spacing w:val="0"/>
          <w:sz w:val="24"/>
          <w:highlight w:val="none"/>
          <w:lang w:val="en-US" w:eastAsia="zh-CN"/>
        </w:rPr>
        <w:t>3-</w:t>
      </w:r>
      <w:r>
        <w:rPr>
          <w:rFonts w:hint="eastAsia" w:ascii="Times New Roman" w:hAnsi="Times New Roman" w:eastAsia="宋体" w:cs="Times New Roman"/>
          <w:color w:val="auto"/>
          <w:spacing w:val="0"/>
          <w:sz w:val="24"/>
          <w:highlight w:val="none"/>
          <w:lang w:val="en-US" w:eastAsia="zh-CN"/>
        </w:rPr>
        <w:t>6</w:t>
      </w:r>
      <w:r>
        <w:rPr>
          <w:rFonts w:hint="default" w:ascii="Times New Roman" w:hAnsi="Times New Roman" w:eastAsia="宋体" w:cs="Times New Roman"/>
          <w:color w:val="auto"/>
          <w:spacing w:val="0"/>
          <w:sz w:val="24"/>
          <w:highlight w:val="none"/>
          <w:lang w:val="en-US" w:eastAsia="zh-CN"/>
        </w:rPr>
        <w:t>。</w:t>
      </w:r>
    </w:p>
    <w:p w14:paraId="5688C07A">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eastAsia="黑体" w:cs="Times New Roman"/>
          <w:color w:val="auto"/>
          <w:spacing w:val="0"/>
          <w:sz w:val="24"/>
          <w:szCs w:val="24"/>
          <w:highlight w:val="none"/>
        </w:rPr>
      </w:pPr>
      <w:r>
        <w:rPr>
          <w:rFonts w:hint="default" w:ascii="Times New Roman" w:hAnsi="Times New Roman" w:eastAsia="黑体" w:cs="Times New Roman"/>
          <w:color w:val="auto"/>
          <w:spacing w:val="0"/>
          <w:sz w:val="24"/>
          <w:szCs w:val="24"/>
          <w:highlight w:val="none"/>
        </w:rPr>
        <w:t>表2</w:t>
      </w:r>
      <w:r>
        <w:rPr>
          <w:rFonts w:hint="eastAsia" w:ascii="Times New Roman" w:hAnsi="Times New Roman" w:eastAsia="黑体" w:cs="Times New Roman"/>
          <w:color w:val="auto"/>
          <w:spacing w:val="0"/>
          <w:sz w:val="24"/>
          <w:szCs w:val="24"/>
          <w:highlight w:val="none"/>
          <w:lang w:val="en-US" w:eastAsia="zh-CN"/>
        </w:rPr>
        <w:t>.</w:t>
      </w:r>
      <w:r>
        <w:rPr>
          <w:rFonts w:hint="default" w:ascii="Times New Roman" w:hAnsi="Times New Roman" w:eastAsia="黑体" w:cs="Times New Roman"/>
          <w:color w:val="auto"/>
          <w:spacing w:val="0"/>
          <w:sz w:val="24"/>
          <w:szCs w:val="24"/>
          <w:highlight w:val="none"/>
        </w:rPr>
        <w:t>3-</w:t>
      </w:r>
      <w:r>
        <w:rPr>
          <w:rFonts w:hint="eastAsia" w:ascii="Times New Roman" w:hAnsi="Times New Roman" w:eastAsia="黑体" w:cs="Times New Roman"/>
          <w:color w:val="auto"/>
          <w:spacing w:val="0"/>
          <w:sz w:val="24"/>
          <w:szCs w:val="24"/>
          <w:highlight w:val="none"/>
          <w:lang w:val="en-US" w:eastAsia="zh-CN"/>
        </w:rPr>
        <w:t>6</w:t>
      </w:r>
      <w:r>
        <w:rPr>
          <w:rFonts w:hint="default" w:ascii="Times New Roman" w:hAnsi="Times New Roman" w:eastAsia="黑体" w:cs="Times New Roman"/>
          <w:color w:val="auto"/>
          <w:spacing w:val="0"/>
          <w:sz w:val="24"/>
          <w:szCs w:val="24"/>
          <w:highlight w:val="none"/>
        </w:rPr>
        <w:t>本项目</w:t>
      </w:r>
      <w:r>
        <w:rPr>
          <w:rFonts w:hint="default" w:ascii="Times New Roman" w:hAnsi="Times New Roman" w:eastAsia="黑体" w:cs="Times New Roman"/>
          <w:color w:val="auto"/>
          <w:spacing w:val="0"/>
          <w:sz w:val="24"/>
          <w:szCs w:val="24"/>
          <w:highlight w:val="none"/>
          <w:lang w:eastAsia="zh-CN"/>
        </w:rPr>
        <w:t>地表水环境</w:t>
      </w:r>
      <w:r>
        <w:rPr>
          <w:rFonts w:hint="default" w:ascii="Times New Roman" w:hAnsi="Times New Roman" w:eastAsia="黑体" w:cs="Times New Roman"/>
          <w:color w:val="auto"/>
          <w:spacing w:val="0"/>
          <w:sz w:val="24"/>
          <w:szCs w:val="24"/>
          <w:highlight w:val="none"/>
        </w:rPr>
        <w:t>质量标准</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autofit"/>
        <w:tblCellMar>
          <w:top w:w="0" w:type="dxa"/>
          <w:left w:w="108" w:type="dxa"/>
          <w:bottom w:w="0" w:type="dxa"/>
          <w:right w:w="108" w:type="dxa"/>
        </w:tblCellMar>
      </w:tblPr>
      <w:tblGrid>
        <w:gridCol w:w="1291"/>
        <w:gridCol w:w="3062"/>
        <w:gridCol w:w="1952"/>
        <w:gridCol w:w="1057"/>
        <w:gridCol w:w="1160"/>
      </w:tblGrid>
      <w:tr w14:paraId="06A0645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jc w:val="center"/>
        </w:trPr>
        <w:tc>
          <w:tcPr>
            <w:tcW w:w="757" w:type="pct"/>
            <w:vMerge w:val="restart"/>
            <w:tcBorders>
              <w:tl2br w:val="nil"/>
              <w:tr2bl w:val="nil"/>
            </w:tcBorders>
            <w:noWrap w:val="0"/>
            <w:vAlign w:val="center"/>
          </w:tcPr>
          <w:p w14:paraId="305194D3">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类别</w:t>
            </w:r>
          </w:p>
        </w:tc>
        <w:tc>
          <w:tcPr>
            <w:tcW w:w="1796" w:type="pct"/>
            <w:vMerge w:val="restart"/>
            <w:tcBorders>
              <w:tl2br w:val="nil"/>
              <w:tr2bl w:val="nil"/>
            </w:tcBorders>
            <w:noWrap w:val="0"/>
            <w:vAlign w:val="center"/>
          </w:tcPr>
          <w:p w14:paraId="357DB794">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标准名称及级（类）别</w:t>
            </w:r>
          </w:p>
        </w:tc>
        <w:tc>
          <w:tcPr>
            <w:tcW w:w="1145" w:type="pct"/>
            <w:vMerge w:val="restart"/>
            <w:tcBorders>
              <w:tl2br w:val="nil"/>
              <w:tr2bl w:val="nil"/>
            </w:tcBorders>
            <w:noWrap w:val="0"/>
            <w:vAlign w:val="center"/>
          </w:tcPr>
          <w:p w14:paraId="117BD8F5">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污染因子</w:t>
            </w:r>
          </w:p>
        </w:tc>
        <w:tc>
          <w:tcPr>
            <w:tcW w:w="1300" w:type="pct"/>
            <w:gridSpan w:val="2"/>
            <w:tcBorders>
              <w:tl2br w:val="nil"/>
              <w:tr2bl w:val="nil"/>
            </w:tcBorders>
            <w:noWrap w:val="0"/>
            <w:vAlign w:val="center"/>
          </w:tcPr>
          <w:p w14:paraId="01552BF3">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r>
      <w:tr w14:paraId="085BF83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630BFE19">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4A3FC7AF">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vMerge w:val="continue"/>
            <w:tcBorders>
              <w:tl2br w:val="nil"/>
              <w:tr2bl w:val="nil"/>
            </w:tcBorders>
            <w:noWrap w:val="0"/>
            <w:vAlign w:val="center"/>
          </w:tcPr>
          <w:p w14:paraId="2F762F12">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620" w:type="pct"/>
            <w:tcBorders>
              <w:tl2br w:val="nil"/>
              <w:tr2bl w:val="nil"/>
            </w:tcBorders>
            <w:noWrap w:val="0"/>
            <w:vAlign w:val="center"/>
          </w:tcPr>
          <w:p w14:paraId="537D05BE">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w:t>
            </w:r>
          </w:p>
        </w:tc>
        <w:tc>
          <w:tcPr>
            <w:tcW w:w="680" w:type="pct"/>
            <w:tcBorders>
              <w:tl2br w:val="nil"/>
              <w:tr2bl w:val="nil"/>
            </w:tcBorders>
            <w:noWrap w:val="0"/>
            <w:vAlign w:val="center"/>
          </w:tcPr>
          <w:p w14:paraId="45DCDF0F">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数值</w:t>
            </w:r>
          </w:p>
        </w:tc>
      </w:tr>
      <w:tr w14:paraId="2D39ECFD">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restart"/>
            <w:tcBorders>
              <w:tl2br w:val="nil"/>
              <w:tr2bl w:val="nil"/>
            </w:tcBorders>
            <w:noWrap w:val="0"/>
            <w:vAlign w:val="center"/>
          </w:tcPr>
          <w:p w14:paraId="4DC794F1">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地表水环境</w:t>
            </w:r>
          </w:p>
        </w:tc>
        <w:tc>
          <w:tcPr>
            <w:tcW w:w="1796" w:type="pct"/>
            <w:vMerge w:val="restart"/>
            <w:tcBorders>
              <w:tl2br w:val="nil"/>
              <w:tr2bl w:val="nil"/>
            </w:tcBorders>
            <w:noWrap w:val="0"/>
            <w:vAlign w:val="center"/>
          </w:tcPr>
          <w:p w14:paraId="6D04A045">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《地表水环境质量标准》（GB3838-2002）</w:t>
            </w:r>
            <w:r>
              <w:rPr>
                <w:rFonts w:hint="default" w:ascii="Times New Roman" w:hAnsi="Times New Roman" w:eastAsia="宋体" w:cs="Times New Roman"/>
                <w:color w:val="auto"/>
                <w:sz w:val="24"/>
                <w:highlight w:val="none"/>
              </w:rPr>
              <w:t>Ⅲ</w:t>
            </w:r>
            <w:r>
              <w:rPr>
                <w:rFonts w:hint="default" w:ascii="Times New Roman" w:hAnsi="Times New Roman" w:eastAsia="宋体" w:cs="Times New Roman"/>
                <w:color w:val="auto"/>
                <w:spacing w:val="16"/>
                <w:sz w:val="21"/>
                <w:szCs w:val="21"/>
                <w:highlight w:val="none"/>
              </w:rPr>
              <w:t>类</w:t>
            </w:r>
            <w:r>
              <w:rPr>
                <w:rFonts w:hint="default" w:ascii="Times New Roman" w:hAnsi="Times New Roman" w:eastAsia="宋体" w:cs="Times New Roman"/>
                <w:color w:val="auto"/>
                <w:sz w:val="21"/>
                <w:szCs w:val="21"/>
                <w:highlight w:val="none"/>
              </w:rPr>
              <w:t>标准</w:t>
            </w:r>
          </w:p>
        </w:tc>
        <w:tc>
          <w:tcPr>
            <w:tcW w:w="1145" w:type="pct"/>
            <w:tcBorders>
              <w:tl2br w:val="nil"/>
              <w:tr2bl w:val="nil"/>
            </w:tcBorders>
            <w:noWrap w:val="0"/>
            <w:vAlign w:val="center"/>
          </w:tcPr>
          <w:p w14:paraId="582308FB">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w:t>
            </w:r>
          </w:p>
        </w:tc>
        <w:tc>
          <w:tcPr>
            <w:tcW w:w="620" w:type="pct"/>
            <w:tcBorders>
              <w:tl2br w:val="nil"/>
              <w:tr2bl w:val="nil"/>
            </w:tcBorders>
            <w:noWrap w:val="0"/>
            <w:vAlign w:val="center"/>
          </w:tcPr>
          <w:p w14:paraId="3546E812">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无量纲</w:t>
            </w:r>
          </w:p>
        </w:tc>
        <w:tc>
          <w:tcPr>
            <w:tcW w:w="680" w:type="pct"/>
            <w:tcBorders>
              <w:tl2br w:val="nil"/>
              <w:tr2bl w:val="nil"/>
            </w:tcBorders>
            <w:noWrap w:val="0"/>
            <w:vAlign w:val="center"/>
          </w:tcPr>
          <w:p w14:paraId="515DF475">
            <w:pPr>
              <w:pStyle w:val="26"/>
              <w:keepNext w:val="0"/>
              <w:keepLines w:val="0"/>
              <w:pageBreakBefore w:val="0"/>
              <w:widowControl w:val="0"/>
              <w:kinsoku/>
              <w:wordWrap/>
              <w:overflowPunct/>
              <w:topLinePunct w:val="0"/>
              <w:autoSpaceDE w:val="0"/>
              <w:autoSpaceDN w:val="0"/>
              <w:bidi w:val="0"/>
              <w:snapToGrid/>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lang w:val="en-GB"/>
              </w:rPr>
            </w:pPr>
            <w:r>
              <w:rPr>
                <w:rFonts w:hint="default" w:ascii="Times New Roman" w:hAnsi="Times New Roman" w:eastAsia="宋体" w:cs="Times New Roman"/>
                <w:color w:val="auto"/>
                <w:sz w:val="21"/>
                <w:szCs w:val="21"/>
                <w:highlight w:val="none"/>
                <w:lang w:val="en-GB"/>
              </w:rPr>
              <w:t>6~9</w:t>
            </w:r>
          </w:p>
        </w:tc>
      </w:tr>
      <w:tr w14:paraId="675F86B2">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7EFCA87E">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52DCAA1C">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6CCE15C8">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COD</w:t>
            </w:r>
          </w:p>
        </w:tc>
        <w:tc>
          <w:tcPr>
            <w:tcW w:w="620" w:type="pct"/>
            <w:vMerge w:val="restart"/>
            <w:tcBorders>
              <w:tl2br w:val="nil"/>
              <w:tr2bl w:val="nil"/>
            </w:tcBorders>
            <w:noWrap w:val="0"/>
            <w:vAlign w:val="center"/>
          </w:tcPr>
          <w:p w14:paraId="30EB054F">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mg/L</w:t>
            </w:r>
          </w:p>
        </w:tc>
        <w:tc>
          <w:tcPr>
            <w:tcW w:w="680" w:type="pct"/>
            <w:tcBorders>
              <w:tl2br w:val="nil"/>
              <w:tr2bl w:val="nil"/>
            </w:tcBorders>
            <w:noWrap w:val="0"/>
            <w:vAlign w:val="center"/>
          </w:tcPr>
          <w:p w14:paraId="3C85E566">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20</w:t>
            </w:r>
          </w:p>
        </w:tc>
      </w:tr>
      <w:tr w14:paraId="4F17B70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1C0A2435">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2DE83E06">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119A8768">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pacing w:val="-20"/>
                <w:sz w:val="21"/>
                <w:szCs w:val="21"/>
                <w:highlight w:val="none"/>
              </w:rPr>
            </w:pPr>
            <w:r>
              <w:rPr>
                <w:rFonts w:hint="default" w:ascii="Times New Roman" w:hAnsi="Times New Roman" w:eastAsia="宋体" w:cs="Times New Roman"/>
                <w:color w:val="auto"/>
                <w:sz w:val="21"/>
                <w:szCs w:val="21"/>
                <w:highlight w:val="none"/>
              </w:rPr>
              <w:t>BOD</w:t>
            </w:r>
            <w:r>
              <w:rPr>
                <w:rFonts w:hint="default" w:ascii="Times New Roman" w:hAnsi="Times New Roman" w:eastAsia="宋体" w:cs="Times New Roman"/>
                <w:color w:val="auto"/>
                <w:sz w:val="21"/>
                <w:szCs w:val="21"/>
                <w:highlight w:val="none"/>
                <w:vertAlign w:val="subscript"/>
              </w:rPr>
              <w:t>5</w:t>
            </w:r>
          </w:p>
        </w:tc>
        <w:tc>
          <w:tcPr>
            <w:tcW w:w="620" w:type="pct"/>
            <w:vMerge w:val="continue"/>
            <w:tcBorders>
              <w:tl2br w:val="nil"/>
              <w:tr2bl w:val="nil"/>
            </w:tcBorders>
            <w:noWrap w:val="0"/>
            <w:vAlign w:val="center"/>
          </w:tcPr>
          <w:p w14:paraId="4BD546C9">
            <w:pPr>
              <w:pStyle w:val="26"/>
              <w:autoSpaceDE w:val="0"/>
              <w:autoSpaceDN w:val="0"/>
              <w:spacing w:line="240" w:lineRule="auto"/>
              <w:jc w:val="center"/>
              <w:textAlignment w:val="bottom"/>
              <w:rPr>
                <w:rFonts w:hint="default" w:ascii="Times New Roman" w:hAnsi="Times New Roman" w:eastAsia="宋体" w:cs="Times New Roman"/>
                <w:color w:val="auto"/>
                <w:sz w:val="21"/>
                <w:szCs w:val="21"/>
                <w:highlight w:val="none"/>
              </w:rPr>
            </w:pPr>
          </w:p>
        </w:tc>
        <w:tc>
          <w:tcPr>
            <w:tcW w:w="680" w:type="pct"/>
            <w:tcBorders>
              <w:tl2br w:val="nil"/>
              <w:tr2bl w:val="nil"/>
            </w:tcBorders>
            <w:noWrap w:val="0"/>
            <w:vAlign w:val="center"/>
          </w:tcPr>
          <w:p w14:paraId="74B596E1">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4</w:t>
            </w:r>
          </w:p>
        </w:tc>
      </w:tr>
      <w:tr w14:paraId="5792023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2B27ADAA">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700CD213">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4B89A54A">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p>
        </w:tc>
        <w:tc>
          <w:tcPr>
            <w:tcW w:w="620" w:type="pct"/>
            <w:vMerge w:val="continue"/>
            <w:tcBorders>
              <w:tl2br w:val="nil"/>
              <w:tr2bl w:val="nil"/>
            </w:tcBorders>
            <w:noWrap w:val="0"/>
            <w:vAlign w:val="center"/>
          </w:tcPr>
          <w:p w14:paraId="2324A9DE">
            <w:pPr>
              <w:pStyle w:val="26"/>
              <w:autoSpaceDE w:val="0"/>
              <w:autoSpaceDN w:val="0"/>
              <w:spacing w:line="240" w:lineRule="auto"/>
              <w:jc w:val="center"/>
              <w:textAlignment w:val="bottom"/>
              <w:rPr>
                <w:rFonts w:hint="default" w:ascii="Times New Roman" w:hAnsi="Times New Roman" w:eastAsia="宋体" w:cs="Times New Roman"/>
                <w:color w:val="auto"/>
                <w:sz w:val="21"/>
                <w:szCs w:val="21"/>
                <w:highlight w:val="none"/>
              </w:rPr>
            </w:pPr>
          </w:p>
        </w:tc>
        <w:tc>
          <w:tcPr>
            <w:tcW w:w="680" w:type="pct"/>
            <w:tcBorders>
              <w:tl2br w:val="nil"/>
              <w:tr2bl w:val="nil"/>
            </w:tcBorders>
            <w:noWrap w:val="0"/>
            <w:vAlign w:val="center"/>
          </w:tcPr>
          <w:p w14:paraId="2E94A0EE">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0</w:t>
            </w:r>
          </w:p>
        </w:tc>
      </w:tr>
      <w:tr w14:paraId="6607D721">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1663BA35">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7FD2203B">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287F0FF6">
            <w:pPr>
              <w:pStyle w:val="30"/>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T-P</w:t>
            </w:r>
          </w:p>
        </w:tc>
        <w:tc>
          <w:tcPr>
            <w:tcW w:w="620" w:type="pct"/>
            <w:vMerge w:val="continue"/>
            <w:tcBorders>
              <w:tl2br w:val="nil"/>
              <w:tr2bl w:val="nil"/>
            </w:tcBorders>
            <w:noWrap w:val="0"/>
            <w:vAlign w:val="center"/>
          </w:tcPr>
          <w:p w14:paraId="1969A8EC">
            <w:pPr>
              <w:pStyle w:val="26"/>
              <w:autoSpaceDE w:val="0"/>
              <w:autoSpaceDN w:val="0"/>
              <w:spacing w:line="240" w:lineRule="auto"/>
              <w:jc w:val="center"/>
              <w:textAlignment w:val="bottom"/>
              <w:rPr>
                <w:rFonts w:hint="default" w:ascii="Times New Roman" w:hAnsi="Times New Roman" w:eastAsia="宋体" w:cs="Times New Roman"/>
                <w:color w:val="auto"/>
                <w:sz w:val="21"/>
                <w:szCs w:val="21"/>
                <w:highlight w:val="none"/>
              </w:rPr>
            </w:pPr>
          </w:p>
        </w:tc>
        <w:tc>
          <w:tcPr>
            <w:tcW w:w="680" w:type="pct"/>
            <w:tcBorders>
              <w:tl2br w:val="nil"/>
              <w:tr2bl w:val="nil"/>
            </w:tcBorders>
            <w:noWrap w:val="0"/>
            <w:vAlign w:val="center"/>
          </w:tcPr>
          <w:p w14:paraId="601212E4">
            <w:pPr>
              <w:spacing w:line="240" w:lineRule="auto"/>
              <w:ind w:left="0" w:leftChars="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2</w:t>
            </w:r>
          </w:p>
        </w:tc>
      </w:tr>
      <w:tr w14:paraId="530D5CA7">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66652926">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7A7EAE6C">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0BDDD000">
            <w:pPr>
              <w:pStyle w:val="30"/>
              <w:spacing w:line="240" w:lineRule="auto"/>
              <w:ind w:left="0" w:lef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T-N</w:t>
            </w:r>
          </w:p>
        </w:tc>
        <w:tc>
          <w:tcPr>
            <w:tcW w:w="620" w:type="pct"/>
            <w:vMerge w:val="continue"/>
            <w:tcBorders>
              <w:tl2br w:val="nil"/>
              <w:tr2bl w:val="nil"/>
            </w:tcBorders>
            <w:noWrap w:val="0"/>
            <w:vAlign w:val="center"/>
          </w:tcPr>
          <w:p w14:paraId="4B63ADF1">
            <w:pPr>
              <w:pStyle w:val="26"/>
              <w:autoSpaceDE w:val="0"/>
              <w:autoSpaceDN w:val="0"/>
              <w:spacing w:line="240" w:lineRule="auto"/>
              <w:jc w:val="center"/>
              <w:textAlignment w:val="bottom"/>
              <w:rPr>
                <w:rFonts w:hint="default" w:ascii="Times New Roman" w:hAnsi="Times New Roman" w:eastAsia="宋体" w:cs="Times New Roman"/>
                <w:color w:val="auto"/>
                <w:sz w:val="21"/>
                <w:szCs w:val="21"/>
                <w:highlight w:val="none"/>
              </w:rPr>
            </w:pPr>
          </w:p>
        </w:tc>
        <w:tc>
          <w:tcPr>
            <w:tcW w:w="680" w:type="pct"/>
            <w:tcBorders>
              <w:tl2br w:val="nil"/>
              <w:tr2bl w:val="nil"/>
            </w:tcBorders>
            <w:noWrap w:val="0"/>
            <w:vAlign w:val="center"/>
          </w:tcPr>
          <w:p w14:paraId="4CC38C0A">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1.0</w:t>
            </w:r>
          </w:p>
        </w:tc>
      </w:tr>
      <w:tr w14:paraId="503A78FC">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cantSplit/>
          <w:trHeight w:val="397" w:hRule="atLeast"/>
          <w:tblHeader/>
          <w:jc w:val="center"/>
        </w:trPr>
        <w:tc>
          <w:tcPr>
            <w:tcW w:w="757" w:type="pct"/>
            <w:vMerge w:val="continue"/>
            <w:tcBorders>
              <w:tl2br w:val="nil"/>
              <w:tr2bl w:val="nil"/>
            </w:tcBorders>
            <w:noWrap w:val="0"/>
            <w:vAlign w:val="center"/>
          </w:tcPr>
          <w:p w14:paraId="522A1336">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796" w:type="pct"/>
            <w:vMerge w:val="continue"/>
            <w:tcBorders>
              <w:tl2br w:val="nil"/>
              <w:tr2bl w:val="nil"/>
            </w:tcBorders>
            <w:noWrap w:val="0"/>
            <w:vAlign w:val="center"/>
          </w:tcPr>
          <w:p w14:paraId="13357DF4">
            <w:pPr>
              <w:pStyle w:val="26"/>
              <w:keepNext w:val="0"/>
              <w:keepLines w:val="0"/>
              <w:pageBreakBefore w:val="0"/>
              <w:widowControl w:val="0"/>
              <w:kinsoku/>
              <w:wordWrap/>
              <w:overflowPunct/>
              <w:topLinePunct w:val="0"/>
              <w:autoSpaceDE w:val="0"/>
              <w:autoSpaceDN w:val="0"/>
              <w:bidi w:val="0"/>
              <w:snapToGrid/>
              <w:spacing w:line="240" w:lineRule="auto"/>
              <w:jc w:val="center"/>
              <w:textAlignment w:val="bottom"/>
              <w:rPr>
                <w:rFonts w:hint="default" w:ascii="Times New Roman" w:hAnsi="Times New Roman" w:eastAsia="宋体" w:cs="Times New Roman"/>
                <w:color w:val="auto"/>
                <w:sz w:val="21"/>
                <w:szCs w:val="21"/>
                <w:highlight w:val="none"/>
              </w:rPr>
            </w:pPr>
          </w:p>
        </w:tc>
        <w:tc>
          <w:tcPr>
            <w:tcW w:w="1145" w:type="pct"/>
            <w:tcBorders>
              <w:tl2br w:val="nil"/>
              <w:tr2bl w:val="nil"/>
            </w:tcBorders>
            <w:noWrap w:val="0"/>
            <w:vAlign w:val="center"/>
          </w:tcPr>
          <w:p w14:paraId="5606BDD0">
            <w:pPr>
              <w:pStyle w:val="30"/>
              <w:spacing w:line="240" w:lineRule="auto"/>
              <w:ind w:left="0" w:lef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粪大肠菌群</w:t>
            </w:r>
          </w:p>
        </w:tc>
        <w:tc>
          <w:tcPr>
            <w:tcW w:w="620" w:type="pct"/>
            <w:tcBorders>
              <w:tl2br w:val="nil"/>
              <w:tr2bl w:val="nil"/>
            </w:tcBorders>
            <w:noWrap w:val="0"/>
            <w:vAlign w:val="center"/>
          </w:tcPr>
          <w:p w14:paraId="32DFD773">
            <w:pPr>
              <w:pStyle w:val="26"/>
              <w:autoSpaceDE w:val="0"/>
              <w:autoSpaceDN w:val="0"/>
              <w:spacing w:line="240" w:lineRule="auto"/>
              <w:ind w:left="0" w:leftChars="0" w:firstLine="0" w:firstLineChars="0"/>
              <w:jc w:val="center"/>
              <w:textAlignment w:val="bottom"/>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个/L</w:t>
            </w:r>
            <w:r>
              <w:rPr>
                <w:rFonts w:hint="default" w:ascii="Times New Roman" w:hAnsi="Times New Roman" w:cs="Times New Roman"/>
                <w:color w:val="auto"/>
                <w:sz w:val="21"/>
                <w:szCs w:val="21"/>
                <w:highlight w:val="none"/>
                <w:lang w:eastAsia="zh-CN"/>
              </w:rPr>
              <w:t>）</w:t>
            </w:r>
          </w:p>
        </w:tc>
        <w:tc>
          <w:tcPr>
            <w:tcW w:w="680" w:type="pct"/>
            <w:tcBorders>
              <w:tl2br w:val="nil"/>
              <w:tr2bl w:val="nil"/>
            </w:tcBorders>
            <w:noWrap w:val="0"/>
            <w:vAlign w:val="center"/>
          </w:tcPr>
          <w:p w14:paraId="304BE3E8">
            <w:pPr>
              <w:spacing w:line="240" w:lineRule="auto"/>
              <w:ind w:left="0" w:lef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10000</w:t>
            </w:r>
          </w:p>
        </w:tc>
      </w:tr>
    </w:tbl>
    <w:p w14:paraId="7DB350B9">
      <w:pPr>
        <w:pStyle w:val="23"/>
        <w:rPr>
          <w:rFonts w:hint="eastAsia"/>
          <w:highlight w:val="none"/>
          <w:lang w:val="en-US" w:eastAsia="zh-CN"/>
        </w:rPr>
      </w:pPr>
    </w:p>
    <w:p w14:paraId="1F4FA495">
      <w:pPr>
        <w:pStyle w:val="23"/>
        <w:rPr>
          <w:rFonts w:hint="eastAsia"/>
          <w:highlight w:val="none"/>
          <w:lang w:val="en-US" w:eastAsia="zh-CN"/>
        </w:rPr>
      </w:pPr>
      <w:r>
        <w:rPr>
          <w:rFonts w:hint="eastAsia"/>
          <w:highlight w:val="none"/>
          <w:lang w:val="en-US" w:eastAsia="zh-CN"/>
        </w:rPr>
        <w:t>3、声环境质量标准</w:t>
      </w:r>
    </w:p>
    <w:p w14:paraId="16A5160E">
      <w:pPr>
        <w:pStyle w:val="23"/>
        <w:keepNext w:val="0"/>
        <w:keepLines w:val="0"/>
        <w:pageBreakBefore w:val="0"/>
        <w:widowControl w:val="0"/>
        <w:kinsoku/>
        <w:wordWrap/>
        <w:overflowPunct/>
        <w:topLinePunct w:val="0"/>
        <w:autoSpaceDE w:val="0"/>
        <w:autoSpaceDN w:val="0"/>
        <w:bidi w:val="0"/>
        <w:adjustRightInd w:val="0"/>
        <w:snapToGrid/>
        <w:spacing w:line="480" w:lineRule="exact"/>
        <w:ind w:firstLine="480" w:firstLineChars="200"/>
        <w:jc w:val="both"/>
        <w:textAlignment w:val="auto"/>
        <w:rPr>
          <w:rFonts w:hint="default" w:ascii="Times New Roman" w:hAnsi="Times New Roman" w:cs="Times New Roman"/>
          <w:color w:val="auto"/>
          <w:spacing w:val="0"/>
          <w:highlight w:val="none"/>
        </w:rPr>
      </w:pPr>
      <w:r>
        <w:rPr>
          <w:rFonts w:hint="default" w:ascii="Times New Roman" w:hAnsi="Times New Roman" w:eastAsia="宋体" w:cs="Times New Roman"/>
          <w:color w:val="auto"/>
          <w:szCs w:val="24"/>
          <w:highlight w:val="none"/>
          <w:lang w:val="en-US" w:eastAsia="zh-CN"/>
        </w:rPr>
        <w:t>本项目所在区域为</w:t>
      </w:r>
      <w:r>
        <w:rPr>
          <w:rFonts w:hint="eastAsia" w:ascii="Times New Roman" w:hAnsi="Times New Roman" w:eastAsia="宋体" w:cs="Times New Roman"/>
          <w:color w:val="auto"/>
          <w:szCs w:val="24"/>
          <w:highlight w:val="none"/>
          <w:lang w:val="en-US" w:eastAsia="zh-CN"/>
        </w:rPr>
        <w:t>2</w:t>
      </w:r>
      <w:r>
        <w:rPr>
          <w:rFonts w:hint="default" w:ascii="Times New Roman" w:hAnsi="Times New Roman" w:eastAsia="宋体" w:cs="Times New Roman"/>
          <w:color w:val="auto"/>
          <w:szCs w:val="24"/>
          <w:highlight w:val="none"/>
          <w:lang w:val="en-US" w:eastAsia="zh-CN"/>
        </w:rPr>
        <w:t>类声环境功能区，执行《声环境质量标准》（GB3096-2008）</w:t>
      </w:r>
      <w:r>
        <w:rPr>
          <w:rFonts w:hint="eastAsia" w:ascii="Times New Roman" w:eastAsia="宋体" w:cs="Times New Roman"/>
          <w:color w:val="auto"/>
          <w:szCs w:val="24"/>
          <w:highlight w:val="none"/>
          <w:lang w:val="en-US" w:eastAsia="zh-CN"/>
        </w:rPr>
        <w:t>表1环境噪声限值</w:t>
      </w:r>
      <w:r>
        <w:rPr>
          <w:rFonts w:hint="default" w:ascii="Times New Roman" w:hAnsi="Times New Roman" w:eastAsia="宋体" w:cs="Times New Roman"/>
          <w:color w:val="auto"/>
          <w:szCs w:val="24"/>
          <w:highlight w:val="none"/>
          <w:lang w:val="en-US" w:eastAsia="zh-CN"/>
        </w:rPr>
        <w:t>中</w:t>
      </w:r>
      <w:r>
        <w:rPr>
          <w:rFonts w:hint="eastAsia" w:ascii="Times New Roman" w:hAnsi="Times New Roman" w:eastAsia="宋体" w:cs="Times New Roman"/>
          <w:color w:val="auto"/>
          <w:szCs w:val="24"/>
          <w:highlight w:val="none"/>
          <w:lang w:val="en-US" w:eastAsia="zh-CN"/>
        </w:rPr>
        <w:t>2</w:t>
      </w:r>
      <w:r>
        <w:rPr>
          <w:rFonts w:hint="default" w:ascii="Times New Roman" w:hAnsi="Times New Roman" w:eastAsia="宋体" w:cs="Times New Roman"/>
          <w:color w:val="auto"/>
          <w:szCs w:val="24"/>
          <w:highlight w:val="none"/>
          <w:lang w:val="en-US" w:eastAsia="zh-CN"/>
        </w:rPr>
        <w:t>类标准，声环境质量标准执行情况见表2</w:t>
      </w:r>
      <w:r>
        <w:rPr>
          <w:rFonts w:hint="eastAsia" w:ascii="Times New Roman" w:hAnsi="Times New Roman" w:eastAsia="宋体" w:cs="Times New Roman"/>
          <w:color w:val="auto"/>
          <w:szCs w:val="24"/>
          <w:highlight w:val="none"/>
          <w:lang w:val="en-US" w:eastAsia="zh-CN"/>
        </w:rPr>
        <w:t>.</w:t>
      </w:r>
      <w:r>
        <w:rPr>
          <w:rFonts w:hint="default" w:ascii="Times New Roman" w:hAnsi="Times New Roman" w:eastAsia="宋体" w:cs="Times New Roman"/>
          <w:color w:val="auto"/>
          <w:szCs w:val="24"/>
          <w:highlight w:val="none"/>
          <w:lang w:val="en-US" w:eastAsia="zh-CN"/>
        </w:rPr>
        <w:t>3-</w:t>
      </w:r>
      <w:r>
        <w:rPr>
          <w:rFonts w:hint="eastAsia" w:ascii="Times New Roman" w:hAnsi="Times New Roman" w:eastAsia="宋体" w:cs="Times New Roman"/>
          <w:color w:val="auto"/>
          <w:szCs w:val="24"/>
          <w:highlight w:val="none"/>
          <w:lang w:val="en-US" w:eastAsia="zh-CN"/>
        </w:rPr>
        <w:t>7</w:t>
      </w:r>
      <w:r>
        <w:rPr>
          <w:rFonts w:hint="default" w:ascii="Times New Roman" w:hAnsi="Times New Roman" w:eastAsia="宋体" w:cs="Times New Roman"/>
          <w:color w:val="auto"/>
          <w:szCs w:val="24"/>
          <w:highlight w:val="none"/>
          <w:lang w:val="en-US" w:eastAsia="zh-CN"/>
        </w:rPr>
        <w:t>。</w:t>
      </w:r>
    </w:p>
    <w:p w14:paraId="6F0C871D">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cs="Times New Roman"/>
          <w:color w:val="auto"/>
          <w:sz w:val="24"/>
          <w:szCs w:val="24"/>
          <w:highlight w:val="none"/>
        </w:rPr>
      </w:pPr>
      <w:r>
        <w:rPr>
          <w:rFonts w:hint="default" w:ascii="Times New Roman" w:hAnsi="Times New Roman" w:eastAsia="黑体" w:cs="Times New Roman"/>
          <w:color w:val="auto"/>
          <w:spacing w:val="0"/>
          <w:sz w:val="24"/>
          <w:szCs w:val="24"/>
          <w:highlight w:val="none"/>
        </w:rPr>
        <w:t>表2</w:t>
      </w:r>
      <w:r>
        <w:rPr>
          <w:rFonts w:hint="eastAsia" w:ascii="Times New Roman" w:hAnsi="Times New Roman" w:eastAsia="黑体" w:cs="Times New Roman"/>
          <w:color w:val="auto"/>
          <w:spacing w:val="0"/>
          <w:sz w:val="24"/>
          <w:szCs w:val="24"/>
          <w:highlight w:val="none"/>
          <w:lang w:val="en-US" w:eastAsia="zh-CN"/>
        </w:rPr>
        <w:t>.</w:t>
      </w:r>
      <w:r>
        <w:rPr>
          <w:rFonts w:hint="default" w:ascii="Times New Roman" w:hAnsi="Times New Roman" w:eastAsia="黑体" w:cs="Times New Roman"/>
          <w:color w:val="auto"/>
          <w:spacing w:val="0"/>
          <w:sz w:val="24"/>
          <w:szCs w:val="24"/>
          <w:highlight w:val="none"/>
        </w:rPr>
        <w:t>3-</w:t>
      </w:r>
      <w:r>
        <w:rPr>
          <w:rFonts w:hint="eastAsia" w:ascii="Times New Roman" w:hAnsi="Times New Roman" w:eastAsia="黑体" w:cs="Times New Roman"/>
          <w:color w:val="auto"/>
          <w:spacing w:val="0"/>
          <w:sz w:val="24"/>
          <w:szCs w:val="24"/>
          <w:highlight w:val="none"/>
          <w:lang w:val="en-US" w:eastAsia="zh-CN"/>
        </w:rPr>
        <w:t>7</w:t>
      </w:r>
      <w:r>
        <w:rPr>
          <w:rFonts w:hint="default" w:ascii="Times New Roman" w:hAnsi="Times New Roman" w:eastAsia="黑体" w:cs="Times New Roman"/>
          <w:color w:val="auto"/>
          <w:spacing w:val="0"/>
          <w:sz w:val="24"/>
          <w:szCs w:val="24"/>
          <w:highlight w:val="none"/>
        </w:rPr>
        <w:t>本项目</w:t>
      </w:r>
      <w:r>
        <w:rPr>
          <w:rFonts w:hint="default" w:ascii="Times New Roman" w:hAnsi="Times New Roman" w:eastAsia="黑体" w:cs="Times New Roman"/>
          <w:color w:val="auto"/>
          <w:spacing w:val="0"/>
          <w:sz w:val="24"/>
          <w:szCs w:val="24"/>
          <w:highlight w:val="none"/>
          <w:lang w:eastAsia="zh-CN"/>
        </w:rPr>
        <w:t>声环境</w:t>
      </w:r>
      <w:r>
        <w:rPr>
          <w:rFonts w:hint="default" w:ascii="Times New Roman" w:hAnsi="Times New Roman" w:eastAsia="黑体" w:cs="Times New Roman"/>
          <w:color w:val="auto"/>
          <w:spacing w:val="0"/>
          <w:sz w:val="24"/>
          <w:szCs w:val="24"/>
          <w:highlight w:val="none"/>
        </w:rPr>
        <w:t>质量标准</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975"/>
        <w:gridCol w:w="4720"/>
        <w:gridCol w:w="1138"/>
        <w:gridCol w:w="825"/>
        <w:gridCol w:w="700"/>
        <w:gridCol w:w="702"/>
      </w:tblGrid>
      <w:tr w14:paraId="234683A1">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cantSplit/>
          <w:trHeight w:val="397" w:hRule="atLeast"/>
          <w:jc w:val="center"/>
        </w:trPr>
        <w:tc>
          <w:tcPr>
            <w:tcW w:w="975" w:type="dxa"/>
            <w:vMerge w:val="restart"/>
            <w:tcBorders>
              <w:tl2br w:val="nil"/>
              <w:tr2bl w:val="nil"/>
            </w:tcBorders>
            <w:noWrap w:val="0"/>
            <w:vAlign w:val="center"/>
          </w:tcPr>
          <w:p w14:paraId="090CFBCB">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类别</w:t>
            </w:r>
          </w:p>
        </w:tc>
        <w:tc>
          <w:tcPr>
            <w:tcW w:w="4720" w:type="dxa"/>
            <w:vMerge w:val="restart"/>
            <w:tcBorders>
              <w:tl2br w:val="nil"/>
              <w:tr2bl w:val="nil"/>
            </w:tcBorders>
            <w:noWrap w:val="0"/>
            <w:vAlign w:val="center"/>
          </w:tcPr>
          <w:p w14:paraId="43445A01">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标准名称及级（类）别</w:t>
            </w:r>
          </w:p>
        </w:tc>
        <w:tc>
          <w:tcPr>
            <w:tcW w:w="1138" w:type="dxa"/>
            <w:vMerge w:val="restart"/>
            <w:tcBorders>
              <w:tl2br w:val="nil"/>
              <w:tr2bl w:val="nil"/>
            </w:tcBorders>
            <w:noWrap w:val="0"/>
            <w:vAlign w:val="center"/>
          </w:tcPr>
          <w:p w14:paraId="4918B4DB">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污染因子</w:t>
            </w:r>
          </w:p>
        </w:tc>
        <w:tc>
          <w:tcPr>
            <w:tcW w:w="2227" w:type="dxa"/>
            <w:gridSpan w:val="3"/>
            <w:tcBorders>
              <w:tl2br w:val="nil"/>
              <w:tr2bl w:val="nil"/>
            </w:tcBorders>
            <w:noWrap w:val="0"/>
            <w:vAlign w:val="center"/>
          </w:tcPr>
          <w:p w14:paraId="51309048">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标准值</w:t>
            </w:r>
          </w:p>
        </w:tc>
      </w:tr>
      <w:tr w14:paraId="68B96DE2">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cantSplit/>
          <w:trHeight w:val="397" w:hRule="atLeast"/>
          <w:tblHeader/>
          <w:jc w:val="center"/>
        </w:trPr>
        <w:tc>
          <w:tcPr>
            <w:tcW w:w="975" w:type="dxa"/>
            <w:vMerge w:val="continue"/>
            <w:tcBorders>
              <w:tl2br w:val="nil"/>
              <w:tr2bl w:val="nil"/>
            </w:tcBorders>
            <w:noWrap w:val="0"/>
            <w:vAlign w:val="center"/>
          </w:tcPr>
          <w:p w14:paraId="1723C874">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4720" w:type="dxa"/>
            <w:vMerge w:val="continue"/>
            <w:tcBorders>
              <w:tl2br w:val="nil"/>
              <w:tr2bl w:val="nil"/>
            </w:tcBorders>
            <w:noWrap w:val="0"/>
            <w:vAlign w:val="center"/>
          </w:tcPr>
          <w:p w14:paraId="084BC913">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1138" w:type="dxa"/>
            <w:vMerge w:val="continue"/>
            <w:tcBorders>
              <w:tl2br w:val="nil"/>
              <w:tr2bl w:val="nil"/>
            </w:tcBorders>
            <w:noWrap w:val="0"/>
            <w:vAlign w:val="center"/>
          </w:tcPr>
          <w:p w14:paraId="75CCD3EC">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1525" w:type="dxa"/>
            <w:gridSpan w:val="2"/>
            <w:tcBorders>
              <w:tl2br w:val="nil"/>
              <w:tr2bl w:val="nil"/>
            </w:tcBorders>
            <w:noWrap w:val="0"/>
            <w:vAlign w:val="center"/>
          </w:tcPr>
          <w:p w14:paraId="0C604E59">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单位</w:t>
            </w:r>
          </w:p>
        </w:tc>
        <w:tc>
          <w:tcPr>
            <w:tcW w:w="702" w:type="dxa"/>
            <w:tcBorders>
              <w:tl2br w:val="nil"/>
              <w:tr2bl w:val="nil"/>
            </w:tcBorders>
            <w:noWrap w:val="0"/>
            <w:vAlign w:val="center"/>
          </w:tcPr>
          <w:p w14:paraId="0E66E502">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数值</w:t>
            </w:r>
          </w:p>
        </w:tc>
      </w:tr>
      <w:tr w14:paraId="59131F78">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cantSplit/>
          <w:trHeight w:val="397" w:hRule="atLeast"/>
          <w:tblHeader/>
          <w:jc w:val="center"/>
        </w:trPr>
        <w:tc>
          <w:tcPr>
            <w:tcW w:w="975" w:type="dxa"/>
            <w:vMerge w:val="restart"/>
            <w:tcBorders>
              <w:tl2br w:val="nil"/>
              <w:tr2bl w:val="nil"/>
            </w:tcBorders>
            <w:noWrap w:val="0"/>
            <w:vAlign w:val="center"/>
          </w:tcPr>
          <w:p w14:paraId="2BC245B0">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w:t>
            </w:r>
          </w:p>
        </w:tc>
        <w:tc>
          <w:tcPr>
            <w:tcW w:w="4720" w:type="dxa"/>
            <w:vMerge w:val="restart"/>
            <w:tcBorders>
              <w:tl2br w:val="nil"/>
              <w:tr2bl w:val="nil"/>
            </w:tcBorders>
            <w:noWrap w:val="0"/>
            <w:vAlign w:val="center"/>
          </w:tcPr>
          <w:p w14:paraId="6B8368F4">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《声环境质量标准》（GB3096-2008）</w:t>
            </w:r>
            <w:r>
              <w:rPr>
                <w:rFonts w:hint="eastAsia" w:ascii="Times New Roman" w:eastAsia="宋体" w:cs="Times New Roman"/>
                <w:color w:val="auto"/>
                <w:sz w:val="21"/>
                <w:szCs w:val="21"/>
                <w:highlight w:val="none"/>
                <w:lang w:val="en-US" w:eastAsia="zh-CN"/>
              </w:rPr>
              <w:t>表1环境噪声限值</w:t>
            </w:r>
            <w:r>
              <w:rPr>
                <w:rFonts w:hint="default" w:ascii="Times New Roman" w:hAnsi="Times New Roman" w:eastAsia="宋体" w:cs="Times New Roman"/>
                <w:color w:val="auto"/>
                <w:sz w:val="21"/>
                <w:szCs w:val="21"/>
                <w:highlight w:val="none"/>
                <w:lang w:val="en-US" w:eastAsia="zh-CN"/>
              </w:rPr>
              <w:t>中</w:t>
            </w:r>
            <w:r>
              <w:rPr>
                <w:rFonts w:hint="eastAsia" w:ascii="Times New Roman" w:hAnsi="Times New Roman"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类标准</w:t>
            </w:r>
          </w:p>
        </w:tc>
        <w:tc>
          <w:tcPr>
            <w:tcW w:w="1138" w:type="dxa"/>
            <w:vMerge w:val="restart"/>
            <w:tcBorders>
              <w:tl2br w:val="nil"/>
              <w:tr2bl w:val="nil"/>
            </w:tcBorders>
            <w:noWrap w:val="0"/>
            <w:vAlign w:val="center"/>
          </w:tcPr>
          <w:p w14:paraId="2727E09B">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825" w:type="dxa"/>
            <w:vMerge w:val="restart"/>
            <w:tcBorders>
              <w:tl2br w:val="nil"/>
              <w:tr2bl w:val="nil"/>
            </w:tcBorders>
            <w:noWrap w:val="0"/>
            <w:vAlign w:val="center"/>
          </w:tcPr>
          <w:p w14:paraId="2CEB3C5E">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dB(A)</w:t>
            </w:r>
          </w:p>
        </w:tc>
        <w:tc>
          <w:tcPr>
            <w:tcW w:w="700" w:type="dxa"/>
            <w:tcBorders>
              <w:tl2br w:val="nil"/>
              <w:tr2bl w:val="nil"/>
            </w:tcBorders>
            <w:noWrap w:val="0"/>
            <w:vAlign w:val="center"/>
          </w:tcPr>
          <w:p w14:paraId="74A763EB">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702" w:type="dxa"/>
            <w:tcBorders>
              <w:tl2br w:val="nil"/>
              <w:tr2bl w:val="nil"/>
            </w:tcBorders>
            <w:noWrap w:val="0"/>
            <w:vAlign w:val="center"/>
          </w:tcPr>
          <w:p w14:paraId="1308F7C8">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60</w:t>
            </w:r>
          </w:p>
        </w:tc>
      </w:tr>
      <w:tr w14:paraId="70556D9F">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cantSplit/>
          <w:trHeight w:val="397" w:hRule="atLeast"/>
          <w:tblHeader/>
          <w:jc w:val="center"/>
        </w:trPr>
        <w:tc>
          <w:tcPr>
            <w:tcW w:w="975" w:type="dxa"/>
            <w:vMerge w:val="continue"/>
            <w:tcBorders>
              <w:tl2br w:val="nil"/>
              <w:tr2bl w:val="nil"/>
            </w:tcBorders>
            <w:noWrap w:val="0"/>
            <w:vAlign w:val="center"/>
          </w:tcPr>
          <w:p w14:paraId="5C83D669">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4720" w:type="dxa"/>
            <w:vMerge w:val="continue"/>
            <w:tcBorders>
              <w:tl2br w:val="nil"/>
              <w:tr2bl w:val="nil"/>
            </w:tcBorders>
            <w:noWrap w:val="0"/>
            <w:vAlign w:val="center"/>
          </w:tcPr>
          <w:p w14:paraId="36186FAE">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1138" w:type="dxa"/>
            <w:vMerge w:val="continue"/>
            <w:tcBorders>
              <w:tl2br w:val="nil"/>
              <w:tr2bl w:val="nil"/>
            </w:tcBorders>
            <w:noWrap w:val="0"/>
            <w:vAlign w:val="center"/>
          </w:tcPr>
          <w:p w14:paraId="5F38AFA1">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825" w:type="dxa"/>
            <w:vMerge w:val="continue"/>
            <w:tcBorders>
              <w:tl2br w:val="nil"/>
              <w:tr2bl w:val="nil"/>
            </w:tcBorders>
            <w:noWrap w:val="0"/>
            <w:vAlign w:val="center"/>
          </w:tcPr>
          <w:p w14:paraId="4AC89635">
            <w:pPr>
              <w:pStyle w:val="26"/>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ottom"/>
              <w:outlineLvl w:val="9"/>
              <w:rPr>
                <w:rFonts w:hint="default" w:ascii="Times New Roman" w:hAnsi="Times New Roman" w:eastAsia="宋体" w:cs="Times New Roman"/>
                <w:color w:val="auto"/>
                <w:sz w:val="21"/>
                <w:szCs w:val="21"/>
                <w:highlight w:val="none"/>
              </w:rPr>
            </w:pPr>
          </w:p>
        </w:tc>
        <w:tc>
          <w:tcPr>
            <w:tcW w:w="700" w:type="dxa"/>
            <w:tcBorders>
              <w:tl2br w:val="nil"/>
              <w:tr2bl w:val="nil"/>
            </w:tcBorders>
            <w:noWrap w:val="0"/>
            <w:vAlign w:val="center"/>
          </w:tcPr>
          <w:p w14:paraId="1B775015">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夜间</w:t>
            </w:r>
          </w:p>
        </w:tc>
        <w:tc>
          <w:tcPr>
            <w:tcW w:w="702" w:type="dxa"/>
            <w:tcBorders>
              <w:tl2br w:val="nil"/>
              <w:tr2bl w:val="nil"/>
            </w:tcBorders>
            <w:noWrap w:val="0"/>
            <w:vAlign w:val="center"/>
          </w:tcPr>
          <w:p w14:paraId="14A4B290">
            <w:pPr>
              <w:pStyle w:val="26"/>
              <w:keepNext w:val="0"/>
              <w:keepLines w:val="0"/>
              <w:pageBreakBefore w:val="0"/>
              <w:widowControl w:val="0"/>
              <w:kinsoku/>
              <w:wordWrap/>
              <w:overflowPunct/>
              <w:topLinePunct w:val="0"/>
              <w:autoSpaceDE w:val="0"/>
              <w:autoSpaceDN w:val="0"/>
              <w:bidi w:val="0"/>
              <w:adjustRightInd w:val="0"/>
              <w:snapToGrid/>
              <w:spacing w:line="240" w:lineRule="auto"/>
              <w:ind w:left="0" w:leftChars="0" w:firstLine="0" w:firstLineChars="0"/>
              <w:jc w:val="center"/>
              <w:textAlignment w:val="bottom"/>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bl>
    <w:p w14:paraId="6351CEF0">
      <w:pPr>
        <w:ind w:firstLine="480"/>
        <w:rPr>
          <w:rFonts w:ascii="Times New Roman" w:hAnsi="Times New Roman"/>
          <w:highlight w:val="none"/>
        </w:rPr>
      </w:pPr>
      <w:r>
        <w:rPr>
          <w:rFonts w:ascii="Times New Roman" w:hAnsi="Times New Roman"/>
          <w:highlight w:val="none"/>
        </w:rPr>
        <w:t>4、土壤污染风险管控标准</w:t>
      </w:r>
    </w:p>
    <w:p w14:paraId="7770A8A0">
      <w:pPr>
        <w:ind w:firstLine="480"/>
        <w:rPr>
          <w:rFonts w:ascii="Times New Roman" w:hAnsi="Times New Roman"/>
          <w:highlight w:val="none"/>
        </w:rPr>
      </w:pPr>
      <w:r>
        <w:rPr>
          <w:rFonts w:ascii="Times New Roman" w:hAnsi="Times New Roman"/>
          <w:highlight w:val="none"/>
        </w:rPr>
        <w:t>建设用地土壤执行《土壤环境质量 建设用地土壤污染风险管控标准（试行）》（GB36600-2018）第二类用地筛选值。</w:t>
      </w:r>
    </w:p>
    <w:p w14:paraId="020BC098">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eastAsia="黑体" w:cs="Times New Roman"/>
          <w:color w:val="auto"/>
          <w:spacing w:val="0"/>
          <w:sz w:val="24"/>
          <w:szCs w:val="24"/>
          <w:highlight w:val="none"/>
        </w:rPr>
      </w:pPr>
      <w:r>
        <w:rPr>
          <w:rFonts w:hint="default" w:ascii="Times New Roman" w:hAnsi="Times New Roman" w:eastAsia="黑体" w:cs="Times New Roman"/>
          <w:color w:val="auto"/>
          <w:spacing w:val="0"/>
          <w:sz w:val="24"/>
          <w:szCs w:val="24"/>
          <w:highlight w:val="none"/>
        </w:rPr>
        <w:t>表2.3-</w:t>
      </w:r>
      <w:r>
        <w:rPr>
          <w:rFonts w:hint="eastAsia" w:ascii="Times New Roman" w:hAnsi="Times New Roman" w:eastAsia="黑体" w:cs="Times New Roman"/>
          <w:color w:val="auto"/>
          <w:spacing w:val="0"/>
          <w:sz w:val="24"/>
          <w:szCs w:val="24"/>
          <w:highlight w:val="none"/>
        </w:rPr>
        <w:t>8</w:t>
      </w:r>
      <w:r>
        <w:rPr>
          <w:rFonts w:hint="default" w:ascii="Times New Roman" w:hAnsi="Times New Roman" w:eastAsia="黑体" w:cs="Times New Roman"/>
          <w:color w:val="auto"/>
          <w:spacing w:val="0"/>
          <w:sz w:val="24"/>
          <w:szCs w:val="24"/>
          <w:highlight w:val="none"/>
        </w:rPr>
        <w:t>《土壤环境质量 建设用地土壤污染风险管控标准（试行）》</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65"/>
        <w:gridCol w:w="2001"/>
        <w:gridCol w:w="1694"/>
        <w:gridCol w:w="2180"/>
        <w:gridCol w:w="1982"/>
      </w:tblGrid>
      <w:tr w14:paraId="4A2237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tblHeader/>
          <w:jc w:val="center"/>
        </w:trPr>
        <w:tc>
          <w:tcPr>
            <w:tcW w:w="390" w:type="pct"/>
            <w:noWrap w:val="0"/>
            <w:vAlign w:val="center"/>
          </w:tcPr>
          <w:p w14:paraId="25B08E3A">
            <w:pPr>
              <w:pStyle w:val="27"/>
              <w:contextualSpacing/>
              <w:rPr>
                <w:rFonts w:ascii="Times New Roman" w:hAnsi="Times New Roman"/>
                <w:highlight w:val="none"/>
              </w:rPr>
            </w:pPr>
            <w:r>
              <w:rPr>
                <w:rFonts w:ascii="Times New Roman" w:hAnsi="Times New Roman"/>
                <w:highlight w:val="none"/>
              </w:rPr>
              <w:t>序号</w:t>
            </w:r>
          </w:p>
        </w:tc>
        <w:tc>
          <w:tcPr>
            <w:tcW w:w="1174" w:type="pct"/>
            <w:noWrap w:val="0"/>
            <w:vAlign w:val="center"/>
          </w:tcPr>
          <w:p w14:paraId="4EF03DA2">
            <w:pPr>
              <w:pStyle w:val="27"/>
              <w:contextualSpacing/>
              <w:rPr>
                <w:rFonts w:ascii="Times New Roman" w:hAnsi="Times New Roman"/>
                <w:highlight w:val="none"/>
              </w:rPr>
            </w:pPr>
            <w:r>
              <w:rPr>
                <w:rFonts w:ascii="Times New Roman" w:hAnsi="Times New Roman"/>
                <w:highlight w:val="none"/>
              </w:rPr>
              <w:t>检测项目</w:t>
            </w:r>
          </w:p>
        </w:tc>
        <w:tc>
          <w:tcPr>
            <w:tcW w:w="994" w:type="pct"/>
            <w:noWrap w:val="0"/>
            <w:vAlign w:val="center"/>
          </w:tcPr>
          <w:p w14:paraId="6D649AEB">
            <w:pPr>
              <w:pStyle w:val="27"/>
              <w:contextualSpacing/>
              <w:rPr>
                <w:rFonts w:ascii="Times New Roman" w:hAnsi="Times New Roman"/>
                <w:highlight w:val="none"/>
              </w:rPr>
            </w:pPr>
            <w:r>
              <w:rPr>
                <w:rFonts w:ascii="Times New Roman" w:hAnsi="Times New Roman"/>
                <w:highlight w:val="none"/>
              </w:rPr>
              <w:t>CAS 编号</w:t>
            </w:r>
          </w:p>
        </w:tc>
        <w:tc>
          <w:tcPr>
            <w:tcW w:w="1279" w:type="pct"/>
            <w:noWrap w:val="0"/>
            <w:vAlign w:val="center"/>
          </w:tcPr>
          <w:p w14:paraId="6AFD0FC5">
            <w:pPr>
              <w:pStyle w:val="27"/>
              <w:contextualSpacing/>
              <w:rPr>
                <w:rFonts w:ascii="Times New Roman" w:hAnsi="Times New Roman"/>
                <w:highlight w:val="none"/>
              </w:rPr>
            </w:pPr>
            <w:r>
              <w:rPr>
                <w:rFonts w:ascii="Times New Roman" w:hAnsi="Times New Roman"/>
                <w:highlight w:val="none"/>
              </w:rPr>
              <w:t>筛选值第一类用地</w:t>
            </w:r>
          </w:p>
        </w:tc>
        <w:tc>
          <w:tcPr>
            <w:tcW w:w="1163" w:type="pct"/>
            <w:noWrap w:val="0"/>
            <w:vAlign w:val="center"/>
          </w:tcPr>
          <w:p w14:paraId="545446D7">
            <w:pPr>
              <w:pStyle w:val="27"/>
              <w:contextualSpacing/>
              <w:rPr>
                <w:rFonts w:ascii="Times New Roman" w:hAnsi="Times New Roman"/>
                <w:highlight w:val="none"/>
              </w:rPr>
            </w:pPr>
            <w:r>
              <w:rPr>
                <w:rFonts w:ascii="Times New Roman" w:hAnsi="Times New Roman"/>
                <w:highlight w:val="none"/>
              </w:rPr>
              <w:t>筛选值第二类用地</w:t>
            </w:r>
          </w:p>
        </w:tc>
      </w:tr>
      <w:tr w14:paraId="44BBDD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0BCEF318">
            <w:pPr>
              <w:pStyle w:val="27"/>
              <w:contextualSpacing/>
              <w:rPr>
                <w:rFonts w:ascii="Times New Roman" w:hAnsi="Times New Roman"/>
                <w:highlight w:val="none"/>
              </w:rPr>
            </w:pPr>
            <w:r>
              <w:rPr>
                <w:rFonts w:ascii="Times New Roman" w:hAnsi="Times New Roman"/>
                <w:highlight w:val="none"/>
              </w:rPr>
              <w:t>1</w:t>
            </w:r>
          </w:p>
        </w:tc>
        <w:tc>
          <w:tcPr>
            <w:tcW w:w="1174" w:type="pct"/>
            <w:noWrap w:val="0"/>
            <w:vAlign w:val="center"/>
          </w:tcPr>
          <w:p w14:paraId="12386E18">
            <w:pPr>
              <w:pStyle w:val="27"/>
              <w:contextualSpacing/>
              <w:rPr>
                <w:rFonts w:ascii="Times New Roman" w:hAnsi="Times New Roman"/>
                <w:highlight w:val="none"/>
              </w:rPr>
            </w:pPr>
            <w:r>
              <w:rPr>
                <w:rFonts w:ascii="Times New Roman" w:hAnsi="Times New Roman"/>
                <w:highlight w:val="none"/>
              </w:rPr>
              <w:t>砷</w:t>
            </w:r>
          </w:p>
        </w:tc>
        <w:tc>
          <w:tcPr>
            <w:tcW w:w="994" w:type="pct"/>
            <w:noWrap w:val="0"/>
            <w:vAlign w:val="center"/>
          </w:tcPr>
          <w:p w14:paraId="14914F47">
            <w:pPr>
              <w:pStyle w:val="27"/>
              <w:contextualSpacing/>
              <w:rPr>
                <w:rFonts w:ascii="Times New Roman" w:hAnsi="Times New Roman"/>
                <w:highlight w:val="none"/>
              </w:rPr>
            </w:pPr>
            <w:r>
              <w:rPr>
                <w:rFonts w:ascii="Times New Roman" w:hAnsi="Times New Roman"/>
                <w:highlight w:val="none"/>
              </w:rPr>
              <w:t>7440-38-2</w:t>
            </w:r>
          </w:p>
        </w:tc>
        <w:tc>
          <w:tcPr>
            <w:tcW w:w="1279" w:type="pct"/>
            <w:noWrap w:val="0"/>
            <w:vAlign w:val="center"/>
          </w:tcPr>
          <w:p w14:paraId="75EBD284">
            <w:pPr>
              <w:pStyle w:val="27"/>
              <w:contextualSpacing/>
              <w:rPr>
                <w:rFonts w:ascii="Times New Roman" w:hAnsi="Times New Roman"/>
                <w:highlight w:val="none"/>
              </w:rPr>
            </w:pPr>
            <w:r>
              <w:rPr>
                <w:rFonts w:ascii="Times New Roman" w:hAnsi="Times New Roman"/>
                <w:highlight w:val="none"/>
              </w:rPr>
              <w:t>20</w:t>
            </w:r>
            <w:r>
              <w:rPr>
                <w:rFonts w:hint="eastAsia" w:ascii="宋体" w:hAnsi="宋体" w:eastAsia="宋体" w:cs="宋体"/>
                <w:highlight w:val="none"/>
              </w:rPr>
              <w:t>①</w:t>
            </w:r>
          </w:p>
        </w:tc>
        <w:tc>
          <w:tcPr>
            <w:tcW w:w="1163" w:type="pct"/>
            <w:noWrap w:val="0"/>
            <w:vAlign w:val="center"/>
          </w:tcPr>
          <w:p w14:paraId="71136BF3">
            <w:pPr>
              <w:pStyle w:val="27"/>
              <w:contextualSpacing/>
              <w:rPr>
                <w:rFonts w:ascii="Times New Roman" w:hAnsi="Times New Roman"/>
                <w:highlight w:val="none"/>
              </w:rPr>
            </w:pPr>
            <w:r>
              <w:rPr>
                <w:rFonts w:ascii="Times New Roman" w:hAnsi="Times New Roman"/>
                <w:highlight w:val="none"/>
              </w:rPr>
              <w:t>60</w:t>
            </w:r>
            <w:r>
              <w:rPr>
                <w:rFonts w:hint="eastAsia" w:ascii="宋体" w:hAnsi="宋体" w:eastAsia="宋体" w:cs="宋体"/>
                <w:highlight w:val="none"/>
              </w:rPr>
              <w:t>①</w:t>
            </w:r>
          </w:p>
        </w:tc>
      </w:tr>
      <w:tr w14:paraId="224D8C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28A1CD63">
            <w:pPr>
              <w:pStyle w:val="27"/>
              <w:contextualSpacing/>
              <w:rPr>
                <w:rFonts w:ascii="Times New Roman" w:hAnsi="Times New Roman"/>
                <w:highlight w:val="none"/>
              </w:rPr>
            </w:pPr>
            <w:r>
              <w:rPr>
                <w:rFonts w:ascii="Times New Roman" w:hAnsi="Times New Roman"/>
                <w:highlight w:val="none"/>
              </w:rPr>
              <w:t>2</w:t>
            </w:r>
          </w:p>
        </w:tc>
        <w:tc>
          <w:tcPr>
            <w:tcW w:w="1174" w:type="pct"/>
            <w:noWrap w:val="0"/>
            <w:vAlign w:val="center"/>
          </w:tcPr>
          <w:p w14:paraId="5141DD16">
            <w:pPr>
              <w:pStyle w:val="27"/>
              <w:contextualSpacing/>
              <w:rPr>
                <w:rFonts w:ascii="Times New Roman" w:hAnsi="Times New Roman"/>
                <w:highlight w:val="none"/>
              </w:rPr>
            </w:pPr>
            <w:r>
              <w:rPr>
                <w:rFonts w:ascii="Times New Roman" w:hAnsi="Times New Roman"/>
                <w:highlight w:val="none"/>
              </w:rPr>
              <w:t>镉</w:t>
            </w:r>
          </w:p>
        </w:tc>
        <w:tc>
          <w:tcPr>
            <w:tcW w:w="994" w:type="pct"/>
            <w:noWrap w:val="0"/>
            <w:vAlign w:val="center"/>
          </w:tcPr>
          <w:p w14:paraId="73BED56C">
            <w:pPr>
              <w:pStyle w:val="27"/>
              <w:contextualSpacing/>
              <w:rPr>
                <w:rFonts w:ascii="Times New Roman" w:hAnsi="Times New Roman"/>
                <w:highlight w:val="none"/>
              </w:rPr>
            </w:pPr>
            <w:r>
              <w:rPr>
                <w:rFonts w:ascii="Times New Roman" w:hAnsi="Times New Roman"/>
                <w:highlight w:val="none"/>
              </w:rPr>
              <w:t>7440-43-9</w:t>
            </w:r>
          </w:p>
        </w:tc>
        <w:tc>
          <w:tcPr>
            <w:tcW w:w="1279" w:type="pct"/>
            <w:noWrap w:val="0"/>
            <w:vAlign w:val="center"/>
          </w:tcPr>
          <w:p w14:paraId="59586878">
            <w:pPr>
              <w:pStyle w:val="27"/>
              <w:contextualSpacing/>
              <w:rPr>
                <w:rFonts w:ascii="Times New Roman" w:hAnsi="Times New Roman"/>
                <w:highlight w:val="none"/>
              </w:rPr>
            </w:pPr>
            <w:r>
              <w:rPr>
                <w:rFonts w:ascii="Times New Roman" w:hAnsi="Times New Roman"/>
                <w:highlight w:val="none"/>
              </w:rPr>
              <w:t>20</w:t>
            </w:r>
          </w:p>
        </w:tc>
        <w:tc>
          <w:tcPr>
            <w:tcW w:w="1163" w:type="pct"/>
            <w:noWrap w:val="0"/>
            <w:vAlign w:val="center"/>
          </w:tcPr>
          <w:p w14:paraId="01B2E338">
            <w:pPr>
              <w:pStyle w:val="27"/>
              <w:contextualSpacing/>
              <w:rPr>
                <w:rFonts w:ascii="Times New Roman" w:hAnsi="Times New Roman"/>
                <w:highlight w:val="none"/>
              </w:rPr>
            </w:pPr>
            <w:r>
              <w:rPr>
                <w:rFonts w:ascii="Times New Roman" w:hAnsi="Times New Roman"/>
                <w:highlight w:val="none"/>
              </w:rPr>
              <w:t>65</w:t>
            </w:r>
          </w:p>
        </w:tc>
      </w:tr>
      <w:tr w14:paraId="2E0E61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DA58CD6">
            <w:pPr>
              <w:pStyle w:val="27"/>
              <w:contextualSpacing/>
              <w:rPr>
                <w:rFonts w:ascii="Times New Roman" w:hAnsi="Times New Roman"/>
                <w:highlight w:val="none"/>
              </w:rPr>
            </w:pPr>
            <w:r>
              <w:rPr>
                <w:rFonts w:ascii="Times New Roman" w:hAnsi="Times New Roman"/>
                <w:highlight w:val="none"/>
              </w:rPr>
              <w:t>3</w:t>
            </w:r>
          </w:p>
        </w:tc>
        <w:tc>
          <w:tcPr>
            <w:tcW w:w="1174" w:type="pct"/>
            <w:noWrap w:val="0"/>
            <w:vAlign w:val="center"/>
          </w:tcPr>
          <w:p w14:paraId="48AAC0B7">
            <w:pPr>
              <w:pStyle w:val="27"/>
              <w:contextualSpacing/>
              <w:rPr>
                <w:rFonts w:ascii="Times New Roman" w:hAnsi="Times New Roman"/>
                <w:highlight w:val="none"/>
              </w:rPr>
            </w:pPr>
            <w:r>
              <w:rPr>
                <w:rFonts w:ascii="Times New Roman" w:hAnsi="Times New Roman"/>
                <w:highlight w:val="none"/>
              </w:rPr>
              <w:t>铬（六价）</w:t>
            </w:r>
          </w:p>
        </w:tc>
        <w:tc>
          <w:tcPr>
            <w:tcW w:w="994" w:type="pct"/>
            <w:noWrap w:val="0"/>
            <w:vAlign w:val="center"/>
          </w:tcPr>
          <w:p w14:paraId="52D0B453">
            <w:pPr>
              <w:pStyle w:val="27"/>
              <w:contextualSpacing/>
              <w:rPr>
                <w:rFonts w:ascii="Times New Roman" w:hAnsi="Times New Roman"/>
                <w:highlight w:val="none"/>
              </w:rPr>
            </w:pPr>
            <w:r>
              <w:rPr>
                <w:rFonts w:ascii="Times New Roman" w:hAnsi="Times New Roman"/>
                <w:highlight w:val="none"/>
              </w:rPr>
              <w:t>18540-29-9</w:t>
            </w:r>
          </w:p>
        </w:tc>
        <w:tc>
          <w:tcPr>
            <w:tcW w:w="1279" w:type="pct"/>
            <w:noWrap w:val="0"/>
            <w:vAlign w:val="center"/>
          </w:tcPr>
          <w:p w14:paraId="004AA73A">
            <w:pPr>
              <w:pStyle w:val="27"/>
              <w:contextualSpacing/>
              <w:rPr>
                <w:rFonts w:ascii="Times New Roman" w:hAnsi="Times New Roman"/>
                <w:highlight w:val="none"/>
              </w:rPr>
            </w:pPr>
            <w:r>
              <w:rPr>
                <w:rFonts w:ascii="Times New Roman" w:hAnsi="Times New Roman"/>
                <w:highlight w:val="none"/>
              </w:rPr>
              <w:t>3.0</w:t>
            </w:r>
          </w:p>
        </w:tc>
        <w:tc>
          <w:tcPr>
            <w:tcW w:w="1163" w:type="pct"/>
            <w:noWrap w:val="0"/>
            <w:vAlign w:val="center"/>
          </w:tcPr>
          <w:p w14:paraId="6B3C7B35">
            <w:pPr>
              <w:pStyle w:val="27"/>
              <w:contextualSpacing/>
              <w:rPr>
                <w:rFonts w:ascii="Times New Roman" w:hAnsi="Times New Roman"/>
                <w:highlight w:val="none"/>
              </w:rPr>
            </w:pPr>
            <w:r>
              <w:rPr>
                <w:rFonts w:ascii="Times New Roman" w:hAnsi="Times New Roman"/>
                <w:highlight w:val="none"/>
              </w:rPr>
              <w:t>5.7</w:t>
            </w:r>
          </w:p>
        </w:tc>
      </w:tr>
      <w:tr w14:paraId="4ECC531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07EB3269">
            <w:pPr>
              <w:pStyle w:val="27"/>
              <w:contextualSpacing/>
              <w:rPr>
                <w:rFonts w:ascii="Times New Roman" w:hAnsi="Times New Roman"/>
                <w:highlight w:val="none"/>
              </w:rPr>
            </w:pPr>
            <w:r>
              <w:rPr>
                <w:rFonts w:ascii="Times New Roman" w:hAnsi="Times New Roman"/>
                <w:highlight w:val="none"/>
              </w:rPr>
              <w:t>4</w:t>
            </w:r>
          </w:p>
        </w:tc>
        <w:tc>
          <w:tcPr>
            <w:tcW w:w="1174" w:type="pct"/>
            <w:noWrap w:val="0"/>
            <w:vAlign w:val="center"/>
          </w:tcPr>
          <w:p w14:paraId="25193252">
            <w:pPr>
              <w:pStyle w:val="27"/>
              <w:contextualSpacing/>
              <w:rPr>
                <w:rFonts w:ascii="Times New Roman" w:hAnsi="Times New Roman"/>
                <w:highlight w:val="none"/>
              </w:rPr>
            </w:pPr>
            <w:r>
              <w:rPr>
                <w:rFonts w:ascii="Times New Roman" w:hAnsi="Times New Roman"/>
                <w:highlight w:val="none"/>
              </w:rPr>
              <w:t>铜</w:t>
            </w:r>
          </w:p>
        </w:tc>
        <w:tc>
          <w:tcPr>
            <w:tcW w:w="994" w:type="pct"/>
            <w:noWrap w:val="0"/>
            <w:vAlign w:val="center"/>
          </w:tcPr>
          <w:p w14:paraId="6DAC993E">
            <w:pPr>
              <w:pStyle w:val="27"/>
              <w:contextualSpacing/>
              <w:rPr>
                <w:rFonts w:ascii="Times New Roman" w:hAnsi="Times New Roman"/>
                <w:highlight w:val="none"/>
              </w:rPr>
            </w:pPr>
            <w:r>
              <w:rPr>
                <w:rFonts w:ascii="Times New Roman" w:hAnsi="Times New Roman"/>
                <w:highlight w:val="none"/>
              </w:rPr>
              <w:t>7440-50-8</w:t>
            </w:r>
          </w:p>
        </w:tc>
        <w:tc>
          <w:tcPr>
            <w:tcW w:w="1279" w:type="pct"/>
            <w:noWrap w:val="0"/>
            <w:vAlign w:val="center"/>
          </w:tcPr>
          <w:p w14:paraId="22372726">
            <w:pPr>
              <w:pStyle w:val="27"/>
              <w:contextualSpacing/>
              <w:rPr>
                <w:rFonts w:ascii="Times New Roman" w:hAnsi="Times New Roman"/>
                <w:highlight w:val="none"/>
              </w:rPr>
            </w:pPr>
            <w:r>
              <w:rPr>
                <w:rFonts w:ascii="Times New Roman" w:hAnsi="Times New Roman"/>
                <w:highlight w:val="none"/>
              </w:rPr>
              <w:t>2000</w:t>
            </w:r>
          </w:p>
        </w:tc>
        <w:tc>
          <w:tcPr>
            <w:tcW w:w="1163" w:type="pct"/>
            <w:noWrap w:val="0"/>
            <w:vAlign w:val="center"/>
          </w:tcPr>
          <w:p w14:paraId="4BF5239C">
            <w:pPr>
              <w:pStyle w:val="27"/>
              <w:contextualSpacing/>
              <w:rPr>
                <w:rFonts w:ascii="Times New Roman" w:hAnsi="Times New Roman"/>
                <w:highlight w:val="none"/>
              </w:rPr>
            </w:pPr>
            <w:r>
              <w:rPr>
                <w:rFonts w:ascii="Times New Roman" w:hAnsi="Times New Roman"/>
                <w:highlight w:val="none"/>
              </w:rPr>
              <w:t>18000</w:t>
            </w:r>
          </w:p>
        </w:tc>
      </w:tr>
      <w:tr w14:paraId="76CC385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0A6F06E7">
            <w:pPr>
              <w:pStyle w:val="27"/>
              <w:contextualSpacing/>
              <w:rPr>
                <w:rFonts w:ascii="Times New Roman" w:hAnsi="Times New Roman"/>
                <w:highlight w:val="none"/>
              </w:rPr>
            </w:pPr>
            <w:r>
              <w:rPr>
                <w:rFonts w:ascii="Times New Roman" w:hAnsi="Times New Roman"/>
                <w:highlight w:val="none"/>
              </w:rPr>
              <w:t>5</w:t>
            </w:r>
          </w:p>
        </w:tc>
        <w:tc>
          <w:tcPr>
            <w:tcW w:w="1174" w:type="pct"/>
            <w:noWrap w:val="0"/>
            <w:vAlign w:val="center"/>
          </w:tcPr>
          <w:p w14:paraId="5D260212">
            <w:pPr>
              <w:pStyle w:val="27"/>
              <w:contextualSpacing/>
              <w:rPr>
                <w:rFonts w:ascii="Times New Roman" w:hAnsi="Times New Roman"/>
                <w:highlight w:val="none"/>
              </w:rPr>
            </w:pPr>
            <w:r>
              <w:rPr>
                <w:rFonts w:ascii="Times New Roman" w:hAnsi="Times New Roman"/>
                <w:highlight w:val="none"/>
              </w:rPr>
              <w:t>铅</w:t>
            </w:r>
          </w:p>
        </w:tc>
        <w:tc>
          <w:tcPr>
            <w:tcW w:w="994" w:type="pct"/>
            <w:noWrap w:val="0"/>
            <w:vAlign w:val="center"/>
          </w:tcPr>
          <w:p w14:paraId="30539934">
            <w:pPr>
              <w:pStyle w:val="27"/>
              <w:contextualSpacing/>
              <w:rPr>
                <w:rFonts w:ascii="Times New Roman" w:hAnsi="Times New Roman"/>
                <w:highlight w:val="none"/>
              </w:rPr>
            </w:pPr>
            <w:r>
              <w:rPr>
                <w:rFonts w:ascii="Times New Roman" w:hAnsi="Times New Roman"/>
                <w:highlight w:val="none"/>
              </w:rPr>
              <w:t>7439-92-1</w:t>
            </w:r>
          </w:p>
        </w:tc>
        <w:tc>
          <w:tcPr>
            <w:tcW w:w="1279" w:type="pct"/>
            <w:noWrap w:val="0"/>
            <w:vAlign w:val="center"/>
          </w:tcPr>
          <w:p w14:paraId="1C439A1C">
            <w:pPr>
              <w:pStyle w:val="27"/>
              <w:contextualSpacing/>
              <w:rPr>
                <w:rFonts w:ascii="Times New Roman" w:hAnsi="Times New Roman"/>
                <w:highlight w:val="none"/>
              </w:rPr>
            </w:pPr>
            <w:r>
              <w:rPr>
                <w:rFonts w:ascii="Times New Roman" w:hAnsi="Times New Roman"/>
                <w:highlight w:val="none"/>
              </w:rPr>
              <w:t>400</w:t>
            </w:r>
          </w:p>
        </w:tc>
        <w:tc>
          <w:tcPr>
            <w:tcW w:w="1163" w:type="pct"/>
            <w:noWrap w:val="0"/>
            <w:vAlign w:val="center"/>
          </w:tcPr>
          <w:p w14:paraId="1F45F1BC">
            <w:pPr>
              <w:pStyle w:val="27"/>
              <w:contextualSpacing/>
              <w:rPr>
                <w:rFonts w:ascii="Times New Roman" w:hAnsi="Times New Roman"/>
                <w:highlight w:val="none"/>
              </w:rPr>
            </w:pPr>
            <w:r>
              <w:rPr>
                <w:rFonts w:ascii="Times New Roman" w:hAnsi="Times New Roman"/>
                <w:highlight w:val="none"/>
              </w:rPr>
              <w:t>800</w:t>
            </w:r>
          </w:p>
        </w:tc>
      </w:tr>
      <w:tr w14:paraId="2369C6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44AD4452">
            <w:pPr>
              <w:pStyle w:val="27"/>
              <w:contextualSpacing/>
              <w:rPr>
                <w:rFonts w:ascii="Times New Roman" w:hAnsi="Times New Roman"/>
                <w:highlight w:val="none"/>
              </w:rPr>
            </w:pPr>
            <w:r>
              <w:rPr>
                <w:rFonts w:ascii="Times New Roman" w:hAnsi="Times New Roman"/>
                <w:highlight w:val="none"/>
              </w:rPr>
              <w:t>6</w:t>
            </w:r>
          </w:p>
        </w:tc>
        <w:tc>
          <w:tcPr>
            <w:tcW w:w="1174" w:type="pct"/>
            <w:noWrap w:val="0"/>
            <w:vAlign w:val="center"/>
          </w:tcPr>
          <w:p w14:paraId="65D2C233">
            <w:pPr>
              <w:pStyle w:val="27"/>
              <w:contextualSpacing/>
              <w:rPr>
                <w:rFonts w:ascii="Times New Roman" w:hAnsi="Times New Roman"/>
                <w:highlight w:val="none"/>
              </w:rPr>
            </w:pPr>
            <w:r>
              <w:rPr>
                <w:rFonts w:ascii="Times New Roman" w:hAnsi="Times New Roman"/>
                <w:highlight w:val="none"/>
              </w:rPr>
              <w:t>汞</w:t>
            </w:r>
          </w:p>
        </w:tc>
        <w:tc>
          <w:tcPr>
            <w:tcW w:w="994" w:type="pct"/>
            <w:noWrap w:val="0"/>
            <w:vAlign w:val="center"/>
          </w:tcPr>
          <w:p w14:paraId="5366256E">
            <w:pPr>
              <w:pStyle w:val="27"/>
              <w:contextualSpacing/>
              <w:rPr>
                <w:rFonts w:ascii="Times New Roman" w:hAnsi="Times New Roman"/>
                <w:highlight w:val="none"/>
              </w:rPr>
            </w:pPr>
            <w:r>
              <w:rPr>
                <w:rFonts w:ascii="Times New Roman" w:hAnsi="Times New Roman"/>
                <w:highlight w:val="none"/>
              </w:rPr>
              <w:t>7439-97-6</w:t>
            </w:r>
          </w:p>
        </w:tc>
        <w:tc>
          <w:tcPr>
            <w:tcW w:w="1279" w:type="pct"/>
            <w:noWrap w:val="0"/>
            <w:vAlign w:val="center"/>
          </w:tcPr>
          <w:p w14:paraId="090D35CA">
            <w:pPr>
              <w:pStyle w:val="27"/>
              <w:contextualSpacing/>
              <w:rPr>
                <w:rFonts w:ascii="Times New Roman" w:hAnsi="Times New Roman"/>
                <w:highlight w:val="none"/>
              </w:rPr>
            </w:pPr>
            <w:r>
              <w:rPr>
                <w:rFonts w:ascii="Times New Roman" w:hAnsi="Times New Roman"/>
                <w:highlight w:val="none"/>
              </w:rPr>
              <w:t>8</w:t>
            </w:r>
          </w:p>
        </w:tc>
        <w:tc>
          <w:tcPr>
            <w:tcW w:w="1163" w:type="pct"/>
            <w:noWrap w:val="0"/>
            <w:vAlign w:val="center"/>
          </w:tcPr>
          <w:p w14:paraId="69855591">
            <w:pPr>
              <w:pStyle w:val="27"/>
              <w:contextualSpacing/>
              <w:rPr>
                <w:rFonts w:ascii="Times New Roman" w:hAnsi="Times New Roman"/>
                <w:highlight w:val="none"/>
              </w:rPr>
            </w:pPr>
            <w:r>
              <w:rPr>
                <w:rFonts w:ascii="Times New Roman" w:hAnsi="Times New Roman"/>
                <w:highlight w:val="none"/>
              </w:rPr>
              <w:t>38</w:t>
            </w:r>
          </w:p>
        </w:tc>
      </w:tr>
      <w:tr w14:paraId="3319F2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292E0FEF">
            <w:pPr>
              <w:pStyle w:val="27"/>
              <w:contextualSpacing/>
              <w:rPr>
                <w:rFonts w:ascii="Times New Roman" w:hAnsi="Times New Roman"/>
                <w:highlight w:val="none"/>
              </w:rPr>
            </w:pPr>
            <w:r>
              <w:rPr>
                <w:rFonts w:ascii="Times New Roman" w:hAnsi="Times New Roman"/>
                <w:highlight w:val="none"/>
              </w:rPr>
              <w:t>7</w:t>
            </w:r>
          </w:p>
        </w:tc>
        <w:tc>
          <w:tcPr>
            <w:tcW w:w="1174" w:type="pct"/>
            <w:noWrap w:val="0"/>
            <w:vAlign w:val="center"/>
          </w:tcPr>
          <w:p w14:paraId="51E6DE8B">
            <w:pPr>
              <w:pStyle w:val="27"/>
              <w:contextualSpacing/>
              <w:rPr>
                <w:rFonts w:ascii="Times New Roman" w:hAnsi="Times New Roman"/>
                <w:highlight w:val="none"/>
              </w:rPr>
            </w:pPr>
            <w:r>
              <w:rPr>
                <w:rFonts w:ascii="Times New Roman" w:hAnsi="Times New Roman"/>
                <w:highlight w:val="none"/>
              </w:rPr>
              <w:t>镍</w:t>
            </w:r>
          </w:p>
        </w:tc>
        <w:tc>
          <w:tcPr>
            <w:tcW w:w="994" w:type="pct"/>
            <w:noWrap w:val="0"/>
            <w:vAlign w:val="center"/>
          </w:tcPr>
          <w:p w14:paraId="117AC830">
            <w:pPr>
              <w:pStyle w:val="27"/>
              <w:contextualSpacing/>
              <w:rPr>
                <w:rFonts w:ascii="Times New Roman" w:hAnsi="Times New Roman"/>
                <w:highlight w:val="none"/>
              </w:rPr>
            </w:pPr>
            <w:r>
              <w:rPr>
                <w:rFonts w:ascii="Times New Roman" w:hAnsi="Times New Roman"/>
                <w:highlight w:val="none"/>
              </w:rPr>
              <w:t>7440-02-0</w:t>
            </w:r>
          </w:p>
        </w:tc>
        <w:tc>
          <w:tcPr>
            <w:tcW w:w="1279" w:type="pct"/>
            <w:noWrap w:val="0"/>
            <w:vAlign w:val="center"/>
          </w:tcPr>
          <w:p w14:paraId="59AA6F31">
            <w:pPr>
              <w:pStyle w:val="27"/>
              <w:contextualSpacing/>
              <w:rPr>
                <w:rFonts w:ascii="Times New Roman" w:hAnsi="Times New Roman"/>
                <w:highlight w:val="none"/>
              </w:rPr>
            </w:pPr>
            <w:r>
              <w:rPr>
                <w:rFonts w:ascii="Times New Roman" w:hAnsi="Times New Roman"/>
                <w:highlight w:val="none"/>
              </w:rPr>
              <w:t>150</w:t>
            </w:r>
          </w:p>
        </w:tc>
        <w:tc>
          <w:tcPr>
            <w:tcW w:w="1163" w:type="pct"/>
            <w:noWrap w:val="0"/>
            <w:vAlign w:val="center"/>
          </w:tcPr>
          <w:p w14:paraId="23A14ED7">
            <w:pPr>
              <w:pStyle w:val="27"/>
              <w:contextualSpacing/>
              <w:rPr>
                <w:rFonts w:ascii="Times New Roman" w:hAnsi="Times New Roman"/>
                <w:highlight w:val="none"/>
              </w:rPr>
            </w:pPr>
            <w:r>
              <w:rPr>
                <w:rFonts w:ascii="Times New Roman" w:hAnsi="Times New Roman"/>
                <w:highlight w:val="none"/>
              </w:rPr>
              <w:t>900</w:t>
            </w:r>
          </w:p>
        </w:tc>
      </w:tr>
      <w:tr w14:paraId="5A6279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7B9BBD64">
            <w:pPr>
              <w:pStyle w:val="27"/>
              <w:contextualSpacing/>
              <w:rPr>
                <w:rFonts w:ascii="Times New Roman" w:hAnsi="Times New Roman"/>
                <w:highlight w:val="none"/>
              </w:rPr>
            </w:pPr>
            <w:r>
              <w:rPr>
                <w:rFonts w:ascii="Times New Roman" w:hAnsi="Times New Roman"/>
                <w:highlight w:val="none"/>
              </w:rPr>
              <w:t>8</w:t>
            </w:r>
          </w:p>
        </w:tc>
        <w:tc>
          <w:tcPr>
            <w:tcW w:w="1174" w:type="pct"/>
            <w:noWrap w:val="0"/>
            <w:vAlign w:val="center"/>
          </w:tcPr>
          <w:p w14:paraId="6D3CEBB1">
            <w:pPr>
              <w:pStyle w:val="27"/>
              <w:contextualSpacing/>
              <w:rPr>
                <w:rFonts w:ascii="Times New Roman" w:hAnsi="Times New Roman"/>
                <w:highlight w:val="none"/>
              </w:rPr>
            </w:pPr>
            <w:r>
              <w:rPr>
                <w:rFonts w:ascii="Times New Roman" w:hAnsi="Times New Roman"/>
                <w:highlight w:val="none"/>
              </w:rPr>
              <w:t>四氯化碳</w:t>
            </w:r>
          </w:p>
        </w:tc>
        <w:tc>
          <w:tcPr>
            <w:tcW w:w="994" w:type="pct"/>
            <w:noWrap w:val="0"/>
            <w:vAlign w:val="center"/>
          </w:tcPr>
          <w:p w14:paraId="26CC2B17">
            <w:pPr>
              <w:pStyle w:val="27"/>
              <w:contextualSpacing/>
              <w:rPr>
                <w:rFonts w:ascii="Times New Roman" w:hAnsi="Times New Roman"/>
                <w:highlight w:val="none"/>
              </w:rPr>
            </w:pPr>
            <w:r>
              <w:rPr>
                <w:rFonts w:ascii="Times New Roman" w:hAnsi="Times New Roman"/>
                <w:highlight w:val="none"/>
              </w:rPr>
              <w:t>56-23-5</w:t>
            </w:r>
          </w:p>
        </w:tc>
        <w:tc>
          <w:tcPr>
            <w:tcW w:w="1279" w:type="pct"/>
            <w:noWrap w:val="0"/>
            <w:vAlign w:val="center"/>
          </w:tcPr>
          <w:p w14:paraId="29FE7190">
            <w:pPr>
              <w:pStyle w:val="27"/>
              <w:contextualSpacing/>
              <w:rPr>
                <w:rFonts w:ascii="Times New Roman" w:hAnsi="Times New Roman"/>
                <w:highlight w:val="none"/>
              </w:rPr>
            </w:pPr>
            <w:r>
              <w:rPr>
                <w:rFonts w:ascii="Times New Roman" w:hAnsi="Times New Roman"/>
                <w:highlight w:val="none"/>
              </w:rPr>
              <w:t>0.9</w:t>
            </w:r>
          </w:p>
        </w:tc>
        <w:tc>
          <w:tcPr>
            <w:tcW w:w="1163" w:type="pct"/>
            <w:noWrap w:val="0"/>
            <w:vAlign w:val="center"/>
          </w:tcPr>
          <w:p w14:paraId="307E738D">
            <w:pPr>
              <w:pStyle w:val="27"/>
              <w:contextualSpacing/>
              <w:rPr>
                <w:rFonts w:ascii="Times New Roman" w:hAnsi="Times New Roman"/>
                <w:highlight w:val="none"/>
              </w:rPr>
            </w:pPr>
            <w:r>
              <w:rPr>
                <w:rFonts w:ascii="Times New Roman" w:hAnsi="Times New Roman"/>
                <w:highlight w:val="none"/>
              </w:rPr>
              <w:t>2.8</w:t>
            </w:r>
          </w:p>
        </w:tc>
      </w:tr>
      <w:tr w14:paraId="7885B8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E77883F">
            <w:pPr>
              <w:pStyle w:val="27"/>
              <w:contextualSpacing/>
              <w:rPr>
                <w:rFonts w:ascii="Times New Roman" w:hAnsi="Times New Roman"/>
                <w:highlight w:val="none"/>
              </w:rPr>
            </w:pPr>
            <w:r>
              <w:rPr>
                <w:rFonts w:ascii="Times New Roman" w:hAnsi="Times New Roman"/>
                <w:highlight w:val="none"/>
              </w:rPr>
              <w:t>9</w:t>
            </w:r>
          </w:p>
        </w:tc>
        <w:tc>
          <w:tcPr>
            <w:tcW w:w="1174" w:type="pct"/>
            <w:noWrap w:val="0"/>
            <w:vAlign w:val="center"/>
          </w:tcPr>
          <w:p w14:paraId="08626B89">
            <w:pPr>
              <w:pStyle w:val="27"/>
              <w:contextualSpacing/>
              <w:rPr>
                <w:rFonts w:ascii="Times New Roman" w:hAnsi="Times New Roman"/>
                <w:highlight w:val="none"/>
              </w:rPr>
            </w:pPr>
            <w:r>
              <w:rPr>
                <w:rFonts w:ascii="Times New Roman" w:hAnsi="Times New Roman"/>
                <w:highlight w:val="none"/>
              </w:rPr>
              <w:t>氯仿</w:t>
            </w:r>
          </w:p>
        </w:tc>
        <w:tc>
          <w:tcPr>
            <w:tcW w:w="994" w:type="pct"/>
            <w:noWrap w:val="0"/>
            <w:vAlign w:val="center"/>
          </w:tcPr>
          <w:p w14:paraId="30571DB0">
            <w:pPr>
              <w:pStyle w:val="27"/>
              <w:contextualSpacing/>
              <w:rPr>
                <w:rFonts w:ascii="Times New Roman" w:hAnsi="Times New Roman"/>
                <w:highlight w:val="none"/>
              </w:rPr>
            </w:pPr>
            <w:r>
              <w:rPr>
                <w:rFonts w:ascii="Times New Roman" w:hAnsi="Times New Roman"/>
                <w:highlight w:val="none"/>
              </w:rPr>
              <w:t>67-66-3</w:t>
            </w:r>
          </w:p>
        </w:tc>
        <w:tc>
          <w:tcPr>
            <w:tcW w:w="1279" w:type="pct"/>
            <w:noWrap w:val="0"/>
            <w:vAlign w:val="center"/>
          </w:tcPr>
          <w:p w14:paraId="6071B2D6">
            <w:pPr>
              <w:pStyle w:val="27"/>
              <w:contextualSpacing/>
              <w:rPr>
                <w:rFonts w:ascii="Times New Roman" w:hAnsi="Times New Roman"/>
                <w:highlight w:val="none"/>
              </w:rPr>
            </w:pPr>
            <w:r>
              <w:rPr>
                <w:rFonts w:ascii="Times New Roman" w:hAnsi="Times New Roman"/>
                <w:highlight w:val="none"/>
              </w:rPr>
              <w:t>0.3</w:t>
            </w:r>
          </w:p>
        </w:tc>
        <w:tc>
          <w:tcPr>
            <w:tcW w:w="1163" w:type="pct"/>
            <w:noWrap w:val="0"/>
            <w:vAlign w:val="center"/>
          </w:tcPr>
          <w:p w14:paraId="54C77CD9">
            <w:pPr>
              <w:pStyle w:val="27"/>
              <w:contextualSpacing/>
              <w:rPr>
                <w:rFonts w:ascii="Times New Roman" w:hAnsi="Times New Roman"/>
                <w:highlight w:val="none"/>
              </w:rPr>
            </w:pPr>
            <w:r>
              <w:rPr>
                <w:rFonts w:ascii="Times New Roman" w:hAnsi="Times New Roman"/>
                <w:highlight w:val="none"/>
              </w:rPr>
              <w:t>0.9</w:t>
            </w:r>
          </w:p>
        </w:tc>
      </w:tr>
      <w:tr w14:paraId="66AC47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5A9BC1D8">
            <w:pPr>
              <w:pStyle w:val="27"/>
              <w:contextualSpacing/>
              <w:rPr>
                <w:rFonts w:ascii="Times New Roman" w:hAnsi="Times New Roman"/>
                <w:highlight w:val="none"/>
              </w:rPr>
            </w:pPr>
            <w:r>
              <w:rPr>
                <w:rFonts w:ascii="Times New Roman" w:hAnsi="Times New Roman"/>
                <w:highlight w:val="none"/>
              </w:rPr>
              <w:t>10</w:t>
            </w:r>
          </w:p>
        </w:tc>
        <w:tc>
          <w:tcPr>
            <w:tcW w:w="1174" w:type="pct"/>
            <w:noWrap w:val="0"/>
            <w:vAlign w:val="center"/>
          </w:tcPr>
          <w:p w14:paraId="6B432942">
            <w:pPr>
              <w:pStyle w:val="27"/>
              <w:contextualSpacing/>
              <w:rPr>
                <w:rFonts w:ascii="Times New Roman" w:hAnsi="Times New Roman"/>
                <w:highlight w:val="none"/>
              </w:rPr>
            </w:pPr>
            <w:r>
              <w:rPr>
                <w:rFonts w:ascii="Times New Roman" w:hAnsi="Times New Roman"/>
                <w:highlight w:val="none"/>
              </w:rPr>
              <w:t>氯甲烷</w:t>
            </w:r>
          </w:p>
        </w:tc>
        <w:tc>
          <w:tcPr>
            <w:tcW w:w="994" w:type="pct"/>
            <w:noWrap w:val="0"/>
            <w:vAlign w:val="center"/>
          </w:tcPr>
          <w:p w14:paraId="1A6F4967">
            <w:pPr>
              <w:pStyle w:val="27"/>
              <w:contextualSpacing/>
              <w:rPr>
                <w:rFonts w:ascii="Times New Roman" w:hAnsi="Times New Roman"/>
                <w:highlight w:val="none"/>
              </w:rPr>
            </w:pPr>
            <w:r>
              <w:rPr>
                <w:rFonts w:ascii="Times New Roman" w:hAnsi="Times New Roman"/>
                <w:highlight w:val="none"/>
              </w:rPr>
              <w:t>74-87-3</w:t>
            </w:r>
          </w:p>
        </w:tc>
        <w:tc>
          <w:tcPr>
            <w:tcW w:w="1279" w:type="pct"/>
            <w:noWrap w:val="0"/>
            <w:vAlign w:val="center"/>
          </w:tcPr>
          <w:p w14:paraId="4890E1A2">
            <w:pPr>
              <w:pStyle w:val="27"/>
              <w:contextualSpacing/>
              <w:rPr>
                <w:rFonts w:ascii="Times New Roman" w:hAnsi="Times New Roman"/>
                <w:highlight w:val="none"/>
              </w:rPr>
            </w:pPr>
            <w:r>
              <w:rPr>
                <w:rFonts w:ascii="Times New Roman" w:hAnsi="Times New Roman"/>
                <w:highlight w:val="none"/>
              </w:rPr>
              <w:t>12</w:t>
            </w:r>
          </w:p>
        </w:tc>
        <w:tc>
          <w:tcPr>
            <w:tcW w:w="1163" w:type="pct"/>
            <w:noWrap w:val="0"/>
            <w:vAlign w:val="center"/>
          </w:tcPr>
          <w:p w14:paraId="5330319B">
            <w:pPr>
              <w:pStyle w:val="27"/>
              <w:contextualSpacing/>
              <w:rPr>
                <w:rFonts w:ascii="Times New Roman" w:hAnsi="Times New Roman"/>
                <w:highlight w:val="none"/>
              </w:rPr>
            </w:pPr>
            <w:r>
              <w:rPr>
                <w:rFonts w:ascii="Times New Roman" w:hAnsi="Times New Roman"/>
                <w:highlight w:val="none"/>
              </w:rPr>
              <w:t>37</w:t>
            </w:r>
          </w:p>
        </w:tc>
      </w:tr>
      <w:tr w14:paraId="5C8B6B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1CEBA69">
            <w:pPr>
              <w:pStyle w:val="27"/>
              <w:contextualSpacing/>
              <w:rPr>
                <w:rFonts w:ascii="Times New Roman" w:hAnsi="Times New Roman"/>
                <w:highlight w:val="none"/>
              </w:rPr>
            </w:pPr>
            <w:r>
              <w:rPr>
                <w:rFonts w:ascii="Times New Roman" w:hAnsi="Times New Roman"/>
                <w:highlight w:val="none"/>
              </w:rPr>
              <w:t>11</w:t>
            </w:r>
          </w:p>
        </w:tc>
        <w:tc>
          <w:tcPr>
            <w:tcW w:w="1174" w:type="pct"/>
            <w:noWrap w:val="0"/>
            <w:vAlign w:val="center"/>
          </w:tcPr>
          <w:p w14:paraId="26109402">
            <w:pPr>
              <w:pStyle w:val="27"/>
              <w:contextualSpacing/>
              <w:rPr>
                <w:rFonts w:ascii="Times New Roman" w:hAnsi="Times New Roman"/>
                <w:highlight w:val="none"/>
              </w:rPr>
            </w:pPr>
            <w:r>
              <w:rPr>
                <w:rFonts w:ascii="Times New Roman" w:hAnsi="Times New Roman"/>
                <w:highlight w:val="none"/>
              </w:rPr>
              <w:t>1,1-二氯乙烷</w:t>
            </w:r>
          </w:p>
        </w:tc>
        <w:tc>
          <w:tcPr>
            <w:tcW w:w="994" w:type="pct"/>
            <w:noWrap w:val="0"/>
            <w:vAlign w:val="center"/>
          </w:tcPr>
          <w:p w14:paraId="14DBCAE0">
            <w:pPr>
              <w:pStyle w:val="27"/>
              <w:contextualSpacing/>
              <w:rPr>
                <w:rFonts w:ascii="Times New Roman" w:hAnsi="Times New Roman"/>
                <w:highlight w:val="none"/>
              </w:rPr>
            </w:pPr>
            <w:r>
              <w:rPr>
                <w:rFonts w:ascii="Times New Roman" w:hAnsi="Times New Roman"/>
                <w:highlight w:val="none"/>
              </w:rPr>
              <w:t>75-34-3</w:t>
            </w:r>
          </w:p>
        </w:tc>
        <w:tc>
          <w:tcPr>
            <w:tcW w:w="1279" w:type="pct"/>
            <w:noWrap w:val="0"/>
            <w:vAlign w:val="center"/>
          </w:tcPr>
          <w:p w14:paraId="266FCE11">
            <w:pPr>
              <w:pStyle w:val="27"/>
              <w:contextualSpacing/>
              <w:rPr>
                <w:rFonts w:ascii="Times New Roman" w:hAnsi="Times New Roman"/>
                <w:highlight w:val="none"/>
              </w:rPr>
            </w:pPr>
            <w:r>
              <w:rPr>
                <w:rFonts w:ascii="Times New Roman" w:hAnsi="Times New Roman"/>
                <w:highlight w:val="none"/>
              </w:rPr>
              <w:t>3</w:t>
            </w:r>
          </w:p>
        </w:tc>
        <w:tc>
          <w:tcPr>
            <w:tcW w:w="1163" w:type="pct"/>
            <w:noWrap w:val="0"/>
            <w:vAlign w:val="center"/>
          </w:tcPr>
          <w:p w14:paraId="1B304741">
            <w:pPr>
              <w:pStyle w:val="27"/>
              <w:contextualSpacing/>
              <w:rPr>
                <w:rFonts w:ascii="Times New Roman" w:hAnsi="Times New Roman"/>
                <w:highlight w:val="none"/>
              </w:rPr>
            </w:pPr>
            <w:r>
              <w:rPr>
                <w:rFonts w:ascii="Times New Roman" w:hAnsi="Times New Roman"/>
                <w:highlight w:val="none"/>
              </w:rPr>
              <w:t>9</w:t>
            </w:r>
          </w:p>
        </w:tc>
      </w:tr>
      <w:tr w14:paraId="3BBB6D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93986EE">
            <w:pPr>
              <w:pStyle w:val="27"/>
              <w:contextualSpacing/>
              <w:rPr>
                <w:rFonts w:ascii="Times New Roman" w:hAnsi="Times New Roman"/>
                <w:highlight w:val="none"/>
              </w:rPr>
            </w:pPr>
            <w:r>
              <w:rPr>
                <w:rFonts w:ascii="Times New Roman" w:hAnsi="Times New Roman"/>
                <w:highlight w:val="none"/>
              </w:rPr>
              <w:t>12</w:t>
            </w:r>
          </w:p>
        </w:tc>
        <w:tc>
          <w:tcPr>
            <w:tcW w:w="1174" w:type="pct"/>
            <w:noWrap w:val="0"/>
            <w:vAlign w:val="center"/>
          </w:tcPr>
          <w:p w14:paraId="318DDF32">
            <w:pPr>
              <w:pStyle w:val="27"/>
              <w:contextualSpacing/>
              <w:rPr>
                <w:rFonts w:ascii="Times New Roman" w:hAnsi="Times New Roman"/>
                <w:highlight w:val="none"/>
              </w:rPr>
            </w:pPr>
            <w:r>
              <w:rPr>
                <w:rFonts w:ascii="Times New Roman" w:hAnsi="Times New Roman"/>
                <w:highlight w:val="none"/>
              </w:rPr>
              <w:t>1,2-二氯乙烷</w:t>
            </w:r>
          </w:p>
        </w:tc>
        <w:tc>
          <w:tcPr>
            <w:tcW w:w="994" w:type="pct"/>
            <w:noWrap w:val="0"/>
            <w:vAlign w:val="center"/>
          </w:tcPr>
          <w:p w14:paraId="040A885A">
            <w:pPr>
              <w:pStyle w:val="27"/>
              <w:contextualSpacing/>
              <w:rPr>
                <w:rFonts w:ascii="Times New Roman" w:hAnsi="Times New Roman"/>
                <w:highlight w:val="none"/>
              </w:rPr>
            </w:pPr>
            <w:r>
              <w:rPr>
                <w:rFonts w:ascii="Times New Roman" w:hAnsi="Times New Roman"/>
                <w:highlight w:val="none"/>
              </w:rPr>
              <w:t>107-06-2</w:t>
            </w:r>
          </w:p>
        </w:tc>
        <w:tc>
          <w:tcPr>
            <w:tcW w:w="1279" w:type="pct"/>
            <w:noWrap w:val="0"/>
            <w:vAlign w:val="center"/>
          </w:tcPr>
          <w:p w14:paraId="035C7FF5">
            <w:pPr>
              <w:pStyle w:val="27"/>
              <w:contextualSpacing/>
              <w:rPr>
                <w:rFonts w:ascii="Times New Roman" w:hAnsi="Times New Roman"/>
                <w:highlight w:val="none"/>
              </w:rPr>
            </w:pPr>
            <w:r>
              <w:rPr>
                <w:rFonts w:ascii="Times New Roman" w:hAnsi="Times New Roman"/>
                <w:highlight w:val="none"/>
              </w:rPr>
              <w:t>0.52</w:t>
            </w:r>
          </w:p>
        </w:tc>
        <w:tc>
          <w:tcPr>
            <w:tcW w:w="1163" w:type="pct"/>
            <w:noWrap w:val="0"/>
            <w:vAlign w:val="center"/>
          </w:tcPr>
          <w:p w14:paraId="2FFEE72D">
            <w:pPr>
              <w:pStyle w:val="27"/>
              <w:contextualSpacing/>
              <w:rPr>
                <w:rFonts w:ascii="Times New Roman" w:hAnsi="Times New Roman"/>
                <w:highlight w:val="none"/>
              </w:rPr>
            </w:pPr>
            <w:r>
              <w:rPr>
                <w:rFonts w:ascii="Times New Roman" w:hAnsi="Times New Roman"/>
                <w:highlight w:val="none"/>
              </w:rPr>
              <w:t>5</w:t>
            </w:r>
          </w:p>
        </w:tc>
      </w:tr>
      <w:tr w14:paraId="558F80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1F61ACC">
            <w:pPr>
              <w:pStyle w:val="27"/>
              <w:contextualSpacing/>
              <w:rPr>
                <w:rFonts w:ascii="Times New Roman" w:hAnsi="Times New Roman"/>
                <w:highlight w:val="none"/>
              </w:rPr>
            </w:pPr>
            <w:r>
              <w:rPr>
                <w:rFonts w:ascii="Times New Roman" w:hAnsi="Times New Roman"/>
                <w:highlight w:val="none"/>
              </w:rPr>
              <w:t>13</w:t>
            </w:r>
          </w:p>
        </w:tc>
        <w:tc>
          <w:tcPr>
            <w:tcW w:w="1174" w:type="pct"/>
            <w:noWrap w:val="0"/>
            <w:vAlign w:val="center"/>
          </w:tcPr>
          <w:p w14:paraId="0AAB3239">
            <w:pPr>
              <w:pStyle w:val="27"/>
              <w:contextualSpacing/>
              <w:rPr>
                <w:rFonts w:ascii="Times New Roman" w:hAnsi="Times New Roman"/>
                <w:highlight w:val="none"/>
              </w:rPr>
            </w:pPr>
            <w:r>
              <w:rPr>
                <w:rFonts w:ascii="Times New Roman" w:hAnsi="Times New Roman"/>
                <w:highlight w:val="none"/>
              </w:rPr>
              <w:t>1,1-二氯乙烯</w:t>
            </w:r>
          </w:p>
        </w:tc>
        <w:tc>
          <w:tcPr>
            <w:tcW w:w="994" w:type="pct"/>
            <w:noWrap w:val="0"/>
            <w:vAlign w:val="center"/>
          </w:tcPr>
          <w:p w14:paraId="3E222CF4">
            <w:pPr>
              <w:pStyle w:val="27"/>
              <w:contextualSpacing/>
              <w:rPr>
                <w:rFonts w:ascii="Times New Roman" w:hAnsi="Times New Roman"/>
                <w:highlight w:val="none"/>
              </w:rPr>
            </w:pPr>
            <w:r>
              <w:rPr>
                <w:rFonts w:ascii="Times New Roman" w:hAnsi="Times New Roman"/>
                <w:highlight w:val="none"/>
              </w:rPr>
              <w:t>75-35-4</w:t>
            </w:r>
          </w:p>
        </w:tc>
        <w:tc>
          <w:tcPr>
            <w:tcW w:w="1279" w:type="pct"/>
            <w:noWrap w:val="0"/>
            <w:vAlign w:val="center"/>
          </w:tcPr>
          <w:p w14:paraId="0DBD955C">
            <w:pPr>
              <w:pStyle w:val="27"/>
              <w:contextualSpacing/>
              <w:rPr>
                <w:rFonts w:ascii="Times New Roman" w:hAnsi="Times New Roman"/>
                <w:highlight w:val="none"/>
              </w:rPr>
            </w:pPr>
            <w:r>
              <w:rPr>
                <w:rFonts w:ascii="Times New Roman" w:hAnsi="Times New Roman"/>
                <w:highlight w:val="none"/>
              </w:rPr>
              <w:t>12</w:t>
            </w:r>
          </w:p>
        </w:tc>
        <w:tc>
          <w:tcPr>
            <w:tcW w:w="1163" w:type="pct"/>
            <w:noWrap w:val="0"/>
            <w:vAlign w:val="center"/>
          </w:tcPr>
          <w:p w14:paraId="4008F071">
            <w:pPr>
              <w:pStyle w:val="27"/>
              <w:contextualSpacing/>
              <w:rPr>
                <w:rFonts w:ascii="Times New Roman" w:hAnsi="Times New Roman"/>
                <w:highlight w:val="none"/>
              </w:rPr>
            </w:pPr>
            <w:r>
              <w:rPr>
                <w:rFonts w:ascii="Times New Roman" w:hAnsi="Times New Roman"/>
                <w:highlight w:val="none"/>
              </w:rPr>
              <w:t>66</w:t>
            </w:r>
          </w:p>
        </w:tc>
      </w:tr>
      <w:tr w14:paraId="60C28E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8D5CF36">
            <w:pPr>
              <w:pStyle w:val="27"/>
              <w:contextualSpacing/>
              <w:rPr>
                <w:rFonts w:ascii="Times New Roman" w:hAnsi="Times New Roman"/>
                <w:highlight w:val="none"/>
              </w:rPr>
            </w:pPr>
            <w:r>
              <w:rPr>
                <w:rFonts w:ascii="Times New Roman" w:hAnsi="Times New Roman"/>
                <w:highlight w:val="none"/>
              </w:rPr>
              <w:t>14</w:t>
            </w:r>
          </w:p>
        </w:tc>
        <w:tc>
          <w:tcPr>
            <w:tcW w:w="1174" w:type="pct"/>
            <w:noWrap w:val="0"/>
            <w:vAlign w:val="center"/>
          </w:tcPr>
          <w:p w14:paraId="765AF24F">
            <w:pPr>
              <w:pStyle w:val="27"/>
              <w:contextualSpacing/>
              <w:rPr>
                <w:rFonts w:ascii="Times New Roman" w:hAnsi="Times New Roman"/>
                <w:highlight w:val="none"/>
              </w:rPr>
            </w:pPr>
            <w:r>
              <w:rPr>
                <w:rFonts w:ascii="Times New Roman" w:hAnsi="Times New Roman"/>
                <w:highlight w:val="none"/>
              </w:rPr>
              <w:t>顺-1,2-二氯乙烯</w:t>
            </w:r>
          </w:p>
        </w:tc>
        <w:tc>
          <w:tcPr>
            <w:tcW w:w="994" w:type="pct"/>
            <w:noWrap w:val="0"/>
            <w:vAlign w:val="center"/>
          </w:tcPr>
          <w:p w14:paraId="255535B3">
            <w:pPr>
              <w:pStyle w:val="27"/>
              <w:contextualSpacing/>
              <w:rPr>
                <w:rFonts w:ascii="Times New Roman" w:hAnsi="Times New Roman"/>
                <w:highlight w:val="none"/>
              </w:rPr>
            </w:pPr>
            <w:r>
              <w:rPr>
                <w:rFonts w:ascii="Times New Roman" w:hAnsi="Times New Roman"/>
                <w:highlight w:val="none"/>
              </w:rPr>
              <w:t>156-59-2</w:t>
            </w:r>
          </w:p>
        </w:tc>
        <w:tc>
          <w:tcPr>
            <w:tcW w:w="1279" w:type="pct"/>
            <w:noWrap w:val="0"/>
            <w:vAlign w:val="center"/>
          </w:tcPr>
          <w:p w14:paraId="6530B501">
            <w:pPr>
              <w:pStyle w:val="27"/>
              <w:contextualSpacing/>
              <w:rPr>
                <w:rFonts w:ascii="Times New Roman" w:hAnsi="Times New Roman"/>
                <w:highlight w:val="none"/>
              </w:rPr>
            </w:pPr>
            <w:r>
              <w:rPr>
                <w:rFonts w:ascii="Times New Roman" w:hAnsi="Times New Roman"/>
                <w:highlight w:val="none"/>
              </w:rPr>
              <w:t>66</w:t>
            </w:r>
          </w:p>
        </w:tc>
        <w:tc>
          <w:tcPr>
            <w:tcW w:w="1163" w:type="pct"/>
            <w:noWrap w:val="0"/>
            <w:vAlign w:val="center"/>
          </w:tcPr>
          <w:p w14:paraId="7F320466">
            <w:pPr>
              <w:pStyle w:val="27"/>
              <w:contextualSpacing/>
              <w:rPr>
                <w:rFonts w:ascii="Times New Roman" w:hAnsi="Times New Roman"/>
                <w:highlight w:val="none"/>
              </w:rPr>
            </w:pPr>
            <w:r>
              <w:rPr>
                <w:rFonts w:ascii="Times New Roman" w:hAnsi="Times New Roman"/>
                <w:highlight w:val="none"/>
              </w:rPr>
              <w:t>596</w:t>
            </w:r>
          </w:p>
        </w:tc>
      </w:tr>
      <w:tr w14:paraId="54FC25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DD5FC84">
            <w:pPr>
              <w:pStyle w:val="27"/>
              <w:contextualSpacing/>
              <w:rPr>
                <w:rFonts w:ascii="Times New Roman" w:hAnsi="Times New Roman"/>
                <w:highlight w:val="none"/>
              </w:rPr>
            </w:pPr>
            <w:r>
              <w:rPr>
                <w:rFonts w:ascii="Times New Roman" w:hAnsi="Times New Roman"/>
                <w:highlight w:val="none"/>
              </w:rPr>
              <w:t>15</w:t>
            </w:r>
          </w:p>
        </w:tc>
        <w:tc>
          <w:tcPr>
            <w:tcW w:w="1174" w:type="pct"/>
            <w:noWrap w:val="0"/>
            <w:vAlign w:val="center"/>
          </w:tcPr>
          <w:p w14:paraId="04B93100">
            <w:pPr>
              <w:pStyle w:val="27"/>
              <w:contextualSpacing/>
              <w:rPr>
                <w:rFonts w:ascii="Times New Roman" w:hAnsi="Times New Roman"/>
                <w:highlight w:val="none"/>
              </w:rPr>
            </w:pPr>
            <w:r>
              <w:rPr>
                <w:rFonts w:ascii="Times New Roman" w:hAnsi="Times New Roman"/>
                <w:highlight w:val="none"/>
              </w:rPr>
              <w:t>反-1,2-二氯乙烯</w:t>
            </w:r>
          </w:p>
        </w:tc>
        <w:tc>
          <w:tcPr>
            <w:tcW w:w="994" w:type="pct"/>
            <w:noWrap w:val="0"/>
            <w:vAlign w:val="center"/>
          </w:tcPr>
          <w:p w14:paraId="777B99A6">
            <w:pPr>
              <w:pStyle w:val="27"/>
              <w:contextualSpacing/>
              <w:rPr>
                <w:rFonts w:ascii="Times New Roman" w:hAnsi="Times New Roman"/>
                <w:highlight w:val="none"/>
              </w:rPr>
            </w:pPr>
            <w:r>
              <w:rPr>
                <w:rFonts w:ascii="Times New Roman" w:hAnsi="Times New Roman"/>
                <w:highlight w:val="none"/>
              </w:rPr>
              <w:t>156-60-5</w:t>
            </w:r>
          </w:p>
        </w:tc>
        <w:tc>
          <w:tcPr>
            <w:tcW w:w="1279" w:type="pct"/>
            <w:noWrap w:val="0"/>
            <w:vAlign w:val="center"/>
          </w:tcPr>
          <w:p w14:paraId="1E6D4147">
            <w:pPr>
              <w:pStyle w:val="27"/>
              <w:contextualSpacing/>
              <w:rPr>
                <w:rFonts w:ascii="Times New Roman" w:hAnsi="Times New Roman"/>
                <w:highlight w:val="none"/>
              </w:rPr>
            </w:pPr>
            <w:r>
              <w:rPr>
                <w:rFonts w:ascii="Times New Roman" w:hAnsi="Times New Roman"/>
                <w:highlight w:val="none"/>
              </w:rPr>
              <w:t>10</w:t>
            </w:r>
          </w:p>
        </w:tc>
        <w:tc>
          <w:tcPr>
            <w:tcW w:w="1163" w:type="pct"/>
            <w:noWrap w:val="0"/>
            <w:vAlign w:val="center"/>
          </w:tcPr>
          <w:p w14:paraId="336AE8EE">
            <w:pPr>
              <w:pStyle w:val="27"/>
              <w:contextualSpacing/>
              <w:rPr>
                <w:rFonts w:ascii="Times New Roman" w:hAnsi="Times New Roman"/>
                <w:highlight w:val="none"/>
              </w:rPr>
            </w:pPr>
            <w:r>
              <w:rPr>
                <w:rFonts w:ascii="Times New Roman" w:hAnsi="Times New Roman"/>
                <w:highlight w:val="none"/>
              </w:rPr>
              <w:t>51</w:t>
            </w:r>
          </w:p>
        </w:tc>
      </w:tr>
      <w:tr w14:paraId="368253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7BFCF7CB">
            <w:pPr>
              <w:pStyle w:val="27"/>
              <w:contextualSpacing/>
              <w:rPr>
                <w:rFonts w:ascii="Times New Roman" w:hAnsi="Times New Roman"/>
                <w:highlight w:val="none"/>
              </w:rPr>
            </w:pPr>
            <w:r>
              <w:rPr>
                <w:rFonts w:ascii="Times New Roman" w:hAnsi="Times New Roman"/>
                <w:highlight w:val="none"/>
              </w:rPr>
              <w:t>16</w:t>
            </w:r>
          </w:p>
        </w:tc>
        <w:tc>
          <w:tcPr>
            <w:tcW w:w="1174" w:type="pct"/>
            <w:noWrap w:val="0"/>
            <w:vAlign w:val="center"/>
          </w:tcPr>
          <w:p w14:paraId="2E9BA285">
            <w:pPr>
              <w:pStyle w:val="27"/>
              <w:contextualSpacing/>
              <w:rPr>
                <w:rFonts w:ascii="Times New Roman" w:hAnsi="Times New Roman"/>
                <w:highlight w:val="none"/>
              </w:rPr>
            </w:pPr>
            <w:r>
              <w:rPr>
                <w:rFonts w:ascii="Times New Roman" w:hAnsi="Times New Roman"/>
                <w:highlight w:val="none"/>
              </w:rPr>
              <w:t>二氯甲烷</w:t>
            </w:r>
          </w:p>
        </w:tc>
        <w:tc>
          <w:tcPr>
            <w:tcW w:w="994" w:type="pct"/>
            <w:noWrap w:val="0"/>
            <w:vAlign w:val="center"/>
          </w:tcPr>
          <w:p w14:paraId="3DE58EFA">
            <w:pPr>
              <w:pStyle w:val="27"/>
              <w:contextualSpacing/>
              <w:rPr>
                <w:rFonts w:ascii="Times New Roman" w:hAnsi="Times New Roman"/>
                <w:highlight w:val="none"/>
              </w:rPr>
            </w:pPr>
            <w:r>
              <w:rPr>
                <w:rFonts w:ascii="Times New Roman" w:hAnsi="Times New Roman"/>
                <w:highlight w:val="none"/>
              </w:rPr>
              <w:t>75-09-2</w:t>
            </w:r>
          </w:p>
        </w:tc>
        <w:tc>
          <w:tcPr>
            <w:tcW w:w="1279" w:type="pct"/>
            <w:noWrap w:val="0"/>
            <w:vAlign w:val="center"/>
          </w:tcPr>
          <w:p w14:paraId="4DE3CEDC">
            <w:pPr>
              <w:pStyle w:val="27"/>
              <w:contextualSpacing/>
              <w:rPr>
                <w:rFonts w:ascii="Times New Roman" w:hAnsi="Times New Roman"/>
                <w:highlight w:val="none"/>
              </w:rPr>
            </w:pPr>
            <w:r>
              <w:rPr>
                <w:rFonts w:ascii="Times New Roman" w:hAnsi="Times New Roman"/>
                <w:highlight w:val="none"/>
              </w:rPr>
              <w:t>94</w:t>
            </w:r>
          </w:p>
        </w:tc>
        <w:tc>
          <w:tcPr>
            <w:tcW w:w="1163" w:type="pct"/>
            <w:noWrap w:val="0"/>
            <w:vAlign w:val="center"/>
          </w:tcPr>
          <w:p w14:paraId="0E77E30C">
            <w:pPr>
              <w:pStyle w:val="27"/>
              <w:contextualSpacing/>
              <w:rPr>
                <w:rFonts w:ascii="Times New Roman" w:hAnsi="Times New Roman"/>
                <w:highlight w:val="none"/>
              </w:rPr>
            </w:pPr>
            <w:r>
              <w:rPr>
                <w:rFonts w:ascii="Times New Roman" w:hAnsi="Times New Roman"/>
                <w:highlight w:val="none"/>
              </w:rPr>
              <w:t>616</w:t>
            </w:r>
          </w:p>
        </w:tc>
      </w:tr>
      <w:tr w14:paraId="0C11A7F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94D2E96">
            <w:pPr>
              <w:pStyle w:val="27"/>
              <w:contextualSpacing/>
              <w:rPr>
                <w:rFonts w:ascii="Times New Roman" w:hAnsi="Times New Roman"/>
                <w:highlight w:val="none"/>
              </w:rPr>
            </w:pPr>
            <w:r>
              <w:rPr>
                <w:rFonts w:ascii="Times New Roman" w:hAnsi="Times New Roman"/>
                <w:highlight w:val="none"/>
              </w:rPr>
              <w:t>17</w:t>
            </w:r>
          </w:p>
        </w:tc>
        <w:tc>
          <w:tcPr>
            <w:tcW w:w="1174" w:type="pct"/>
            <w:noWrap w:val="0"/>
            <w:vAlign w:val="center"/>
          </w:tcPr>
          <w:p w14:paraId="7C3618DF">
            <w:pPr>
              <w:pStyle w:val="27"/>
              <w:contextualSpacing/>
              <w:rPr>
                <w:rFonts w:ascii="Times New Roman" w:hAnsi="Times New Roman"/>
                <w:highlight w:val="none"/>
              </w:rPr>
            </w:pPr>
            <w:r>
              <w:rPr>
                <w:rFonts w:ascii="Times New Roman" w:hAnsi="Times New Roman"/>
                <w:highlight w:val="none"/>
              </w:rPr>
              <w:t>1,2-二氯丙烷</w:t>
            </w:r>
          </w:p>
        </w:tc>
        <w:tc>
          <w:tcPr>
            <w:tcW w:w="994" w:type="pct"/>
            <w:noWrap w:val="0"/>
            <w:vAlign w:val="center"/>
          </w:tcPr>
          <w:p w14:paraId="39E2A2C7">
            <w:pPr>
              <w:pStyle w:val="27"/>
              <w:contextualSpacing/>
              <w:rPr>
                <w:rFonts w:ascii="Times New Roman" w:hAnsi="Times New Roman"/>
                <w:highlight w:val="none"/>
              </w:rPr>
            </w:pPr>
            <w:r>
              <w:rPr>
                <w:rFonts w:ascii="Times New Roman" w:hAnsi="Times New Roman"/>
                <w:highlight w:val="none"/>
              </w:rPr>
              <w:t>78-87-5</w:t>
            </w:r>
          </w:p>
        </w:tc>
        <w:tc>
          <w:tcPr>
            <w:tcW w:w="1279" w:type="pct"/>
            <w:noWrap w:val="0"/>
            <w:vAlign w:val="center"/>
          </w:tcPr>
          <w:p w14:paraId="0130D4DC">
            <w:pPr>
              <w:pStyle w:val="27"/>
              <w:contextualSpacing/>
              <w:rPr>
                <w:rFonts w:ascii="Times New Roman" w:hAnsi="Times New Roman"/>
                <w:highlight w:val="none"/>
              </w:rPr>
            </w:pPr>
            <w:r>
              <w:rPr>
                <w:rFonts w:ascii="Times New Roman" w:hAnsi="Times New Roman"/>
                <w:highlight w:val="none"/>
              </w:rPr>
              <w:t>1</w:t>
            </w:r>
          </w:p>
        </w:tc>
        <w:tc>
          <w:tcPr>
            <w:tcW w:w="1163" w:type="pct"/>
            <w:noWrap w:val="0"/>
            <w:vAlign w:val="center"/>
          </w:tcPr>
          <w:p w14:paraId="1CC155F8">
            <w:pPr>
              <w:pStyle w:val="27"/>
              <w:contextualSpacing/>
              <w:rPr>
                <w:rFonts w:ascii="Times New Roman" w:hAnsi="Times New Roman"/>
                <w:highlight w:val="none"/>
              </w:rPr>
            </w:pPr>
            <w:r>
              <w:rPr>
                <w:rFonts w:ascii="Times New Roman" w:hAnsi="Times New Roman"/>
                <w:highlight w:val="none"/>
              </w:rPr>
              <w:t>5</w:t>
            </w:r>
          </w:p>
        </w:tc>
      </w:tr>
      <w:tr w14:paraId="4D9B5E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7817222C">
            <w:pPr>
              <w:pStyle w:val="27"/>
              <w:contextualSpacing/>
              <w:rPr>
                <w:rFonts w:ascii="Times New Roman" w:hAnsi="Times New Roman"/>
                <w:highlight w:val="none"/>
              </w:rPr>
            </w:pPr>
            <w:r>
              <w:rPr>
                <w:rFonts w:ascii="Times New Roman" w:hAnsi="Times New Roman"/>
                <w:highlight w:val="none"/>
              </w:rPr>
              <w:t>18</w:t>
            </w:r>
          </w:p>
        </w:tc>
        <w:tc>
          <w:tcPr>
            <w:tcW w:w="1174" w:type="pct"/>
            <w:noWrap w:val="0"/>
            <w:vAlign w:val="center"/>
          </w:tcPr>
          <w:p w14:paraId="49D32F86">
            <w:pPr>
              <w:pStyle w:val="27"/>
              <w:contextualSpacing/>
              <w:rPr>
                <w:rFonts w:ascii="Times New Roman" w:hAnsi="Times New Roman"/>
                <w:highlight w:val="none"/>
              </w:rPr>
            </w:pPr>
            <w:r>
              <w:rPr>
                <w:rFonts w:ascii="Times New Roman" w:hAnsi="Times New Roman"/>
                <w:highlight w:val="none"/>
              </w:rPr>
              <w:t>1,1,1,2-四氯乙烷</w:t>
            </w:r>
          </w:p>
        </w:tc>
        <w:tc>
          <w:tcPr>
            <w:tcW w:w="994" w:type="pct"/>
            <w:noWrap w:val="0"/>
            <w:vAlign w:val="center"/>
          </w:tcPr>
          <w:p w14:paraId="4E4221DF">
            <w:pPr>
              <w:pStyle w:val="27"/>
              <w:contextualSpacing/>
              <w:rPr>
                <w:rFonts w:ascii="Times New Roman" w:hAnsi="Times New Roman"/>
                <w:highlight w:val="none"/>
              </w:rPr>
            </w:pPr>
            <w:r>
              <w:rPr>
                <w:rFonts w:ascii="Times New Roman" w:hAnsi="Times New Roman"/>
                <w:highlight w:val="none"/>
              </w:rPr>
              <w:t>630-20-6</w:t>
            </w:r>
          </w:p>
        </w:tc>
        <w:tc>
          <w:tcPr>
            <w:tcW w:w="1279" w:type="pct"/>
            <w:noWrap w:val="0"/>
            <w:vAlign w:val="center"/>
          </w:tcPr>
          <w:p w14:paraId="40741C96">
            <w:pPr>
              <w:pStyle w:val="27"/>
              <w:contextualSpacing/>
              <w:rPr>
                <w:rFonts w:ascii="Times New Roman" w:hAnsi="Times New Roman"/>
                <w:highlight w:val="none"/>
              </w:rPr>
            </w:pPr>
            <w:r>
              <w:rPr>
                <w:rFonts w:ascii="Times New Roman" w:hAnsi="Times New Roman"/>
                <w:highlight w:val="none"/>
              </w:rPr>
              <w:t>2.6</w:t>
            </w:r>
          </w:p>
        </w:tc>
        <w:tc>
          <w:tcPr>
            <w:tcW w:w="1163" w:type="pct"/>
            <w:noWrap w:val="0"/>
            <w:vAlign w:val="center"/>
          </w:tcPr>
          <w:p w14:paraId="059CD66F">
            <w:pPr>
              <w:pStyle w:val="27"/>
              <w:contextualSpacing/>
              <w:rPr>
                <w:rFonts w:ascii="Times New Roman" w:hAnsi="Times New Roman"/>
                <w:highlight w:val="none"/>
              </w:rPr>
            </w:pPr>
            <w:r>
              <w:rPr>
                <w:rFonts w:ascii="Times New Roman" w:hAnsi="Times New Roman"/>
                <w:highlight w:val="none"/>
              </w:rPr>
              <w:t>10</w:t>
            </w:r>
          </w:p>
        </w:tc>
      </w:tr>
      <w:tr w14:paraId="3DD296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EA736C0">
            <w:pPr>
              <w:pStyle w:val="27"/>
              <w:contextualSpacing/>
              <w:rPr>
                <w:rFonts w:ascii="Times New Roman" w:hAnsi="Times New Roman"/>
                <w:highlight w:val="none"/>
              </w:rPr>
            </w:pPr>
            <w:r>
              <w:rPr>
                <w:rFonts w:ascii="Times New Roman" w:hAnsi="Times New Roman"/>
                <w:highlight w:val="none"/>
              </w:rPr>
              <w:t>19</w:t>
            </w:r>
          </w:p>
        </w:tc>
        <w:tc>
          <w:tcPr>
            <w:tcW w:w="1174" w:type="pct"/>
            <w:noWrap w:val="0"/>
            <w:vAlign w:val="center"/>
          </w:tcPr>
          <w:p w14:paraId="42694A88">
            <w:pPr>
              <w:pStyle w:val="27"/>
              <w:contextualSpacing/>
              <w:rPr>
                <w:rFonts w:ascii="Times New Roman" w:hAnsi="Times New Roman"/>
                <w:highlight w:val="none"/>
              </w:rPr>
            </w:pPr>
            <w:r>
              <w:rPr>
                <w:rFonts w:ascii="Times New Roman" w:hAnsi="Times New Roman"/>
                <w:highlight w:val="none"/>
              </w:rPr>
              <w:t>1,1,2,2-四氯乙烷</w:t>
            </w:r>
          </w:p>
        </w:tc>
        <w:tc>
          <w:tcPr>
            <w:tcW w:w="994" w:type="pct"/>
            <w:noWrap w:val="0"/>
            <w:vAlign w:val="center"/>
          </w:tcPr>
          <w:p w14:paraId="548628D1">
            <w:pPr>
              <w:pStyle w:val="27"/>
              <w:contextualSpacing/>
              <w:rPr>
                <w:rFonts w:ascii="Times New Roman" w:hAnsi="Times New Roman"/>
                <w:highlight w:val="none"/>
              </w:rPr>
            </w:pPr>
            <w:r>
              <w:rPr>
                <w:rFonts w:ascii="Times New Roman" w:hAnsi="Times New Roman"/>
                <w:highlight w:val="none"/>
              </w:rPr>
              <w:t>79-34-5</w:t>
            </w:r>
          </w:p>
        </w:tc>
        <w:tc>
          <w:tcPr>
            <w:tcW w:w="1279" w:type="pct"/>
            <w:noWrap w:val="0"/>
            <w:vAlign w:val="center"/>
          </w:tcPr>
          <w:p w14:paraId="2519D908">
            <w:pPr>
              <w:pStyle w:val="27"/>
              <w:contextualSpacing/>
              <w:rPr>
                <w:rFonts w:ascii="Times New Roman" w:hAnsi="Times New Roman"/>
                <w:highlight w:val="none"/>
              </w:rPr>
            </w:pPr>
            <w:r>
              <w:rPr>
                <w:rFonts w:ascii="Times New Roman" w:hAnsi="Times New Roman"/>
                <w:highlight w:val="none"/>
              </w:rPr>
              <w:t>1.6</w:t>
            </w:r>
          </w:p>
        </w:tc>
        <w:tc>
          <w:tcPr>
            <w:tcW w:w="1163" w:type="pct"/>
            <w:noWrap w:val="0"/>
            <w:vAlign w:val="center"/>
          </w:tcPr>
          <w:p w14:paraId="4769591C">
            <w:pPr>
              <w:pStyle w:val="27"/>
              <w:contextualSpacing/>
              <w:rPr>
                <w:rFonts w:ascii="Times New Roman" w:hAnsi="Times New Roman"/>
                <w:highlight w:val="none"/>
              </w:rPr>
            </w:pPr>
            <w:r>
              <w:rPr>
                <w:rFonts w:ascii="Times New Roman" w:hAnsi="Times New Roman"/>
                <w:highlight w:val="none"/>
              </w:rPr>
              <w:t>6.8</w:t>
            </w:r>
          </w:p>
        </w:tc>
      </w:tr>
      <w:tr w14:paraId="33F65D4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54ACFCEC">
            <w:pPr>
              <w:pStyle w:val="27"/>
              <w:contextualSpacing/>
              <w:rPr>
                <w:rFonts w:ascii="Times New Roman" w:hAnsi="Times New Roman"/>
                <w:highlight w:val="none"/>
              </w:rPr>
            </w:pPr>
            <w:r>
              <w:rPr>
                <w:rFonts w:ascii="Times New Roman" w:hAnsi="Times New Roman"/>
                <w:highlight w:val="none"/>
              </w:rPr>
              <w:t>20</w:t>
            </w:r>
          </w:p>
        </w:tc>
        <w:tc>
          <w:tcPr>
            <w:tcW w:w="1174" w:type="pct"/>
            <w:noWrap w:val="0"/>
            <w:vAlign w:val="center"/>
          </w:tcPr>
          <w:p w14:paraId="1C6D74E7">
            <w:pPr>
              <w:pStyle w:val="27"/>
              <w:contextualSpacing/>
              <w:rPr>
                <w:rFonts w:ascii="Times New Roman" w:hAnsi="Times New Roman"/>
                <w:highlight w:val="none"/>
              </w:rPr>
            </w:pPr>
            <w:r>
              <w:rPr>
                <w:rFonts w:ascii="Times New Roman" w:hAnsi="Times New Roman"/>
                <w:highlight w:val="none"/>
              </w:rPr>
              <w:t>四氯乙烯</w:t>
            </w:r>
          </w:p>
        </w:tc>
        <w:tc>
          <w:tcPr>
            <w:tcW w:w="994" w:type="pct"/>
            <w:noWrap w:val="0"/>
            <w:vAlign w:val="center"/>
          </w:tcPr>
          <w:p w14:paraId="565B89F0">
            <w:pPr>
              <w:pStyle w:val="27"/>
              <w:contextualSpacing/>
              <w:rPr>
                <w:rFonts w:ascii="Times New Roman" w:hAnsi="Times New Roman"/>
                <w:highlight w:val="none"/>
              </w:rPr>
            </w:pPr>
            <w:r>
              <w:rPr>
                <w:rFonts w:ascii="Times New Roman" w:hAnsi="Times New Roman"/>
                <w:highlight w:val="none"/>
              </w:rPr>
              <w:t>127-18-4</w:t>
            </w:r>
          </w:p>
        </w:tc>
        <w:tc>
          <w:tcPr>
            <w:tcW w:w="1279" w:type="pct"/>
            <w:noWrap w:val="0"/>
            <w:vAlign w:val="center"/>
          </w:tcPr>
          <w:p w14:paraId="3F07BD0D">
            <w:pPr>
              <w:pStyle w:val="27"/>
              <w:contextualSpacing/>
              <w:rPr>
                <w:rFonts w:ascii="Times New Roman" w:hAnsi="Times New Roman"/>
                <w:highlight w:val="none"/>
              </w:rPr>
            </w:pPr>
            <w:r>
              <w:rPr>
                <w:rFonts w:ascii="Times New Roman" w:hAnsi="Times New Roman"/>
                <w:highlight w:val="none"/>
              </w:rPr>
              <w:t>11</w:t>
            </w:r>
          </w:p>
        </w:tc>
        <w:tc>
          <w:tcPr>
            <w:tcW w:w="1163" w:type="pct"/>
            <w:noWrap w:val="0"/>
            <w:vAlign w:val="center"/>
          </w:tcPr>
          <w:p w14:paraId="144E21F1">
            <w:pPr>
              <w:pStyle w:val="27"/>
              <w:contextualSpacing/>
              <w:rPr>
                <w:rFonts w:ascii="Times New Roman" w:hAnsi="Times New Roman"/>
                <w:highlight w:val="none"/>
              </w:rPr>
            </w:pPr>
            <w:r>
              <w:rPr>
                <w:rFonts w:ascii="Times New Roman" w:hAnsi="Times New Roman"/>
                <w:highlight w:val="none"/>
              </w:rPr>
              <w:t>53</w:t>
            </w:r>
          </w:p>
        </w:tc>
      </w:tr>
      <w:tr w14:paraId="46EAE5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1E964F3">
            <w:pPr>
              <w:pStyle w:val="27"/>
              <w:contextualSpacing/>
              <w:rPr>
                <w:rFonts w:ascii="Times New Roman" w:hAnsi="Times New Roman"/>
                <w:highlight w:val="none"/>
              </w:rPr>
            </w:pPr>
            <w:r>
              <w:rPr>
                <w:rFonts w:ascii="Times New Roman" w:hAnsi="Times New Roman"/>
                <w:highlight w:val="none"/>
              </w:rPr>
              <w:t>21</w:t>
            </w:r>
          </w:p>
        </w:tc>
        <w:tc>
          <w:tcPr>
            <w:tcW w:w="1174" w:type="pct"/>
            <w:noWrap w:val="0"/>
            <w:vAlign w:val="center"/>
          </w:tcPr>
          <w:p w14:paraId="5A52ED37">
            <w:pPr>
              <w:pStyle w:val="27"/>
              <w:contextualSpacing/>
              <w:rPr>
                <w:rFonts w:ascii="Times New Roman" w:hAnsi="Times New Roman"/>
                <w:highlight w:val="none"/>
              </w:rPr>
            </w:pPr>
            <w:r>
              <w:rPr>
                <w:rFonts w:ascii="Times New Roman" w:hAnsi="Times New Roman"/>
                <w:highlight w:val="none"/>
              </w:rPr>
              <w:t>1,1,1-三氯乙烷</w:t>
            </w:r>
          </w:p>
        </w:tc>
        <w:tc>
          <w:tcPr>
            <w:tcW w:w="994" w:type="pct"/>
            <w:noWrap w:val="0"/>
            <w:vAlign w:val="center"/>
          </w:tcPr>
          <w:p w14:paraId="3A2BEE1B">
            <w:pPr>
              <w:pStyle w:val="27"/>
              <w:contextualSpacing/>
              <w:rPr>
                <w:rFonts w:ascii="Times New Roman" w:hAnsi="Times New Roman"/>
                <w:highlight w:val="none"/>
              </w:rPr>
            </w:pPr>
            <w:r>
              <w:rPr>
                <w:rFonts w:ascii="Times New Roman" w:hAnsi="Times New Roman"/>
                <w:highlight w:val="none"/>
              </w:rPr>
              <w:t>71-55-6</w:t>
            </w:r>
          </w:p>
        </w:tc>
        <w:tc>
          <w:tcPr>
            <w:tcW w:w="1279" w:type="pct"/>
            <w:noWrap w:val="0"/>
            <w:vAlign w:val="center"/>
          </w:tcPr>
          <w:p w14:paraId="56C20057">
            <w:pPr>
              <w:pStyle w:val="27"/>
              <w:contextualSpacing/>
              <w:rPr>
                <w:rFonts w:ascii="Times New Roman" w:hAnsi="Times New Roman"/>
                <w:highlight w:val="none"/>
              </w:rPr>
            </w:pPr>
            <w:r>
              <w:rPr>
                <w:rFonts w:ascii="Times New Roman" w:hAnsi="Times New Roman"/>
                <w:highlight w:val="none"/>
              </w:rPr>
              <w:t>701</w:t>
            </w:r>
          </w:p>
        </w:tc>
        <w:tc>
          <w:tcPr>
            <w:tcW w:w="1163" w:type="pct"/>
            <w:noWrap w:val="0"/>
            <w:vAlign w:val="center"/>
          </w:tcPr>
          <w:p w14:paraId="6339C4E8">
            <w:pPr>
              <w:pStyle w:val="27"/>
              <w:contextualSpacing/>
              <w:rPr>
                <w:rFonts w:ascii="Times New Roman" w:hAnsi="Times New Roman"/>
                <w:highlight w:val="none"/>
              </w:rPr>
            </w:pPr>
            <w:r>
              <w:rPr>
                <w:rFonts w:ascii="Times New Roman" w:hAnsi="Times New Roman"/>
                <w:highlight w:val="none"/>
              </w:rPr>
              <w:t>840</w:t>
            </w:r>
          </w:p>
        </w:tc>
      </w:tr>
      <w:tr w14:paraId="5DBB55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2DCC5027">
            <w:pPr>
              <w:pStyle w:val="27"/>
              <w:contextualSpacing/>
              <w:rPr>
                <w:rFonts w:ascii="Times New Roman" w:hAnsi="Times New Roman"/>
                <w:highlight w:val="none"/>
              </w:rPr>
            </w:pPr>
            <w:r>
              <w:rPr>
                <w:rFonts w:ascii="Times New Roman" w:hAnsi="Times New Roman"/>
                <w:highlight w:val="none"/>
              </w:rPr>
              <w:t>22</w:t>
            </w:r>
          </w:p>
        </w:tc>
        <w:tc>
          <w:tcPr>
            <w:tcW w:w="1174" w:type="pct"/>
            <w:noWrap w:val="0"/>
            <w:vAlign w:val="center"/>
          </w:tcPr>
          <w:p w14:paraId="1BB4B02D">
            <w:pPr>
              <w:pStyle w:val="27"/>
              <w:contextualSpacing/>
              <w:rPr>
                <w:rFonts w:ascii="Times New Roman" w:hAnsi="Times New Roman"/>
                <w:highlight w:val="none"/>
              </w:rPr>
            </w:pPr>
            <w:r>
              <w:rPr>
                <w:rFonts w:ascii="Times New Roman" w:hAnsi="Times New Roman"/>
                <w:highlight w:val="none"/>
              </w:rPr>
              <w:t>1,1,2-三氯乙烷</w:t>
            </w:r>
          </w:p>
        </w:tc>
        <w:tc>
          <w:tcPr>
            <w:tcW w:w="994" w:type="pct"/>
            <w:noWrap w:val="0"/>
            <w:vAlign w:val="center"/>
          </w:tcPr>
          <w:p w14:paraId="436D7258">
            <w:pPr>
              <w:pStyle w:val="27"/>
              <w:contextualSpacing/>
              <w:rPr>
                <w:rFonts w:ascii="Times New Roman" w:hAnsi="Times New Roman"/>
                <w:highlight w:val="none"/>
              </w:rPr>
            </w:pPr>
            <w:r>
              <w:rPr>
                <w:rFonts w:ascii="Times New Roman" w:hAnsi="Times New Roman"/>
                <w:highlight w:val="none"/>
              </w:rPr>
              <w:t>79-00-5</w:t>
            </w:r>
          </w:p>
        </w:tc>
        <w:tc>
          <w:tcPr>
            <w:tcW w:w="1279" w:type="pct"/>
            <w:noWrap w:val="0"/>
            <w:vAlign w:val="center"/>
          </w:tcPr>
          <w:p w14:paraId="284D9FEB">
            <w:pPr>
              <w:pStyle w:val="27"/>
              <w:contextualSpacing/>
              <w:rPr>
                <w:rFonts w:ascii="Times New Roman" w:hAnsi="Times New Roman"/>
                <w:highlight w:val="none"/>
              </w:rPr>
            </w:pPr>
            <w:r>
              <w:rPr>
                <w:rFonts w:ascii="Times New Roman" w:hAnsi="Times New Roman"/>
                <w:highlight w:val="none"/>
              </w:rPr>
              <w:t>0.6</w:t>
            </w:r>
          </w:p>
        </w:tc>
        <w:tc>
          <w:tcPr>
            <w:tcW w:w="1163" w:type="pct"/>
            <w:noWrap w:val="0"/>
            <w:vAlign w:val="center"/>
          </w:tcPr>
          <w:p w14:paraId="14085932">
            <w:pPr>
              <w:pStyle w:val="27"/>
              <w:contextualSpacing/>
              <w:rPr>
                <w:rFonts w:ascii="Times New Roman" w:hAnsi="Times New Roman"/>
                <w:highlight w:val="none"/>
              </w:rPr>
            </w:pPr>
            <w:r>
              <w:rPr>
                <w:rFonts w:ascii="Times New Roman" w:hAnsi="Times New Roman"/>
                <w:highlight w:val="none"/>
              </w:rPr>
              <w:t>2.8</w:t>
            </w:r>
          </w:p>
        </w:tc>
      </w:tr>
      <w:tr w14:paraId="47DED0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7194FF2E">
            <w:pPr>
              <w:pStyle w:val="27"/>
              <w:contextualSpacing/>
              <w:rPr>
                <w:rFonts w:ascii="Times New Roman" w:hAnsi="Times New Roman"/>
                <w:highlight w:val="none"/>
              </w:rPr>
            </w:pPr>
            <w:r>
              <w:rPr>
                <w:rFonts w:ascii="Times New Roman" w:hAnsi="Times New Roman"/>
                <w:highlight w:val="none"/>
              </w:rPr>
              <w:t>23</w:t>
            </w:r>
          </w:p>
        </w:tc>
        <w:tc>
          <w:tcPr>
            <w:tcW w:w="1174" w:type="pct"/>
            <w:noWrap w:val="0"/>
            <w:vAlign w:val="center"/>
          </w:tcPr>
          <w:p w14:paraId="3AEA4C99">
            <w:pPr>
              <w:pStyle w:val="27"/>
              <w:contextualSpacing/>
              <w:rPr>
                <w:rFonts w:ascii="Times New Roman" w:hAnsi="Times New Roman"/>
                <w:highlight w:val="none"/>
              </w:rPr>
            </w:pPr>
            <w:r>
              <w:rPr>
                <w:rFonts w:ascii="Times New Roman" w:hAnsi="Times New Roman"/>
                <w:highlight w:val="none"/>
              </w:rPr>
              <w:t>三氯乙烯</w:t>
            </w:r>
          </w:p>
        </w:tc>
        <w:tc>
          <w:tcPr>
            <w:tcW w:w="994" w:type="pct"/>
            <w:noWrap w:val="0"/>
            <w:vAlign w:val="center"/>
          </w:tcPr>
          <w:p w14:paraId="7B1C0601">
            <w:pPr>
              <w:pStyle w:val="27"/>
              <w:contextualSpacing/>
              <w:rPr>
                <w:rFonts w:ascii="Times New Roman" w:hAnsi="Times New Roman"/>
                <w:highlight w:val="none"/>
              </w:rPr>
            </w:pPr>
            <w:r>
              <w:rPr>
                <w:rFonts w:ascii="Times New Roman" w:hAnsi="Times New Roman"/>
                <w:highlight w:val="none"/>
              </w:rPr>
              <w:t>79-01-6</w:t>
            </w:r>
          </w:p>
        </w:tc>
        <w:tc>
          <w:tcPr>
            <w:tcW w:w="1279" w:type="pct"/>
            <w:noWrap w:val="0"/>
            <w:vAlign w:val="center"/>
          </w:tcPr>
          <w:p w14:paraId="2F48CFFB">
            <w:pPr>
              <w:pStyle w:val="27"/>
              <w:contextualSpacing/>
              <w:rPr>
                <w:rFonts w:ascii="Times New Roman" w:hAnsi="Times New Roman"/>
                <w:highlight w:val="none"/>
              </w:rPr>
            </w:pPr>
            <w:r>
              <w:rPr>
                <w:rFonts w:ascii="Times New Roman" w:hAnsi="Times New Roman"/>
                <w:highlight w:val="none"/>
              </w:rPr>
              <w:t>0.7</w:t>
            </w:r>
          </w:p>
        </w:tc>
        <w:tc>
          <w:tcPr>
            <w:tcW w:w="1163" w:type="pct"/>
            <w:noWrap w:val="0"/>
            <w:vAlign w:val="center"/>
          </w:tcPr>
          <w:p w14:paraId="57686F63">
            <w:pPr>
              <w:pStyle w:val="27"/>
              <w:contextualSpacing/>
              <w:rPr>
                <w:rFonts w:ascii="Times New Roman" w:hAnsi="Times New Roman"/>
                <w:highlight w:val="none"/>
              </w:rPr>
            </w:pPr>
            <w:r>
              <w:rPr>
                <w:rFonts w:ascii="Times New Roman" w:hAnsi="Times New Roman"/>
                <w:highlight w:val="none"/>
              </w:rPr>
              <w:t>2.8</w:t>
            </w:r>
          </w:p>
        </w:tc>
      </w:tr>
      <w:tr w14:paraId="5001604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5E33B29">
            <w:pPr>
              <w:pStyle w:val="27"/>
              <w:contextualSpacing/>
              <w:rPr>
                <w:rFonts w:ascii="Times New Roman" w:hAnsi="Times New Roman"/>
                <w:highlight w:val="none"/>
              </w:rPr>
            </w:pPr>
            <w:r>
              <w:rPr>
                <w:rFonts w:ascii="Times New Roman" w:hAnsi="Times New Roman"/>
                <w:highlight w:val="none"/>
              </w:rPr>
              <w:t>24</w:t>
            </w:r>
          </w:p>
        </w:tc>
        <w:tc>
          <w:tcPr>
            <w:tcW w:w="1174" w:type="pct"/>
            <w:noWrap w:val="0"/>
            <w:vAlign w:val="center"/>
          </w:tcPr>
          <w:p w14:paraId="2E93CDA3">
            <w:pPr>
              <w:pStyle w:val="27"/>
              <w:contextualSpacing/>
              <w:rPr>
                <w:rFonts w:ascii="Times New Roman" w:hAnsi="Times New Roman"/>
                <w:highlight w:val="none"/>
              </w:rPr>
            </w:pPr>
            <w:r>
              <w:rPr>
                <w:rFonts w:ascii="Times New Roman" w:hAnsi="Times New Roman"/>
                <w:highlight w:val="none"/>
              </w:rPr>
              <w:t>1,2,3-三氯丙烷</w:t>
            </w:r>
          </w:p>
        </w:tc>
        <w:tc>
          <w:tcPr>
            <w:tcW w:w="994" w:type="pct"/>
            <w:noWrap w:val="0"/>
            <w:vAlign w:val="center"/>
          </w:tcPr>
          <w:p w14:paraId="1226F701">
            <w:pPr>
              <w:pStyle w:val="27"/>
              <w:contextualSpacing/>
              <w:rPr>
                <w:rFonts w:ascii="Times New Roman" w:hAnsi="Times New Roman"/>
                <w:highlight w:val="none"/>
              </w:rPr>
            </w:pPr>
            <w:r>
              <w:rPr>
                <w:rFonts w:ascii="Times New Roman" w:hAnsi="Times New Roman"/>
                <w:highlight w:val="none"/>
              </w:rPr>
              <w:t>96-18-4</w:t>
            </w:r>
          </w:p>
        </w:tc>
        <w:tc>
          <w:tcPr>
            <w:tcW w:w="1279" w:type="pct"/>
            <w:noWrap w:val="0"/>
            <w:vAlign w:val="center"/>
          </w:tcPr>
          <w:p w14:paraId="745E35BF">
            <w:pPr>
              <w:pStyle w:val="27"/>
              <w:contextualSpacing/>
              <w:rPr>
                <w:rFonts w:ascii="Times New Roman" w:hAnsi="Times New Roman"/>
                <w:highlight w:val="none"/>
              </w:rPr>
            </w:pPr>
            <w:r>
              <w:rPr>
                <w:rFonts w:ascii="Times New Roman" w:hAnsi="Times New Roman"/>
                <w:highlight w:val="none"/>
              </w:rPr>
              <w:t>0.05</w:t>
            </w:r>
          </w:p>
        </w:tc>
        <w:tc>
          <w:tcPr>
            <w:tcW w:w="1163" w:type="pct"/>
            <w:noWrap w:val="0"/>
            <w:vAlign w:val="center"/>
          </w:tcPr>
          <w:p w14:paraId="3F69A72F">
            <w:pPr>
              <w:pStyle w:val="27"/>
              <w:contextualSpacing/>
              <w:rPr>
                <w:rFonts w:ascii="Times New Roman" w:hAnsi="Times New Roman"/>
                <w:highlight w:val="none"/>
              </w:rPr>
            </w:pPr>
            <w:r>
              <w:rPr>
                <w:rFonts w:ascii="Times New Roman" w:hAnsi="Times New Roman"/>
                <w:highlight w:val="none"/>
              </w:rPr>
              <w:t>0.5</w:t>
            </w:r>
          </w:p>
        </w:tc>
      </w:tr>
      <w:tr w14:paraId="4318CD5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22962BA">
            <w:pPr>
              <w:pStyle w:val="27"/>
              <w:contextualSpacing/>
              <w:rPr>
                <w:rFonts w:ascii="Times New Roman" w:hAnsi="Times New Roman"/>
                <w:highlight w:val="none"/>
              </w:rPr>
            </w:pPr>
            <w:r>
              <w:rPr>
                <w:rFonts w:ascii="Times New Roman" w:hAnsi="Times New Roman"/>
                <w:highlight w:val="none"/>
              </w:rPr>
              <w:t>25</w:t>
            </w:r>
          </w:p>
        </w:tc>
        <w:tc>
          <w:tcPr>
            <w:tcW w:w="1174" w:type="pct"/>
            <w:noWrap w:val="0"/>
            <w:vAlign w:val="center"/>
          </w:tcPr>
          <w:p w14:paraId="500D4675">
            <w:pPr>
              <w:pStyle w:val="27"/>
              <w:contextualSpacing/>
              <w:rPr>
                <w:rFonts w:ascii="Times New Roman" w:hAnsi="Times New Roman"/>
                <w:highlight w:val="none"/>
              </w:rPr>
            </w:pPr>
            <w:r>
              <w:rPr>
                <w:rFonts w:ascii="Times New Roman" w:hAnsi="Times New Roman"/>
                <w:highlight w:val="none"/>
              </w:rPr>
              <w:t>氯乙烯</w:t>
            </w:r>
          </w:p>
        </w:tc>
        <w:tc>
          <w:tcPr>
            <w:tcW w:w="994" w:type="pct"/>
            <w:noWrap w:val="0"/>
            <w:vAlign w:val="center"/>
          </w:tcPr>
          <w:p w14:paraId="1BAFC01E">
            <w:pPr>
              <w:pStyle w:val="27"/>
              <w:contextualSpacing/>
              <w:rPr>
                <w:rFonts w:ascii="Times New Roman" w:hAnsi="Times New Roman"/>
                <w:highlight w:val="none"/>
              </w:rPr>
            </w:pPr>
            <w:r>
              <w:rPr>
                <w:rFonts w:ascii="Times New Roman" w:hAnsi="Times New Roman"/>
                <w:highlight w:val="none"/>
              </w:rPr>
              <w:t>75-01-4</w:t>
            </w:r>
          </w:p>
        </w:tc>
        <w:tc>
          <w:tcPr>
            <w:tcW w:w="1279" w:type="pct"/>
            <w:noWrap w:val="0"/>
            <w:vAlign w:val="center"/>
          </w:tcPr>
          <w:p w14:paraId="340F07E5">
            <w:pPr>
              <w:pStyle w:val="27"/>
              <w:contextualSpacing/>
              <w:rPr>
                <w:rFonts w:ascii="Times New Roman" w:hAnsi="Times New Roman"/>
                <w:highlight w:val="none"/>
              </w:rPr>
            </w:pPr>
            <w:r>
              <w:rPr>
                <w:rFonts w:ascii="Times New Roman" w:hAnsi="Times New Roman"/>
                <w:highlight w:val="none"/>
              </w:rPr>
              <w:t>0.12</w:t>
            </w:r>
          </w:p>
        </w:tc>
        <w:tc>
          <w:tcPr>
            <w:tcW w:w="1163" w:type="pct"/>
            <w:noWrap w:val="0"/>
            <w:vAlign w:val="center"/>
          </w:tcPr>
          <w:p w14:paraId="59B44067">
            <w:pPr>
              <w:pStyle w:val="27"/>
              <w:contextualSpacing/>
              <w:rPr>
                <w:rFonts w:ascii="Times New Roman" w:hAnsi="Times New Roman"/>
                <w:highlight w:val="none"/>
              </w:rPr>
            </w:pPr>
            <w:r>
              <w:rPr>
                <w:rFonts w:ascii="Times New Roman" w:hAnsi="Times New Roman"/>
                <w:highlight w:val="none"/>
              </w:rPr>
              <w:t>0.43</w:t>
            </w:r>
          </w:p>
        </w:tc>
      </w:tr>
      <w:tr w14:paraId="4D6BA8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D9A0CF4">
            <w:pPr>
              <w:pStyle w:val="27"/>
              <w:contextualSpacing/>
              <w:rPr>
                <w:rFonts w:ascii="Times New Roman" w:hAnsi="Times New Roman"/>
                <w:highlight w:val="none"/>
              </w:rPr>
            </w:pPr>
            <w:r>
              <w:rPr>
                <w:rFonts w:ascii="Times New Roman" w:hAnsi="Times New Roman"/>
                <w:highlight w:val="none"/>
              </w:rPr>
              <w:t>26</w:t>
            </w:r>
          </w:p>
        </w:tc>
        <w:tc>
          <w:tcPr>
            <w:tcW w:w="1174" w:type="pct"/>
            <w:noWrap w:val="0"/>
            <w:vAlign w:val="center"/>
          </w:tcPr>
          <w:p w14:paraId="7DAB3BC8">
            <w:pPr>
              <w:pStyle w:val="27"/>
              <w:contextualSpacing/>
              <w:rPr>
                <w:rFonts w:ascii="Times New Roman" w:hAnsi="Times New Roman"/>
                <w:highlight w:val="none"/>
              </w:rPr>
            </w:pPr>
            <w:r>
              <w:rPr>
                <w:rFonts w:ascii="Times New Roman" w:hAnsi="Times New Roman"/>
                <w:highlight w:val="none"/>
              </w:rPr>
              <w:t>苯</w:t>
            </w:r>
          </w:p>
        </w:tc>
        <w:tc>
          <w:tcPr>
            <w:tcW w:w="994" w:type="pct"/>
            <w:noWrap w:val="0"/>
            <w:vAlign w:val="center"/>
          </w:tcPr>
          <w:p w14:paraId="7DB65F04">
            <w:pPr>
              <w:pStyle w:val="27"/>
              <w:contextualSpacing/>
              <w:rPr>
                <w:rFonts w:ascii="Times New Roman" w:hAnsi="Times New Roman"/>
                <w:highlight w:val="none"/>
              </w:rPr>
            </w:pPr>
            <w:r>
              <w:rPr>
                <w:rFonts w:ascii="Times New Roman" w:hAnsi="Times New Roman"/>
                <w:highlight w:val="none"/>
              </w:rPr>
              <w:t>71-43-2</w:t>
            </w:r>
          </w:p>
        </w:tc>
        <w:tc>
          <w:tcPr>
            <w:tcW w:w="1279" w:type="pct"/>
            <w:noWrap w:val="0"/>
            <w:vAlign w:val="center"/>
          </w:tcPr>
          <w:p w14:paraId="25D33EE4">
            <w:pPr>
              <w:pStyle w:val="27"/>
              <w:contextualSpacing/>
              <w:rPr>
                <w:rFonts w:ascii="Times New Roman" w:hAnsi="Times New Roman"/>
                <w:highlight w:val="none"/>
              </w:rPr>
            </w:pPr>
            <w:r>
              <w:rPr>
                <w:rFonts w:ascii="Times New Roman" w:hAnsi="Times New Roman"/>
                <w:highlight w:val="none"/>
              </w:rPr>
              <w:t>1</w:t>
            </w:r>
          </w:p>
        </w:tc>
        <w:tc>
          <w:tcPr>
            <w:tcW w:w="1163" w:type="pct"/>
            <w:noWrap w:val="0"/>
            <w:vAlign w:val="center"/>
          </w:tcPr>
          <w:p w14:paraId="6E6C8C14">
            <w:pPr>
              <w:pStyle w:val="27"/>
              <w:contextualSpacing/>
              <w:rPr>
                <w:rFonts w:ascii="Times New Roman" w:hAnsi="Times New Roman"/>
                <w:highlight w:val="none"/>
              </w:rPr>
            </w:pPr>
            <w:r>
              <w:rPr>
                <w:rFonts w:ascii="Times New Roman" w:hAnsi="Times New Roman"/>
                <w:highlight w:val="none"/>
              </w:rPr>
              <w:t>4</w:t>
            </w:r>
          </w:p>
        </w:tc>
      </w:tr>
      <w:tr w14:paraId="4477DF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38499F9">
            <w:pPr>
              <w:pStyle w:val="27"/>
              <w:contextualSpacing/>
              <w:rPr>
                <w:rFonts w:ascii="Times New Roman" w:hAnsi="Times New Roman"/>
                <w:highlight w:val="none"/>
              </w:rPr>
            </w:pPr>
            <w:r>
              <w:rPr>
                <w:rFonts w:ascii="Times New Roman" w:hAnsi="Times New Roman"/>
                <w:highlight w:val="none"/>
              </w:rPr>
              <w:t>27</w:t>
            </w:r>
          </w:p>
        </w:tc>
        <w:tc>
          <w:tcPr>
            <w:tcW w:w="1174" w:type="pct"/>
            <w:noWrap w:val="0"/>
            <w:vAlign w:val="center"/>
          </w:tcPr>
          <w:p w14:paraId="590A8434">
            <w:pPr>
              <w:pStyle w:val="27"/>
              <w:contextualSpacing/>
              <w:rPr>
                <w:rFonts w:ascii="Times New Roman" w:hAnsi="Times New Roman"/>
                <w:highlight w:val="none"/>
              </w:rPr>
            </w:pPr>
            <w:r>
              <w:rPr>
                <w:rFonts w:ascii="Times New Roman" w:hAnsi="Times New Roman"/>
                <w:highlight w:val="none"/>
              </w:rPr>
              <w:t>氯苯</w:t>
            </w:r>
          </w:p>
        </w:tc>
        <w:tc>
          <w:tcPr>
            <w:tcW w:w="994" w:type="pct"/>
            <w:noWrap w:val="0"/>
            <w:vAlign w:val="center"/>
          </w:tcPr>
          <w:p w14:paraId="38F3761E">
            <w:pPr>
              <w:pStyle w:val="27"/>
              <w:contextualSpacing/>
              <w:rPr>
                <w:rFonts w:ascii="Times New Roman" w:hAnsi="Times New Roman"/>
                <w:highlight w:val="none"/>
              </w:rPr>
            </w:pPr>
            <w:r>
              <w:rPr>
                <w:rFonts w:ascii="Times New Roman" w:hAnsi="Times New Roman"/>
                <w:highlight w:val="none"/>
              </w:rPr>
              <w:t>180-90-7</w:t>
            </w:r>
          </w:p>
        </w:tc>
        <w:tc>
          <w:tcPr>
            <w:tcW w:w="1279" w:type="pct"/>
            <w:noWrap w:val="0"/>
            <w:vAlign w:val="center"/>
          </w:tcPr>
          <w:p w14:paraId="3048EFE7">
            <w:pPr>
              <w:pStyle w:val="27"/>
              <w:contextualSpacing/>
              <w:rPr>
                <w:rFonts w:ascii="Times New Roman" w:hAnsi="Times New Roman"/>
                <w:highlight w:val="none"/>
              </w:rPr>
            </w:pPr>
            <w:r>
              <w:rPr>
                <w:rFonts w:ascii="Times New Roman" w:hAnsi="Times New Roman"/>
                <w:highlight w:val="none"/>
              </w:rPr>
              <w:t>68</w:t>
            </w:r>
          </w:p>
        </w:tc>
        <w:tc>
          <w:tcPr>
            <w:tcW w:w="1163" w:type="pct"/>
            <w:noWrap w:val="0"/>
            <w:vAlign w:val="center"/>
          </w:tcPr>
          <w:p w14:paraId="78C7F0BE">
            <w:pPr>
              <w:pStyle w:val="27"/>
              <w:contextualSpacing/>
              <w:rPr>
                <w:rFonts w:ascii="Times New Roman" w:hAnsi="Times New Roman"/>
                <w:highlight w:val="none"/>
              </w:rPr>
            </w:pPr>
            <w:r>
              <w:rPr>
                <w:rFonts w:ascii="Times New Roman" w:hAnsi="Times New Roman"/>
                <w:highlight w:val="none"/>
              </w:rPr>
              <w:t>270</w:t>
            </w:r>
          </w:p>
        </w:tc>
      </w:tr>
      <w:tr w14:paraId="152C20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DC6DC5D">
            <w:pPr>
              <w:pStyle w:val="27"/>
              <w:contextualSpacing/>
              <w:rPr>
                <w:rFonts w:ascii="Times New Roman" w:hAnsi="Times New Roman"/>
                <w:highlight w:val="none"/>
              </w:rPr>
            </w:pPr>
            <w:r>
              <w:rPr>
                <w:rFonts w:ascii="Times New Roman" w:hAnsi="Times New Roman"/>
                <w:highlight w:val="none"/>
              </w:rPr>
              <w:t>28</w:t>
            </w:r>
          </w:p>
        </w:tc>
        <w:tc>
          <w:tcPr>
            <w:tcW w:w="1174" w:type="pct"/>
            <w:noWrap w:val="0"/>
            <w:vAlign w:val="center"/>
          </w:tcPr>
          <w:p w14:paraId="45FFA759">
            <w:pPr>
              <w:pStyle w:val="27"/>
              <w:contextualSpacing/>
              <w:rPr>
                <w:rFonts w:ascii="Times New Roman" w:hAnsi="Times New Roman"/>
                <w:highlight w:val="none"/>
              </w:rPr>
            </w:pPr>
            <w:r>
              <w:rPr>
                <w:rFonts w:ascii="Times New Roman" w:hAnsi="Times New Roman"/>
                <w:highlight w:val="none"/>
              </w:rPr>
              <w:t>1,2-二氯苯</w:t>
            </w:r>
          </w:p>
        </w:tc>
        <w:tc>
          <w:tcPr>
            <w:tcW w:w="994" w:type="pct"/>
            <w:noWrap w:val="0"/>
            <w:vAlign w:val="center"/>
          </w:tcPr>
          <w:p w14:paraId="5E07F3A3">
            <w:pPr>
              <w:pStyle w:val="27"/>
              <w:contextualSpacing/>
              <w:rPr>
                <w:rFonts w:ascii="Times New Roman" w:hAnsi="Times New Roman"/>
                <w:highlight w:val="none"/>
              </w:rPr>
            </w:pPr>
            <w:r>
              <w:rPr>
                <w:rFonts w:ascii="Times New Roman" w:hAnsi="Times New Roman"/>
                <w:highlight w:val="none"/>
              </w:rPr>
              <w:t>95-50-1</w:t>
            </w:r>
          </w:p>
        </w:tc>
        <w:tc>
          <w:tcPr>
            <w:tcW w:w="1279" w:type="pct"/>
            <w:noWrap w:val="0"/>
            <w:vAlign w:val="center"/>
          </w:tcPr>
          <w:p w14:paraId="5D739283">
            <w:pPr>
              <w:pStyle w:val="27"/>
              <w:contextualSpacing/>
              <w:rPr>
                <w:rFonts w:ascii="Times New Roman" w:hAnsi="Times New Roman"/>
                <w:highlight w:val="none"/>
              </w:rPr>
            </w:pPr>
            <w:r>
              <w:rPr>
                <w:rFonts w:ascii="Times New Roman" w:hAnsi="Times New Roman"/>
                <w:highlight w:val="none"/>
              </w:rPr>
              <w:t>560</w:t>
            </w:r>
          </w:p>
        </w:tc>
        <w:tc>
          <w:tcPr>
            <w:tcW w:w="1163" w:type="pct"/>
            <w:noWrap w:val="0"/>
            <w:vAlign w:val="center"/>
          </w:tcPr>
          <w:p w14:paraId="582CF8EE">
            <w:pPr>
              <w:pStyle w:val="27"/>
              <w:contextualSpacing/>
              <w:rPr>
                <w:rFonts w:ascii="Times New Roman" w:hAnsi="Times New Roman"/>
                <w:highlight w:val="none"/>
              </w:rPr>
            </w:pPr>
            <w:r>
              <w:rPr>
                <w:rFonts w:ascii="Times New Roman" w:hAnsi="Times New Roman"/>
                <w:highlight w:val="none"/>
              </w:rPr>
              <w:t>560</w:t>
            </w:r>
          </w:p>
        </w:tc>
      </w:tr>
      <w:tr w14:paraId="4DE2EA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E81D8EC">
            <w:pPr>
              <w:pStyle w:val="27"/>
              <w:contextualSpacing/>
              <w:rPr>
                <w:rFonts w:ascii="Times New Roman" w:hAnsi="Times New Roman"/>
                <w:highlight w:val="none"/>
              </w:rPr>
            </w:pPr>
            <w:r>
              <w:rPr>
                <w:rFonts w:ascii="Times New Roman" w:hAnsi="Times New Roman"/>
                <w:highlight w:val="none"/>
              </w:rPr>
              <w:t>29</w:t>
            </w:r>
          </w:p>
        </w:tc>
        <w:tc>
          <w:tcPr>
            <w:tcW w:w="1174" w:type="pct"/>
            <w:noWrap w:val="0"/>
            <w:vAlign w:val="center"/>
          </w:tcPr>
          <w:p w14:paraId="5290FF24">
            <w:pPr>
              <w:pStyle w:val="27"/>
              <w:contextualSpacing/>
              <w:rPr>
                <w:rFonts w:ascii="Times New Roman" w:hAnsi="Times New Roman"/>
                <w:highlight w:val="none"/>
              </w:rPr>
            </w:pPr>
            <w:r>
              <w:rPr>
                <w:rFonts w:ascii="Times New Roman" w:hAnsi="Times New Roman"/>
                <w:highlight w:val="none"/>
              </w:rPr>
              <w:t>1,4-二氯苯</w:t>
            </w:r>
          </w:p>
        </w:tc>
        <w:tc>
          <w:tcPr>
            <w:tcW w:w="994" w:type="pct"/>
            <w:noWrap w:val="0"/>
            <w:vAlign w:val="center"/>
          </w:tcPr>
          <w:p w14:paraId="6541F9E1">
            <w:pPr>
              <w:pStyle w:val="27"/>
              <w:contextualSpacing/>
              <w:rPr>
                <w:rFonts w:ascii="Times New Roman" w:hAnsi="Times New Roman"/>
                <w:highlight w:val="none"/>
              </w:rPr>
            </w:pPr>
            <w:r>
              <w:rPr>
                <w:rFonts w:ascii="Times New Roman" w:hAnsi="Times New Roman"/>
                <w:highlight w:val="none"/>
              </w:rPr>
              <w:t>106-46-7</w:t>
            </w:r>
          </w:p>
        </w:tc>
        <w:tc>
          <w:tcPr>
            <w:tcW w:w="1279" w:type="pct"/>
            <w:noWrap w:val="0"/>
            <w:vAlign w:val="center"/>
          </w:tcPr>
          <w:p w14:paraId="4BD80104">
            <w:pPr>
              <w:pStyle w:val="27"/>
              <w:contextualSpacing/>
              <w:rPr>
                <w:rFonts w:ascii="Times New Roman" w:hAnsi="Times New Roman"/>
                <w:highlight w:val="none"/>
              </w:rPr>
            </w:pPr>
            <w:r>
              <w:rPr>
                <w:rFonts w:ascii="Times New Roman" w:hAnsi="Times New Roman"/>
                <w:highlight w:val="none"/>
              </w:rPr>
              <w:t>5.6</w:t>
            </w:r>
          </w:p>
        </w:tc>
        <w:tc>
          <w:tcPr>
            <w:tcW w:w="1163" w:type="pct"/>
            <w:noWrap w:val="0"/>
            <w:vAlign w:val="center"/>
          </w:tcPr>
          <w:p w14:paraId="2D94ED5F">
            <w:pPr>
              <w:pStyle w:val="27"/>
              <w:contextualSpacing/>
              <w:rPr>
                <w:rFonts w:ascii="Times New Roman" w:hAnsi="Times New Roman"/>
                <w:highlight w:val="none"/>
              </w:rPr>
            </w:pPr>
            <w:r>
              <w:rPr>
                <w:rFonts w:ascii="Times New Roman" w:hAnsi="Times New Roman"/>
                <w:highlight w:val="none"/>
              </w:rPr>
              <w:t>20</w:t>
            </w:r>
          </w:p>
        </w:tc>
      </w:tr>
      <w:tr w14:paraId="2CC63AA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96E0D6A">
            <w:pPr>
              <w:pStyle w:val="27"/>
              <w:contextualSpacing/>
              <w:rPr>
                <w:rFonts w:ascii="Times New Roman" w:hAnsi="Times New Roman"/>
                <w:highlight w:val="none"/>
              </w:rPr>
            </w:pPr>
            <w:r>
              <w:rPr>
                <w:rFonts w:ascii="Times New Roman" w:hAnsi="Times New Roman"/>
                <w:highlight w:val="none"/>
              </w:rPr>
              <w:t>30</w:t>
            </w:r>
          </w:p>
        </w:tc>
        <w:tc>
          <w:tcPr>
            <w:tcW w:w="1174" w:type="pct"/>
            <w:noWrap w:val="0"/>
            <w:vAlign w:val="center"/>
          </w:tcPr>
          <w:p w14:paraId="0F7B9423">
            <w:pPr>
              <w:pStyle w:val="27"/>
              <w:contextualSpacing/>
              <w:rPr>
                <w:rFonts w:ascii="Times New Roman" w:hAnsi="Times New Roman"/>
                <w:highlight w:val="none"/>
              </w:rPr>
            </w:pPr>
            <w:r>
              <w:rPr>
                <w:rFonts w:ascii="Times New Roman" w:hAnsi="Times New Roman"/>
                <w:highlight w:val="none"/>
              </w:rPr>
              <w:t>乙苯</w:t>
            </w:r>
          </w:p>
        </w:tc>
        <w:tc>
          <w:tcPr>
            <w:tcW w:w="994" w:type="pct"/>
            <w:noWrap w:val="0"/>
            <w:vAlign w:val="center"/>
          </w:tcPr>
          <w:p w14:paraId="42B272C2">
            <w:pPr>
              <w:pStyle w:val="27"/>
              <w:contextualSpacing/>
              <w:rPr>
                <w:rFonts w:ascii="Times New Roman" w:hAnsi="Times New Roman"/>
                <w:highlight w:val="none"/>
              </w:rPr>
            </w:pPr>
            <w:r>
              <w:rPr>
                <w:rFonts w:ascii="Times New Roman" w:hAnsi="Times New Roman"/>
                <w:highlight w:val="none"/>
              </w:rPr>
              <w:t>100-41-4</w:t>
            </w:r>
          </w:p>
        </w:tc>
        <w:tc>
          <w:tcPr>
            <w:tcW w:w="1279" w:type="pct"/>
            <w:noWrap w:val="0"/>
            <w:vAlign w:val="center"/>
          </w:tcPr>
          <w:p w14:paraId="2177331B">
            <w:pPr>
              <w:pStyle w:val="27"/>
              <w:contextualSpacing/>
              <w:rPr>
                <w:rFonts w:ascii="Times New Roman" w:hAnsi="Times New Roman"/>
                <w:highlight w:val="none"/>
              </w:rPr>
            </w:pPr>
            <w:r>
              <w:rPr>
                <w:rFonts w:ascii="Times New Roman" w:hAnsi="Times New Roman"/>
                <w:highlight w:val="none"/>
              </w:rPr>
              <w:t>7.2</w:t>
            </w:r>
          </w:p>
        </w:tc>
        <w:tc>
          <w:tcPr>
            <w:tcW w:w="1163" w:type="pct"/>
            <w:noWrap w:val="0"/>
            <w:vAlign w:val="center"/>
          </w:tcPr>
          <w:p w14:paraId="6BA973E3">
            <w:pPr>
              <w:pStyle w:val="27"/>
              <w:contextualSpacing/>
              <w:rPr>
                <w:rFonts w:ascii="Times New Roman" w:hAnsi="Times New Roman"/>
                <w:highlight w:val="none"/>
              </w:rPr>
            </w:pPr>
            <w:r>
              <w:rPr>
                <w:rFonts w:ascii="Times New Roman" w:hAnsi="Times New Roman"/>
                <w:highlight w:val="none"/>
              </w:rPr>
              <w:t>28</w:t>
            </w:r>
          </w:p>
        </w:tc>
      </w:tr>
      <w:tr w14:paraId="7AF31D4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5F910986">
            <w:pPr>
              <w:pStyle w:val="27"/>
              <w:contextualSpacing/>
              <w:rPr>
                <w:rFonts w:ascii="Times New Roman" w:hAnsi="Times New Roman"/>
                <w:highlight w:val="none"/>
              </w:rPr>
            </w:pPr>
            <w:r>
              <w:rPr>
                <w:rFonts w:ascii="Times New Roman" w:hAnsi="Times New Roman"/>
                <w:highlight w:val="none"/>
              </w:rPr>
              <w:t>31</w:t>
            </w:r>
          </w:p>
        </w:tc>
        <w:tc>
          <w:tcPr>
            <w:tcW w:w="1174" w:type="pct"/>
            <w:noWrap w:val="0"/>
            <w:vAlign w:val="center"/>
          </w:tcPr>
          <w:p w14:paraId="225A6FD3">
            <w:pPr>
              <w:pStyle w:val="27"/>
              <w:contextualSpacing/>
              <w:rPr>
                <w:rFonts w:ascii="Times New Roman" w:hAnsi="Times New Roman"/>
                <w:highlight w:val="none"/>
              </w:rPr>
            </w:pPr>
            <w:r>
              <w:rPr>
                <w:rFonts w:ascii="Times New Roman" w:hAnsi="Times New Roman"/>
                <w:highlight w:val="none"/>
              </w:rPr>
              <w:t>苯乙烯</w:t>
            </w:r>
          </w:p>
        </w:tc>
        <w:tc>
          <w:tcPr>
            <w:tcW w:w="994" w:type="pct"/>
            <w:noWrap w:val="0"/>
            <w:vAlign w:val="center"/>
          </w:tcPr>
          <w:p w14:paraId="419154C3">
            <w:pPr>
              <w:pStyle w:val="27"/>
              <w:contextualSpacing/>
              <w:rPr>
                <w:rFonts w:ascii="Times New Roman" w:hAnsi="Times New Roman"/>
                <w:highlight w:val="none"/>
              </w:rPr>
            </w:pPr>
            <w:r>
              <w:rPr>
                <w:rFonts w:ascii="Times New Roman" w:hAnsi="Times New Roman"/>
                <w:highlight w:val="none"/>
              </w:rPr>
              <w:t>100-42-5</w:t>
            </w:r>
          </w:p>
        </w:tc>
        <w:tc>
          <w:tcPr>
            <w:tcW w:w="1279" w:type="pct"/>
            <w:noWrap w:val="0"/>
            <w:vAlign w:val="center"/>
          </w:tcPr>
          <w:p w14:paraId="7D6D998C">
            <w:pPr>
              <w:pStyle w:val="27"/>
              <w:contextualSpacing/>
              <w:rPr>
                <w:rFonts w:ascii="Times New Roman" w:hAnsi="Times New Roman"/>
                <w:highlight w:val="none"/>
              </w:rPr>
            </w:pPr>
            <w:r>
              <w:rPr>
                <w:rFonts w:ascii="Times New Roman" w:hAnsi="Times New Roman"/>
                <w:highlight w:val="none"/>
              </w:rPr>
              <w:t>1290</w:t>
            </w:r>
          </w:p>
        </w:tc>
        <w:tc>
          <w:tcPr>
            <w:tcW w:w="1163" w:type="pct"/>
            <w:noWrap w:val="0"/>
            <w:vAlign w:val="center"/>
          </w:tcPr>
          <w:p w14:paraId="2349F402">
            <w:pPr>
              <w:pStyle w:val="27"/>
              <w:contextualSpacing/>
              <w:rPr>
                <w:rFonts w:ascii="Times New Roman" w:hAnsi="Times New Roman"/>
                <w:highlight w:val="none"/>
              </w:rPr>
            </w:pPr>
            <w:r>
              <w:rPr>
                <w:rFonts w:ascii="Times New Roman" w:hAnsi="Times New Roman"/>
                <w:highlight w:val="none"/>
              </w:rPr>
              <w:t>1290</w:t>
            </w:r>
          </w:p>
        </w:tc>
      </w:tr>
      <w:tr w14:paraId="17D3AF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74556F2A">
            <w:pPr>
              <w:pStyle w:val="27"/>
              <w:contextualSpacing/>
              <w:rPr>
                <w:rFonts w:ascii="Times New Roman" w:hAnsi="Times New Roman"/>
                <w:highlight w:val="none"/>
              </w:rPr>
            </w:pPr>
            <w:r>
              <w:rPr>
                <w:rFonts w:ascii="Times New Roman" w:hAnsi="Times New Roman"/>
                <w:highlight w:val="none"/>
              </w:rPr>
              <w:t>32</w:t>
            </w:r>
          </w:p>
        </w:tc>
        <w:tc>
          <w:tcPr>
            <w:tcW w:w="1174" w:type="pct"/>
            <w:noWrap w:val="0"/>
            <w:vAlign w:val="center"/>
          </w:tcPr>
          <w:p w14:paraId="7F60B295">
            <w:pPr>
              <w:pStyle w:val="27"/>
              <w:contextualSpacing/>
              <w:rPr>
                <w:rFonts w:ascii="Times New Roman" w:hAnsi="Times New Roman"/>
                <w:highlight w:val="none"/>
              </w:rPr>
            </w:pPr>
            <w:r>
              <w:rPr>
                <w:rFonts w:ascii="Times New Roman" w:hAnsi="Times New Roman"/>
                <w:highlight w:val="none"/>
              </w:rPr>
              <w:t>甲苯</w:t>
            </w:r>
          </w:p>
        </w:tc>
        <w:tc>
          <w:tcPr>
            <w:tcW w:w="994" w:type="pct"/>
            <w:noWrap w:val="0"/>
            <w:vAlign w:val="center"/>
          </w:tcPr>
          <w:p w14:paraId="418856A2">
            <w:pPr>
              <w:pStyle w:val="27"/>
              <w:contextualSpacing/>
              <w:rPr>
                <w:rFonts w:ascii="Times New Roman" w:hAnsi="Times New Roman"/>
                <w:highlight w:val="none"/>
              </w:rPr>
            </w:pPr>
            <w:r>
              <w:rPr>
                <w:rFonts w:ascii="Times New Roman" w:hAnsi="Times New Roman"/>
                <w:highlight w:val="none"/>
              </w:rPr>
              <w:t>108-88-3</w:t>
            </w:r>
          </w:p>
        </w:tc>
        <w:tc>
          <w:tcPr>
            <w:tcW w:w="1279" w:type="pct"/>
            <w:noWrap w:val="0"/>
            <w:vAlign w:val="center"/>
          </w:tcPr>
          <w:p w14:paraId="43B0593E">
            <w:pPr>
              <w:pStyle w:val="27"/>
              <w:contextualSpacing/>
              <w:rPr>
                <w:rFonts w:ascii="Times New Roman" w:hAnsi="Times New Roman"/>
                <w:highlight w:val="none"/>
              </w:rPr>
            </w:pPr>
            <w:r>
              <w:rPr>
                <w:rFonts w:ascii="Times New Roman" w:hAnsi="Times New Roman"/>
                <w:highlight w:val="none"/>
              </w:rPr>
              <w:t>1200</w:t>
            </w:r>
          </w:p>
        </w:tc>
        <w:tc>
          <w:tcPr>
            <w:tcW w:w="1163" w:type="pct"/>
            <w:noWrap w:val="0"/>
            <w:vAlign w:val="center"/>
          </w:tcPr>
          <w:p w14:paraId="5E3599B2">
            <w:pPr>
              <w:pStyle w:val="27"/>
              <w:contextualSpacing/>
              <w:rPr>
                <w:rFonts w:ascii="Times New Roman" w:hAnsi="Times New Roman"/>
                <w:highlight w:val="none"/>
              </w:rPr>
            </w:pPr>
            <w:r>
              <w:rPr>
                <w:rFonts w:ascii="Times New Roman" w:hAnsi="Times New Roman"/>
                <w:highlight w:val="none"/>
              </w:rPr>
              <w:t>1200</w:t>
            </w:r>
          </w:p>
        </w:tc>
      </w:tr>
      <w:tr w14:paraId="57848B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78F90A1">
            <w:pPr>
              <w:pStyle w:val="27"/>
              <w:contextualSpacing/>
              <w:rPr>
                <w:rFonts w:ascii="Times New Roman" w:hAnsi="Times New Roman"/>
                <w:highlight w:val="none"/>
              </w:rPr>
            </w:pPr>
            <w:r>
              <w:rPr>
                <w:rFonts w:ascii="Times New Roman" w:hAnsi="Times New Roman"/>
                <w:highlight w:val="none"/>
              </w:rPr>
              <w:t>33</w:t>
            </w:r>
          </w:p>
        </w:tc>
        <w:tc>
          <w:tcPr>
            <w:tcW w:w="1174" w:type="pct"/>
            <w:noWrap w:val="0"/>
            <w:vAlign w:val="center"/>
          </w:tcPr>
          <w:p w14:paraId="2DC94751">
            <w:pPr>
              <w:pStyle w:val="27"/>
              <w:contextualSpacing/>
              <w:rPr>
                <w:rFonts w:ascii="Times New Roman" w:hAnsi="Times New Roman"/>
                <w:highlight w:val="none"/>
              </w:rPr>
            </w:pPr>
            <w:r>
              <w:rPr>
                <w:rFonts w:ascii="Times New Roman" w:hAnsi="Times New Roman"/>
                <w:highlight w:val="none"/>
              </w:rPr>
              <w:t>间-二甲苯+对-二甲苯</w:t>
            </w:r>
          </w:p>
        </w:tc>
        <w:tc>
          <w:tcPr>
            <w:tcW w:w="994" w:type="pct"/>
            <w:noWrap w:val="0"/>
            <w:vAlign w:val="center"/>
          </w:tcPr>
          <w:p w14:paraId="640FD838">
            <w:pPr>
              <w:pStyle w:val="27"/>
              <w:contextualSpacing/>
              <w:rPr>
                <w:rFonts w:ascii="Times New Roman" w:hAnsi="Times New Roman"/>
                <w:highlight w:val="none"/>
              </w:rPr>
            </w:pPr>
            <w:r>
              <w:rPr>
                <w:rFonts w:ascii="Times New Roman" w:hAnsi="Times New Roman"/>
                <w:highlight w:val="none"/>
              </w:rPr>
              <w:t>108-38-3，106-42-3</w:t>
            </w:r>
          </w:p>
        </w:tc>
        <w:tc>
          <w:tcPr>
            <w:tcW w:w="1279" w:type="pct"/>
            <w:noWrap w:val="0"/>
            <w:vAlign w:val="center"/>
          </w:tcPr>
          <w:p w14:paraId="35C70BFD">
            <w:pPr>
              <w:pStyle w:val="27"/>
              <w:contextualSpacing/>
              <w:rPr>
                <w:rFonts w:ascii="Times New Roman" w:hAnsi="Times New Roman"/>
                <w:highlight w:val="none"/>
              </w:rPr>
            </w:pPr>
            <w:r>
              <w:rPr>
                <w:rFonts w:ascii="Times New Roman" w:hAnsi="Times New Roman"/>
                <w:highlight w:val="none"/>
              </w:rPr>
              <w:t>163</w:t>
            </w:r>
          </w:p>
        </w:tc>
        <w:tc>
          <w:tcPr>
            <w:tcW w:w="1163" w:type="pct"/>
            <w:noWrap w:val="0"/>
            <w:vAlign w:val="center"/>
          </w:tcPr>
          <w:p w14:paraId="168EC236">
            <w:pPr>
              <w:pStyle w:val="27"/>
              <w:contextualSpacing/>
              <w:rPr>
                <w:rFonts w:ascii="Times New Roman" w:hAnsi="Times New Roman"/>
                <w:highlight w:val="none"/>
              </w:rPr>
            </w:pPr>
            <w:r>
              <w:rPr>
                <w:rFonts w:ascii="Times New Roman" w:hAnsi="Times New Roman"/>
                <w:highlight w:val="none"/>
              </w:rPr>
              <w:t>570</w:t>
            </w:r>
          </w:p>
        </w:tc>
      </w:tr>
      <w:tr w14:paraId="218079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20C452DB">
            <w:pPr>
              <w:pStyle w:val="27"/>
              <w:contextualSpacing/>
              <w:rPr>
                <w:rFonts w:ascii="Times New Roman" w:hAnsi="Times New Roman"/>
                <w:highlight w:val="none"/>
              </w:rPr>
            </w:pPr>
            <w:r>
              <w:rPr>
                <w:rFonts w:ascii="Times New Roman" w:hAnsi="Times New Roman"/>
                <w:highlight w:val="none"/>
              </w:rPr>
              <w:t>34</w:t>
            </w:r>
          </w:p>
        </w:tc>
        <w:tc>
          <w:tcPr>
            <w:tcW w:w="1174" w:type="pct"/>
            <w:noWrap w:val="0"/>
            <w:vAlign w:val="center"/>
          </w:tcPr>
          <w:p w14:paraId="687463A6">
            <w:pPr>
              <w:pStyle w:val="27"/>
              <w:contextualSpacing/>
              <w:rPr>
                <w:rFonts w:ascii="Times New Roman" w:hAnsi="Times New Roman"/>
                <w:highlight w:val="none"/>
              </w:rPr>
            </w:pPr>
            <w:r>
              <w:rPr>
                <w:rFonts w:ascii="Times New Roman" w:hAnsi="Times New Roman"/>
                <w:highlight w:val="none"/>
              </w:rPr>
              <w:t>邻-二甲苯</w:t>
            </w:r>
          </w:p>
        </w:tc>
        <w:tc>
          <w:tcPr>
            <w:tcW w:w="994" w:type="pct"/>
            <w:noWrap w:val="0"/>
            <w:vAlign w:val="center"/>
          </w:tcPr>
          <w:p w14:paraId="41C045FC">
            <w:pPr>
              <w:pStyle w:val="27"/>
              <w:contextualSpacing/>
              <w:rPr>
                <w:rFonts w:ascii="Times New Roman" w:hAnsi="Times New Roman"/>
                <w:highlight w:val="none"/>
              </w:rPr>
            </w:pPr>
            <w:r>
              <w:rPr>
                <w:rFonts w:ascii="Times New Roman" w:hAnsi="Times New Roman"/>
                <w:highlight w:val="none"/>
              </w:rPr>
              <w:t>95-47-6</w:t>
            </w:r>
          </w:p>
        </w:tc>
        <w:tc>
          <w:tcPr>
            <w:tcW w:w="1279" w:type="pct"/>
            <w:noWrap w:val="0"/>
            <w:vAlign w:val="center"/>
          </w:tcPr>
          <w:p w14:paraId="22FDD4BC">
            <w:pPr>
              <w:pStyle w:val="27"/>
              <w:contextualSpacing/>
              <w:rPr>
                <w:rFonts w:ascii="Times New Roman" w:hAnsi="Times New Roman"/>
                <w:highlight w:val="none"/>
              </w:rPr>
            </w:pPr>
            <w:r>
              <w:rPr>
                <w:rFonts w:ascii="Times New Roman" w:hAnsi="Times New Roman"/>
                <w:highlight w:val="none"/>
              </w:rPr>
              <w:t>222</w:t>
            </w:r>
          </w:p>
        </w:tc>
        <w:tc>
          <w:tcPr>
            <w:tcW w:w="1163" w:type="pct"/>
            <w:noWrap w:val="0"/>
            <w:vAlign w:val="center"/>
          </w:tcPr>
          <w:p w14:paraId="7C047BEF">
            <w:pPr>
              <w:pStyle w:val="27"/>
              <w:contextualSpacing/>
              <w:rPr>
                <w:rFonts w:ascii="Times New Roman" w:hAnsi="Times New Roman"/>
                <w:highlight w:val="none"/>
              </w:rPr>
            </w:pPr>
            <w:r>
              <w:rPr>
                <w:rFonts w:ascii="Times New Roman" w:hAnsi="Times New Roman"/>
                <w:highlight w:val="none"/>
              </w:rPr>
              <w:t>640</w:t>
            </w:r>
          </w:p>
        </w:tc>
      </w:tr>
      <w:tr w14:paraId="29FEB3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2FEFB9B5">
            <w:pPr>
              <w:pStyle w:val="27"/>
              <w:contextualSpacing/>
              <w:rPr>
                <w:rFonts w:ascii="Times New Roman" w:hAnsi="Times New Roman"/>
                <w:highlight w:val="none"/>
              </w:rPr>
            </w:pPr>
            <w:r>
              <w:rPr>
                <w:rFonts w:ascii="Times New Roman" w:hAnsi="Times New Roman"/>
                <w:highlight w:val="none"/>
              </w:rPr>
              <w:t>35</w:t>
            </w:r>
          </w:p>
        </w:tc>
        <w:tc>
          <w:tcPr>
            <w:tcW w:w="1174" w:type="pct"/>
            <w:noWrap w:val="0"/>
            <w:vAlign w:val="center"/>
          </w:tcPr>
          <w:p w14:paraId="41E46F74">
            <w:pPr>
              <w:pStyle w:val="27"/>
              <w:contextualSpacing/>
              <w:rPr>
                <w:rFonts w:ascii="Times New Roman" w:hAnsi="Times New Roman"/>
                <w:highlight w:val="none"/>
              </w:rPr>
            </w:pPr>
            <w:r>
              <w:rPr>
                <w:rFonts w:ascii="Times New Roman" w:hAnsi="Times New Roman"/>
                <w:highlight w:val="none"/>
              </w:rPr>
              <w:t>硝基苯</w:t>
            </w:r>
          </w:p>
        </w:tc>
        <w:tc>
          <w:tcPr>
            <w:tcW w:w="994" w:type="pct"/>
            <w:noWrap w:val="0"/>
            <w:vAlign w:val="center"/>
          </w:tcPr>
          <w:p w14:paraId="2FB961CA">
            <w:pPr>
              <w:pStyle w:val="27"/>
              <w:contextualSpacing/>
              <w:rPr>
                <w:rFonts w:ascii="Times New Roman" w:hAnsi="Times New Roman"/>
                <w:highlight w:val="none"/>
              </w:rPr>
            </w:pPr>
            <w:r>
              <w:rPr>
                <w:rFonts w:ascii="Times New Roman" w:hAnsi="Times New Roman"/>
                <w:highlight w:val="none"/>
              </w:rPr>
              <w:t>98-95-3</w:t>
            </w:r>
          </w:p>
        </w:tc>
        <w:tc>
          <w:tcPr>
            <w:tcW w:w="1279" w:type="pct"/>
            <w:noWrap w:val="0"/>
            <w:vAlign w:val="center"/>
          </w:tcPr>
          <w:p w14:paraId="42ADDD8B">
            <w:pPr>
              <w:pStyle w:val="27"/>
              <w:contextualSpacing/>
              <w:rPr>
                <w:rFonts w:ascii="Times New Roman" w:hAnsi="Times New Roman"/>
                <w:highlight w:val="none"/>
              </w:rPr>
            </w:pPr>
            <w:r>
              <w:rPr>
                <w:rFonts w:ascii="Times New Roman" w:hAnsi="Times New Roman"/>
                <w:highlight w:val="none"/>
              </w:rPr>
              <w:t>34</w:t>
            </w:r>
          </w:p>
        </w:tc>
        <w:tc>
          <w:tcPr>
            <w:tcW w:w="1163" w:type="pct"/>
            <w:noWrap w:val="0"/>
            <w:vAlign w:val="center"/>
          </w:tcPr>
          <w:p w14:paraId="6F0C0A5A">
            <w:pPr>
              <w:pStyle w:val="27"/>
              <w:contextualSpacing/>
              <w:rPr>
                <w:rFonts w:ascii="Times New Roman" w:hAnsi="Times New Roman"/>
                <w:highlight w:val="none"/>
              </w:rPr>
            </w:pPr>
            <w:r>
              <w:rPr>
                <w:rFonts w:ascii="Times New Roman" w:hAnsi="Times New Roman"/>
                <w:highlight w:val="none"/>
              </w:rPr>
              <w:t>76</w:t>
            </w:r>
          </w:p>
        </w:tc>
      </w:tr>
      <w:tr w14:paraId="59C6A0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1DB3AC3">
            <w:pPr>
              <w:pStyle w:val="27"/>
              <w:contextualSpacing/>
              <w:rPr>
                <w:rFonts w:ascii="Times New Roman" w:hAnsi="Times New Roman"/>
                <w:highlight w:val="none"/>
              </w:rPr>
            </w:pPr>
            <w:r>
              <w:rPr>
                <w:rFonts w:ascii="Times New Roman" w:hAnsi="Times New Roman"/>
                <w:highlight w:val="none"/>
              </w:rPr>
              <w:t>36</w:t>
            </w:r>
          </w:p>
        </w:tc>
        <w:tc>
          <w:tcPr>
            <w:tcW w:w="1174" w:type="pct"/>
            <w:noWrap w:val="0"/>
            <w:vAlign w:val="center"/>
          </w:tcPr>
          <w:p w14:paraId="2AFCA10C">
            <w:pPr>
              <w:pStyle w:val="27"/>
              <w:contextualSpacing/>
              <w:rPr>
                <w:rFonts w:ascii="Times New Roman" w:hAnsi="Times New Roman"/>
                <w:highlight w:val="none"/>
              </w:rPr>
            </w:pPr>
            <w:r>
              <w:rPr>
                <w:rFonts w:ascii="Times New Roman" w:hAnsi="Times New Roman"/>
                <w:highlight w:val="none"/>
              </w:rPr>
              <w:t>苯胺</w:t>
            </w:r>
          </w:p>
        </w:tc>
        <w:tc>
          <w:tcPr>
            <w:tcW w:w="994" w:type="pct"/>
            <w:noWrap w:val="0"/>
            <w:vAlign w:val="center"/>
          </w:tcPr>
          <w:p w14:paraId="5027C6B1">
            <w:pPr>
              <w:pStyle w:val="27"/>
              <w:contextualSpacing/>
              <w:rPr>
                <w:rFonts w:ascii="Times New Roman" w:hAnsi="Times New Roman"/>
                <w:highlight w:val="none"/>
              </w:rPr>
            </w:pPr>
            <w:r>
              <w:rPr>
                <w:rFonts w:ascii="Times New Roman" w:hAnsi="Times New Roman"/>
                <w:highlight w:val="none"/>
              </w:rPr>
              <w:t>62-53-3</w:t>
            </w:r>
          </w:p>
        </w:tc>
        <w:tc>
          <w:tcPr>
            <w:tcW w:w="1279" w:type="pct"/>
            <w:noWrap w:val="0"/>
            <w:vAlign w:val="center"/>
          </w:tcPr>
          <w:p w14:paraId="6FD1869D">
            <w:pPr>
              <w:pStyle w:val="27"/>
              <w:contextualSpacing/>
              <w:rPr>
                <w:rFonts w:ascii="Times New Roman" w:hAnsi="Times New Roman"/>
                <w:highlight w:val="none"/>
              </w:rPr>
            </w:pPr>
            <w:r>
              <w:rPr>
                <w:rFonts w:ascii="Times New Roman" w:hAnsi="Times New Roman"/>
                <w:highlight w:val="none"/>
              </w:rPr>
              <w:t>92</w:t>
            </w:r>
          </w:p>
        </w:tc>
        <w:tc>
          <w:tcPr>
            <w:tcW w:w="1163" w:type="pct"/>
            <w:noWrap w:val="0"/>
            <w:vAlign w:val="center"/>
          </w:tcPr>
          <w:p w14:paraId="46621304">
            <w:pPr>
              <w:pStyle w:val="27"/>
              <w:contextualSpacing/>
              <w:rPr>
                <w:rFonts w:ascii="Times New Roman" w:hAnsi="Times New Roman"/>
                <w:highlight w:val="none"/>
              </w:rPr>
            </w:pPr>
            <w:r>
              <w:rPr>
                <w:rFonts w:ascii="Times New Roman" w:hAnsi="Times New Roman"/>
                <w:highlight w:val="none"/>
              </w:rPr>
              <w:t>260</w:t>
            </w:r>
          </w:p>
        </w:tc>
      </w:tr>
      <w:tr w14:paraId="49FCB3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3DBD0C1">
            <w:pPr>
              <w:pStyle w:val="27"/>
              <w:contextualSpacing/>
              <w:rPr>
                <w:rFonts w:ascii="Times New Roman" w:hAnsi="Times New Roman"/>
                <w:highlight w:val="none"/>
              </w:rPr>
            </w:pPr>
            <w:r>
              <w:rPr>
                <w:rFonts w:ascii="Times New Roman" w:hAnsi="Times New Roman"/>
                <w:highlight w:val="none"/>
              </w:rPr>
              <w:t>37</w:t>
            </w:r>
          </w:p>
        </w:tc>
        <w:tc>
          <w:tcPr>
            <w:tcW w:w="1174" w:type="pct"/>
            <w:noWrap w:val="0"/>
            <w:vAlign w:val="center"/>
          </w:tcPr>
          <w:p w14:paraId="147635AC">
            <w:pPr>
              <w:pStyle w:val="27"/>
              <w:contextualSpacing/>
              <w:rPr>
                <w:rFonts w:ascii="Times New Roman" w:hAnsi="Times New Roman"/>
                <w:highlight w:val="none"/>
              </w:rPr>
            </w:pPr>
            <w:r>
              <w:rPr>
                <w:rFonts w:ascii="Times New Roman" w:hAnsi="Times New Roman"/>
                <w:highlight w:val="none"/>
              </w:rPr>
              <w:t>2-氯酚</w:t>
            </w:r>
          </w:p>
        </w:tc>
        <w:tc>
          <w:tcPr>
            <w:tcW w:w="994" w:type="pct"/>
            <w:noWrap w:val="0"/>
            <w:vAlign w:val="center"/>
          </w:tcPr>
          <w:p w14:paraId="22278091">
            <w:pPr>
              <w:pStyle w:val="27"/>
              <w:contextualSpacing/>
              <w:rPr>
                <w:rFonts w:ascii="Times New Roman" w:hAnsi="Times New Roman"/>
                <w:highlight w:val="none"/>
              </w:rPr>
            </w:pPr>
            <w:r>
              <w:rPr>
                <w:rFonts w:ascii="Times New Roman" w:hAnsi="Times New Roman"/>
                <w:highlight w:val="none"/>
              </w:rPr>
              <w:t>95-57-8</w:t>
            </w:r>
          </w:p>
        </w:tc>
        <w:tc>
          <w:tcPr>
            <w:tcW w:w="1279" w:type="pct"/>
            <w:noWrap w:val="0"/>
            <w:vAlign w:val="center"/>
          </w:tcPr>
          <w:p w14:paraId="21BDB13E">
            <w:pPr>
              <w:pStyle w:val="27"/>
              <w:contextualSpacing/>
              <w:rPr>
                <w:rFonts w:ascii="Times New Roman" w:hAnsi="Times New Roman"/>
                <w:highlight w:val="none"/>
              </w:rPr>
            </w:pPr>
            <w:r>
              <w:rPr>
                <w:rFonts w:ascii="Times New Roman" w:hAnsi="Times New Roman"/>
                <w:highlight w:val="none"/>
              </w:rPr>
              <w:t>250</w:t>
            </w:r>
          </w:p>
        </w:tc>
        <w:tc>
          <w:tcPr>
            <w:tcW w:w="1163" w:type="pct"/>
            <w:noWrap w:val="0"/>
            <w:vAlign w:val="center"/>
          </w:tcPr>
          <w:p w14:paraId="45DFB3B5">
            <w:pPr>
              <w:pStyle w:val="27"/>
              <w:contextualSpacing/>
              <w:rPr>
                <w:rFonts w:ascii="Times New Roman" w:hAnsi="Times New Roman"/>
                <w:highlight w:val="none"/>
              </w:rPr>
            </w:pPr>
            <w:r>
              <w:rPr>
                <w:rFonts w:ascii="Times New Roman" w:hAnsi="Times New Roman"/>
                <w:highlight w:val="none"/>
              </w:rPr>
              <w:t>2256</w:t>
            </w:r>
          </w:p>
        </w:tc>
      </w:tr>
      <w:tr w14:paraId="19B7F0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1374F488">
            <w:pPr>
              <w:pStyle w:val="27"/>
              <w:contextualSpacing/>
              <w:rPr>
                <w:rFonts w:ascii="Times New Roman" w:hAnsi="Times New Roman"/>
                <w:highlight w:val="none"/>
              </w:rPr>
            </w:pPr>
            <w:r>
              <w:rPr>
                <w:rFonts w:ascii="Times New Roman" w:hAnsi="Times New Roman"/>
                <w:highlight w:val="none"/>
              </w:rPr>
              <w:t>38</w:t>
            </w:r>
          </w:p>
        </w:tc>
        <w:tc>
          <w:tcPr>
            <w:tcW w:w="1174" w:type="pct"/>
            <w:noWrap w:val="0"/>
            <w:vAlign w:val="center"/>
          </w:tcPr>
          <w:p w14:paraId="38014156">
            <w:pPr>
              <w:pStyle w:val="27"/>
              <w:contextualSpacing/>
              <w:rPr>
                <w:rFonts w:ascii="Times New Roman" w:hAnsi="Times New Roman"/>
                <w:highlight w:val="none"/>
              </w:rPr>
            </w:pPr>
            <w:r>
              <w:rPr>
                <w:rFonts w:ascii="Times New Roman" w:hAnsi="Times New Roman"/>
                <w:highlight w:val="none"/>
              </w:rPr>
              <w:t>苯并[a]蒽</w:t>
            </w:r>
          </w:p>
        </w:tc>
        <w:tc>
          <w:tcPr>
            <w:tcW w:w="994" w:type="pct"/>
            <w:noWrap w:val="0"/>
            <w:vAlign w:val="center"/>
          </w:tcPr>
          <w:p w14:paraId="792137D4">
            <w:pPr>
              <w:pStyle w:val="27"/>
              <w:contextualSpacing/>
              <w:rPr>
                <w:rFonts w:ascii="Times New Roman" w:hAnsi="Times New Roman"/>
                <w:highlight w:val="none"/>
              </w:rPr>
            </w:pPr>
            <w:r>
              <w:rPr>
                <w:rFonts w:ascii="Times New Roman" w:hAnsi="Times New Roman"/>
                <w:highlight w:val="none"/>
              </w:rPr>
              <w:t>56-55-3</w:t>
            </w:r>
          </w:p>
        </w:tc>
        <w:tc>
          <w:tcPr>
            <w:tcW w:w="1279" w:type="pct"/>
            <w:noWrap w:val="0"/>
            <w:vAlign w:val="center"/>
          </w:tcPr>
          <w:p w14:paraId="7562B5D9">
            <w:pPr>
              <w:pStyle w:val="27"/>
              <w:contextualSpacing/>
              <w:rPr>
                <w:rFonts w:ascii="Times New Roman" w:hAnsi="Times New Roman"/>
                <w:highlight w:val="none"/>
              </w:rPr>
            </w:pPr>
            <w:r>
              <w:rPr>
                <w:rFonts w:ascii="Times New Roman" w:hAnsi="Times New Roman"/>
                <w:highlight w:val="none"/>
              </w:rPr>
              <w:t>5.5</w:t>
            </w:r>
          </w:p>
        </w:tc>
        <w:tc>
          <w:tcPr>
            <w:tcW w:w="1163" w:type="pct"/>
            <w:noWrap w:val="0"/>
            <w:vAlign w:val="center"/>
          </w:tcPr>
          <w:p w14:paraId="0F632F3A">
            <w:pPr>
              <w:pStyle w:val="27"/>
              <w:contextualSpacing/>
              <w:rPr>
                <w:rFonts w:ascii="Times New Roman" w:hAnsi="Times New Roman"/>
                <w:highlight w:val="none"/>
              </w:rPr>
            </w:pPr>
            <w:r>
              <w:rPr>
                <w:rFonts w:ascii="Times New Roman" w:hAnsi="Times New Roman"/>
                <w:highlight w:val="none"/>
              </w:rPr>
              <w:t>15</w:t>
            </w:r>
          </w:p>
        </w:tc>
      </w:tr>
      <w:tr w14:paraId="3AA6C1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59A88DAD">
            <w:pPr>
              <w:pStyle w:val="27"/>
              <w:contextualSpacing/>
              <w:rPr>
                <w:rFonts w:ascii="Times New Roman" w:hAnsi="Times New Roman"/>
                <w:highlight w:val="none"/>
              </w:rPr>
            </w:pPr>
            <w:r>
              <w:rPr>
                <w:rFonts w:ascii="Times New Roman" w:hAnsi="Times New Roman"/>
                <w:highlight w:val="none"/>
              </w:rPr>
              <w:t>39</w:t>
            </w:r>
          </w:p>
        </w:tc>
        <w:tc>
          <w:tcPr>
            <w:tcW w:w="1174" w:type="pct"/>
            <w:noWrap w:val="0"/>
            <w:vAlign w:val="center"/>
          </w:tcPr>
          <w:p w14:paraId="5CB3C86E">
            <w:pPr>
              <w:pStyle w:val="27"/>
              <w:contextualSpacing/>
              <w:rPr>
                <w:rFonts w:ascii="Times New Roman" w:hAnsi="Times New Roman"/>
                <w:highlight w:val="none"/>
              </w:rPr>
            </w:pPr>
            <w:r>
              <w:rPr>
                <w:rFonts w:ascii="Times New Roman" w:hAnsi="Times New Roman"/>
                <w:highlight w:val="none"/>
              </w:rPr>
              <w:t>苯并[a]芘</w:t>
            </w:r>
          </w:p>
        </w:tc>
        <w:tc>
          <w:tcPr>
            <w:tcW w:w="994" w:type="pct"/>
            <w:noWrap w:val="0"/>
            <w:vAlign w:val="center"/>
          </w:tcPr>
          <w:p w14:paraId="63EB8AB6">
            <w:pPr>
              <w:pStyle w:val="27"/>
              <w:contextualSpacing/>
              <w:rPr>
                <w:rFonts w:ascii="Times New Roman" w:hAnsi="Times New Roman"/>
                <w:highlight w:val="none"/>
              </w:rPr>
            </w:pPr>
            <w:r>
              <w:rPr>
                <w:rFonts w:ascii="Times New Roman" w:hAnsi="Times New Roman"/>
                <w:highlight w:val="none"/>
              </w:rPr>
              <w:t>50-32-8</w:t>
            </w:r>
          </w:p>
        </w:tc>
        <w:tc>
          <w:tcPr>
            <w:tcW w:w="1279" w:type="pct"/>
            <w:noWrap w:val="0"/>
            <w:vAlign w:val="center"/>
          </w:tcPr>
          <w:p w14:paraId="0C1179BF">
            <w:pPr>
              <w:pStyle w:val="27"/>
              <w:contextualSpacing/>
              <w:rPr>
                <w:rFonts w:ascii="Times New Roman" w:hAnsi="Times New Roman"/>
                <w:highlight w:val="none"/>
              </w:rPr>
            </w:pPr>
            <w:r>
              <w:rPr>
                <w:rFonts w:ascii="Times New Roman" w:hAnsi="Times New Roman"/>
                <w:highlight w:val="none"/>
              </w:rPr>
              <w:t>0.55</w:t>
            </w:r>
          </w:p>
        </w:tc>
        <w:tc>
          <w:tcPr>
            <w:tcW w:w="1163" w:type="pct"/>
            <w:noWrap w:val="0"/>
            <w:vAlign w:val="center"/>
          </w:tcPr>
          <w:p w14:paraId="76F72187">
            <w:pPr>
              <w:pStyle w:val="27"/>
              <w:contextualSpacing/>
              <w:rPr>
                <w:rFonts w:ascii="Times New Roman" w:hAnsi="Times New Roman"/>
                <w:highlight w:val="none"/>
              </w:rPr>
            </w:pPr>
            <w:r>
              <w:rPr>
                <w:rFonts w:ascii="Times New Roman" w:hAnsi="Times New Roman"/>
                <w:highlight w:val="none"/>
              </w:rPr>
              <w:t>1.5</w:t>
            </w:r>
          </w:p>
        </w:tc>
      </w:tr>
      <w:tr w14:paraId="54867F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538EED27">
            <w:pPr>
              <w:pStyle w:val="27"/>
              <w:contextualSpacing/>
              <w:rPr>
                <w:rFonts w:ascii="Times New Roman" w:hAnsi="Times New Roman"/>
                <w:highlight w:val="none"/>
              </w:rPr>
            </w:pPr>
            <w:r>
              <w:rPr>
                <w:rFonts w:ascii="Times New Roman" w:hAnsi="Times New Roman"/>
                <w:highlight w:val="none"/>
              </w:rPr>
              <w:t>40</w:t>
            </w:r>
          </w:p>
        </w:tc>
        <w:tc>
          <w:tcPr>
            <w:tcW w:w="1174" w:type="pct"/>
            <w:noWrap w:val="0"/>
            <w:vAlign w:val="center"/>
          </w:tcPr>
          <w:p w14:paraId="5D23361F">
            <w:pPr>
              <w:pStyle w:val="27"/>
              <w:contextualSpacing/>
              <w:rPr>
                <w:rFonts w:ascii="Times New Roman" w:hAnsi="Times New Roman"/>
                <w:highlight w:val="none"/>
              </w:rPr>
            </w:pPr>
            <w:r>
              <w:rPr>
                <w:rFonts w:ascii="Times New Roman" w:hAnsi="Times New Roman"/>
                <w:highlight w:val="none"/>
              </w:rPr>
              <w:t>苯并[b]荧蒽</w:t>
            </w:r>
          </w:p>
        </w:tc>
        <w:tc>
          <w:tcPr>
            <w:tcW w:w="994" w:type="pct"/>
            <w:noWrap w:val="0"/>
            <w:vAlign w:val="center"/>
          </w:tcPr>
          <w:p w14:paraId="4A2BF3B1">
            <w:pPr>
              <w:pStyle w:val="27"/>
              <w:contextualSpacing/>
              <w:rPr>
                <w:rFonts w:ascii="Times New Roman" w:hAnsi="Times New Roman"/>
                <w:highlight w:val="none"/>
              </w:rPr>
            </w:pPr>
            <w:r>
              <w:rPr>
                <w:rFonts w:ascii="Times New Roman" w:hAnsi="Times New Roman"/>
                <w:highlight w:val="none"/>
              </w:rPr>
              <w:t>205-99-2</w:t>
            </w:r>
          </w:p>
        </w:tc>
        <w:tc>
          <w:tcPr>
            <w:tcW w:w="1279" w:type="pct"/>
            <w:noWrap w:val="0"/>
            <w:vAlign w:val="center"/>
          </w:tcPr>
          <w:p w14:paraId="36BFB39F">
            <w:pPr>
              <w:pStyle w:val="27"/>
              <w:contextualSpacing/>
              <w:rPr>
                <w:rFonts w:ascii="Times New Roman" w:hAnsi="Times New Roman"/>
                <w:highlight w:val="none"/>
              </w:rPr>
            </w:pPr>
            <w:r>
              <w:rPr>
                <w:rFonts w:ascii="Times New Roman" w:hAnsi="Times New Roman"/>
                <w:highlight w:val="none"/>
              </w:rPr>
              <w:t>5.5</w:t>
            </w:r>
          </w:p>
        </w:tc>
        <w:tc>
          <w:tcPr>
            <w:tcW w:w="1163" w:type="pct"/>
            <w:noWrap w:val="0"/>
            <w:vAlign w:val="center"/>
          </w:tcPr>
          <w:p w14:paraId="03C6605A">
            <w:pPr>
              <w:pStyle w:val="27"/>
              <w:contextualSpacing/>
              <w:rPr>
                <w:rFonts w:ascii="Times New Roman" w:hAnsi="Times New Roman"/>
                <w:highlight w:val="none"/>
              </w:rPr>
            </w:pPr>
            <w:r>
              <w:rPr>
                <w:rFonts w:ascii="Times New Roman" w:hAnsi="Times New Roman"/>
                <w:highlight w:val="none"/>
              </w:rPr>
              <w:t>15</w:t>
            </w:r>
          </w:p>
        </w:tc>
      </w:tr>
      <w:tr w14:paraId="7FBFEF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4E4E6DAB">
            <w:pPr>
              <w:pStyle w:val="27"/>
              <w:contextualSpacing/>
              <w:rPr>
                <w:rFonts w:ascii="Times New Roman" w:hAnsi="Times New Roman"/>
                <w:highlight w:val="none"/>
              </w:rPr>
            </w:pPr>
            <w:r>
              <w:rPr>
                <w:rFonts w:ascii="Times New Roman" w:hAnsi="Times New Roman"/>
                <w:highlight w:val="none"/>
              </w:rPr>
              <w:t>41</w:t>
            </w:r>
          </w:p>
        </w:tc>
        <w:tc>
          <w:tcPr>
            <w:tcW w:w="1174" w:type="pct"/>
            <w:noWrap w:val="0"/>
            <w:vAlign w:val="center"/>
          </w:tcPr>
          <w:p w14:paraId="732B0100">
            <w:pPr>
              <w:pStyle w:val="27"/>
              <w:contextualSpacing/>
              <w:rPr>
                <w:rFonts w:ascii="Times New Roman" w:hAnsi="Times New Roman"/>
                <w:highlight w:val="none"/>
              </w:rPr>
            </w:pPr>
            <w:r>
              <w:rPr>
                <w:rFonts w:ascii="Times New Roman" w:hAnsi="Times New Roman"/>
                <w:highlight w:val="none"/>
              </w:rPr>
              <w:t>苯并[k]荧蒽</w:t>
            </w:r>
          </w:p>
        </w:tc>
        <w:tc>
          <w:tcPr>
            <w:tcW w:w="994" w:type="pct"/>
            <w:noWrap w:val="0"/>
            <w:vAlign w:val="center"/>
          </w:tcPr>
          <w:p w14:paraId="71C4424A">
            <w:pPr>
              <w:pStyle w:val="27"/>
              <w:contextualSpacing/>
              <w:rPr>
                <w:rFonts w:ascii="Times New Roman" w:hAnsi="Times New Roman"/>
                <w:highlight w:val="none"/>
              </w:rPr>
            </w:pPr>
            <w:r>
              <w:rPr>
                <w:rFonts w:ascii="Times New Roman" w:hAnsi="Times New Roman"/>
                <w:highlight w:val="none"/>
              </w:rPr>
              <w:t>207-08-9</w:t>
            </w:r>
          </w:p>
        </w:tc>
        <w:tc>
          <w:tcPr>
            <w:tcW w:w="1279" w:type="pct"/>
            <w:noWrap w:val="0"/>
            <w:vAlign w:val="center"/>
          </w:tcPr>
          <w:p w14:paraId="477DCB5E">
            <w:pPr>
              <w:pStyle w:val="27"/>
              <w:contextualSpacing/>
              <w:rPr>
                <w:rFonts w:ascii="Times New Roman" w:hAnsi="Times New Roman"/>
                <w:highlight w:val="none"/>
              </w:rPr>
            </w:pPr>
            <w:r>
              <w:rPr>
                <w:rFonts w:ascii="Times New Roman" w:hAnsi="Times New Roman"/>
                <w:highlight w:val="none"/>
              </w:rPr>
              <w:t>55</w:t>
            </w:r>
          </w:p>
        </w:tc>
        <w:tc>
          <w:tcPr>
            <w:tcW w:w="1163" w:type="pct"/>
            <w:noWrap w:val="0"/>
            <w:vAlign w:val="center"/>
          </w:tcPr>
          <w:p w14:paraId="0ADFE199">
            <w:pPr>
              <w:pStyle w:val="27"/>
              <w:contextualSpacing/>
              <w:rPr>
                <w:rFonts w:ascii="Times New Roman" w:hAnsi="Times New Roman"/>
                <w:highlight w:val="none"/>
              </w:rPr>
            </w:pPr>
            <w:r>
              <w:rPr>
                <w:rFonts w:ascii="Times New Roman" w:hAnsi="Times New Roman"/>
                <w:highlight w:val="none"/>
              </w:rPr>
              <w:t>151</w:t>
            </w:r>
          </w:p>
        </w:tc>
      </w:tr>
      <w:tr w14:paraId="0BB0D7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6B77832D">
            <w:pPr>
              <w:pStyle w:val="27"/>
              <w:contextualSpacing/>
              <w:rPr>
                <w:rFonts w:ascii="Times New Roman" w:hAnsi="Times New Roman"/>
                <w:highlight w:val="none"/>
              </w:rPr>
            </w:pPr>
            <w:r>
              <w:rPr>
                <w:rFonts w:ascii="Times New Roman" w:hAnsi="Times New Roman"/>
                <w:highlight w:val="none"/>
              </w:rPr>
              <w:t>42</w:t>
            </w:r>
          </w:p>
        </w:tc>
        <w:tc>
          <w:tcPr>
            <w:tcW w:w="1174" w:type="pct"/>
            <w:noWrap w:val="0"/>
            <w:vAlign w:val="center"/>
          </w:tcPr>
          <w:p w14:paraId="6CF5A2A0">
            <w:pPr>
              <w:pStyle w:val="27"/>
              <w:contextualSpacing/>
              <w:rPr>
                <w:rFonts w:ascii="Times New Roman" w:hAnsi="Times New Roman"/>
                <w:highlight w:val="none"/>
              </w:rPr>
            </w:pPr>
            <w:r>
              <w:rPr>
                <w:rFonts w:ascii="Times New Roman" w:hAnsi="Times New Roman"/>
                <w:highlight w:val="none"/>
              </w:rPr>
              <w:t>䓛</w:t>
            </w:r>
          </w:p>
        </w:tc>
        <w:tc>
          <w:tcPr>
            <w:tcW w:w="994" w:type="pct"/>
            <w:noWrap w:val="0"/>
            <w:vAlign w:val="center"/>
          </w:tcPr>
          <w:p w14:paraId="7FFFE093">
            <w:pPr>
              <w:pStyle w:val="27"/>
              <w:contextualSpacing/>
              <w:rPr>
                <w:rFonts w:ascii="Times New Roman" w:hAnsi="Times New Roman"/>
                <w:highlight w:val="none"/>
              </w:rPr>
            </w:pPr>
            <w:r>
              <w:rPr>
                <w:rFonts w:ascii="Times New Roman" w:hAnsi="Times New Roman"/>
                <w:highlight w:val="none"/>
              </w:rPr>
              <w:t>218-01-9</w:t>
            </w:r>
          </w:p>
        </w:tc>
        <w:tc>
          <w:tcPr>
            <w:tcW w:w="1279" w:type="pct"/>
            <w:noWrap w:val="0"/>
            <w:vAlign w:val="center"/>
          </w:tcPr>
          <w:p w14:paraId="21896F2B">
            <w:pPr>
              <w:pStyle w:val="27"/>
              <w:contextualSpacing/>
              <w:rPr>
                <w:rFonts w:ascii="Times New Roman" w:hAnsi="Times New Roman"/>
                <w:highlight w:val="none"/>
              </w:rPr>
            </w:pPr>
            <w:r>
              <w:rPr>
                <w:rFonts w:ascii="Times New Roman" w:hAnsi="Times New Roman"/>
                <w:highlight w:val="none"/>
              </w:rPr>
              <w:t>490</w:t>
            </w:r>
          </w:p>
        </w:tc>
        <w:tc>
          <w:tcPr>
            <w:tcW w:w="1163" w:type="pct"/>
            <w:noWrap w:val="0"/>
            <w:vAlign w:val="center"/>
          </w:tcPr>
          <w:p w14:paraId="15E32F90">
            <w:pPr>
              <w:pStyle w:val="27"/>
              <w:contextualSpacing/>
              <w:rPr>
                <w:rFonts w:ascii="Times New Roman" w:hAnsi="Times New Roman"/>
                <w:highlight w:val="none"/>
              </w:rPr>
            </w:pPr>
            <w:r>
              <w:rPr>
                <w:rFonts w:ascii="Times New Roman" w:hAnsi="Times New Roman"/>
                <w:highlight w:val="none"/>
              </w:rPr>
              <w:t>1293</w:t>
            </w:r>
          </w:p>
        </w:tc>
      </w:tr>
      <w:tr w14:paraId="2B63C1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36EDC18D">
            <w:pPr>
              <w:pStyle w:val="27"/>
              <w:contextualSpacing/>
              <w:rPr>
                <w:rFonts w:ascii="Times New Roman" w:hAnsi="Times New Roman"/>
                <w:highlight w:val="none"/>
              </w:rPr>
            </w:pPr>
            <w:r>
              <w:rPr>
                <w:rFonts w:ascii="Times New Roman" w:hAnsi="Times New Roman"/>
                <w:highlight w:val="none"/>
              </w:rPr>
              <w:t>43</w:t>
            </w:r>
          </w:p>
        </w:tc>
        <w:tc>
          <w:tcPr>
            <w:tcW w:w="1174" w:type="pct"/>
            <w:noWrap w:val="0"/>
            <w:vAlign w:val="center"/>
          </w:tcPr>
          <w:p w14:paraId="321B6C2F">
            <w:pPr>
              <w:pStyle w:val="27"/>
              <w:contextualSpacing/>
              <w:rPr>
                <w:rFonts w:ascii="Times New Roman" w:hAnsi="Times New Roman"/>
                <w:highlight w:val="none"/>
              </w:rPr>
            </w:pPr>
            <w:r>
              <w:rPr>
                <w:rFonts w:ascii="Times New Roman" w:hAnsi="Times New Roman"/>
                <w:highlight w:val="none"/>
              </w:rPr>
              <w:t>二苯并[a, h]蒽</w:t>
            </w:r>
          </w:p>
        </w:tc>
        <w:tc>
          <w:tcPr>
            <w:tcW w:w="994" w:type="pct"/>
            <w:noWrap w:val="0"/>
            <w:vAlign w:val="center"/>
          </w:tcPr>
          <w:p w14:paraId="00709833">
            <w:pPr>
              <w:pStyle w:val="27"/>
              <w:contextualSpacing/>
              <w:rPr>
                <w:rFonts w:ascii="Times New Roman" w:hAnsi="Times New Roman"/>
                <w:highlight w:val="none"/>
              </w:rPr>
            </w:pPr>
            <w:r>
              <w:rPr>
                <w:rFonts w:ascii="Times New Roman" w:hAnsi="Times New Roman"/>
                <w:highlight w:val="none"/>
              </w:rPr>
              <w:t>53-70-3</w:t>
            </w:r>
          </w:p>
        </w:tc>
        <w:tc>
          <w:tcPr>
            <w:tcW w:w="1279" w:type="pct"/>
            <w:noWrap w:val="0"/>
            <w:vAlign w:val="center"/>
          </w:tcPr>
          <w:p w14:paraId="040D31E8">
            <w:pPr>
              <w:pStyle w:val="27"/>
              <w:contextualSpacing/>
              <w:rPr>
                <w:rFonts w:ascii="Times New Roman" w:hAnsi="Times New Roman"/>
                <w:highlight w:val="none"/>
              </w:rPr>
            </w:pPr>
            <w:r>
              <w:rPr>
                <w:rFonts w:ascii="Times New Roman" w:hAnsi="Times New Roman"/>
                <w:highlight w:val="none"/>
              </w:rPr>
              <w:t>0.55</w:t>
            </w:r>
          </w:p>
        </w:tc>
        <w:tc>
          <w:tcPr>
            <w:tcW w:w="1163" w:type="pct"/>
            <w:noWrap w:val="0"/>
            <w:vAlign w:val="center"/>
          </w:tcPr>
          <w:p w14:paraId="24AAC174">
            <w:pPr>
              <w:pStyle w:val="27"/>
              <w:contextualSpacing/>
              <w:rPr>
                <w:rFonts w:ascii="Times New Roman" w:hAnsi="Times New Roman"/>
                <w:highlight w:val="none"/>
              </w:rPr>
            </w:pPr>
            <w:r>
              <w:rPr>
                <w:rFonts w:ascii="Times New Roman" w:hAnsi="Times New Roman"/>
                <w:highlight w:val="none"/>
              </w:rPr>
              <w:t>1.5</w:t>
            </w:r>
          </w:p>
        </w:tc>
      </w:tr>
      <w:tr w14:paraId="6CE0A1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0" w:type="pct"/>
            <w:noWrap w:val="0"/>
            <w:vAlign w:val="center"/>
          </w:tcPr>
          <w:p w14:paraId="62E95008">
            <w:pPr>
              <w:pStyle w:val="27"/>
              <w:contextualSpacing/>
              <w:rPr>
                <w:rFonts w:ascii="Times New Roman" w:hAnsi="Times New Roman"/>
                <w:highlight w:val="none"/>
              </w:rPr>
            </w:pPr>
            <w:r>
              <w:rPr>
                <w:rFonts w:ascii="Times New Roman" w:hAnsi="Times New Roman"/>
                <w:highlight w:val="none"/>
              </w:rPr>
              <w:t>44</w:t>
            </w:r>
          </w:p>
        </w:tc>
        <w:tc>
          <w:tcPr>
            <w:tcW w:w="1174" w:type="pct"/>
            <w:noWrap w:val="0"/>
            <w:vAlign w:val="center"/>
          </w:tcPr>
          <w:p w14:paraId="24134A31">
            <w:pPr>
              <w:pStyle w:val="27"/>
              <w:contextualSpacing/>
              <w:rPr>
                <w:rFonts w:ascii="Times New Roman" w:hAnsi="Times New Roman"/>
                <w:highlight w:val="none"/>
              </w:rPr>
            </w:pPr>
            <w:r>
              <w:rPr>
                <w:rFonts w:ascii="Times New Roman" w:hAnsi="Times New Roman"/>
                <w:highlight w:val="none"/>
              </w:rPr>
              <w:t>茚并[1,2,3-cd]芘</w:t>
            </w:r>
          </w:p>
        </w:tc>
        <w:tc>
          <w:tcPr>
            <w:tcW w:w="994" w:type="pct"/>
            <w:noWrap w:val="0"/>
            <w:vAlign w:val="center"/>
          </w:tcPr>
          <w:p w14:paraId="2257A5DF">
            <w:pPr>
              <w:pStyle w:val="27"/>
              <w:contextualSpacing/>
              <w:rPr>
                <w:rFonts w:ascii="Times New Roman" w:hAnsi="Times New Roman"/>
                <w:highlight w:val="none"/>
              </w:rPr>
            </w:pPr>
            <w:r>
              <w:rPr>
                <w:rFonts w:ascii="Times New Roman" w:hAnsi="Times New Roman"/>
                <w:highlight w:val="none"/>
              </w:rPr>
              <w:t>193-39-5</w:t>
            </w:r>
          </w:p>
        </w:tc>
        <w:tc>
          <w:tcPr>
            <w:tcW w:w="1279" w:type="pct"/>
            <w:noWrap w:val="0"/>
            <w:vAlign w:val="center"/>
          </w:tcPr>
          <w:p w14:paraId="5D1DBAE3">
            <w:pPr>
              <w:pStyle w:val="27"/>
              <w:contextualSpacing/>
              <w:rPr>
                <w:rFonts w:ascii="Times New Roman" w:hAnsi="Times New Roman"/>
                <w:highlight w:val="none"/>
              </w:rPr>
            </w:pPr>
            <w:r>
              <w:rPr>
                <w:rFonts w:ascii="Times New Roman" w:hAnsi="Times New Roman"/>
                <w:highlight w:val="none"/>
              </w:rPr>
              <w:t>5.5</w:t>
            </w:r>
          </w:p>
        </w:tc>
        <w:tc>
          <w:tcPr>
            <w:tcW w:w="1163" w:type="pct"/>
            <w:noWrap w:val="0"/>
            <w:vAlign w:val="center"/>
          </w:tcPr>
          <w:p w14:paraId="1046B91A">
            <w:pPr>
              <w:pStyle w:val="27"/>
              <w:contextualSpacing/>
              <w:rPr>
                <w:rFonts w:ascii="Times New Roman" w:hAnsi="Times New Roman"/>
                <w:highlight w:val="none"/>
              </w:rPr>
            </w:pPr>
            <w:r>
              <w:rPr>
                <w:rFonts w:ascii="Times New Roman" w:hAnsi="Times New Roman"/>
                <w:highlight w:val="none"/>
              </w:rPr>
              <w:t>15</w:t>
            </w:r>
          </w:p>
        </w:tc>
      </w:tr>
      <w:tr w14:paraId="26340E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90" w:type="pct"/>
            <w:noWrap w:val="0"/>
            <w:vAlign w:val="center"/>
          </w:tcPr>
          <w:p w14:paraId="4B616BDB">
            <w:pPr>
              <w:pStyle w:val="27"/>
              <w:contextualSpacing/>
              <w:rPr>
                <w:rFonts w:ascii="Times New Roman" w:hAnsi="Times New Roman"/>
                <w:highlight w:val="none"/>
              </w:rPr>
            </w:pPr>
            <w:r>
              <w:rPr>
                <w:rFonts w:ascii="Times New Roman" w:hAnsi="Times New Roman"/>
                <w:highlight w:val="none"/>
              </w:rPr>
              <w:t>45</w:t>
            </w:r>
          </w:p>
        </w:tc>
        <w:tc>
          <w:tcPr>
            <w:tcW w:w="1174" w:type="pct"/>
            <w:noWrap w:val="0"/>
            <w:vAlign w:val="center"/>
          </w:tcPr>
          <w:p w14:paraId="1942D311">
            <w:pPr>
              <w:pStyle w:val="27"/>
              <w:contextualSpacing/>
              <w:rPr>
                <w:rFonts w:ascii="Times New Roman" w:hAnsi="Times New Roman"/>
                <w:highlight w:val="none"/>
              </w:rPr>
            </w:pPr>
            <w:r>
              <w:rPr>
                <w:rFonts w:ascii="Times New Roman" w:hAnsi="Times New Roman"/>
                <w:highlight w:val="none"/>
              </w:rPr>
              <w:t>萘</w:t>
            </w:r>
          </w:p>
        </w:tc>
        <w:tc>
          <w:tcPr>
            <w:tcW w:w="994" w:type="pct"/>
            <w:noWrap w:val="0"/>
            <w:vAlign w:val="center"/>
          </w:tcPr>
          <w:p w14:paraId="5609C482">
            <w:pPr>
              <w:pStyle w:val="27"/>
              <w:contextualSpacing/>
              <w:rPr>
                <w:rFonts w:ascii="Times New Roman" w:hAnsi="Times New Roman"/>
                <w:highlight w:val="none"/>
              </w:rPr>
            </w:pPr>
            <w:r>
              <w:rPr>
                <w:rFonts w:ascii="Times New Roman" w:hAnsi="Times New Roman"/>
                <w:highlight w:val="none"/>
              </w:rPr>
              <w:t>91-20-3</w:t>
            </w:r>
          </w:p>
        </w:tc>
        <w:tc>
          <w:tcPr>
            <w:tcW w:w="1279" w:type="pct"/>
            <w:noWrap w:val="0"/>
            <w:vAlign w:val="center"/>
          </w:tcPr>
          <w:p w14:paraId="3CC6A9BB">
            <w:pPr>
              <w:pStyle w:val="27"/>
              <w:contextualSpacing/>
              <w:rPr>
                <w:rFonts w:ascii="Times New Roman" w:hAnsi="Times New Roman"/>
                <w:highlight w:val="none"/>
              </w:rPr>
            </w:pPr>
            <w:r>
              <w:rPr>
                <w:rFonts w:ascii="Times New Roman" w:hAnsi="Times New Roman"/>
                <w:highlight w:val="none"/>
              </w:rPr>
              <w:t>25</w:t>
            </w:r>
          </w:p>
        </w:tc>
        <w:tc>
          <w:tcPr>
            <w:tcW w:w="1163" w:type="pct"/>
            <w:noWrap w:val="0"/>
            <w:vAlign w:val="center"/>
          </w:tcPr>
          <w:p w14:paraId="0F7D2DB1">
            <w:pPr>
              <w:pStyle w:val="27"/>
              <w:contextualSpacing/>
              <w:rPr>
                <w:rFonts w:ascii="Times New Roman" w:hAnsi="Times New Roman"/>
                <w:highlight w:val="none"/>
              </w:rPr>
            </w:pPr>
            <w:r>
              <w:rPr>
                <w:rFonts w:ascii="Times New Roman" w:hAnsi="Times New Roman"/>
                <w:highlight w:val="none"/>
              </w:rPr>
              <w:t>70</w:t>
            </w:r>
          </w:p>
        </w:tc>
      </w:tr>
    </w:tbl>
    <w:p w14:paraId="11F1C473">
      <w:pPr>
        <w:ind w:firstLine="480"/>
        <w:rPr>
          <w:rFonts w:ascii="Times New Roman" w:hAnsi="Times New Roman"/>
          <w:highlight w:val="none"/>
        </w:rPr>
      </w:pPr>
      <w:r>
        <w:rPr>
          <w:rFonts w:ascii="Times New Roman" w:hAnsi="Times New Roman"/>
          <w:highlight w:val="none"/>
        </w:rPr>
        <w:t>（2）污染物排放标准</w:t>
      </w:r>
    </w:p>
    <w:p w14:paraId="0074F2BD">
      <w:pPr>
        <w:ind w:firstLine="480"/>
        <w:rPr>
          <w:rFonts w:ascii="Times New Roman" w:hAnsi="Times New Roman"/>
          <w:highlight w:val="none"/>
        </w:rPr>
      </w:pPr>
      <w:r>
        <w:rPr>
          <w:rFonts w:ascii="Times New Roman" w:hAnsi="Times New Roman"/>
          <w:highlight w:val="none"/>
        </w:rPr>
        <w:t>1、大气污染物排放标准</w:t>
      </w:r>
    </w:p>
    <w:p w14:paraId="7A551F94">
      <w:pPr>
        <w:ind w:firstLine="480"/>
        <w:rPr>
          <w:rFonts w:ascii="Times New Roman" w:hAnsi="Times New Roman"/>
          <w:highlight w:val="none"/>
        </w:rPr>
      </w:pPr>
      <w:r>
        <w:rPr>
          <w:rFonts w:hint="eastAsia" w:ascii="Times New Roman" w:hAnsi="Times New Roman"/>
          <w:highlight w:val="none"/>
        </w:rPr>
        <w:t>根据《</w:t>
      </w:r>
      <w:r>
        <w:rPr>
          <w:rFonts w:hint="eastAsia" w:ascii="Times New Roman" w:hAnsi="Times New Roman"/>
          <w:highlight w:val="none"/>
          <w:lang w:val="en-US" w:eastAsia="zh-CN"/>
        </w:rPr>
        <w:t>黑龙江省空气质量持续改善行动计划实施方案</w:t>
      </w:r>
      <w:r>
        <w:rPr>
          <w:rFonts w:hint="eastAsia" w:ascii="Times New Roman" w:hAnsi="Times New Roman"/>
          <w:highlight w:val="none"/>
        </w:rPr>
        <w:t>》</w:t>
      </w:r>
      <w:r>
        <w:rPr>
          <w:rFonts w:hint="eastAsia" w:ascii="Times New Roman" w:hAnsi="Times New Roman"/>
          <w:highlight w:val="none"/>
          <w:lang w:val="en-US" w:eastAsia="zh-CN"/>
        </w:rPr>
        <w:t>中要求2025年底实现超低改造</w:t>
      </w:r>
      <w:r>
        <w:rPr>
          <w:rFonts w:hint="eastAsia" w:ascii="Times New Roman" w:hAnsi="Times New Roman"/>
          <w:highlight w:val="none"/>
        </w:rPr>
        <w:t>，</w:t>
      </w:r>
      <w:r>
        <w:rPr>
          <w:rFonts w:ascii="Times New Roman" w:hAnsi="Times New Roman"/>
          <w:highlight w:val="none"/>
        </w:rPr>
        <w:t>本项目锅炉烟气中排放的烟尘、SO</w:t>
      </w:r>
      <w:r>
        <w:rPr>
          <w:rFonts w:ascii="Times New Roman" w:hAnsi="Times New Roman"/>
          <w:highlight w:val="none"/>
          <w:vertAlign w:val="subscript"/>
        </w:rPr>
        <w:t>2</w:t>
      </w:r>
      <w:r>
        <w:rPr>
          <w:rFonts w:ascii="Times New Roman" w:hAnsi="Times New Roman"/>
          <w:highlight w:val="none"/>
        </w:rPr>
        <w:t>、NOx</w:t>
      </w:r>
      <w:r>
        <w:rPr>
          <w:rFonts w:hint="eastAsia" w:ascii="Times New Roman" w:hAnsi="Times New Roman"/>
          <w:sz w:val="24"/>
          <w:highlight w:val="none"/>
          <w:lang w:val="en-US" w:eastAsia="zh-CN"/>
        </w:rPr>
        <w:t>执行</w:t>
      </w:r>
      <w:r>
        <w:rPr>
          <w:rFonts w:ascii="Times New Roman" w:hAnsi="Times New Roman" w:cs="Times New Roman"/>
          <w:sz w:val="24"/>
          <w:highlight w:val="none"/>
          <w:lang w:val="en-US"/>
        </w:rPr>
        <w:t>超低排放标准</w:t>
      </w:r>
      <w:r>
        <w:rPr>
          <w:rFonts w:hint="eastAsia" w:ascii="Times New Roman" w:hAnsi="Times New Roman"/>
          <w:highlight w:val="none"/>
        </w:rPr>
        <w:t>；</w:t>
      </w:r>
      <w:r>
        <w:rPr>
          <w:rFonts w:ascii="Times New Roman" w:hAnsi="Times New Roman"/>
          <w:highlight w:val="none"/>
        </w:rPr>
        <w:t>烟气黑度、汞及其化合物执行</w:t>
      </w:r>
      <w:r>
        <w:rPr>
          <w:rFonts w:hint="eastAsia" w:ascii="Times New Roman" w:hAnsi="Times New Roman"/>
          <w:color w:val="auto"/>
          <w:highlight w:val="none"/>
        </w:rPr>
        <w:t>《火电厂大气污染物排放标准》(GB13223-2011)表1中燃煤锅炉大气污染物排放标准</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碎煤机室排放的颗粒物执行《大气污染物综合排放标准》(GB16297-1996）表2中二级标准限值，本项目排气筒按高度对应的表列排放速率标准值严格50%执行；</w:t>
      </w:r>
      <w:r>
        <w:rPr>
          <w:rFonts w:ascii="Times New Roman" w:hAnsi="Times New Roman"/>
          <w:highlight w:val="none"/>
        </w:rPr>
        <w:t>厂界颗粒物执行《大气污染物综合排放标准》（GB16297-1996）表2无组织排放监控浓度限值；</w:t>
      </w:r>
      <w:r>
        <w:rPr>
          <w:rFonts w:hint="eastAsia" w:ascii="Times New Roman" w:hAnsi="Times New Roman"/>
          <w:highlight w:val="none"/>
          <w:lang w:val="en-US" w:eastAsia="zh-CN"/>
        </w:rPr>
        <w:t>氨</w:t>
      </w:r>
      <w:r>
        <w:rPr>
          <w:rFonts w:hint="eastAsia" w:ascii="Times New Roman" w:hAnsi="Times New Roman"/>
          <w:highlight w:val="none"/>
        </w:rPr>
        <w:t>厂界排放浓度满足《恶臭污染物排放标准》（GB14554-93）表1 恶臭污染物厂界二级标准值要求。锅炉烟气处理过程逃逸氨满足《火电厂氮氧化物防治技术政策》（环发〔2010〕10号）中规定：SNCR-SCR氨逃逸控制在2.5mg/m</w:t>
      </w:r>
      <w:r>
        <w:rPr>
          <w:rFonts w:hint="eastAsia" w:ascii="Times New Roman" w:hAnsi="Times New Roman"/>
          <w:highlight w:val="none"/>
          <w:vertAlign w:val="superscript"/>
        </w:rPr>
        <w:t>3</w:t>
      </w:r>
      <w:r>
        <w:rPr>
          <w:rFonts w:hint="eastAsia" w:ascii="Times New Roman" w:hAnsi="Times New Roman"/>
          <w:highlight w:val="none"/>
        </w:rPr>
        <w:t>（干基，标准状态）以下。</w:t>
      </w:r>
      <w:r>
        <w:rPr>
          <w:rFonts w:ascii="Times New Roman" w:hAnsi="Times New Roman"/>
          <w:highlight w:val="none"/>
        </w:rPr>
        <w:t>具体标准限值见表2.3-</w:t>
      </w:r>
      <w:r>
        <w:rPr>
          <w:rFonts w:hint="eastAsia" w:ascii="Times New Roman" w:hAnsi="Times New Roman"/>
          <w:highlight w:val="none"/>
        </w:rPr>
        <w:t>9</w:t>
      </w:r>
      <w:r>
        <w:rPr>
          <w:rFonts w:ascii="Times New Roman" w:hAnsi="Times New Roman"/>
          <w:highlight w:val="none"/>
        </w:rPr>
        <w:t>。</w:t>
      </w:r>
    </w:p>
    <w:p w14:paraId="36CB357A">
      <w:pPr>
        <w:ind w:firstLine="0" w:firstLineChars="0"/>
        <w:jc w:val="center"/>
        <w:rPr>
          <w:rFonts w:ascii="Times New Roman" w:hAnsi="Times New Roman"/>
          <w:highlight w:val="none"/>
        </w:rPr>
      </w:pPr>
    </w:p>
    <w:p w14:paraId="06F07851">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eastAsia="黑体" w:cs="Times New Roman"/>
          <w:color w:val="auto"/>
          <w:spacing w:val="0"/>
          <w:sz w:val="24"/>
          <w:szCs w:val="24"/>
          <w:highlight w:val="none"/>
        </w:rPr>
      </w:pPr>
      <w:r>
        <w:rPr>
          <w:rFonts w:hint="default" w:ascii="Times New Roman" w:hAnsi="Times New Roman" w:eastAsia="黑体" w:cs="Times New Roman"/>
          <w:color w:val="auto"/>
          <w:spacing w:val="0"/>
          <w:sz w:val="24"/>
          <w:szCs w:val="24"/>
          <w:highlight w:val="none"/>
        </w:rPr>
        <w:t>表2.3-</w:t>
      </w:r>
      <w:r>
        <w:rPr>
          <w:rFonts w:hint="eastAsia" w:ascii="Times New Roman" w:hAnsi="Times New Roman" w:eastAsia="黑体" w:cs="Times New Roman"/>
          <w:color w:val="auto"/>
          <w:spacing w:val="0"/>
          <w:sz w:val="24"/>
          <w:szCs w:val="24"/>
          <w:highlight w:val="none"/>
        </w:rPr>
        <w:t>9</w:t>
      </w:r>
      <w:r>
        <w:rPr>
          <w:rFonts w:hint="default" w:ascii="Times New Roman" w:hAnsi="Times New Roman" w:eastAsia="黑体" w:cs="Times New Roman"/>
          <w:color w:val="auto"/>
          <w:spacing w:val="0"/>
          <w:sz w:val="24"/>
          <w:szCs w:val="24"/>
          <w:highlight w:val="none"/>
        </w:rPr>
        <w:t>废气污染物排放标准值摘录</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58"/>
        <w:gridCol w:w="1703"/>
        <w:gridCol w:w="849"/>
        <w:gridCol w:w="1132"/>
        <w:gridCol w:w="3880"/>
      </w:tblGrid>
      <w:tr w14:paraId="1EB933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2" w:type="pct"/>
            <w:noWrap w:val="0"/>
            <w:vAlign w:val="center"/>
          </w:tcPr>
          <w:p w14:paraId="4F1C4795">
            <w:pPr>
              <w:pStyle w:val="27"/>
              <w:rPr>
                <w:rFonts w:ascii="Times New Roman" w:hAnsi="Times New Roman"/>
                <w:highlight w:val="none"/>
              </w:rPr>
            </w:pPr>
            <w:r>
              <w:rPr>
                <w:rFonts w:ascii="Times New Roman" w:hAnsi="Times New Roman"/>
                <w:highlight w:val="none"/>
              </w:rPr>
              <w:t>污染源类型</w:t>
            </w:r>
          </w:p>
        </w:tc>
        <w:tc>
          <w:tcPr>
            <w:tcW w:w="999" w:type="pct"/>
            <w:noWrap w:val="0"/>
            <w:vAlign w:val="center"/>
          </w:tcPr>
          <w:p w14:paraId="1EEEFA31">
            <w:pPr>
              <w:pStyle w:val="27"/>
              <w:rPr>
                <w:rFonts w:ascii="Times New Roman" w:hAnsi="Times New Roman"/>
                <w:highlight w:val="none"/>
              </w:rPr>
            </w:pPr>
            <w:r>
              <w:rPr>
                <w:rFonts w:ascii="Times New Roman" w:hAnsi="Times New Roman"/>
                <w:highlight w:val="none"/>
              </w:rPr>
              <w:t>污染物</w:t>
            </w:r>
          </w:p>
        </w:tc>
        <w:tc>
          <w:tcPr>
            <w:tcW w:w="498" w:type="pct"/>
            <w:noWrap w:val="0"/>
            <w:vAlign w:val="center"/>
          </w:tcPr>
          <w:p w14:paraId="1606053E">
            <w:pPr>
              <w:pStyle w:val="27"/>
              <w:rPr>
                <w:rFonts w:ascii="Times New Roman" w:hAnsi="Times New Roman"/>
                <w:highlight w:val="none"/>
              </w:rPr>
            </w:pPr>
            <w:r>
              <w:rPr>
                <w:rFonts w:ascii="Times New Roman" w:hAnsi="Times New Roman"/>
                <w:highlight w:val="none"/>
              </w:rPr>
              <w:t>单位</w:t>
            </w:r>
          </w:p>
        </w:tc>
        <w:tc>
          <w:tcPr>
            <w:tcW w:w="664" w:type="pct"/>
            <w:noWrap w:val="0"/>
            <w:vAlign w:val="center"/>
          </w:tcPr>
          <w:p w14:paraId="4DDBC7FA">
            <w:pPr>
              <w:pStyle w:val="27"/>
              <w:rPr>
                <w:rFonts w:ascii="Times New Roman" w:hAnsi="Times New Roman"/>
                <w:highlight w:val="none"/>
              </w:rPr>
            </w:pPr>
            <w:r>
              <w:rPr>
                <w:rFonts w:ascii="Times New Roman" w:hAnsi="Times New Roman"/>
                <w:highlight w:val="none"/>
              </w:rPr>
              <w:t>标准限值</w:t>
            </w:r>
          </w:p>
        </w:tc>
        <w:tc>
          <w:tcPr>
            <w:tcW w:w="2276" w:type="pct"/>
            <w:tcBorders>
              <w:bottom w:val="single" w:color="auto" w:sz="2" w:space="0"/>
            </w:tcBorders>
            <w:noWrap w:val="0"/>
            <w:vAlign w:val="center"/>
          </w:tcPr>
          <w:p w14:paraId="6E31FCF1">
            <w:pPr>
              <w:pStyle w:val="27"/>
              <w:rPr>
                <w:rFonts w:ascii="Times New Roman" w:hAnsi="Times New Roman"/>
                <w:highlight w:val="none"/>
              </w:rPr>
            </w:pPr>
            <w:r>
              <w:rPr>
                <w:rFonts w:ascii="Times New Roman" w:hAnsi="Times New Roman"/>
                <w:highlight w:val="none"/>
              </w:rPr>
              <w:t>标准来源</w:t>
            </w:r>
          </w:p>
        </w:tc>
      </w:tr>
      <w:tr w14:paraId="4EBC8FB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2" w:type="pct"/>
            <w:vMerge w:val="restart"/>
            <w:noWrap w:val="0"/>
            <w:vAlign w:val="center"/>
          </w:tcPr>
          <w:p w14:paraId="0A6DD270">
            <w:pPr>
              <w:pStyle w:val="27"/>
              <w:rPr>
                <w:rFonts w:hint="eastAsia" w:ascii="Times New Roman" w:hAnsi="Times New Roman" w:eastAsia="新宋体"/>
                <w:highlight w:val="none"/>
                <w:lang w:eastAsia="zh-CN"/>
              </w:rPr>
            </w:pPr>
            <w:r>
              <w:rPr>
                <w:rFonts w:hint="eastAsia" w:ascii="Times New Roman" w:hAnsi="Times New Roman"/>
                <w:highlight w:val="none"/>
              </w:rPr>
              <w:t>有组织</w:t>
            </w:r>
            <w:r>
              <w:rPr>
                <w:rFonts w:hint="eastAsia" w:ascii="Times New Roman" w:hAnsi="Times New Roman"/>
                <w:highlight w:val="none"/>
                <w:lang w:eastAsia="zh-CN"/>
              </w:rPr>
              <w:t>（</w:t>
            </w:r>
            <w:r>
              <w:rPr>
                <w:rFonts w:hint="eastAsia" w:ascii="Times New Roman" w:hAnsi="Times New Roman"/>
                <w:highlight w:val="none"/>
                <w:lang w:val="en-US" w:eastAsia="zh-CN"/>
              </w:rPr>
              <w:t>锅炉</w:t>
            </w:r>
            <w:r>
              <w:rPr>
                <w:rFonts w:hint="eastAsia" w:ascii="Times New Roman" w:hAnsi="Times New Roman"/>
                <w:highlight w:val="none"/>
                <w:lang w:eastAsia="zh-CN"/>
              </w:rPr>
              <w:t>）</w:t>
            </w:r>
          </w:p>
        </w:tc>
        <w:tc>
          <w:tcPr>
            <w:tcW w:w="999" w:type="pct"/>
            <w:noWrap w:val="0"/>
            <w:vAlign w:val="center"/>
          </w:tcPr>
          <w:p w14:paraId="7E13CC31">
            <w:pPr>
              <w:pStyle w:val="27"/>
              <w:rPr>
                <w:rFonts w:ascii="Times New Roman" w:hAnsi="Times New Roman"/>
                <w:highlight w:val="none"/>
              </w:rPr>
            </w:pPr>
            <w:r>
              <w:rPr>
                <w:rFonts w:ascii="Times New Roman" w:hAnsi="Times New Roman"/>
                <w:highlight w:val="none"/>
              </w:rPr>
              <w:t>烟尘</w:t>
            </w:r>
          </w:p>
        </w:tc>
        <w:tc>
          <w:tcPr>
            <w:tcW w:w="498" w:type="pct"/>
            <w:noWrap w:val="0"/>
            <w:vAlign w:val="center"/>
          </w:tcPr>
          <w:p w14:paraId="22BF8341">
            <w:pPr>
              <w:pStyle w:val="27"/>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0925FEA4">
            <w:pPr>
              <w:pStyle w:val="27"/>
              <w:rPr>
                <w:rFonts w:ascii="Times New Roman" w:hAnsi="Times New Roman"/>
                <w:highlight w:val="none"/>
              </w:rPr>
            </w:pPr>
            <w:r>
              <w:rPr>
                <w:rFonts w:ascii="Times New Roman" w:hAnsi="Times New Roman"/>
                <w:highlight w:val="none"/>
              </w:rPr>
              <w:t>10</w:t>
            </w:r>
          </w:p>
        </w:tc>
        <w:tc>
          <w:tcPr>
            <w:tcW w:w="2276" w:type="pct"/>
            <w:vMerge w:val="restart"/>
            <w:tcBorders>
              <w:top w:val="single" w:color="auto" w:sz="2" w:space="0"/>
            </w:tcBorders>
            <w:noWrap w:val="0"/>
            <w:vAlign w:val="center"/>
          </w:tcPr>
          <w:p w14:paraId="4D1C91E9">
            <w:pPr>
              <w:pStyle w:val="27"/>
              <w:rPr>
                <w:rFonts w:hint="eastAsia"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黑龙江省空气质量持续改善行动计划实施方案</w:t>
            </w:r>
            <w:r>
              <w:rPr>
                <w:rFonts w:hint="eastAsia" w:ascii="Times New Roman" w:hAnsi="Times New Roman"/>
                <w:highlight w:val="none"/>
              </w:rPr>
              <w:t>》</w:t>
            </w:r>
            <w:r>
              <w:rPr>
                <w:rFonts w:hint="eastAsia" w:ascii="Times New Roman" w:hAnsi="Times New Roman"/>
                <w:highlight w:val="none"/>
                <w:lang w:val="en-US" w:eastAsia="zh-CN"/>
              </w:rPr>
              <w:t>中要求2025年底实现超低改造</w:t>
            </w:r>
          </w:p>
        </w:tc>
      </w:tr>
      <w:tr w14:paraId="1F1C0F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2" w:type="pct"/>
            <w:vMerge w:val="continue"/>
            <w:noWrap w:val="0"/>
            <w:vAlign w:val="center"/>
          </w:tcPr>
          <w:p w14:paraId="021DB886">
            <w:pPr>
              <w:pStyle w:val="27"/>
              <w:rPr>
                <w:rFonts w:ascii="Times New Roman" w:hAnsi="Times New Roman"/>
                <w:highlight w:val="none"/>
              </w:rPr>
            </w:pPr>
          </w:p>
        </w:tc>
        <w:tc>
          <w:tcPr>
            <w:tcW w:w="999" w:type="pct"/>
            <w:noWrap w:val="0"/>
            <w:vAlign w:val="center"/>
          </w:tcPr>
          <w:p w14:paraId="7C682F0E">
            <w:pPr>
              <w:pStyle w:val="27"/>
              <w:rPr>
                <w:rFonts w:ascii="Times New Roman" w:hAnsi="Times New Roman"/>
                <w:highlight w:val="none"/>
              </w:rPr>
            </w:pPr>
            <w:r>
              <w:rPr>
                <w:rFonts w:ascii="Times New Roman" w:hAnsi="Times New Roman"/>
                <w:highlight w:val="none"/>
              </w:rPr>
              <w:t>SO</w:t>
            </w:r>
            <w:r>
              <w:rPr>
                <w:rFonts w:ascii="Times New Roman" w:hAnsi="Times New Roman"/>
                <w:highlight w:val="none"/>
                <w:vertAlign w:val="subscript"/>
              </w:rPr>
              <w:t>2</w:t>
            </w:r>
          </w:p>
        </w:tc>
        <w:tc>
          <w:tcPr>
            <w:tcW w:w="498" w:type="pct"/>
            <w:noWrap w:val="0"/>
            <w:vAlign w:val="center"/>
          </w:tcPr>
          <w:p w14:paraId="3F92ECB6">
            <w:pPr>
              <w:pStyle w:val="27"/>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21B08965">
            <w:pPr>
              <w:pStyle w:val="27"/>
              <w:rPr>
                <w:rFonts w:ascii="Times New Roman" w:hAnsi="Times New Roman"/>
                <w:highlight w:val="none"/>
              </w:rPr>
            </w:pPr>
            <w:r>
              <w:rPr>
                <w:rFonts w:ascii="Times New Roman" w:hAnsi="Times New Roman"/>
                <w:highlight w:val="none"/>
              </w:rPr>
              <w:t>35</w:t>
            </w:r>
          </w:p>
        </w:tc>
        <w:tc>
          <w:tcPr>
            <w:tcW w:w="2276" w:type="pct"/>
            <w:vMerge w:val="continue"/>
            <w:noWrap w:val="0"/>
            <w:vAlign w:val="center"/>
          </w:tcPr>
          <w:p w14:paraId="78BCF026">
            <w:pPr>
              <w:pStyle w:val="27"/>
              <w:rPr>
                <w:rFonts w:ascii="Times New Roman" w:hAnsi="Times New Roman"/>
                <w:highlight w:val="none"/>
              </w:rPr>
            </w:pPr>
          </w:p>
        </w:tc>
      </w:tr>
      <w:tr w14:paraId="3E203F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2" w:type="pct"/>
            <w:vMerge w:val="continue"/>
            <w:noWrap w:val="0"/>
            <w:vAlign w:val="center"/>
          </w:tcPr>
          <w:p w14:paraId="5F77B04B">
            <w:pPr>
              <w:pStyle w:val="27"/>
              <w:rPr>
                <w:rFonts w:ascii="Times New Roman" w:hAnsi="Times New Roman"/>
                <w:highlight w:val="none"/>
              </w:rPr>
            </w:pPr>
          </w:p>
        </w:tc>
        <w:tc>
          <w:tcPr>
            <w:tcW w:w="999" w:type="pct"/>
            <w:noWrap w:val="0"/>
            <w:vAlign w:val="center"/>
          </w:tcPr>
          <w:p w14:paraId="1A260447">
            <w:pPr>
              <w:pStyle w:val="27"/>
              <w:rPr>
                <w:rFonts w:ascii="Times New Roman" w:hAnsi="Times New Roman"/>
                <w:highlight w:val="none"/>
              </w:rPr>
            </w:pPr>
            <w:r>
              <w:rPr>
                <w:rFonts w:ascii="Times New Roman" w:hAnsi="Times New Roman"/>
                <w:highlight w:val="none"/>
              </w:rPr>
              <w:t>NO</w:t>
            </w:r>
            <w:r>
              <w:rPr>
                <w:rFonts w:ascii="Times New Roman" w:hAnsi="Times New Roman"/>
                <w:highlight w:val="none"/>
                <w:vertAlign w:val="subscript"/>
              </w:rPr>
              <w:t>X</w:t>
            </w:r>
          </w:p>
        </w:tc>
        <w:tc>
          <w:tcPr>
            <w:tcW w:w="498" w:type="pct"/>
            <w:noWrap w:val="0"/>
            <w:vAlign w:val="center"/>
          </w:tcPr>
          <w:p w14:paraId="4A1B03A2">
            <w:pPr>
              <w:pStyle w:val="27"/>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3761DA3A">
            <w:pPr>
              <w:pStyle w:val="27"/>
              <w:rPr>
                <w:rFonts w:ascii="Times New Roman" w:hAnsi="Times New Roman"/>
                <w:highlight w:val="none"/>
              </w:rPr>
            </w:pPr>
            <w:r>
              <w:rPr>
                <w:rFonts w:ascii="Times New Roman" w:hAnsi="Times New Roman"/>
                <w:highlight w:val="none"/>
              </w:rPr>
              <w:t>50</w:t>
            </w:r>
          </w:p>
        </w:tc>
        <w:tc>
          <w:tcPr>
            <w:tcW w:w="2276" w:type="pct"/>
            <w:vMerge w:val="continue"/>
            <w:tcBorders>
              <w:bottom w:val="single" w:color="auto" w:sz="2" w:space="0"/>
            </w:tcBorders>
            <w:noWrap w:val="0"/>
            <w:vAlign w:val="center"/>
          </w:tcPr>
          <w:p w14:paraId="5AB5E045">
            <w:pPr>
              <w:pStyle w:val="27"/>
              <w:rPr>
                <w:rFonts w:ascii="Times New Roman" w:hAnsi="Times New Roman"/>
                <w:highlight w:val="none"/>
              </w:rPr>
            </w:pPr>
          </w:p>
        </w:tc>
      </w:tr>
      <w:tr w14:paraId="1092B5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62" w:type="pct"/>
            <w:vMerge w:val="continue"/>
            <w:noWrap w:val="0"/>
            <w:vAlign w:val="center"/>
          </w:tcPr>
          <w:p w14:paraId="5EABEFDB">
            <w:pPr>
              <w:pStyle w:val="27"/>
              <w:rPr>
                <w:rFonts w:ascii="Times New Roman" w:hAnsi="Times New Roman"/>
                <w:highlight w:val="none"/>
              </w:rPr>
            </w:pPr>
          </w:p>
        </w:tc>
        <w:tc>
          <w:tcPr>
            <w:tcW w:w="999" w:type="pct"/>
            <w:noWrap w:val="0"/>
            <w:vAlign w:val="center"/>
          </w:tcPr>
          <w:p w14:paraId="06604A72">
            <w:pPr>
              <w:pStyle w:val="27"/>
              <w:rPr>
                <w:rFonts w:ascii="Times New Roman" w:hAnsi="Times New Roman"/>
                <w:highlight w:val="none"/>
              </w:rPr>
            </w:pPr>
            <w:r>
              <w:rPr>
                <w:rFonts w:ascii="Times New Roman" w:hAnsi="Times New Roman"/>
                <w:highlight w:val="none"/>
              </w:rPr>
              <w:t>烟气黑度</w:t>
            </w:r>
          </w:p>
        </w:tc>
        <w:tc>
          <w:tcPr>
            <w:tcW w:w="498" w:type="pct"/>
            <w:noWrap w:val="0"/>
            <w:vAlign w:val="center"/>
          </w:tcPr>
          <w:p w14:paraId="2CEA8187">
            <w:pPr>
              <w:pStyle w:val="27"/>
              <w:rPr>
                <w:rFonts w:ascii="Times New Roman" w:hAnsi="Times New Roman"/>
                <w:highlight w:val="none"/>
              </w:rPr>
            </w:pPr>
            <w:r>
              <w:rPr>
                <w:rFonts w:ascii="Times New Roman" w:hAnsi="Times New Roman"/>
                <w:highlight w:val="none"/>
              </w:rPr>
              <w:t>/</w:t>
            </w:r>
          </w:p>
        </w:tc>
        <w:tc>
          <w:tcPr>
            <w:tcW w:w="664" w:type="pct"/>
            <w:noWrap w:val="0"/>
            <w:vAlign w:val="center"/>
          </w:tcPr>
          <w:p w14:paraId="3244FAD8">
            <w:pPr>
              <w:pStyle w:val="27"/>
              <w:rPr>
                <w:rFonts w:ascii="Times New Roman" w:hAnsi="Times New Roman"/>
                <w:highlight w:val="none"/>
              </w:rPr>
            </w:pPr>
            <w:r>
              <w:rPr>
                <w:rFonts w:ascii="Times New Roman" w:hAnsi="Times New Roman"/>
                <w:highlight w:val="none"/>
              </w:rPr>
              <w:t>≤1</w:t>
            </w:r>
          </w:p>
        </w:tc>
        <w:tc>
          <w:tcPr>
            <w:tcW w:w="2276" w:type="pct"/>
            <w:vMerge w:val="restart"/>
            <w:tcBorders>
              <w:top w:val="single" w:color="auto" w:sz="2" w:space="0"/>
            </w:tcBorders>
            <w:noWrap w:val="0"/>
            <w:vAlign w:val="center"/>
          </w:tcPr>
          <w:p w14:paraId="64BEA2A2">
            <w:pPr>
              <w:pStyle w:val="27"/>
              <w:rPr>
                <w:rFonts w:ascii="Times New Roman" w:hAnsi="Times New Roman"/>
                <w:highlight w:val="none"/>
              </w:rPr>
            </w:pPr>
            <w:r>
              <w:rPr>
                <w:rFonts w:hint="eastAsia" w:ascii="Times New Roman" w:hAnsi="Times New Roman"/>
                <w:color w:val="auto"/>
                <w:highlight w:val="none"/>
              </w:rPr>
              <w:t>执行《火电厂大气污染物排放标准》(GB13223-2011)表1中燃煤锅炉大气污染物排放标准</w:t>
            </w:r>
          </w:p>
        </w:tc>
      </w:tr>
      <w:tr w14:paraId="02CC74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2" w:type="pct"/>
            <w:vMerge w:val="continue"/>
            <w:noWrap w:val="0"/>
            <w:vAlign w:val="center"/>
          </w:tcPr>
          <w:p w14:paraId="7B007E32">
            <w:pPr>
              <w:pStyle w:val="27"/>
              <w:rPr>
                <w:rFonts w:ascii="Times New Roman" w:hAnsi="Times New Roman"/>
                <w:highlight w:val="none"/>
              </w:rPr>
            </w:pPr>
          </w:p>
        </w:tc>
        <w:tc>
          <w:tcPr>
            <w:tcW w:w="999" w:type="pct"/>
            <w:tcBorders>
              <w:bottom w:val="single" w:color="auto" w:sz="4" w:space="0"/>
            </w:tcBorders>
            <w:noWrap w:val="0"/>
            <w:vAlign w:val="center"/>
          </w:tcPr>
          <w:p w14:paraId="6B441DCD">
            <w:pPr>
              <w:pStyle w:val="27"/>
              <w:rPr>
                <w:rFonts w:ascii="Times New Roman" w:hAnsi="Times New Roman"/>
                <w:highlight w:val="none"/>
              </w:rPr>
            </w:pPr>
            <w:r>
              <w:rPr>
                <w:rFonts w:ascii="Times New Roman" w:hAnsi="Times New Roman"/>
                <w:highlight w:val="none"/>
              </w:rPr>
              <w:t>汞及其化合物</w:t>
            </w:r>
          </w:p>
        </w:tc>
        <w:tc>
          <w:tcPr>
            <w:tcW w:w="498" w:type="pct"/>
            <w:noWrap w:val="0"/>
            <w:vAlign w:val="center"/>
          </w:tcPr>
          <w:p w14:paraId="0D5ADDB1">
            <w:pPr>
              <w:pStyle w:val="27"/>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1A681D1C">
            <w:pPr>
              <w:pStyle w:val="27"/>
              <w:rPr>
                <w:rFonts w:hint="eastAsia" w:ascii="Times New Roman" w:hAnsi="Times New Roman" w:eastAsia="新宋体"/>
                <w:highlight w:val="none"/>
                <w:lang w:eastAsia="zh-CN"/>
              </w:rPr>
            </w:pPr>
            <w:r>
              <w:rPr>
                <w:rFonts w:ascii="Times New Roman" w:hAnsi="Times New Roman"/>
                <w:highlight w:val="none"/>
              </w:rPr>
              <w:t>0.0</w:t>
            </w:r>
            <w:r>
              <w:rPr>
                <w:rFonts w:hint="eastAsia" w:ascii="Times New Roman" w:hAnsi="Times New Roman"/>
                <w:highlight w:val="none"/>
                <w:lang w:val="en-US" w:eastAsia="zh-CN"/>
              </w:rPr>
              <w:t>3</w:t>
            </w:r>
          </w:p>
        </w:tc>
        <w:tc>
          <w:tcPr>
            <w:tcW w:w="2276" w:type="pct"/>
            <w:vMerge w:val="continue"/>
            <w:noWrap w:val="0"/>
            <w:vAlign w:val="center"/>
          </w:tcPr>
          <w:p w14:paraId="79ACA8BE">
            <w:pPr>
              <w:pStyle w:val="27"/>
              <w:rPr>
                <w:rFonts w:ascii="Times New Roman" w:hAnsi="Times New Roman"/>
                <w:highlight w:val="none"/>
              </w:rPr>
            </w:pPr>
          </w:p>
        </w:tc>
      </w:tr>
      <w:tr w14:paraId="60A9733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2" w:type="pct"/>
            <w:vMerge w:val="restart"/>
            <w:noWrap w:val="0"/>
            <w:vAlign w:val="center"/>
          </w:tcPr>
          <w:p w14:paraId="04CE105A">
            <w:pPr>
              <w:pStyle w:val="27"/>
              <w:rPr>
                <w:rFonts w:hint="eastAsia" w:ascii="Times New Roman" w:hAnsi="Times New Roman" w:eastAsia="新宋体"/>
                <w:highlight w:val="none"/>
                <w:lang w:val="en-US" w:eastAsia="zh-CN"/>
              </w:rPr>
            </w:pPr>
            <w:r>
              <w:rPr>
                <w:rFonts w:hint="eastAsia" w:ascii="Times New Roman" w:hAnsi="Times New Roman"/>
                <w:highlight w:val="none"/>
                <w:lang w:val="en-US" w:eastAsia="zh-CN"/>
              </w:rPr>
              <w:t>有组织（碎煤机室）</w:t>
            </w:r>
          </w:p>
        </w:tc>
        <w:tc>
          <w:tcPr>
            <w:tcW w:w="999" w:type="pct"/>
            <w:vMerge w:val="restart"/>
            <w:noWrap w:val="0"/>
            <w:vAlign w:val="center"/>
          </w:tcPr>
          <w:p w14:paraId="79559DDC">
            <w:pPr>
              <w:pStyle w:val="27"/>
              <w:rPr>
                <w:rFonts w:hint="eastAsia" w:ascii="Times New Roman" w:hAnsi="Times New Roman" w:eastAsia="新宋体"/>
                <w:highlight w:val="none"/>
                <w:lang w:val="en-US" w:eastAsia="zh-CN"/>
              </w:rPr>
            </w:pPr>
            <w:r>
              <w:rPr>
                <w:rFonts w:hint="eastAsia" w:ascii="Times New Roman" w:hAnsi="Times New Roman"/>
                <w:highlight w:val="none"/>
                <w:lang w:val="en-US" w:eastAsia="zh-CN"/>
              </w:rPr>
              <w:t>颗粒物</w:t>
            </w:r>
          </w:p>
        </w:tc>
        <w:tc>
          <w:tcPr>
            <w:tcW w:w="498" w:type="pct"/>
            <w:noWrap w:val="0"/>
            <w:vAlign w:val="center"/>
          </w:tcPr>
          <w:p w14:paraId="08FD3A72">
            <w:pPr>
              <w:pStyle w:val="27"/>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5D6768C0">
            <w:pPr>
              <w:pStyle w:val="27"/>
              <w:rPr>
                <w:rFonts w:ascii="Times New Roman" w:hAnsi="Times New Roman"/>
                <w:highlight w:val="none"/>
              </w:rPr>
            </w:pPr>
            <w:r>
              <w:rPr>
                <w:rFonts w:hint="eastAsia" w:ascii="Times New Roman" w:hAnsi="Times New Roman"/>
                <w:highlight w:val="none"/>
              </w:rPr>
              <w:t>120</w:t>
            </w:r>
          </w:p>
        </w:tc>
        <w:tc>
          <w:tcPr>
            <w:tcW w:w="2276" w:type="pct"/>
            <w:vMerge w:val="restart"/>
            <w:noWrap w:val="0"/>
            <w:vAlign w:val="center"/>
          </w:tcPr>
          <w:p w14:paraId="776B65C4">
            <w:pPr>
              <w:pStyle w:val="27"/>
              <w:rPr>
                <w:rFonts w:ascii="Times New Roman" w:hAnsi="Times New Roman"/>
                <w:highlight w:val="none"/>
              </w:rPr>
            </w:pPr>
            <w:r>
              <w:rPr>
                <w:rFonts w:hint="eastAsia" w:ascii="Times New Roman" w:hAnsi="Times New Roman"/>
                <w:highlight w:val="none"/>
              </w:rPr>
              <w:t>《大气污染物综合排放标准》(GB16297-1996）表2中二级标准限值，本项目排气筒按高度对应的表列排放速率标准值严格50%执行</w:t>
            </w:r>
          </w:p>
        </w:tc>
      </w:tr>
      <w:tr w14:paraId="6A9EC8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62" w:type="pct"/>
            <w:vMerge w:val="continue"/>
            <w:noWrap w:val="0"/>
            <w:vAlign w:val="center"/>
          </w:tcPr>
          <w:p w14:paraId="5F50D52A">
            <w:pPr>
              <w:pStyle w:val="27"/>
              <w:rPr>
                <w:rFonts w:ascii="Times New Roman" w:hAnsi="Times New Roman"/>
                <w:highlight w:val="none"/>
              </w:rPr>
            </w:pPr>
          </w:p>
        </w:tc>
        <w:tc>
          <w:tcPr>
            <w:tcW w:w="999" w:type="pct"/>
            <w:vMerge w:val="continue"/>
            <w:tcBorders>
              <w:bottom w:val="single" w:color="auto" w:sz="4" w:space="0"/>
            </w:tcBorders>
            <w:noWrap w:val="0"/>
            <w:vAlign w:val="center"/>
          </w:tcPr>
          <w:p w14:paraId="75F86FE4">
            <w:pPr>
              <w:pStyle w:val="27"/>
              <w:rPr>
                <w:rFonts w:ascii="Times New Roman" w:hAnsi="Times New Roman"/>
                <w:highlight w:val="none"/>
              </w:rPr>
            </w:pPr>
          </w:p>
        </w:tc>
        <w:tc>
          <w:tcPr>
            <w:tcW w:w="498" w:type="pct"/>
            <w:noWrap w:val="0"/>
            <w:vAlign w:val="center"/>
          </w:tcPr>
          <w:p w14:paraId="2A54AA73">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kg/h</w:t>
            </w:r>
          </w:p>
        </w:tc>
        <w:tc>
          <w:tcPr>
            <w:tcW w:w="664" w:type="pct"/>
            <w:noWrap w:val="0"/>
            <w:vAlign w:val="center"/>
          </w:tcPr>
          <w:p w14:paraId="5F63B514">
            <w:pPr>
              <w:pStyle w:val="27"/>
              <w:rPr>
                <w:rFonts w:ascii="Times New Roman" w:hAnsi="Times New Roman"/>
                <w:highlight w:val="none"/>
              </w:rPr>
            </w:pPr>
            <w:r>
              <w:rPr>
                <w:rFonts w:hint="eastAsia" w:ascii="Times New Roman" w:hAnsi="Times New Roman"/>
                <w:highlight w:val="none"/>
              </w:rPr>
              <w:t>1.75</w:t>
            </w:r>
          </w:p>
        </w:tc>
        <w:tc>
          <w:tcPr>
            <w:tcW w:w="2276" w:type="pct"/>
            <w:vMerge w:val="continue"/>
            <w:noWrap w:val="0"/>
            <w:vAlign w:val="center"/>
          </w:tcPr>
          <w:p w14:paraId="54572776">
            <w:pPr>
              <w:pStyle w:val="27"/>
              <w:rPr>
                <w:rFonts w:ascii="Times New Roman" w:hAnsi="Times New Roman"/>
                <w:highlight w:val="none"/>
              </w:rPr>
            </w:pPr>
          </w:p>
        </w:tc>
      </w:tr>
      <w:tr w14:paraId="2288BF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30" w:hRule="atLeast"/>
          <w:jc w:val="center"/>
        </w:trPr>
        <w:tc>
          <w:tcPr>
            <w:tcW w:w="562" w:type="pct"/>
            <w:vMerge w:val="restart"/>
            <w:tcBorders>
              <w:top w:val="single" w:color="auto" w:sz="4" w:space="0"/>
            </w:tcBorders>
            <w:noWrap w:val="0"/>
            <w:vAlign w:val="center"/>
          </w:tcPr>
          <w:p w14:paraId="5881B97C">
            <w:pPr>
              <w:pStyle w:val="27"/>
              <w:contextualSpacing/>
              <w:rPr>
                <w:rFonts w:ascii="Times New Roman" w:hAnsi="Times New Roman"/>
                <w:highlight w:val="none"/>
              </w:rPr>
            </w:pPr>
            <w:r>
              <w:rPr>
                <w:rFonts w:ascii="Times New Roman" w:hAnsi="Times New Roman"/>
                <w:highlight w:val="none"/>
              </w:rPr>
              <w:t>无组织排放</w:t>
            </w:r>
          </w:p>
        </w:tc>
        <w:tc>
          <w:tcPr>
            <w:tcW w:w="999" w:type="pct"/>
            <w:tcBorders>
              <w:top w:val="single" w:color="auto" w:sz="4" w:space="0"/>
            </w:tcBorders>
            <w:noWrap w:val="0"/>
            <w:vAlign w:val="center"/>
          </w:tcPr>
          <w:p w14:paraId="686A271D">
            <w:pPr>
              <w:pStyle w:val="27"/>
              <w:contextualSpacing/>
              <w:rPr>
                <w:rFonts w:ascii="Times New Roman" w:hAnsi="Times New Roman"/>
                <w:highlight w:val="none"/>
              </w:rPr>
            </w:pPr>
            <w:r>
              <w:rPr>
                <w:rFonts w:ascii="Times New Roman" w:hAnsi="Times New Roman"/>
                <w:highlight w:val="none"/>
              </w:rPr>
              <w:t>NH</w:t>
            </w:r>
            <w:r>
              <w:rPr>
                <w:rFonts w:ascii="Times New Roman" w:hAnsi="Times New Roman"/>
                <w:highlight w:val="none"/>
                <w:vertAlign w:val="subscript"/>
              </w:rPr>
              <w:t>3</w:t>
            </w:r>
          </w:p>
        </w:tc>
        <w:tc>
          <w:tcPr>
            <w:tcW w:w="498" w:type="pct"/>
            <w:noWrap w:val="0"/>
            <w:vAlign w:val="center"/>
          </w:tcPr>
          <w:p w14:paraId="1C5376ED">
            <w:pPr>
              <w:pStyle w:val="27"/>
              <w:contextualSpacing/>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452C76BD">
            <w:pPr>
              <w:pStyle w:val="27"/>
              <w:contextualSpacing/>
              <w:rPr>
                <w:rFonts w:ascii="Times New Roman" w:hAnsi="Times New Roman"/>
                <w:highlight w:val="none"/>
              </w:rPr>
            </w:pPr>
            <w:r>
              <w:rPr>
                <w:rFonts w:ascii="Times New Roman" w:hAnsi="Times New Roman"/>
                <w:highlight w:val="none"/>
              </w:rPr>
              <w:t>1.5</w:t>
            </w:r>
          </w:p>
        </w:tc>
        <w:tc>
          <w:tcPr>
            <w:tcW w:w="2276" w:type="pct"/>
            <w:noWrap w:val="0"/>
            <w:vAlign w:val="center"/>
          </w:tcPr>
          <w:p w14:paraId="1963EFA6">
            <w:pPr>
              <w:pStyle w:val="27"/>
              <w:contextualSpacing/>
              <w:rPr>
                <w:rFonts w:ascii="Times New Roman" w:hAnsi="Times New Roman"/>
                <w:highlight w:val="none"/>
              </w:rPr>
            </w:pPr>
            <w:r>
              <w:rPr>
                <w:rFonts w:ascii="Times New Roman" w:hAnsi="Times New Roman"/>
                <w:highlight w:val="none"/>
              </w:rPr>
              <w:t>《恶臭污染物排放标准》（GB14554-93）表1恶臭污染物厂界二级标准值。</w:t>
            </w:r>
          </w:p>
        </w:tc>
      </w:tr>
      <w:tr w14:paraId="0EFF5C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99" w:hRule="atLeast"/>
          <w:jc w:val="center"/>
        </w:trPr>
        <w:tc>
          <w:tcPr>
            <w:tcW w:w="562" w:type="pct"/>
            <w:vMerge w:val="continue"/>
            <w:noWrap w:val="0"/>
            <w:vAlign w:val="center"/>
          </w:tcPr>
          <w:p w14:paraId="457C3045">
            <w:pPr>
              <w:pStyle w:val="27"/>
              <w:contextualSpacing/>
              <w:rPr>
                <w:rFonts w:ascii="Times New Roman" w:hAnsi="Times New Roman"/>
                <w:highlight w:val="none"/>
              </w:rPr>
            </w:pPr>
          </w:p>
        </w:tc>
        <w:tc>
          <w:tcPr>
            <w:tcW w:w="999" w:type="pct"/>
            <w:noWrap w:val="0"/>
            <w:vAlign w:val="center"/>
          </w:tcPr>
          <w:p w14:paraId="401821D7">
            <w:pPr>
              <w:pStyle w:val="27"/>
              <w:contextualSpacing/>
              <w:rPr>
                <w:rFonts w:ascii="Times New Roman" w:hAnsi="Times New Roman"/>
                <w:highlight w:val="none"/>
              </w:rPr>
            </w:pPr>
            <w:r>
              <w:rPr>
                <w:rFonts w:ascii="Times New Roman" w:hAnsi="Times New Roman"/>
                <w:highlight w:val="none"/>
              </w:rPr>
              <w:t>颗粒物</w:t>
            </w:r>
          </w:p>
        </w:tc>
        <w:tc>
          <w:tcPr>
            <w:tcW w:w="498" w:type="pct"/>
            <w:noWrap w:val="0"/>
            <w:vAlign w:val="center"/>
          </w:tcPr>
          <w:p w14:paraId="49EA7F47">
            <w:pPr>
              <w:pStyle w:val="27"/>
              <w:contextualSpacing/>
              <w:rPr>
                <w:rFonts w:ascii="Times New Roman" w:hAnsi="Times New Roman"/>
                <w:highlight w:val="none"/>
              </w:rPr>
            </w:pPr>
            <w:r>
              <w:rPr>
                <w:rFonts w:ascii="Times New Roman" w:hAnsi="Times New Roman"/>
                <w:highlight w:val="none"/>
              </w:rPr>
              <w:t>mg/m</w:t>
            </w:r>
            <w:r>
              <w:rPr>
                <w:rFonts w:ascii="Times New Roman" w:hAnsi="Times New Roman"/>
                <w:highlight w:val="none"/>
                <w:vertAlign w:val="superscript"/>
              </w:rPr>
              <w:t>3</w:t>
            </w:r>
          </w:p>
        </w:tc>
        <w:tc>
          <w:tcPr>
            <w:tcW w:w="664" w:type="pct"/>
            <w:noWrap w:val="0"/>
            <w:vAlign w:val="center"/>
          </w:tcPr>
          <w:p w14:paraId="597CF6F7">
            <w:pPr>
              <w:pStyle w:val="27"/>
              <w:contextualSpacing/>
              <w:rPr>
                <w:rFonts w:ascii="Times New Roman" w:hAnsi="Times New Roman"/>
                <w:highlight w:val="none"/>
              </w:rPr>
            </w:pPr>
            <w:r>
              <w:rPr>
                <w:rFonts w:ascii="Times New Roman" w:hAnsi="Times New Roman"/>
                <w:highlight w:val="none"/>
              </w:rPr>
              <w:t>1.0</w:t>
            </w:r>
          </w:p>
        </w:tc>
        <w:tc>
          <w:tcPr>
            <w:tcW w:w="2276" w:type="pct"/>
            <w:noWrap w:val="0"/>
            <w:vAlign w:val="center"/>
          </w:tcPr>
          <w:p w14:paraId="57B37924">
            <w:pPr>
              <w:pStyle w:val="27"/>
              <w:contextualSpacing/>
              <w:rPr>
                <w:rFonts w:ascii="Times New Roman" w:hAnsi="Times New Roman"/>
                <w:highlight w:val="none"/>
              </w:rPr>
            </w:pPr>
            <w:r>
              <w:rPr>
                <w:rFonts w:ascii="Times New Roman" w:hAnsi="Times New Roman"/>
                <w:highlight w:val="none"/>
              </w:rPr>
              <w:t>《大气污染物综合排放标准》（GB16297-1996）表2无组织排放监控浓度限值。</w:t>
            </w:r>
          </w:p>
        </w:tc>
      </w:tr>
    </w:tbl>
    <w:p w14:paraId="04113880">
      <w:pPr>
        <w:ind w:firstLine="480"/>
        <w:rPr>
          <w:rFonts w:ascii="Times New Roman" w:hAnsi="Times New Roman"/>
          <w:highlight w:val="none"/>
        </w:rPr>
      </w:pPr>
      <w:r>
        <w:rPr>
          <w:rFonts w:ascii="Times New Roman" w:hAnsi="Times New Roman"/>
          <w:highlight w:val="none"/>
        </w:rPr>
        <w:t>2、废水排放标准</w:t>
      </w:r>
    </w:p>
    <w:p w14:paraId="31AD5A46">
      <w:pPr>
        <w:pStyle w:val="26"/>
        <w:spacing w:before="0" w:beforeLines="0" w:after="0" w:afterLines="0"/>
        <w:rPr>
          <w:rFonts w:ascii="Times New Roman" w:hAnsi="Times New Roman"/>
          <w:highlight w:val="none"/>
        </w:rPr>
      </w:pPr>
      <w:r>
        <w:rPr>
          <w:rFonts w:ascii="Times New Roman" w:hAnsi="Times New Roman"/>
          <w:highlight w:val="none"/>
        </w:rPr>
        <w:t>本工程生产废水处理后回用于</w:t>
      </w:r>
      <w:r>
        <w:rPr>
          <w:rFonts w:hint="eastAsia" w:ascii="Times New Roman" w:hAnsi="Times New Roman"/>
          <w:highlight w:val="none"/>
        </w:rPr>
        <w:t>煤场洒水降尘</w:t>
      </w:r>
      <w:r>
        <w:rPr>
          <w:rFonts w:hint="eastAsia" w:ascii="Times New Roman" w:hAnsi="Times New Roman"/>
          <w:highlight w:val="none"/>
          <w:lang w:val="en-US" w:eastAsia="zh-CN"/>
        </w:rPr>
        <w:t>和</w:t>
      </w:r>
      <w:r>
        <w:rPr>
          <w:rFonts w:ascii="Times New Roman" w:hAnsi="Times New Roman"/>
          <w:highlight w:val="none"/>
        </w:rPr>
        <w:t>灰渣加湿，不外排。</w:t>
      </w:r>
    </w:p>
    <w:p w14:paraId="1E98779D">
      <w:pPr>
        <w:pStyle w:val="26"/>
        <w:spacing w:before="0" w:beforeLines="0" w:after="0" w:afterLines="0"/>
        <w:rPr>
          <w:rFonts w:hint="eastAsia" w:ascii="Times New Roman" w:hAnsi="Times New Roman" w:eastAsia="宋体"/>
          <w:highlight w:val="none"/>
          <w:lang w:eastAsia="zh-CN"/>
        </w:rPr>
      </w:pPr>
      <w:r>
        <w:rPr>
          <w:rFonts w:hint="eastAsia" w:ascii="Times New Roman" w:hAnsi="Times New Roman"/>
          <w:highlight w:val="none"/>
        </w:rPr>
        <w:t>生活污水排入市政管网，经污水管网排入</w:t>
      </w:r>
      <w:r>
        <w:rPr>
          <w:rFonts w:hint="eastAsia" w:ascii="Times New Roman" w:hAnsi="Times New Roman"/>
          <w:highlight w:val="none"/>
          <w:lang w:val="en-US" w:eastAsia="zh-CN"/>
        </w:rPr>
        <w:t>绥芬河中环污水处理有限公司</w:t>
      </w:r>
      <w:r>
        <w:rPr>
          <w:rFonts w:hint="eastAsia" w:ascii="Times New Roman" w:hAnsi="Times New Roman"/>
          <w:highlight w:val="none"/>
        </w:rPr>
        <w:t>，处理达到《城镇污水处理厂污染物排放标准》(GB18918—2002)一级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标准后排</w:t>
      </w:r>
      <w:r>
        <w:rPr>
          <w:rFonts w:hint="eastAsia" w:ascii="Times New Roman" w:hAnsi="Times New Roman"/>
          <w:highlight w:val="none"/>
          <w:lang w:val="en-US" w:eastAsia="zh-CN"/>
        </w:rPr>
        <w:t>放。本项目生活污水</w:t>
      </w:r>
      <w:r>
        <w:rPr>
          <w:rFonts w:ascii="Times New Roman" w:hAnsi="Times New Roman"/>
          <w:highlight w:val="none"/>
        </w:rPr>
        <w:t>排放执行《污水综合排放标准》（GB8978-1996）中三级标准。</w:t>
      </w:r>
      <w:r>
        <w:rPr>
          <w:rFonts w:hint="eastAsia" w:ascii="Times New Roman" w:hAnsi="Times New Roman"/>
          <w:highlight w:val="none"/>
          <w:lang w:val="en-US"/>
        </w:rPr>
        <w:t>脱硫废水经处理后的最终水质将满足《污水综合排放排放标准》中表1标准</w:t>
      </w:r>
      <w:r>
        <w:rPr>
          <w:rFonts w:hint="eastAsia" w:ascii="Times New Roman" w:hAnsi="Times New Roman"/>
          <w:highlight w:val="none"/>
          <w:lang w:val="en-US" w:eastAsia="zh-CN"/>
        </w:rPr>
        <w:t>。</w:t>
      </w:r>
    </w:p>
    <w:p w14:paraId="3512474C">
      <w:pPr>
        <w:keepNext w:val="0"/>
        <w:keepLines w:val="0"/>
        <w:pageBreakBefore w:val="0"/>
        <w:widowControl w:val="0"/>
        <w:kinsoku/>
        <w:wordWrap/>
        <w:overflowPunct/>
        <w:topLinePunct w:val="0"/>
        <w:bidi w:val="0"/>
        <w:snapToGrid/>
        <w:spacing w:line="480" w:lineRule="exact"/>
        <w:jc w:val="center"/>
        <w:textAlignment w:val="auto"/>
        <w:rPr>
          <w:rFonts w:hint="default" w:ascii="Times New Roman" w:hAnsi="Times New Roman" w:eastAsia="黑体" w:cs="Times New Roman"/>
          <w:color w:val="auto"/>
          <w:spacing w:val="0"/>
          <w:sz w:val="24"/>
          <w:szCs w:val="24"/>
          <w:highlight w:val="none"/>
        </w:rPr>
      </w:pPr>
      <w:r>
        <w:rPr>
          <w:rFonts w:hint="default" w:ascii="Times New Roman" w:hAnsi="Times New Roman" w:eastAsia="黑体" w:cs="Times New Roman"/>
          <w:color w:val="auto"/>
          <w:spacing w:val="0"/>
          <w:sz w:val="24"/>
          <w:szCs w:val="24"/>
          <w:highlight w:val="none"/>
        </w:rPr>
        <w:t>表 2.3-</w:t>
      </w:r>
      <w:r>
        <w:rPr>
          <w:rFonts w:hint="eastAsia" w:ascii="Times New Roman" w:hAnsi="Times New Roman" w:eastAsia="黑体" w:cs="Times New Roman"/>
          <w:color w:val="auto"/>
          <w:spacing w:val="0"/>
          <w:sz w:val="24"/>
          <w:szCs w:val="24"/>
          <w:highlight w:val="none"/>
        </w:rPr>
        <w:t>10</w:t>
      </w:r>
      <w:r>
        <w:rPr>
          <w:rFonts w:hint="default" w:ascii="Times New Roman" w:hAnsi="Times New Roman" w:eastAsia="黑体" w:cs="Times New Roman"/>
          <w:color w:val="auto"/>
          <w:spacing w:val="0"/>
          <w:sz w:val="24"/>
          <w:szCs w:val="24"/>
          <w:highlight w:val="none"/>
        </w:rPr>
        <w:t>废水污染物排放标准值</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493"/>
        <w:gridCol w:w="888"/>
        <w:gridCol w:w="1503"/>
        <w:gridCol w:w="3265"/>
      </w:tblGrid>
      <w:tr w14:paraId="003F1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04" w:type="pct"/>
            <w:noWrap w:val="0"/>
            <w:vAlign w:val="center"/>
          </w:tcPr>
          <w:p w14:paraId="750374CD">
            <w:pPr>
              <w:pStyle w:val="27"/>
              <w:contextualSpacing/>
              <w:rPr>
                <w:rFonts w:ascii="Times New Roman" w:hAnsi="Times New Roman"/>
                <w:highlight w:val="none"/>
              </w:rPr>
            </w:pPr>
            <w:r>
              <w:rPr>
                <w:rFonts w:ascii="Times New Roman" w:hAnsi="Times New Roman"/>
                <w:highlight w:val="none"/>
              </w:rPr>
              <w:t>污染源类型</w:t>
            </w:r>
          </w:p>
        </w:tc>
        <w:tc>
          <w:tcPr>
            <w:tcW w:w="876" w:type="pct"/>
            <w:noWrap w:val="0"/>
            <w:vAlign w:val="center"/>
          </w:tcPr>
          <w:p w14:paraId="5B690A3F">
            <w:pPr>
              <w:pStyle w:val="27"/>
              <w:contextualSpacing/>
              <w:rPr>
                <w:rFonts w:ascii="Times New Roman" w:hAnsi="Times New Roman"/>
                <w:highlight w:val="none"/>
              </w:rPr>
            </w:pPr>
            <w:r>
              <w:rPr>
                <w:rFonts w:ascii="Times New Roman" w:hAnsi="Times New Roman"/>
                <w:highlight w:val="none"/>
              </w:rPr>
              <w:t>污染物</w:t>
            </w:r>
          </w:p>
        </w:tc>
        <w:tc>
          <w:tcPr>
            <w:tcW w:w="521" w:type="pct"/>
            <w:noWrap w:val="0"/>
            <w:vAlign w:val="center"/>
          </w:tcPr>
          <w:p w14:paraId="78719DA1">
            <w:pPr>
              <w:pStyle w:val="27"/>
              <w:contextualSpacing/>
              <w:rPr>
                <w:rFonts w:ascii="Times New Roman" w:hAnsi="Times New Roman"/>
                <w:highlight w:val="none"/>
              </w:rPr>
            </w:pPr>
            <w:r>
              <w:rPr>
                <w:rFonts w:ascii="Times New Roman" w:hAnsi="Times New Roman"/>
                <w:highlight w:val="none"/>
              </w:rPr>
              <w:t>单位</w:t>
            </w:r>
          </w:p>
        </w:tc>
        <w:tc>
          <w:tcPr>
            <w:tcW w:w="882" w:type="pct"/>
            <w:noWrap w:val="0"/>
            <w:vAlign w:val="center"/>
          </w:tcPr>
          <w:p w14:paraId="79CA5388">
            <w:pPr>
              <w:pStyle w:val="27"/>
              <w:contextualSpacing/>
              <w:rPr>
                <w:rFonts w:ascii="Times New Roman" w:hAnsi="Times New Roman"/>
                <w:highlight w:val="none"/>
              </w:rPr>
            </w:pPr>
            <w:r>
              <w:rPr>
                <w:rFonts w:ascii="Times New Roman" w:hAnsi="Times New Roman"/>
                <w:highlight w:val="none"/>
              </w:rPr>
              <w:t>标准限值</w:t>
            </w:r>
          </w:p>
        </w:tc>
        <w:tc>
          <w:tcPr>
            <w:tcW w:w="1916" w:type="pct"/>
            <w:noWrap w:val="0"/>
            <w:vAlign w:val="center"/>
          </w:tcPr>
          <w:p w14:paraId="6232659C">
            <w:pPr>
              <w:pStyle w:val="27"/>
              <w:textAlignment w:val="center"/>
              <w:rPr>
                <w:rFonts w:ascii="Times New Roman" w:hAnsi="Times New Roman"/>
                <w:b/>
                <w:bCs/>
                <w:highlight w:val="none"/>
              </w:rPr>
            </w:pPr>
            <w:r>
              <w:rPr>
                <w:rFonts w:ascii="Times New Roman" w:hAnsi="Times New Roman"/>
                <w:highlight w:val="none"/>
              </w:rPr>
              <w:t>标准来源</w:t>
            </w:r>
          </w:p>
        </w:tc>
      </w:tr>
      <w:tr w14:paraId="57E2F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2" w:hRule="atLeast"/>
          <w:tblHeader/>
          <w:jc w:val="center"/>
        </w:trPr>
        <w:tc>
          <w:tcPr>
            <w:tcW w:w="804" w:type="pct"/>
            <w:vMerge w:val="restart"/>
            <w:noWrap w:val="0"/>
            <w:vAlign w:val="center"/>
          </w:tcPr>
          <w:p w14:paraId="0C1EC4AD">
            <w:pPr>
              <w:pStyle w:val="27"/>
              <w:contextualSpacing/>
              <w:rPr>
                <w:rFonts w:hint="default" w:ascii="Times New Roman" w:hAnsi="Times New Roman"/>
                <w:highlight w:val="none"/>
                <w:lang w:val="en-US"/>
              </w:rPr>
            </w:pPr>
            <w:r>
              <w:rPr>
                <w:rFonts w:hint="eastAsia" w:ascii="Times New Roman" w:hAnsi="Times New Roman"/>
                <w:highlight w:val="none"/>
                <w:lang w:val="en-US" w:eastAsia="zh-CN"/>
              </w:rPr>
              <w:t>生活污水</w:t>
            </w:r>
          </w:p>
        </w:tc>
        <w:tc>
          <w:tcPr>
            <w:tcW w:w="876" w:type="pct"/>
            <w:noWrap w:val="0"/>
            <w:vAlign w:val="center"/>
          </w:tcPr>
          <w:p w14:paraId="2699BBB8">
            <w:pPr>
              <w:pStyle w:val="27"/>
              <w:contextualSpacing/>
              <w:rPr>
                <w:rFonts w:ascii="Times New Roman" w:hAnsi="Times New Roman"/>
                <w:highlight w:val="none"/>
              </w:rPr>
            </w:pPr>
            <w:r>
              <w:rPr>
                <w:rFonts w:ascii="Times New Roman" w:hAnsi="Times New Roman"/>
                <w:highlight w:val="none"/>
              </w:rPr>
              <w:t>COD</w:t>
            </w:r>
          </w:p>
        </w:tc>
        <w:tc>
          <w:tcPr>
            <w:tcW w:w="521" w:type="pct"/>
            <w:noWrap w:val="0"/>
            <w:vAlign w:val="center"/>
          </w:tcPr>
          <w:p w14:paraId="492E3576">
            <w:pPr>
              <w:pStyle w:val="27"/>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33FAACCC">
            <w:pPr>
              <w:pStyle w:val="27"/>
              <w:contextualSpacing/>
              <w:rPr>
                <w:rFonts w:ascii="Times New Roman" w:hAnsi="Times New Roman"/>
                <w:highlight w:val="none"/>
              </w:rPr>
            </w:pPr>
            <w:r>
              <w:rPr>
                <w:rFonts w:ascii="Times New Roman" w:hAnsi="Times New Roman"/>
                <w:highlight w:val="none"/>
              </w:rPr>
              <w:t>500</w:t>
            </w:r>
          </w:p>
        </w:tc>
        <w:tc>
          <w:tcPr>
            <w:tcW w:w="1916" w:type="pct"/>
            <w:vMerge w:val="restart"/>
            <w:noWrap w:val="0"/>
            <w:vAlign w:val="center"/>
          </w:tcPr>
          <w:p w14:paraId="2DFB8FC4">
            <w:pPr>
              <w:pStyle w:val="27"/>
              <w:textAlignment w:val="center"/>
              <w:rPr>
                <w:rFonts w:ascii="Times New Roman" w:hAnsi="Times New Roman"/>
                <w:highlight w:val="none"/>
              </w:rPr>
            </w:pPr>
            <w:r>
              <w:rPr>
                <w:rFonts w:ascii="Times New Roman" w:hAnsi="Times New Roman"/>
                <w:highlight w:val="none"/>
              </w:rPr>
              <w:t>《污水综合排放标准》（GB8978-1996）三级标准</w:t>
            </w:r>
          </w:p>
        </w:tc>
      </w:tr>
      <w:tr w14:paraId="196FD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tblHeader/>
          <w:jc w:val="center"/>
        </w:trPr>
        <w:tc>
          <w:tcPr>
            <w:tcW w:w="804" w:type="pct"/>
            <w:vMerge w:val="continue"/>
            <w:noWrap w:val="0"/>
            <w:vAlign w:val="center"/>
          </w:tcPr>
          <w:p w14:paraId="0E3CAC1C">
            <w:pPr>
              <w:pStyle w:val="27"/>
              <w:contextualSpacing/>
              <w:rPr>
                <w:rFonts w:ascii="Times New Roman" w:hAnsi="Times New Roman"/>
                <w:highlight w:val="none"/>
              </w:rPr>
            </w:pPr>
          </w:p>
        </w:tc>
        <w:tc>
          <w:tcPr>
            <w:tcW w:w="876" w:type="pct"/>
            <w:noWrap w:val="0"/>
            <w:vAlign w:val="center"/>
          </w:tcPr>
          <w:p w14:paraId="64AD07FC">
            <w:pPr>
              <w:pStyle w:val="27"/>
              <w:contextualSpacing/>
              <w:rPr>
                <w:rFonts w:ascii="Times New Roman" w:hAnsi="Times New Roman"/>
                <w:highlight w:val="none"/>
              </w:rPr>
            </w:pPr>
            <w:r>
              <w:rPr>
                <w:rFonts w:ascii="Times New Roman" w:hAnsi="Times New Roman"/>
                <w:highlight w:val="none"/>
              </w:rPr>
              <w:t>BOD</w:t>
            </w:r>
            <w:r>
              <w:rPr>
                <w:rFonts w:ascii="Times New Roman" w:hAnsi="Times New Roman"/>
                <w:highlight w:val="none"/>
                <w:vertAlign w:val="subscript"/>
              </w:rPr>
              <w:t>5</w:t>
            </w:r>
          </w:p>
        </w:tc>
        <w:tc>
          <w:tcPr>
            <w:tcW w:w="521" w:type="pct"/>
            <w:noWrap w:val="0"/>
            <w:vAlign w:val="top"/>
          </w:tcPr>
          <w:p w14:paraId="46A6D5DB">
            <w:pPr>
              <w:pStyle w:val="27"/>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6BA50D69">
            <w:pPr>
              <w:pStyle w:val="27"/>
              <w:contextualSpacing/>
              <w:rPr>
                <w:rFonts w:ascii="Times New Roman" w:hAnsi="Times New Roman"/>
                <w:highlight w:val="none"/>
              </w:rPr>
            </w:pPr>
            <w:r>
              <w:rPr>
                <w:rFonts w:ascii="Times New Roman" w:hAnsi="Times New Roman"/>
                <w:highlight w:val="none"/>
              </w:rPr>
              <w:t>300</w:t>
            </w:r>
          </w:p>
        </w:tc>
        <w:tc>
          <w:tcPr>
            <w:tcW w:w="1916" w:type="pct"/>
            <w:vMerge w:val="continue"/>
            <w:noWrap w:val="0"/>
            <w:vAlign w:val="center"/>
          </w:tcPr>
          <w:p w14:paraId="5EDFCA43">
            <w:pPr>
              <w:pStyle w:val="27"/>
              <w:textAlignment w:val="center"/>
              <w:rPr>
                <w:rFonts w:ascii="Times New Roman" w:hAnsi="Times New Roman"/>
                <w:highlight w:val="none"/>
              </w:rPr>
            </w:pPr>
          </w:p>
        </w:tc>
      </w:tr>
      <w:tr w14:paraId="69BD58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804" w:type="pct"/>
            <w:vMerge w:val="continue"/>
            <w:noWrap w:val="0"/>
            <w:vAlign w:val="center"/>
          </w:tcPr>
          <w:p w14:paraId="67B05E3F">
            <w:pPr>
              <w:pStyle w:val="27"/>
              <w:contextualSpacing/>
              <w:rPr>
                <w:rFonts w:ascii="Times New Roman" w:hAnsi="Times New Roman"/>
                <w:highlight w:val="none"/>
              </w:rPr>
            </w:pPr>
          </w:p>
        </w:tc>
        <w:tc>
          <w:tcPr>
            <w:tcW w:w="876" w:type="pct"/>
            <w:noWrap w:val="0"/>
            <w:vAlign w:val="center"/>
          </w:tcPr>
          <w:p w14:paraId="2A6335AB">
            <w:pPr>
              <w:pStyle w:val="27"/>
              <w:contextualSpacing/>
              <w:rPr>
                <w:rFonts w:ascii="Times New Roman" w:hAnsi="Times New Roman"/>
                <w:highlight w:val="none"/>
              </w:rPr>
            </w:pPr>
            <w:r>
              <w:rPr>
                <w:rFonts w:ascii="Times New Roman" w:hAnsi="Times New Roman"/>
                <w:highlight w:val="none"/>
              </w:rPr>
              <w:t>NH</w:t>
            </w:r>
            <w:r>
              <w:rPr>
                <w:rFonts w:ascii="Times New Roman" w:hAnsi="Times New Roman"/>
                <w:highlight w:val="none"/>
                <w:vertAlign w:val="subscript"/>
              </w:rPr>
              <w:t>3</w:t>
            </w:r>
            <w:r>
              <w:rPr>
                <w:rFonts w:ascii="Times New Roman" w:hAnsi="Times New Roman"/>
                <w:highlight w:val="none"/>
              </w:rPr>
              <w:t>-N</w:t>
            </w:r>
          </w:p>
        </w:tc>
        <w:tc>
          <w:tcPr>
            <w:tcW w:w="521" w:type="pct"/>
            <w:noWrap w:val="0"/>
            <w:vAlign w:val="top"/>
          </w:tcPr>
          <w:p w14:paraId="17975F15">
            <w:pPr>
              <w:pStyle w:val="27"/>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553BB2D6">
            <w:pPr>
              <w:pStyle w:val="27"/>
              <w:contextualSpacing/>
              <w:rPr>
                <w:rFonts w:ascii="Times New Roman" w:hAnsi="Times New Roman"/>
                <w:highlight w:val="none"/>
              </w:rPr>
            </w:pPr>
            <w:r>
              <w:rPr>
                <w:rFonts w:ascii="Times New Roman" w:hAnsi="Times New Roman"/>
                <w:highlight w:val="none"/>
              </w:rPr>
              <w:t>-</w:t>
            </w:r>
          </w:p>
        </w:tc>
        <w:tc>
          <w:tcPr>
            <w:tcW w:w="1916" w:type="pct"/>
            <w:vMerge w:val="continue"/>
            <w:noWrap w:val="0"/>
            <w:vAlign w:val="center"/>
          </w:tcPr>
          <w:p w14:paraId="76883678">
            <w:pPr>
              <w:pStyle w:val="27"/>
              <w:textAlignment w:val="center"/>
              <w:rPr>
                <w:rFonts w:ascii="Times New Roman" w:hAnsi="Times New Roman"/>
                <w:highlight w:val="none"/>
              </w:rPr>
            </w:pPr>
          </w:p>
        </w:tc>
      </w:tr>
      <w:tr w14:paraId="62AA2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804" w:type="pct"/>
            <w:vMerge w:val="continue"/>
            <w:noWrap w:val="0"/>
            <w:vAlign w:val="center"/>
          </w:tcPr>
          <w:p w14:paraId="6F9DDDFA">
            <w:pPr>
              <w:pStyle w:val="27"/>
              <w:contextualSpacing/>
              <w:rPr>
                <w:rFonts w:ascii="Times New Roman" w:hAnsi="Times New Roman"/>
                <w:highlight w:val="none"/>
              </w:rPr>
            </w:pPr>
          </w:p>
        </w:tc>
        <w:tc>
          <w:tcPr>
            <w:tcW w:w="876" w:type="pct"/>
            <w:noWrap w:val="0"/>
            <w:vAlign w:val="center"/>
          </w:tcPr>
          <w:p w14:paraId="3D445CBD">
            <w:pPr>
              <w:pStyle w:val="27"/>
              <w:contextualSpacing/>
              <w:rPr>
                <w:rFonts w:ascii="Times New Roman" w:hAnsi="Times New Roman"/>
                <w:highlight w:val="none"/>
              </w:rPr>
            </w:pPr>
            <w:r>
              <w:rPr>
                <w:rFonts w:ascii="Times New Roman" w:hAnsi="Times New Roman"/>
                <w:highlight w:val="none"/>
              </w:rPr>
              <w:t>SS</w:t>
            </w:r>
          </w:p>
        </w:tc>
        <w:tc>
          <w:tcPr>
            <w:tcW w:w="521" w:type="pct"/>
            <w:noWrap w:val="0"/>
            <w:vAlign w:val="top"/>
          </w:tcPr>
          <w:p w14:paraId="6D6700BC">
            <w:pPr>
              <w:pStyle w:val="27"/>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72E66554">
            <w:pPr>
              <w:pStyle w:val="27"/>
              <w:contextualSpacing/>
              <w:rPr>
                <w:rFonts w:ascii="Times New Roman" w:hAnsi="Times New Roman"/>
                <w:highlight w:val="none"/>
              </w:rPr>
            </w:pPr>
            <w:r>
              <w:rPr>
                <w:rFonts w:ascii="Times New Roman" w:hAnsi="Times New Roman"/>
                <w:highlight w:val="none"/>
              </w:rPr>
              <w:t>400</w:t>
            </w:r>
          </w:p>
        </w:tc>
        <w:tc>
          <w:tcPr>
            <w:tcW w:w="1916" w:type="pct"/>
            <w:vMerge w:val="continue"/>
            <w:noWrap w:val="0"/>
            <w:vAlign w:val="center"/>
          </w:tcPr>
          <w:p w14:paraId="539028F2">
            <w:pPr>
              <w:pStyle w:val="27"/>
              <w:textAlignment w:val="center"/>
              <w:rPr>
                <w:rFonts w:ascii="Times New Roman" w:hAnsi="Times New Roman"/>
                <w:highlight w:val="none"/>
              </w:rPr>
            </w:pPr>
          </w:p>
        </w:tc>
      </w:tr>
      <w:tr w14:paraId="59D70D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804" w:type="pct"/>
            <w:vMerge w:val="restart"/>
            <w:noWrap w:val="0"/>
            <w:vAlign w:val="center"/>
          </w:tcPr>
          <w:p w14:paraId="1208443E">
            <w:pPr>
              <w:pStyle w:val="27"/>
              <w:contextualSpacing/>
              <w:rPr>
                <w:rFonts w:hint="eastAsia" w:ascii="Times New Roman" w:hAnsi="Times New Roman" w:eastAsia="新宋体"/>
                <w:highlight w:val="none"/>
                <w:lang w:val="en-US" w:eastAsia="zh-CN"/>
              </w:rPr>
            </w:pPr>
            <w:r>
              <w:rPr>
                <w:rFonts w:hint="eastAsia" w:ascii="Times New Roman" w:hAnsi="Times New Roman"/>
                <w:highlight w:val="none"/>
                <w:lang w:val="en-US" w:eastAsia="zh-CN"/>
              </w:rPr>
              <w:t>脱硫废水</w:t>
            </w:r>
          </w:p>
        </w:tc>
        <w:tc>
          <w:tcPr>
            <w:tcW w:w="876" w:type="pct"/>
            <w:noWrap w:val="0"/>
            <w:vAlign w:val="center"/>
          </w:tcPr>
          <w:p w14:paraId="5F74DA99">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总镉</w:t>
            </w:r>
          </w:p>
        </w:tc>
        <w:tc>
          <w:tcPr>
            <w:tcW w:w="888" w:type="dxa"/>
            <w:noWrap w:val="0"/>
            <w:vAlign w:val="center"/>
          </w:tcPr>
          <w:p w14:paraId="751D89AA">
            <w:pPr>
              <w:pStyle w:val="27"/>
              <w:ind w:firstLine="0" w:firstLineChars="0"/>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68C12087">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0.1</w:t>
            </w:r>
          </w:p>
        </w:tc>
        <w:tc>
          <w:tcPr>
            <w:tcW w:w="1916" w:type="pct"/>
            <w:vMerge w:val="restart"/>
            <w:noWrap w:val="0"/>
            <w:vAlign w:val="center"/>
          </w:tcPr>
          <w:p w14:paraId="5D31BFB1">
            <w:pPr>
              <w:pStyle w:val="27"/>
              <w:textAlignment w:val="center"/>
              <w:rPr>
                <w:rFonts w:ascii="Times New Roman" w:hAnsi="Times New Roman"/>
                <w:highlight w:val="none"/>
              </w:rPr>
            </w:pPr>
            <w:r>
              <w:rPr>
                <w:rFonts w:hint="eastAsia" w:ascii="Times New Roman" w:hAnsi="Times New Roman"/>
                <w:highlight w:val="none"/>
                <w:lang w:val="en-US"/>
              </w:rPr>
              <w:t>《污水综合排放排放标准》中表1标准</w:t>
            </w:r>
          </w:p>
        </w:tc>
      </w:tr>
      <w:tr w14:paraId="0A8346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804" w:type="pct"/>
            <w:vMerge w:val="continue"/>
            <w:noWrap w:val="0"/>
            <w:vAlign w:val="center"/>
          </w:tcPr>
          <w:p w14:paraId="2584BF6A">
            <w:pPr>
              <w:pStyle w:val="27"/>
              <w:contextualSpacing/>
              <w:rPr>
                <w:rFonts w:ascii="Times New Roman" w:hAnsi="Times New Roman"/>
                <w:highlight w:val="none"/>
              </w:rPr>
            </w:pPr>
          </w:p>
        </w:tc>
        <w:tc>
          <w:tcPr>
            <w:tcW w:w="876" w:type="pct"/>
            <w:noWrap w:val="0"/>
            <w:vAlign w:val="center"/>
          </w:tcPr>
          <w:p w14:paraId="5515B44F">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总铬</w:t>
            </w:r>
          </w:p>
        </w:tc>
        <w:tc>
          <w:tcPr>
            <w:tcW w:w="888" w:type="dxa"/>
            <w:noWrap w:val="0"/>
            <w:vAlign w:val="top"/>
          </w:tcPr>
          <w:p w14:paraId="742F037A">
            <w:pPr>
              <w:pStyle w:val="27"/>
              <w:ind w:firstLine="0" w:firstLineChars="0"/>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5C5F6BD9">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1.5</w:t>
            </w:r>
          </w:p>
        </w:tc>
        <w:tc>
          <w:tcPr>
            <w:tcW w:w="1916" w:type="pct"/>
            <w:vMerge w:val="continue"/>
            <w:noWrap w:val="0"/>
            <w:vAlign w:val="center"/>
          </w:tcPr>
          <w:p w14:paraId="7347A4EE">
            <w:pPr>
              <w:pStyle w:val="27"/>
              <w:textAlignment w:val="center"/>
              <w:rPr>
                <w:rFonts w:ascii="Times New Roman" w:hAnsi="Times New Roman"/>
                <w:highlight w:val="none"/>
              </w:rPr>
            </w:pPr>
          </w:p>
        </w:tc>
      </w:tr>
      <w:tr w14:paraId="4B8DF1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804" w:type="pct"/>
            <w:vMerge w:val="continue"/>
            <w:noWrap w:val="0"/>
            <w:vAlign w:val="center"/>
          </w:tcPr>
          <w:p w14:paraId="200C7000">
            <w:pPr>
              <w:pStyle w:val="27"/>
              <w:contextualSpacing/>
              <w:rPr>
                <w:rFonts w:ascii="Times New Roman" w:hAnsi="Times New Roman"/>
                <w:highlight w:val="none"/>
              </w:rPr>
            </w:pPr>
          </w:p>
        </w:tc>
        <w:tc>
          <w:tcPr>
            <w:tcW w:w="876" w:type="pct"/>
            <w:noWrap w:val="0"/>
            <w:vAlign w:val="center"/>
          </w:tcPr>
          <w:p w14:paraId="7215DB43">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总汞</w:t>
            </w:r>
          </w:p>
        </w:tc>
        <w:tc>
          <w:tcPr>
            <w:tcW w:w="888" w:type="dxa"/>
            <w:noWrap w:val="0"/>
            <w:vAlign w:val="top"/>
          </w:tcPr>
          <w:p w14:paraId="1DD08643">
            <w:pPr>
              <w:pStyle w:val="27"/>
              <w:ind w:firstLine="0" w:firstLineChars="0"/>
              <w:contextualSpacing/>
              <w:rPr>
                <w:rFonts w:ascii="Times New Roman" w:hAnsi="Times New Roman"/>
                <w:highlight w:val="none"/>
              </w:rPr>
            </w:pPr>
            <w:r>
              <w:rPr>
                <w:rFonts w:ascii="Times New Roman" w:hAnsi="Times New Roman"/>
                <w:highlight w:val="none"/>
              </w:rPr>
              <w:t>mg/L</w:t>
            </w:r>
          </w:p>
        </w:tc>
        <w:tc>
          <w:tcPr>
            <w:tcW w:w="882" w:type="pct"/>
            <w:noWrap w:val="0"/>
            <w:vAlign w:val="center"/>
          </w:tcPr>
          <w:p w14:paraId="627639BF">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0.05</w:t>
            </w:r>
          </w:p>
        </w:tc>
        <w:tc>
          <w:tcPr>
            <w:tcW w:w="1916" w:type="pct"/>
            <w:vMerge w:val="continue"/>
            <w:noWrap w:val="0"/>
            <w:vAlign w:val="center"/>
          </w:tcPr>
          <w:p w14:paraId="42A8B8A6">
            <w:pPr>
              <w:pStyle w:val="27"/>
              <w:textAlignment w:val="center"/>
              <w:rPr>
                <w:rFonts w:ascii="Times New Roman" w:hAnsi="Times New Roman"/>
                <w:highlight w:val="none"/>
              </w:rPr>
            </w:pPr>
          </w:p>
        </w:tc>
      </w:tr>
    </w:tbl>
    <w:p w14:paraId="428C862A">
      <w:pPr>
        <w:ind w:firstLine="480"/>
        <w:rPr>
          <w:rFonts w:ascii="Times New Roman" w:hAnsi="Times New Roman"/>
          <w:highlight w:val="none"/>
        </w:rPr>
      </w:pPr>
      <w:r>
        <w:rPr>
          <w:rFonts w:ascii="Times New Roman" w:hAnsi="Times New Roman"/>
          <w:highlight w:val="none"/>
        </w:rPr>
        <w:t>3、噪声排放标准</w:t>
      </w:r>
    </w:p>
    <w:p w14:paraId="309698C0">
      <w:pPr>
        <w:ind w:firstLine="480"/>
        <w:rPr>
          <w:rFonts w:ascii="Times New Roman" w:hAnsi="Times New Roman"/>
          <w:highlight w:val="none"/>
        </w:rPr>
      </w:pPr>
      <w:r>
        <w:rPr>
          <w:rFonts w:ascii="Times New Roman" w:hAnsi="Times New Roman"/>
          <w:highlight w:val="none"/>
        </w:rPr>
        <w:t>本次评价厂界噪声执行《工业企业厂界环境噪声排放标准》（GB12348-2008）表1中的</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标准。施工期执行《建筑施工场界环境噪声排放标准》（GB12523-2011）。具体标准值见表2.3-1</w:t>
      </w:r>
      <w:r>
        <w:rPr>
          <w:rFonts w:hint="eastAsia" w:ascii="Times New Roman" w:hAnsi="Times New Roman"/>
          <w:highlight w:val="none"/>
        </w:rPr>
        <w:t>1</w:t>
      </w:r>
      <w:r>
        <w:rPr>
          <w:rFonts w:ascii="Times New Roman" w:hAnsi="Times New Roman"/>
          <w:highlight w:val="none"/>
        </w:rPr>
        <w:t>。</w:t>
      </w:r>
    </w:p>
    <w:p w14:paraId="7487CF76">
      <w:pPr>
        <w:keepNext w:val="0"/>
        <w:keepLines w:val="0"/>
        <w:pageBreakBefore w:val="0"/>
        <w:widowControl w:val="0"/>
        <w:kinsoku/>
        <w:wordWrap/>
        <w:overflowPunct/>
        <w:topLinePunct w:val="0"/>
        <w:bidi w:val="0"/>
        <w:snapToGrid/>
        <w:spacing w:line="480" w:lineRule="exact"/>
        <w:jc w:val="center"/>
        <w:textAlignment w:val="auto"/>
        <w:rPr>
          <w:rFonts w:ascii="Times New Roman" w:hAnsi="Times New Roman"/>
          <w:highlight w:val="none"/>
        </w:rPr>
      </w:pPr>
      <w:r>
        <w:rPr>
          <w:rFonts w:hint="default" w:ascii="Times New Roman" w:hAnsi="Times New Roman" w:eastAsia="黑体" w:cs="Times New Roman"/>
          <w:color w:val="auto"/>
          <w:spacing w:val="0"/>
          <w:sz w:val="24"/>
          <w:szCs w:val="24"/>
          <w:highlight w:val="none"/>
        </w:rPr>
        <w:t>表2.3-1</w:t>
      </w:r>
      <w:r>
        <w:rPr>
          <w:rFonts w:hint="eastAsia" w:ascii="Times New Roman" w:hAnsi="Times New Roman" w:eastAsia="黑体" w:cs="Times New Roman"/>
          <w:color w:val="auto"/>
          <w:spacing w:val="0"/>
          <w:sz w:val="24"/>
          <w:szCs w:val="24"/>
          <w:highlight w:val="none"/>
        </w:rPr>
        <w:t>1</w:t>
      </w:r>
      <w:r>
        <w:rPr>
          <w:rFonts w:hint="default" w:ascii="Times New Roman" w:hAnsi="Times New Roman" w:eastAsia="黑体" w:cs="Times New Roman"/>
          <w:color w:val="auto"/>
          <w:spacing w:val="0"/>
          <w:sz w:val="24"/>
          <w:szCs w:val="24"/>
          <w:highlight w:val="none"/>
        </w:rPr>
        <w:t>噪声排放标准值</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768"/>
        <w:gridCol w:w="1110"/>
        <w:gridCol w:w="914"/>
        <w:gridCol w:w="851"/>
        <w:gridCol w:w="3879"/>
      </w:tblGrid>
      <w:tr w14:paraId="60FB20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21" w:hRule="atLeast"/>
          <w:jc w:val="center"/>
        </w:trPr>
        <w:tc>
          <w:tcPr>
            <w:tcW w:w="1037" w:type="pct"/>
            <w:vMerge w:val="restart"/>
            <w:noWrap w:val="0"/>
            <w:vAlign w:val="center"/>
          </w:tcPr>
          <w:p w14:paraId="3CB2F21C">
            <w:pPr>
              <w:pStyle w:val="27"/>
              <w:rPr>
                <w:rFonts w:ascii="Times New Roman" w:hAnsi="Times New Roman"/>
                <w:highlight w:val="none"/>
              </w:rPr>
            </w:pPr>
            <w:r>
              <w:rPr>
                <w:rFonts w:ascii="Times New Roman" w:hAnsi="Times New Roman"/>
                <w:highlight w:val="none"/>
              </w:rPr>
              <w:t>对象</w:t>
            </w:r>
          </w:p>
        </w:tc>
        <w:tc>
          <w:tcPr>
            <w:tcW w:w="651" w:type="pct"/>
            <w:vMerge w:val="restart"/>
            <w:noWrap w:val="0"/>
            <w:vAlign w:val="center"/>
          </w:tcPr>
          <w:p w14:paraId="51D51432">
            <w:pPr>
              <w:pStyle w:val="27"/>
              <w:rPr>
                <w:rFonts w:ascii="Times New Roman" w:hAnsi="Times New Roman"/>
                <w:highlight w:val="none"/>
              </w:rPr>
            </w:pPr>
            <w:r>
              <w:rPr>
                <w:rFonts w:ascii="Times New Roman" w:hAnsi="Times New Roman"/>
                <w:highlight w:val="none"/>
              </w:rPr>
              <w:t>单位</w:t>
            </w:r>
          </w:p>
        </w:tc>
        <w:tc>
          <w:tcPr>
            <w:tcW w:w="1035" w:type="pct"/>
            <w:gridSpan w:val="2"/>
            <w:noWrap w:val="0"/>
            <w:vAlign w:val="center"/>
          </w:tcPr>
          <w:p w14:paraId="52B9EA36">
            <w:pPr>
              <w:pStyle w:val="27"/>
              <w:rPr>
                <w:rFonts w:ascii="Times New Roman" w:hAnsi="Times New Roman"/>
                <w:highlight w:val="none"/>
              </w:rPr>
            </w:pPr>
            <w:r>
              <w:rPr>
                <w:rFonts w:ascii="Times New Roman" w:hAnsi="Times New Roman"/>
                <w:highlight w:val="none"/>
              </w:rPr>
              <w:t>标准限值</w:t>
            </w:r>
          </w:p>
        </w:tc>
        <w:tc>
          <w:tcPr>
            <w:tcW w:w="2275" w:type="pct"/>
            <w:vMerge w:val="restart"/>
            <w:noWrap w:val="0"/>
            <w:vAlign w:val="center"/>
          </w:tcPr>
          <w:p w14:paraId="3433E2A7">
            <w:pPr>
              <w:pStyle w:val="27"/>
              <w:rPr>
                <w:rFonts w:ascii="Times New Roman" w:hAnsi="Times New Roman"/>
                <w:highlight w:val="none"/>
              </w:rPr>
            </w:pPr>
            <w:r>
              <w:rPr>
                <w:rFonts w:ascii="Times New Roman" w:hAnsi="Times New Roman"/>
                <w:highlight w:val="none"/>
              </w:rPr>
              <w:t>标准来源</w:t>
            </w:r>
          </w:p>
        </w:tc>
      </w:tr>
      <w:tr w14:paraId="40BB86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 w:hRule="atLeast"/>
          <w:jc w:val="center"/>
        </w:trPr>
        <w:tc>
          <w:tcPr>
            <w:tcW w:w="1037" w:type="pct"/>
            <w:vMerge w:val="continue"/>
            <w:noWrap w:val="0"/>
            <w:vAlign w:val="center"/>
          </w:tcPr>
          <w:p w14:paraId="2537ABB8">
            <w:pPr>
              <w:pStyle w:val="27"/>
              <w:rPr>
                <w:rFonts w:ascii="Times New Roman" w:hAnsi="Times New Roman"/>
                <w:highlight w:val="none"/>
              </w:rPr>
            </w:pPr>
          </w:p>
        </w:tc>
        <w:tc>
          <w:tcPr>
            <w:tcW w:w="651" w:type="pct"/>
            <w:vMerge w:val="continue"/>
            <w:noWrap w:val="0"/>
            <w:vAlign w:val="center"/>
          </w:tcPr>
          <w:p w14:paraId="78D0D00D">
            <w:pPr>
              <w:pStyle w:val="27"/>
              <w:rPr>
                <w:rFonts w:ascii="Times New Roman" w:hAnsi="Times New Roman"/>
                <w:highlight w:val="none"/>
              </w:rPr>
            </w:pPr>
          </w:p>
        </w:tc>
        <w:tc>
          <w:tcPr>
            <w:tcW w:w="536" w:type="pct"/>
            <w:noWrap w:val="0"/>
            <w:vAlign w:val="center"/>
          </w:tcPr>
          <w:p w14:paraId="465144E6">
            <w:pPr>
              <w:pStyle w:val="27"/>
              <w:rPr>
                <w:rFonts w:ascii="Times New Roman" w:hAnsi="Times New Roman"/>
                <w:highlight w:val="none"/>
              </w:rPr>
            </w:pPr>
            <w:r>
              <w:rPr>
                <w:rFonts w:ascii="Times New Roman" w:hAnsi="Times New Roman"/>
                <w:highlight w:val="none"/>
              </w:rPr>
              <w:t>昼间</w:t>
            </w:r>
          </w:p>
        </w:tc>
        <w:tc>
          <w:tcPr>
            <w:tcW w:w="499" w:type="pct"/>
            <w:noWrap w:val="0"/>
            <w:vAlign w:val="center"/>
          </w:tcPr>
          <w:p w14:paraId="7A2CDFCC">
            <w:pPr>
              <w:pStyle w:val="27"/>
              <w:rPr>
                <w:rFonts w:ascii="Times New Roman" w:hAnsi="Times New Roman"/>
                <w:highlight w:val="none"/>
              </w:rPr>
            </w:pPr>
            <w:r>
              <w:rPr>
                <w:rFonts w:ascii="Times New Roman" w:hAnsi="Times New Roman"/>
                <w:highlight w:val="none"/>
              </w:rPr>
              <w:t>夜间</w:t>
            </w:r>
          </w:p>
        </w:tc>
        <w:tc>
          <w:tcPr>
            <w:tcW w:w="2275" w:type="pct"/>
            <w:vMerge w:val="continue"/>
            <w:noWrap w:val="0"/>
            <w:vAlign w:val="center"/>
          </w:tcPr>
          <w:p w14:paraId="3B4FC597">
            <w:pPr>
              <w:pStyle w:val="27"/>
              <w:rPr>
                <w:rFonts w:ascii="Times New Roman" w:hAnsi="Times New Roman"/>
                <w:highlight w:val="none"/>
              </w:rPr>
            </w:pPr>
          </w:p>
        </w:tc>
      </w:tr>
      <w:tr w14:paraId="18D431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1037" w:type="pct"/>
            <w:vMerge w:val="restart"/>
            <w:noWrap w:val="0"/>
            <w:vAlign w:val="center"/>
          </w:tcPr>
          <w:p w14:paraId="76A6ED3B">
            <w:pPr>
              <w:pStyle w:val="27"/>
              <w:rPr>
                <w:rFonts w:ascii="Times New Roman" w:hAnsi="Times New Roman"/>
                <w:highlight w:val="none"/>
              </w:rPr>
            </w:pPr>
            <w:r>
              <w:rPr>
                <w:rFonts w:ascii="Times New Roman" w:hAnsi="Times New Roman"/>
                <w:highlight w:val="none"/>
              </w:rPr>
              <w:t>厂界噪声</w:t>
            </w:r>
          </w:p>
        </w:tc>
        <w:tc>
          <w:tcPr>
            <w:tcW w:w="651" w:type="pct"/>
            <w:vMerge w:val="restart"/>
            <w:noWrap w:val="0"/>
            <w:vAlign w:val="center"/>
          </w:tcPr>
          <w:p w14:paraId="6C8BA720">
            <w:pPr>
              <w:pStyle w:val="27"/>
              <w:rPr>
                <w:rFonts w:ascii="Times New Roman" w:hAnsi="Times New Roman"/>
                <w:highlight w:val="none"/>
              </w:rPr>
            </w:pPr>
            <w:r>
              <w:rPr>
                <w:rFonts w:ascii="Times New Roman" w:hAnsi="Times New Roman"/>
                <w:highlight w:val="none"/>
              </w:rPr>
              <w:t>dB（A）</w:t>
            </w:r>
          </w:p>
        </w:tc>
        <w:tc>
          <w:tcPr>
            <w:tcW w:w="536" w:type="pct"/>
            <w:noWrap w:val="0"/>
            <w:vAlign w:val="center"/>
          </w:tcPr>
          <w:p w14:paraId="1015D9FF">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60</w:t>
            </w:r>
          </w:p>
        </w:tc>
        <w:tc>
          <w:tcPr>
            <w:tcW w:w="499" w:type="pct"/>
            <w:noWrap w:val="0"/>
            <w:vAlign w:val="center"/>
          </w:tcPr>
          <w:p w14:paraId="7FC11D6E">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50</w:t>
            </w:r>
          </w:p>
        </w:tc>
        <w:tc>
          <w:tcPr>
            <w:tcW w:w="2275" w:type="pct"/>
            <w:vMerge w:val="restart"/>
            <w:noWrap w:val="0"/>
            <w:vAlign w:val="center"/>
          </w:tcPr>
          <w:p w14:paraId="3BE925BC">
            <w:pPr>
              <w:pStyle w:val="27"/>
              <w:rPr>
                <w:rFonts w:ascii="Times New Roman" w:hAnsi="Times New Roman"/>
                <w:highlight w:val="none"/>
              </w:rPr>
            </w:pPr>
            <w:r>
              <w:rPr>
                <w:rFonts w:ascii="Times New Roman" w:hAnsi="Times New Roman"/>
                <w:highlight w:val="none"/>
              </w:rPr>
              <w:t>《工业企业厂界环境噪声排放标准》（GB12348-2008）表1中</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p>
        </w:tc>
      </w:tr>
      <w:tr w14:paraId="0B1FD2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1037" w:type="pct"/>
            <w:vMerge w:val="continue"/>
            <w:noWrap w:val="0"/>
            <w:vAlign w:val="center"/>
          </w:tcPr>
          <w:p w14:paraId="40541B1B">
            <w:pPr>
              <w:pStyle w:val="27"/>
              <w:rPr>
                <w:rFonts w:ascii="Times New Roman" w:hAnsi="Times New Roman"/>
                <w:highlight w:val="none"/>
              </w:rPr>
            </w:pPr>
          </w:p>
        </w:tc>
        <w:tc>
          <w:tcPr>
            <w:tcW w:w="651" w:type="pct"/>
            <w:vMerge w:val="continue"/>
            <w:noWrap w:val="0"/>
            <w:vAlign w:val="center"/>
          </w:tcPr>
          <w:p w14:paraId="06021CA1">
            <w:pPr>
              <w:pStyle w:val="27"/>
              <w:rPr>
                <w:rFonts w:ascii="Times New Roman" w:hAnsi="Times New Roman"/>
                <w:highlight w:val="none"/>
              </w:rPr>
            </w:pPr>
          </w:p>
        </w:tc>
        <w:tc>
          <w:tcPr>
            <w:tcW w:w="536" w:type="pct"/>
            <w:noWrap w:val="0"/>
            <w:vAlign w:val="center"/>
          </w:tcPr>
          <w:p w14:paraId="0E414599">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70</w:t>
            </w:r>
          </w:p>
        </w:tc>
        <w:tc>
          <w:tcPr>
            <w:tcW w:w="499" w:type="pct"/>
            <w:noWrap w:val="0"/>
            <w:vAlign w:val="center"/>
          </w:tcPr>
          <w:p w14:paraId="52A6130A">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55</w:t>
            </w:r>
          </w:p>
        </w:tc>
        <w:tc>
          <w:tcPr>
            <w:tcW w:w="2275" w:type="pct"/>
            <w:vMerge w:val="continue"/>
            <w:noWrap w:val="0"/>
            <w:vAlign w:val="center"/>
          </w:tcPr>
          <w:p w14:paraId="7DA851AA">
            <w:pPr>
              <w:pStyle w:val="27"/>
              <w:rPr>
                <w:rFonts w:ascii="Times New Roman" w:hAnsi="Times New Roman"/>
                <w:highlight w:val="none"/>
              </w:rPr>
            </w:pPr>
          </w:p>
        </w:tc>
      </w:tr>
      <w:tr w14:paraId="14E14F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 w:hRule="atLeast"/>
          <w:jc w:val="center"/>
        </w:trPr>
        <w:tc>
          <w:tcPr>
            <w:tcW w:w="1037" w:type="pct"/>
            <w:noWrap w:val="0"/>
            <w:vAlign w:val="center"/>
          </w:tcPr>
          <w:p w14:paraId="0968EC71">
            <w:pPr>
              <w:pStyle w:val="27"/>
              <w:textAlignment w:val="center"/>
              <w:rPr>
                <w:rFonts w:ascii="Times New Roman" w:hAnsi="Times New Roman"/>
                <w:highlight w:val="none"/>
              </w:rPr>
            </w:pPr>
            <w:r>
              <w:rPr>
                <w:rFonts w:ascii="Times New Roman" w:hAnsi="Times New Roman"/>
                <w:highlight w:val="none"/>
              </w:rPr>
              <w:t>施工期厂界噪声</w:t>
            </w:r>
          </w:p>
        </w:tc>
        <w:tc>
          <w:tcPr>
            <w:tcW w:w="651" w:type="pct"/>
            <w:noWrap w:val="0"/>
            <w:vAlign w:val="center"/>
          </w:tcPr>
          <w:p w14:paraId="4B1F7355">
            <w:pPr>
              <w:pStyle w:val="27"/>
              <w:textAlignment w:val="center"/>
              <w:rPr>
                <w:rFonts w:ascii="Times New Roman" w:hAnsi="Times New Roman"/>
                <w:highlight w:val="none"/>
              </w:rPr>
            </w:pPr>
            <w:r>
              <w:rPr>
                <w:rFonts w:ascii="Times New Roman" w:hAnsi="Times New Roman"/>
                <w:highlight w:val="none"/>
              </w:rPr>
              <w:t>dB（A）</w:t>
            </w:r>
          </w:p>
        </w:tc>
        <w:tc>
          <w:tcPr>
            <w:tcW w:w="536" w:type="pct"/>
            <w:noWrap w:val="0"/>
            <w:vAlign w:val="center"/>
          </w:tcPr>
          <w:p w14:paraId="0B8117B4">
            <w:pPr>
              <w:pStyle w:val="27"/>
              <w:textAlignment w:val="center"/>
              <w:rPr>
                <w:rFonts w:ascii="Times New Roman" w:hAnsi="Times New Roman"/>
                <w:highlight w:val="none"/>
              </w:rPr>
            </w:pPr>
            <w:r>
              <w:rPr>
                <w:rFonts w:ascii="Times New Roman" w:hAnsi="Times New Roman"/>
                <w:highlight w:val="none"/>
              </w:rPr>
              <w:t>70</w:t>
            </w:r>
          </w:p>
        </w:tc>
        <w:tc>
          <w:tcPr>
            <w:tcW w:w="499" w:type="pct"/>
            <w:noWrap w:val="0"/>
            <w:vAlign w:val="center"/>
          </w:tcPr>
          <w:p w14:paraId="03222980">
            <w:pPr>
              <w:pStyle w:val="27"/>
              <w:textAlignment w:val="center"/>
              <w:rPr>
                <w:rFonts w:ascii="Times New Roman" w:hAnsi="Times New Roman"/>
                <w:highlight w:val="none"/>
              </w:rPr>
            </w:pPr>
            <w:r>
              <w:rPr>
                <w:rFonts w:ascii="Times New Roman" w:hAnsi="Times New Roman"/>
                <w:highlight w:val="none"/>
              </w:rPr>
              <w:t>55</w:t>
            </w:r>
          </w:p>
        </w:tc>
        <w:tc>
          <w:tcPr>
            <w:tcW w:w="2275" w:type="pct"/>
            <w:noWrap w:val="0"/>
            <w:vAlign w:val="center"/>
          </w:tcPr>
          <w:p w14:paraId="19C594D2">
            <w:pPr>
              <w:pStyle w:val="27"/>
              <w:textAlignment w:val="center"/>
              <w:rPr>
                <w:rFonts w:ascii="Times New Roman" w:hAnsi="Times New Roman"/>
                <w:highlight w:val="none"/>
              </w:rPr>
            </w:pPr>
            <w:r>
              <w:rPr>
                <w:rFonts w:ascii="Times New Roman" w:hAnsi="Times New Roman"/>
                <w:highlight w:val="none"/>
              </w:rPr>
              <w:t>《建筑施工场界环境噪声排放标准》（GB12523-2011）</w:t>
            </w:r>
          </w:p>
        </w:tc>
      </w:tr>
    </w:tbl>
    <w:p w14:paraId="35A43727">
      <w:pPr>
        <w:ind w:firstLine="480"/>
        <w:rPr>
          <w:rFonts w:ascii="Times New Roman" w:hAnsi="Times New Roman"/>
          <w:highlight w:val="none"/>
        </w:rPr>
      </w:pPr>
      <w:r>
        <w:rPr>
          <w:rFonts w:ascii="Times New Roman" w:hAnsi="Times New Roman"/>
          <w:highlight w:val="none"/>
        </w:rPr>
        <w:t>4、固体废物排放标准</w:t>
      </w:r>
    </w:p>
    <w:p w14:paraId="48BE0C91">
      <w:pPr>
        <w:ind w:firstLine="480"/>
        <w:rPr>
          <w:rFonts w:ascii="Times New Roman" w:hAnsi="Times New Roman"/>
          <w:highlight w:val="none"/>
        </w:rPr>
      </w:pPr>
      <w:r>
        <w:rPr>
          <w:rFonts w:ascii="Times New Roman" w:hAnsi="Times New Roman"/>
          <w:highlight w:val="none"/>
        </w:rPr>
        <w:t>本项目所排放的固体废物应执行《一般工业固体废物贮存和填埋控制标准》（GB 18599-2020）</w:t>
      </w:r>
      <w:r>
        <w:rPr>
          <w:rFonts w:hint="eastAsia" w:ascii="Times New Roman" w:hAnsi="Times New Roman"/>
          <w:highlight w:val="none"/>
        </w:rPr>
        <w:t>、</w:t>
      </w:r>
      <w:r>
        <w:rPr>
          <w:rFonts w:hint="eastAsia" w:ascii="Times New Roman" w:hAnsi="Times New Roman"/>
          <w:highlight w:val="none"/>
          <w:lang w:eastAsia="zh-CN"/>
        </w:rPr>
        <w:t>《固体废物分类与代码目录》</w:t>
      </w:r>
      <w:r>
        <w:rPr>
          <w:rFonts w:hint="eastAsia" w:ascii="Times New Roman" w:hAnsi="Times New Roman"/>
          <w:highlight w:val="none"/>
        </w:rPr>
        <w:t>（2024年1月22日）</w:t>
      </w:r>
      <w:r>
        <w:rPr>
          <w:rFonts w:ascii="Times New Roman" w:hAnsi="Times New Roman"/>
          <w:highlight w:val="none"/>
        </w:rPr>
        <w:t>及《危险废物贮存污染控制标准》（</w:t>
      </w:r>
      <w:r>
        <w:rPr>
          <w:rFonts w:hint="eastAsia" w:ascii="Times New Roman" w:hAnsi="Times New Roman"/>
          <w:highlight w:val="none"/>
          <w:lang w:eastAsia="zh-CN"/>
        </w:rPr>
        <w:t>GB18597-2023</w:t>
      </w:r>
      <w:r>
        <w:rPr>
          <w:rFonts w:ascii="Times New Roman" w:hAnsi="Times New Roman"/>
          <w:highlight w:val="none"/>
        </w:rPr>
        <w:t>）。</w:t>
      </w:r>
    </w:p>
    <w:p w14:paraId="2C188330">
      <w:pPr>
        <w:pStyle w:val="4"/>
        <w:bidi w:val="0"/>
        <w:ind w:left="0" w:leftChars="0" w:firstLine="0" w:firstLineChars="0"/>
        <w:rPr>
          <w:rFonts w:hint="eastAsia"/>
          <w:highlight w:val="none"/>
          <w:lang w:val="en-US" w:eastAsia="zh-CN"/>
        </w:rPr>
      </w:pPr>
      <w:bookmarkStart w:id="45" w:name="_Toc2734"/>
      <w:r>
        <w:rPr>
          <w:rFonts w:hint="default" w:ascii="Times New Roman" w:hAnsi="Times New Roman" w:cs="Times New Roman"/>
          <w:highlight w:val="none"/>
          <w:lang w:val="en-US" w:eastAsia="zh-CN"/>
        </w:rPr>
        <w:t>2.4</w:t>
      </w:r>
      <w:r>
        <w:rPr>
          <w:rFonts w:hint="eastAsia"/>
          <w:highlight w:val="none"/>
          <w:lang w:val="en-US" w:eastAsia="zh-CN"/>
        </w:rPr>
        <w:t>评价工作等级和评价范围</w:t>
      </w:r>
      <w:bookmarkEnd w:id="45"/>
    </w:p>
    <w:p w14:paraId="76B61E57">
      <w:pPr>
        <w:pStyle w:val="5"/>
        <w:bidi w:val="0"/>
        <w:ind w:left="0" w:leftChars="0" w:firstLine="0" w:firstLineChars="0"/>
        <w:rPr>
          <w:rFonts w:hint="eastAsia"/>
          <w:sz w:val="30"/>
          <w:szCs w:val="30"/>
          <w:highlight w:val="none"/>
          <w:lang w:val="en-US" w:eastAsia="zh-CN"/>
        </w:rPr>
      </w:pPr>
      <w:bookmarkStart w:id="46" w:name="_Toc14803"/>
      <w:r>
        <w:rPr>
          <w:rFonts w:hint="default" w:ascii="Times New Roman" w:hAnsi="Times New Roman" w:cs="Times New Roman"/>
          <w:sz w:val="30"/>
          <w:szCs w:val="30"/>
          <w:highlight w:val="none"/>
          <w:lang w:val="en-US" w:eastAsia="zh-CN"/>
        </w:rPr>
        <w:t>2.4.1</w:t>
      </w:r>
      <w:r>
        <w:rPr>
          <w:rFonts w:hint="eastAsia"/>
          <w:sz w:val="30"/>
          <w:szCs w:val="30"/>
          <w:highlight w:val="none"/>
          <w:lang w:val="en-US" w:eastAsia="zh-CN"/>
        </w:rPr>
        <w:t>环境空气评价</w:t>
      </w:r>
      <w:bookmarkEnd w:id="46"/>
    </w:p>
    <w:p w14:paraId="03EE5492">
      <w:pPr>
        <w:ind w:firstLine="480"/>
        <w:rPr>
          <w:rFonts w:ascii="Times New Roman" w:hAnsi="Times New Roman"/>
          <w:highlight w:val="none"/>
        </w:rPr>
      </w:pPr>
      <w:r>
        <w:rPr>
          <w:rFonts w:ascii="Times New Roman" w:hAnsi="Times New Roman"/>
          <w:highlight w:val="none"/>
        </w:rPr>
        <w:t>（1）评价工作等级</w:t>
      </w:r>
    </w:p>
    <w:p w14:paraId="07B2A089">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Times New Roman" w:hAnsi="Times New Roman"/>
          <w:highlight w:val="none"/>
        </w:rPr>
      </w:pPr>
      <w:r>
        <w:rPr>
          <w:rFonts w:ascii="Times New Roman" w:hAnsi="Times New Roman"/>
          <w:highlight w:val="none"/>
        </w:rPr>
        <w:t>当建设项目排放的SO</w:t>
      </w:r>
      <w:r>
        <w:rPr>
          <w:rFonts w:ascii="Times New Roman" w:hAnsi="Times New Roman"/>
          <w:highlight w:val="none"/>
          <w:vertAlign w:val="subscript"/>
        </w:rPr>
        <w:t>2</w:t>
      </w:r>
      <w:r>
        <w:rPr>
          <w:rFonts w:ascii="Times New Roman" w:hAnsi="Times New Roman"/>
          <w:highlight w:val="none"/>
        </w:rPr>
        <w:t>和NOx年排放量大于或等于500t/a时，评价因子应增加二次PM</w:t>
      </w:r>
      <w:r>
        <w:rPr>
          <w:rFonts w:ascii="Times New Roman" w:hAnsi="Times New Roman"/>
          <w:highlight w:val="none"/>
          <w:vertAlign w:val="subscript"/>
        </w:rPr>
        <w:t>2.5</w:t>
      </w:r>
      <w:r>
        <w:rPr>
          <w:rFonts w:ascii="Times New Roman" w:hAnsi="Times New Roman"/>
          <w:highlight w:val="none"/>
        </w:rPr>
        <w:t>为评价因子，本项目SO</w:t>
      </w:r>
      <w:r>
        <w:rPr>
          <w:rFonts w:ascii="Times New Roman" w:hAnsi="Times New Roman"/>
          <w:highlight w:val="none"/>
          <w:vertAlign w:val="subscript"/>
        </w:rPr>
        <w:t>2</w:t>
      </w:r>
      <w:r>
        <w:rPr>
          <w:rFonts w:ascii="Times New Roman" w:hAnsi="Times New Roman"/>
          <w:highlight w:val="none"/>
        </w:rPr>
        <w:t>和NOx年</w:t>
      </w:r>
      <w:r>
        <w:rPr>
          <w:rFonts w:hint="eastAsia" w:ascii="Times New Roman" w:hAnsi="Times New Roman"/>
          <w:highlight w:val="none"/>
        </w:rPr>
        <w:t>预测</w:t>
      </w:r>
      <w:r>
        <w:rPr>
          <w:rFonts w:ascii="Times New Roman" w:hAnsi="Times New Roman"/>
          <w:highlight w:val="none"/>
        </w:rPr>
        <w:t>排放量为</w:t>
      </w:r>
      <w:r>
        <w:rPr>
          <w:rFonts w:hint="eastAsia" w:ascii="Times New Roman" w:hAnsi="Times New Roman"/>
          <w:highlight w:val="none"/>
          <w:lang w:val="en-US" w:eastAsia="zh-CN"/>
        </w:rPr>
        <w:t>7.352</w:t>
      </w:r>
      <w:r>
        <w:rPr>
          <w:rFonts w:hint="eastAsia" w:ascii="Times New Roman" w:hAnsi="Times New Roman"/>
          <w:highlight w:val="none"/>
        </w:rPr>
        <w:t>+</w:t>
      </w:r>
      <w:r>
        <w:rPr>
          <w:rFonts w:hint="eastAsia" w:ascii="Times New Roman" w:hAnsi="Times New Roman"/>
          <w:highlight w:val="none"/>
          <w:lang w:val="en-US" w:eastAsia="zh-CN"/>
        </w:rPr>
        <w:t>6.87</w:t>
      </w:r>
      <w:r>
        <w:rPr>
          <w:rFonts w:hint="eastAsia" w:ascii="Times New Roman" w:hAnsi="Times New Roman"/>
          <w:highlight w:val="none"/>
        </w:rPr>
        <w:t>=</w:t>
      </w:r>
      <w:r>
        <w:rPr>
          <w:rFonts w:hint="eastAsia" w:ascii="Times New Roman" w:hAnsi="Times New Roman"/>
          <w:highlight w:val="none"/>
          <w:lang w:val="en-US" w:eastAsia="zh-CN"/>
        </w:rPr>
        <w:t>14.222</w:t>
      </w:r>
      <w:r>
        <w:rPr>
          <w:rFonts w:ascii="Times New Roman" w:hAnsi="Times New Roman"/>
          <w:highlight w:val="none"/>
        </w:rPr>
        <w:t>t/a，本项目SO</w:t>
      </w:r>
      <w:r>
        <w:rPr>
          <w:rFonts w:ascii="Times New Roman" w:hAnsi="Times New Roman"/>
          <w:highlight w:val="none"/>
          <w:vertAlign w:val="subscript"/>
        </w:rPr>
        <w:t>2</w:t>
      </w:r>
      <w:r>
        <w:rPr>
          <w:rFonts w:ascii="Times New Roman" w:hAnsi="Times New Roman"/>
          <w:highlight w:val="none"/>
        </w:rPr>
        <w:t>和NOx年</w:t>
      </w:r>
      <w:r>
        <w:rPr>
          <w:rFonts w:hint="eastAsia" w:ascii="Times New Roman" w:hAnsi="Times New Roman"/>
          <w:highlight w:val="none"/>
        </w:rPr>
        <w:t>核定</w:t>
      </w:r>
      <w:r>
        <w:rPr>
          <w:rFonts w:ascii="Times New Roman" w:hAnsi="Times New Roman"/>
          <w:highlight w:val="none"/>
        </w:rPr>
        <w:t>排放量为</w:t>
      </w:r>
      <w:r>
        <w:rPr>
          <w:rFonts w:hint="eastAsia" w:ascii="Times New Roman" w:hAnsi="Times New Roman"/>
          <w:highlight w:val="none"/>
          <w:lang w:val="en-US" w:eastAsia="zh-CN"/>
        </w:rPr>
        <w:t>27.658</w:t>
      </w:r>
      <w:r>
        <w:rPr>
          <w:rFonts w:hint="eastAsia" w:ascii="Times New Roman" w:hAnsi="Times New Roman"/>
          <w:highlight w:val="none"/>
        </w:rPr>
        <w:t>+</w:t>
      </w:r>
      <w:r>
        <w:rPr>
          <w:rFonts w:hint="eastAsia" w:ascii="Times New Roman" w:hAnsi="Times New Roman"/>
          <w:highlight w:val="none"/>
          <w:lang w:val="en-US" w:eastAsia="zh-CN"/>
        </w:rPr>
        <w:t>39.511</w:t>
      </w:r>
      <w:r>
        <w:rPr>
          <w:rFonts w:hint="eastAsia" w:ascii="Times New Roman" w:hAnsi="Times New Roman"/>
          <w:highlight w:val="none"/>
        </w:rPr>
        <w:t>=</w:t>
      </w:r>
      <w:r>
        <w:rPr>
          <w:rFonts w:hint="eastAsia" w:ascii="Times New Roman" w:hAnsi="Times New Roman"/>
          <w:highlight w:val="none"/>
          <w:lang w:val="en-US" w:eastAsia="zh-CN"/>
        </w:rPr>
        <w:t>67.169</w:t>
      </w:r>
      <w:r>
        <w:rPr>
          <w:rFonts w:ascii="Times New Roman" w:hAnsi="Times New Roman"/>
          <w:highlight w:val="none"/>
        </w:rPr>
        <w:t>t/a</w:t>
      </w:r>
      <w:r>
        <w:rPr>
          <w:rFonts w:hint="eastAsia" w:ascii="Times New Roman" w:hAnsi="Times New Roman"/>
          <w:highlight w:val="none"/>
        </w:rPr>
        <w:t>，</w:t>
      </w:r>
      <w:r>
        <w:rPr>
          <w:rFonts w:ascii="Times New Roman" w:hAnsi="Times New Roman"/>
          <w:highlight w:val="none"/>
        </w:rPr>
        <w:t>因此无需增加二次PM</w:t>
      </w:r>
      <w:r>
        <w:rPr>
          <w:rFonts w:ascii="Times New Roman" w:hAnsi="Times New Roman"/>
          <w:highlight w:val="none"/>
          <w:vertAlign w:val="subscript"/>
        </w:rPr>
        <w:t>2.5</w:t>
      </w:r>
      <w:r>
        <w:rPr>
          <w:rFonts w:ascii="Times New Roman" w:hAnsi="Times New Roman"/>
          <w:highlight w:val="none"/>
        </w:rPr>
        <w:t>为评价因子。</w:t>
      </w:r>
    </w:p>
    <w:p w14:paraId="5F1551B3">
      <w:pPr>
        <w:ind w:firstLine="480"/>
        <w:rPr>
          <w:rFonts w:ascii="Times New Roman" w:hAnsi="Times New Roman"/>
          <w:highlight w:val="none"/>
        </w:rPr>
      </w:pPr>
      <w:r>
        <w:rPr>
          <w:rFonts w:ascii="Times New Roman" w:hAnsi="Times New Roman"/>
          <w:highlight w:val="none"/>
        </w:rPr>
        <w:t>根据《环境影响评价技术导则-大气环境》（HJ2.2-2018），将环境空气影响评价工作分为一、二、三级，划分依据见下表。</w:t>
      </w:r>
    </w:p>
    <w:p w14:paraId="76E34BA7">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表2.4-1 评价工作等级判据一览表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0"/>
        <w:gridCol w:w="4752"/>
      </w:tblGrid>
      <w:tr w14:paraId="1A361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212" w:type="pct"/>
            <w:noWrap w:val="0"/>
            <w:vAlign w:val="center"/>
          </w:tcPr>
          <w:p w14:paraId="7A641CC2">
            <w:pPr>
              <w:pStyle w:val="27"/>
              <w:ind w:firstLine="480"/>
              <w:rPr>
                <w:rFonts w:ascii="Times New Roman" w:hAnsi="Times New Roman"/>
                <w:highlight w:val="none"/>
              </w:rPr>
            </w:pPr>
            <w:r>
              <w:rPr>
                <w:rFonts w:ascii="Times New Roman" w:hAnsi="Times New Roman"/>
                <w:highlight w:val="none"/>
              </w:rPr>
              <w:t>评价工作等级</w:t>
            </w:r>
          </w:p>
        </w:tc>
        <w:tc>
          <w:tcPr>
            <w:tcW w:w="2788" w:type="pct"/>
            <w:noWrap w:val="0"/>
            <w:vAlign w:val="center"/>
          </w:tcPr>
          <w:p w14:paraId="6A3FB18E">
            <w:pPr>
              <w:pStyle w:val="27"/>
              <w:ind w:firstLine="480"/>
              <w:rPr>
                <w:rFonts w:ascii="Times New Roman" w:hAnsi="Times New Roman"/>
                <w:highlight w:val="none"/>
              </w:rPr>
            </w:pPr>
            <w:r>
              <w:rPr>
                <w:rFonts w:ascii="Times New Roman" w:hAnsi="Times New Roman"/>
                <w:highlight w:val="none"/>
              </w:rPr>
              <w:t>评价工作分级判据</w:t>
            </w:r>
          </w:p>
        </w:tc>
      </w:tr>
      <w:tr w14:paraId="6531C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212" w:type="pct"/>
            <w:noWrap w:val="0"/>
            <w:vAlign w:val="center"/>
          </w:tcPr>
          <w:p w14:paraId="3123D8EA">
            <w:pPr>
              <w:pStyle w:val="27"/>
              <w:ind w:firstLine="480"/>
              <w:rPr>
                <w:rFonts w:ascii="Times New Roman" w:hAnsi="Times New Roman"/>
                <w:highlight w:val="none"/>
              </w:rPr>
            </w:pPr>
            <w:r>
              <w:rPr>
                <w:rFonts w:ascii="Times New Roman" w:hAnsi="Times New Roman"/>
                <w:highlight w:val="none"/>
              </w:rPr>
              <w:t>一级</w:t>
            </w:r>
          </w:p>
        </w:tc>
        <w:tc>
          <w:tcPr>
            <w:tcW w:w="2788" w:type="pct"/>
            <w:noWrap w:val="0"/>
            <w:vAlign w:val="center"/>
          </w:tcPr>
          <w:p w14:paraId="2270C601">
            <w:pPr>
              <w:pStyle w:val="27"/>
              <w:ind w:firstLine="480"/>
              <w:rPr>
                <w:rFonts w:ascii="Times New Roman" w:hAnsi="Times New Roman"/>
                <w:highlight w:val="none"/>
              </w:rPr>
            </w:pPr>
            <w:r>
              <w:rPr>
                <w:rFonts w:ascii="Times New Roman" w:hAnsi="Times New Roman"/>
                <w:highlight w:val="none"/>
              </w:rPr>
              <w:t>P</w:t>
            </w:r>
            <w:r>
              <w:rPr>
                <w:rFonts w:ascii="Times New Roman" w:hAnsi="Times New Roman"/>
                <w:highlight w:val="none"/>
                <w:vertAlign w:val="subscript"/>
              </w:rPr>
              <w:t>Max</w:t>
            </w:r>
            <w:r>
              <w:rPr>
                <w:rFonts w:ascii="Times New Roman" w:hAnsi="Times New Roman"/>
                <w:highlight w:val="none"/>
              </w:rPr>
              <w:t>≥10%</w:t>
            </w:r>
          </w:p>
        </w:tc>
      </w:tr>
      <w:tr w14:paraId="6C821A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212" w:type="pct"/>
            <w:noWrap w:val="0"/>
            <w:vAlign w:val="center"/>
          </w:tcPr>
          <w:p w14:paraId="11F66A85">
            <w:pPr>
              <w:pStyle w:val="27"/>
              <w:ind w:firstLine="480"/>
              <w:rPr>
                <w:rFonts w:ascii="Times New Roman" w:hAnsi="Times New Roman"/>
                <w:highlight w:val="none"/>
              </w:rPr>
            </w:pPr>
            <w:r>
              <w:rPr>
                <w:rFonts w:ascii="Times New Roman" w:hAnsi="Times New Roman"/>
                <w:highlight w:val="none"/>
              </w:rPr>
              <w:t>二级</w:t>
            </w:r>
          </w:p>
        </w:tc>
        <w:tc>
          <w:tcPr>
            <w:tcW w:w="2788" w:type="pct"/>
            <w:noWrap w:val="0"/>
            <w:vAlign w:val="center"/>
          </w:tcPr>
          <w:p w14:paraId="34E2A86F">
            <w:pPr>
              <w:pStyle w:val="27"/>
              <w:ind w:firstLine="480"/>
              <w:rPr>
                <w:rFonts w:ascii="Times New Roman" w:hAnsi="Times New Roman"/>
                <w:highlight w:val="none"/>
              </w:rPr>
            </w:pPr>
            <w:r>
              <w:rPr>
                <w:rFonts w:ascii="Times New Roman" w:hAnsi="Times New Roman"/>
                <w:highlight w:val="none"/>
              </w:rPr>
              <w:t>1%≤P</w:t>
            </w:r>
            <w:r>
              <w:rPr>
                <w:rFonts w:ascii="Times New Roman" w:hAnsi="Times New Roman"/>
                <w:highlight w:val="none"/>
                <w:vertAlign w:val="subscript"/>
              </w:rPr>
              <w:t>Max</w:t>
            </w:r>
            <w:r>
              <w:rPr>
                <w:rFonts w:ascii="Times New Roman" w:hAnsi="Times New Roman"/>
                <w:highlight w:val="none"/>
              </w:rPr>
              <w:t>＜10%</w:t>
            </w:r>
          </w:p>
        </w:tc>
      </w:tr>
      <w:tr w14:paraId="57A2F2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212" w:type="pct"/>
            <w:noWrap w:val="0"/>
            <w:vAlign w:val="center"/>
          </w:tcPr>
          <w:p w14:paraId="2757C943">
            <w:pPr>
              <w:pStyle w:val="27"/>
              <w:ind w:firstLine="480"/>
              <w:rPr>
                <w:rFonts w:ascii="Times New Roman" w:hAnsi="Times New Roman"/>
                <w:highlight w:val="none"/>
              </w:rPr>
            </w:pPr>
            <w:r>
              <w:rPr>
                <w:rFonts w:ascii="Times New Roman" w:hAnsi="Times New Roman"/>
                <w:highlight w:val="none"/>
              </w:rPr>
              <w:t>三级</w:t>
            </w:r>
          </w:p>
        </w:tc>
        <w:tc>
          <w:tcPr>
            <w:tcW w:w="2788" w:type="pct"/>
            <w:noWrap w:val="0"/>
            <w:vAlign w:val="center"/>
          </w:tcPr>
          <w:p w14:paraId="53660C8D">
            <w:pPr>
              <w:pStyle w:val="27"/>
              <w:ind w:firstLine="480"/>
              <w:rPr>
                <w:rFonts w:ascii="Times New Roman" w:hAnsi="Times New Roman"/>
                <w:highlight w:val="none"/>
              </w:rPr>
            </w:pPr>
            <w:r>
              <w:rPr>
                <w:rFonts w:ascii="Times New Roman" w:hAnsi="Times New Roman"/>
                <w:highlight w:val="none"/>
              </w:rPr>
              <w:t>P</w:t>
            </w:r>
            <w:r>
              <w:rPr>
                <w:rFonts w:ascii="Times New Roman" w:hAnsi="Times New Roman"/>
                <w:highlight w:val="none"/>
                <w:vertAlign w:val="subscript"/>
              </w:rPr>
              <w:t>Max</w:t>
            </w:r>
            <w:r>
              <w:rPr>
                <w:rFonts w:ascii="Times New Roman" w:hAnsi="Times New Roman"/>
                <w:highlight w:val="none"/>
              </w:rPr>
              <w:t>＜1%</w:t>
            </w:r>
          </w:p>
        </w:tc>
      </w:tr>
    </w:tbl>
    <w:p w14:paraId="4418644C">
      <w:pPr>
        <w:ind w:firstLine="480"/>
        <w:rPr>
          <w:rFonts w:ascii="Times New Roman" w:hAnsi="Times New Roman"/>
          <w:highlight w:val="none"/>
        </w:rPr>
      </w:pPr>
      <w:r>
        <w:rPr>
          <w:rFonts w:ascii="Times New Roman" w:hAnsi="Times New Roman"/>
          <w:highlight w:val="none"/>
        </w:rPr>
        <w:t>其中Pi为第i个污染物的最大地面空气质量浓度占标率，%；D</w:t>
      </w:r>
      <w:r>
        <w:rPr>
          <w:rFonts w:ascii="Times New Roman" w:hAnsi="Times New Roman"/>
          <w:highlight w:val="none"/>
          <w:vertAlign w:val="subscript"/>
        </w:rPr>
        <w:t>10%</w:t>
      </w:r>
      <w:r>
        <w:rPr>
          <w:rFonts w:ascii="Times New Roman" w:hAnsi="Times New Roman"/>
          <w:highlight w:val="none"/>
        </w:rPr>
        <w:t>为第i个污染物的地面空气质量浓度达到标准值的10%时所对应的最远距离D</w:t>
      </w:r>
      <w:r>
        <w:rPr>
          <w:rFonts w:ascii="Times New Roman" w:hAnsi="Times New Roman"/>
          <w:highlight w:val="none"/>
          <w:vertAlign w:val="subscript"/>
        </w:rPr>
        <w:t>10%</w:t>
      </w:r>
      <w:r>
        <w:rPr>
          <w:rFonts w:ascii="Times New Roman" w:hAnsi="Times New Roman"/>
          <w:highlight w:val="none"/>
        </w:rPr>
        <w:t>。</w:t>
      </w:r>
    </w:p>
    <w:p w14:paraId="7C12D788">
      <w:pPr>
        <w:ind w:firstLine="480"/>
        <w:rPr>
          <w:rFonts w:ascii="Times New Roman" w:hAnsi="Times New Roman"/>
          <w:highlight w:val="none"/>
        </w:rPr>
      </w:pPr>
      <w:r>
        <w:rPr>
          <w:rFonts w:ascii="Times New Roman" w:hAnsi="Times New Roman"/>
          <w:highlight w:val="none"/>
        </w:rPr>
        <w:t>Pi的计算式为：</w:t>
      </w:r>
    </w:p>
    <w:p w14:paraId="7170B7BF">
      <w:pPr>
        <w:ind w:firstLine="0" w:firstLineChars="0"/>
        <w:jc w:val="center"/>
        <w:rPr>
          <w:rFonts w:ascii="Times New Roman" w:hAnsi="Times New Roman"/>
          <w:szCs w:val="28"/>
          <w:highlight w:val="none"/>
        </w:rPr>
      </w:pPr>
      <w:r>
        <w:rPr>
          <w:rFonts w:ascii="Times New Roman" w:hAnsi="Times New Roman"/>
          <w:szCs w:val="28"/>
          <w:highlight w:val="none"/>
        </w:rPr>
        <w:object>
          <v:shape id="_x0000_i1025" o:spt="75" type="#_x0000_t75" style="height:33.75pt;width:77.25pt;" o:ole="t" filled="f" o:preferrelative="t" stroked="f" coordsize="21600,21600">
            <v:path/>
            <v:fill on="f" focussize="0,0"/>
            <v:stroke on="f"/>
            <v:imagedata r:id="rId9" o:title=""/>
            <o:lock v:ext="edit" aspectratio="t"/>
            <w10:wrap type="none"/>
            <w10:anchorlock/>
          </v:shape>
          <o:OLEObject Type="Embed" ProgID="Equation.DSMT4" ShapeID="_x0000_i1025" DrawAspect="Content" ObjectID="_1468075725" r:id="rId8">
            <o:LockedField>false</o:LockedField>
          </o:OLEObject>
        </w:object>
      </w:r>
    </w:p>
    <w:p w14:paraId="0C02368E">
      <w:pPr>
        <w:pStyle w:val="31"/>
        <w:ind w:firstLine="480"/>
        <w:rPr>
          <w:rFonts w:ascii="Times New Roman" w:hAnsi="Times New Roman"/>
          <w:highlight w:val="none"/>
        </w:rPr>
      </w:pPr>
      <w:r>
        <w:rPr>
          <w:rFonts w:ascii="Times New Roman" w:hAnsi="Times New Roman"/>
          <w:highlight w:val="none"/>
        </w:rPr>
        <w:t>式中：</w:t>
      </w:r>
    </w:p>
    <w:p w14:paraId="2ACFE7DA">
      <w:pPr>
        <w:pStyle w:val="31"/>
        <w:ind w:firstLine="480"/>
        <w:rPr>
          <w:rFonts w:ascii="Times New Roman" w:hAnsi="Times New Roman"/>
          <w:highlight w:val="none"/>
        </w:rPr>
      </w:pPr>
      <w:r>
        <w:rPr>
          <w:rFonts w:ascii="Times New Roman" w:hAnsi="Times New Roman"/>
          <w:highlight w:val="none"/>
        </w:rPr>
        <w:t>P</w:t>
      </w:r>
      <w:r>
        <w:rPr>
          <w:rFonts w:ascii="Times New Roman" w:hAnsi="Times New Roman"/>
          <w:highlight w:val="none"/>
          <w:vertAlign w:val="subscript"/>
        </w:rPr>
        <w:t>i</w:t>
      </w:r>
      <w:r>
        <w:rPr>
          <w:rFonts w:ascii="Times New Roman" w:hAnsi="Times New Roman"/>
          <w:highlight w:val="none"/>
        </w:rPr>
        <w:t>—第i个污染物的最大地面空气质量浓度占标率，%；</w:t>
      </w:r>
    </w:p>
    <w:p w14:paraId="43C7283F">
      <w:pPr>
        <w:pStyle w:val="31"/>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i</w:t>
      </w:r>
      <w:r>
        <w:rPr>
          <w:rFonts w:ascii="Times New Roman" w:hAnsi="Times New Roman"/>
          <w:highlight w:val="none"/>
        </w:rPr>
        <w:t>—采用估算模型计算出的第i个污染物的最大1h地面空气质量浓度，μg/m</w:t>
      </w:r>
      <w:r>
        <w:rPr>
          <w:rFonts w:ascii="Times New Roman" w:hAnsi="Times New Roman"/>
          <w:highlight w:val="none"/>
          <w:vertAlign w:val="superscript"/>
        </w:rPr>
        <w:t>3</w:t>
      </w:r>
      <w:r>
        <w:rPr>
          <w:rFonts w:ascii="Times New Roman" w:hAnsi="Times New Roman"/>
          <w:highlight w:val="none"/>
        </w:rPr>
        <w:t>；</w:t>
      </w:r>
    </w:p>
    <w:p w14:paraId="05D60D58">
      <w:pPr>
        <w:pStyle w:val="31"/>
        <w:ind w:firstLine="480"/>
        <w:rPr>
          <w:rFonts w:ascii="Times New Roman" w:hAnsi="Times New Roman"/>
          <w:highlight w:val="none"/>
        </w:rPr>
      </w:pPr>
      <w:r>
        <w:rPr>
          <w:rFonts w:ascii="Times New Roman" w:hAnsi="Times New Roman"/>
          <w:highlight w:val="none"/>
        </w:rPr>
        <w:t>Coi—第i个污染物的环境空气质量浓度标准，μg/m³。一般选用GB3095中1h平均质量浓度的二级浓度限值，如项目位于一类环境空气功能区，应选择相应的一级浓度限值；对该标准中未包含的污染物，使用导则（HJ2.2-2018）中5.2确定的各评价因子1h平均质量浓度限值。对仅有8h平均质量浓度限值、日平均质量浓度限值或年平均质量浓度限值的，可分别按2倍、3倍、6倍折算为1h平均质量浓度限值。</w:t>
      </w:r>
    </w:p>
    <w:p w14:paraId="60D69313">
      <w:pPr>
        <w:ind w:firstLine="480"/>
        <w:rPr>
          <w:rFonts w:ascii="Times New Roman" w:hAnsi="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highlight w:val="none"/>
        </w:rPr>
        <w:t>计算各污染因子最大地面浓度占标率见表2.4-2、2.4-3</w:t>
      </w:r>
    </w:p>
    <w:p w14:paraId="5DC8CE7D">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表2.4-2本项目污染源排放参数一览表(有组织)</w:t>
      </w:r>
    </w:p>
    <w:tbl>
      <w:tblPr>
        <w:tblStyle w:val="17"/>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5" w:type="dxa"/>
          <w:bottom w:w="15" w:type="dxa"/>
          <w:right w:w="15" w:type="dxa"/>
        </w:tblCellMar>
      </w:tblPr>
      <w:tblGrid>
        <w:gridCol w:w="649"/>
        <w:gridCol w:w="548"/>
        <w:gridCol w:w="1237"/>
        <w:gridCol w:w="1134"/>
        <w:gridCol w:w="1025"/>
        <w:gridCol w:w="647"/>
        <w:gridCol w:w="806"/>
        <w:gridCol w:w="1299"/>
        <w:gridCol w:w="644"/>
        <w:gridCol w:w="764"/>
        <w:gridCol w:w="476"/>
        <w:gridCol w:w="904"/>
        <w:gridCol w:w="764"/>
        <w:gridCol w:w="1098"/>
        <w:gridCol w:w="1033"/>
        <w:gridCol w:w="960"/>
      </w:tblGrid>
      <w:tr w14:paraId="4E02F0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68" w:hRule="atLeast"/>
        </w:trPr>
        <w:tc>
          <w:tcPr>
            <w:tcW w:w="231" w:type="pct"/>
            <w:vMerge w:val="restart"/>
            <w:tcBorders>
              <w:right w:val="single" w:color="000000" w:sz="4" w:space="0"/>
            </w:tcBorders>
            <w:shd w:val="clear" w:color="auto" w:fill="FFFFFF"/>
            <w:noWrap w:val="0"/>
            <w:vAlign w:val="center"/>
          </w:tcPr>
          <w:p w14:paraId="74F92D0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编号</w:t>
            </w:r>
          </w:p>
        </w:tc>
        <w:tc>
          <w:tcPr>
            <w:tcW w:w="196" w:type="pct"/>
            <w:vMerge w:val="restart"/>
            <w:tcBorders>
              <w:left w:val="single" w:color="000000" w:sz="4" w:space="0"/>
              <w:right w:val="single" w:color="000000" w:sz="4" w:space="0"/>
            </w:tcBorders>
            <w:shd w:val="clear" w:color="auto" w:fill="FFFFFF"/>
            <w:noWrap w:val="0"/>
            <w:vAlign w:val="center"/>
          </w:tcPr>
          <w:p w14:paraId="55A1C2A0">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名称</w:t>
            </w:r>
          </w:p>
        </w:tc>
        <w:tc>
          <w:tcPr>
            <w:tcW w:w="847" w:type="pct"/>
            <w:gridSpan w:val="2"/>
            <w:tcBorders>
              <w:left w:val="single" w:color="000000" w:sz="4" w:space="0"/>
              <w:right w:val="single" w:color="000000" w:sz="4" w:space="0"/>
            </w:tcBorders>
            <w:shd w:val="clear" w:color="auto" w:fill="FFFFFF"/>
            <w:noWrap w:val="0"/>
            <w:vAlign w:val="center"/>
          </w:tcPr>
          <w:p w14:paraId="6F0FEA59">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排气筒底部中心坐标</w:t>
            </w:r>
            <w:r>
              <w:rPr>
                <w:rFonts w:hint="eastAsia" w:ascii="Times New Roman" w:hAnsi="Times New Roman"/>
                <w:kern w:val="0"/>
                <w:sz w:val="21"/>
                <w:highlight w:val="none"/>
                <w:lang w:bidi="ar"/>
              </w:rPr>
              <w:t>/m</w:t>
            </w:r>
          </w:p>
        </w:tc>
        <w:tc>
          <w:tcPr>
            <w:tcW w:w="366" w:type="pct"/>
            <w:vMerge w:val="restart"/>
            <w:tcBorders>
              <w:left w:val="single" w:color="000000" w:sz="4" w:space="0"/>
              <w:right w:val="single" w:color="000000" w:sz="4" w:space="0"/>
            </w:tcBorders>
            <w:shd w:val="clear" w:color="auto" w:fill="FFFFFF"/>
            <w:noWrap w:val="0"/>
            <w:vAlign w:val="center"/>
          </w:tcPr>
          <w:p w14:paraId="67CE247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排气筒底部海拔高度/m</w:t>
            </w:r>
          </w:p>
        </w:tc>
        <w:tc>
          <w:tcPr>
            <w:tcW w:w="231" w:type="pct"/>
            <w:vMerge w:val="restart"/>
            <w:tcBorders>
              <w:left w:val="single" w:color="000000" w:sz="4" w:space="0"/>
              <w:right w:val="single" w:color="000000" w:sz="4" w:space="0"/>
            </w:tcBorders>
            <w:shd w:val="clear" w:color="auto" w:fill="FFFFFF"/>
            <w:noWrap w:val="0"/>
            <w:vAlign w:val="center"/>
          </w:tcPr>
          <w:p w14:paraId="5A44303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排气筒高度/m</w:t>
            </w:r>
          </w:p>
        </w:tc>
        <w:tc>
          <w:tcPr>
            <w:tcW w:w="288" w:type="pct"/>
            <w:vMerge w:val="restart"/>
            <w:tcBorders>
              <w:left w:val="single" w:color="000000" w:sz="4" w:space="0"/>
              <w:right w:val="single" w:color="000000" w:sz="4" w:space="0"/>
            </w:tcBorders>
            <w:shd w:val="clear" w:color="auto" w:fill="FFFFFF"/>
            <w:noWrap w:val="0"/>
            <w:vAlign w:val="center"/>
          </w:tcPr>
          <w:p w14:paraId="6F698D73">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排气筒出口内径/m</w:t>
            </w:r>
          </w:p>
        </w:tc>
        <w:tc>
          <w:tcPr>
            <w:tcW w:w="464" w:type="pct"/>
            <w:vMerge w:val="restart"/>
            <w:tcBorders>
              <w:left w:val="single" w:color="000000" w:sz="4" w:space="0"/>
              <w:right w:val="single" w:color="000000" w:sz="4" w:space="0"/>
            </w:tcBorders>
            <w:shd w:val="clear" w:color="auto" w:fill="FFFFFF"/>
            <w:noWrap w:val="0"/>
            <w:vAlign w:val="center"/>
          </w:tcPr>
          <w:p w14:paraId="5AF56856">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w:t>
            </w:r>
            <w:r>
              <w:rPr>
                <w:rFonts w:hint="eastAsia" w:ascii="Times New Roman" w:hAnsi="Times New Roman"/>
                <w:kern w:val="0"/>
                <w:sz w:val="21"/>
                <w:highlight w:val="none"/>
                <w:lang w:bidi="ar"/>
              </w:rPr>
              <w:t>流量</w:t>
            </w:r>
            <w:r>
              <w:rPr>
                <w:rFonts w:ascii="Times New Roman" w:hAnsi="Times New Roman"/>
                <w:kern w:val="0"/>
                <w:sz w:val="21"/>
                <w:highlight w:val="none"/>
                <w:lang w:bidi="ar"/>
              </w:rPr>
              <w:t>/（m</w:t>
            </w:r>
            <w:r>
              <w:rPr>
                <w:rFonts w:ascii="Times New Roman" w:hAnsi="Times New Roman"/>
                <w:kern w:val="0"/>
                <w:sz w:val="21"/>
                <w:highlight w:val="none"/>
                <w:vertAlign w:val="superscript"/>
                <w:lang w:bidi="ar"/>
              </w:rPr>
              <w:t>3</w:t>
            </w:r>
            <w:r>
              <w:rPr>
                <w:rFonts w:ascii="Times New Roman" w:hAnsi="Times New Roman"/>
                <w:kern w:val="0"/>
                <w:sz w:val="21"/>
                <w:highlight w:val="none"/>
                <w:lang w:bidi="ar"/>
              </w:rPr>
              <w:t>/h）</w:t>
            </w:r>
          </w:p>
        </w:tc>
        <w:tc>
          <w:tcPr>
            <w:tcW w:w="230" w:type="pct"/>
            <w:vMerge w:val="restart"/>
            <w:tcBorders>
              <w:left w:val="single" w:color="000000" w:sz="4" w:space="0"/>
              <w:right w:val="single" w:color="000000" w:sz="4" w:space="0"/>
            </w:tcBorders>
            <w:shd w:val="clear" w:color="auto" w:fill="FFFFFF"/>
            <w:noWrap w:val="0"/>
            <w:vAlign w:val="center"/>
          </w:tcPr>
          <w:p w14:paraId="62443C79">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烟气温度/</w:t>
            </w:r>
            <w:r>
              <w:rPr>
                <w:rFonts w:hint="eastAsia" w:ascii="宋体" w:hAnsi="宋体" w:cs="宋体"/>
                <w:kern w:val="0"/>
                <w:sz w:val="21"/>
                <w:highlight w:val="none"/>
                <w:lang w:bidi="ar"/>
              </w:rPr>
              <w:t>℃</w:t>
            </w:r>
          </w:p>
        </w:tc>
        <w:tc>
          <w:tcPr>
            <w:tcW w:w="273" w:type="pct"/>
            <w:vMerge w:val="restart"/>
            <w:tcBorders>
              <w:left w:val="single" w:color="000000" w:sz="4" w:space="0"/>
              <w:right w:val="single" w:color="000000" w:sz="4" w:space="0"/>
            </w:tcBorders>
            <w:shd w:val="clear" w:color="auto" w:fill="FFFFFF"/>
            <w:noWrap w:val="0"/>
            <w:vAlign w:val="center"/>
          </w:tcPr>
          <w:p w14:paraId="61913F2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年排放小时数/h</w:t>
            </w:r>
          </w:p>
        </w:tc>
        <w:tc>
          <w:tcPr>
            <w:tcW w:w="170" w:type="pct"/>
            <w:vMerge w:val="restart"/>
            <w:tcBorders>
              <w:left w:val="single" w:color="000000" w:sz="4" w:space="0"/>
              <w:right w:val="single" w:color="000000" w:sz="4" w:space="0"/>
            </w:tcBorders>
            <w:shd w:val="clear" w:color="auto" w:fill="FFFFFF"/>
            <w:noWrap w:val="0"/>
            <w:vAlign w:val="center"/>
          </w:tcPr>
          <w:p w14:paraId="0DB91E95">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排放工况</w:t>
            </w:r>
          </w:p>
        </w:tc>
        <w:tc>
          <w:tcPr>
            <w:tcW w:w="1700" w:type="pct"/>
            <w:gridSpan w:val="5"/>
            <w:tcBorders>
              <w:left w:val="single" w:color="000000" w:sz="4" w:space="0"/>
              <w:right w:val="nil"/>
            </w:tcBorders>
            <w:shd w:val="clear" w:color="auto" w:fill="FFFFFF"/>
            <w:noWrap w:val="0"/>
            <w:vAlign w:val="center"/>
          </w:tcPr>
          <w:p w14:paraId="7BC2920F">
            <w:pPr>
              <w:widowControl/>
              <w:spacing w:line="240" w:lineRule="auto"/>
              <w:ind w:firstLine="0" w:firstLineChars="0"/>
              <w:jc w:val="center"/>
              <w:textAlignment w:val="center"/>
              <w:rPr>
                <w:rFonts w:ascii="Times New Roman" w:hAnsi="Times New Roman"/>
                <w:kern w:val="0"/>
                <w:sz w:val="21"/>
                <w:highlight w:val="none"/>
                <w:lang w:bidi="ar"/>
              </w:rPr>
            </w:pPr>
            <w:r>
              <w:rPr>
                <w:rFonts w:ascii="Times New Roman" w:hAnsi="Times New Roman"/>
                <w:kern w:val="0"/>
                <w:sz w:val="21"/>
                <w:highlight w:val="none"/>
                <w:lang w:bidi="ar"/>
              </w:rPr>
              <w:t>污染物排放速率/kg/h</w:t>
            </w:r>
          </w:p>
        </w:tc>
      </w:tr>
      <w:tr w14:paraId="15A78A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vMerge w:val="continue"/>
            <w:tcBorders>
              <w:right w:val="single" w:color="000000" w:sz="4" w:space="0"/>
            </w:tcBorders>
            <w:shd w:val="clear" w:color="auto" w:fill="FFFFFF"/>
            <w:noWrap w:val="0"/>
            <w:vAlign w:val="center"/>
          </w:tcPr>
          <w:p w14:paraId="32FB25BF">
            <w:pPr>
              <w:spacing w:line="240" w:lineRule="auto"/>
              <w:ind w:firstLine="0" w:firstLineChars="0"/>
              <w:jc w:val="center"/>
              <w:rPr>
                <w:rFonts w:ascii="Times New Roman" w:hAnsi="Times New Roman"/>
                <w:kern w:val="0"/>
                <w:sz w:val="21"/>
                <w:highlight w:val="none"/>
              </w:rPr>
            </w:pPr>
          </w:p>
        </w:tc>
        <w:tc>
          <w:tcPr>
            <w:tcW w:w="196" w:type="pct"/>
            <w:vMerge w:val="continue"/>
            <w:tcBorders>
              <w:left w:val="single" w:color="000000" w:sz="4" w:space="0"/>
              <w:right w:val="single" w:color="000000" w:sz="4" w:space="0"/>
            </w:tcBorders>
            <w:shd w:val="clear" w:color="auto" w:fill="FFFFFF"/>
            <w:noWrap w:val="0"/>
            <w:vAlign w:val="center"/>
          </w:tcPr>
          <w:p w14:paraId="74BABDF1">
            <w:pPr>
              <w:spacing w:line="240" w:lineRule="auto"/>
              <w:ind w:firstLine="0" w:firstLineChars="0"/>
              <w:jc w:val="center"/>
              <w:rPr>
                <w:rFonts w:ascii="Times New Roman" w:hAnsi="Times New Roman"/>
                <w:kern w:val="0"/>
                <w:sz w:val="21"/>
                <w:highlight w:val="none"/>
              </w:rPr>
            </w:pPr>
          </w:p>
        </w:tc>
        <w:tc>
          <w:tcPr>
            <w:tcW w:w="442" w:type="pct"/>
            <w:tcBorders>
              <w:left w:val="single" w:color="000000" w:sz="4" w:space="0"/>
              <w:right w:val="single" w:color="000000" w:sz="4" w:space="0"/>
            </w:tcBorders>
            <w:shd w:val="clear" w:color="auto" w:fill="FFFFFF"/>
            <w:noWrap w:val="0"/>
            <w:vAlign w:val="center"/>
          </w:tcPr>
          <w:p w14:paraId="624B4F9B">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X</w:t>
            </w:r>
          </w:p>
        </w:tc>
        <w:tc>
          <w:tcPr>
            <w:tcW w:w="404" w:type="pct"/>
            <w:tcBorders>
              <w:left w:val="single" w:color="000000" w:sz="4" w:space="0"/>
              <w:right w:val="single" w:color="000000" w:sz="4" w:space="0"/>
            </w:tcBorders>
            <w:shd w:val="clear" w:color="auto" w:fill="FFFFFF"/>
            <w:noWrap w:val="0"/>
            <w:vAlign w:val="center"/>
          </w:tcPr>
          <w:p w14:paraId="4DDD14D9">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Y</w:t>
            </w:r>
          </w:p>
        </w:tc>
        <w:tc>
          <w:tcPr>
            <w:tcW w:w="366" w:type="pct"/>
            <w:vMerge w:val="continue"/>
            <w:tcBorders>
              <w:left w:val="single" w:color="000000" w:sz="4" w:space="0"/>
              <w:right w:val="single" w:color="000000" w:sz="4" w:space="0"/>
            </w:tcBorders>
            <w:shd w:val="clear" w:color="auto" w:fill="FFFFFF"/>
            <w:noWrap w:val="0"/>
            <w:vAlign w:val="center"/>
          </w:tcPr>
          <w:p w14:paraId="34C1AC21">
            <w:pPr>
              <w:spacing w:line="240" w:lineRule="auto"/>
              <w:ind w:firstLine="0" w:firstLineChars="0"/>
              <w:jc w:val="center"/>
              <w:rPr>
                <w:rFonts w:ascii="Times New Roman" w:hAnsi="Times New Roman"/>
                <w:kern w:val="0"/>
                <w:sz w:val="21"/>
                <w:highlight w:val="none"/>
              </w:rPr>
            </w:pPr>
          </w:p>
        </w:tc>
        <w:tc>
          <w:tcPr>
            <w:tcW w:w="231" w:type="pct"/>
            <w:vMerge w:val="continue"/>
            <w:tcBorders>
              <w:left w:val="single" w:color="000000" w:sz="4" w:space="0"/>
              <w:right w:val="single" w:color="000000" w:sz="4" w:space="0"/>
            </w:tcBorders>
            <w:shd w:val="clear" w:color="auto" w:fill="FFFFFF"/>
            <w:noWrap w:val="0"/>
            <w:vAlign w:val="center"/>
          </w:tcPr>
          <w:p w14:paraId="72B98F80">
            <w:pPr>
              <w:spacing w:line="240" w:lineRule="auto"/>
              <w:ind w:firstLine="0" w:firstLineChars="0"/>
              <w:jc w:val="center"/>
              <w:rPr>
                <w:rFonts w:ascii="Times New Roman" w:hAnsi="Times New Roman"/>
                <w:kern w:val="0"/>
                <w:sz w:val="21"/>
                <w:highlight w:val="none"/>
              </w:rPr>
            </w:pPr>
          </w:p>
        </w:tc>
        <w:tc>
          <w:tcPr>
            <w:tcW w:w="288" w:type="pct"/>
            <w:vMerge w:val="continue"/>
            <w:tcBorders>
              <w:left w:val="single" w:color="000000" w:sz="4" w:space="0"/>
              <w:right w:val="single" w:color="000000" w:sz="4" w:space="0"/>
            </w:tcBorders>
            <w:shd w:val="clear" w:color="auto" w:fill="FFFFFF"/>
            <w:noWrap w:val="0"/>
            <w:vAlign w:val="center"/>
          </w:tcPr>
          <w:p w14:paraId="583CA3FD">
            <w:pPr>
              <w:spacing w:line="240" w:lineRule="auto"/>
              <w:ind w:firstLine="0" w:firstLineChars="0"/>
              <w:jc w:val="center"/>
              <w:rPr>
                <w:rFonts w:ascii="Times New Roman" w:hAnsi="Times New Roman"/>
                <w:kern w:val="0"/>
                <w:sz w:val="21"/>
                <w:highlight w:val="none"/>
              </w:rPr>
            </w:pPr>
          </w:p>
        </w:tc>
        <w:tc>
          <w:tcPr>
            <w:tcW w:w="464" w:type="pct"/>
            <w:vMerge w:val="continue"/>
            <w:tcBorders>
              <w:left w:val="single" w:color="000000" w:sz="4" w:space="0"/>
              <w:right w:val="single" w:color="000000" w:sz="4" w:space="0"/>
            </w:tcBorders>
            <w:shd w:val="clear" w:color="auto" w:fill="FFFFFF"/>
            <w:noWrap w:val="0"/>
            <w:vAlign w:val="center"/>
          </w:tcPr>
          <w:p w14:paraId="3FB01D8C">
            <w:pPr>
              <w:spacing w:line="240" w:lineRule="auto"/>
              <w:ind w:firstLine="0" w:firstLineChars="0"/>
              <w:jc w:val="center"/>
              <w:rPr>
                <w:rFonts w:ascii="Times New Roman" w:hAnsi="Times New Roman"/>
                <w:kern w:val="0"/>
                <w:sz w:val="21"/>
                <w:highlight w:val="none"/>
              </w:rPr>
            </w:pPr>
          </w:p>
        </w:tc>
        <w:tc>
          <w:tcPr>
            <w:tcW w:w="230" w:type="pct"/>
            <w:vMerge w:val="continue"/>
            <w:tcBorders>
              <w:left w:val="single" w:color="000000" w:sz="4" w:space="0"/>
              <w:right w:val="single" w:color="000000" w:sz="4" w:space="0"/>
            </w:tcBorders>
            <w:shd w:val="clear" w:color="auto" w:fill="FFFFFF"/>
            <w:noWrap w:val="0"/>
            <w:vAlign w:val="center"/>
          </w:tcPr>
          <w:p w14:paraId="090A90A6">
            <w:pPr>
              <w:spacing w:line="240" w:lineRule="auto"/>
              <w:ind w:firstLine="0" w:firstLineChars="0"/>
              <w:jc w:val="center"/>
              <w:rPr>
                <w:rFonts w:ascii="Times New Roman" w:hAnsi="Times New Roman"/>
                <w:kern w:val="0"/>
                <w:sz w:val="21"/>
                <w:highlight w:val="none"/>
              </w:rPr>
            </w:pPr>
          </w:p>
        </w:tc>
        <w:tc>
          <w:tcPr>
            <w:tcW w:w="273" w:type="pct"/>
            <w:vMerge w:val="continue"/>
            <w:tcBorders>
              <w:left w:val="single" w:color="000000" w:sz="4" w:space="0"/>
              <w:right w:val="single" w:color="000000" w:sz="4" w:space="0"/>
            </w:tcBorders>
            <w:shd w:val="clear" w:color="auto" w:fill="FFFFFF"/>
            <w:noWrap w:val="0"/>
            <w:vAlign w:val="center"/>
          </w:tcPr>
          <w:p w14:paraId="3946F850">
            <w:pPr>
              <w:spacing w:line="240" w:lineRule="auto"/>
              <w:ind w:firstLine="0" w:firstLineChars="0"/>
              <w:jc w:val="center"/>
              <w:rPr>
                <w:rFonts w:ascii="Times New Roman" w:hAnsi="Times New Roman"/>
                <w:kern w:val="0"/>
                <w:sz w:val="21"/>
                <w:highlight w:val="none"/>
              </w:rPr>
            </w:pPr>
          </w:p>
        </w:tc>
        <w:tc>
          <w:tcPr>
            <w:tcW w:w="170" w:type="pct"/>
            <w:vMerge w:val="continue"/>
            <w:tcBorders>
              <w:left w:val="single" w:color="000000" w:sz="4" w:space="0"/>
              <w:right w:val="single" w:color="000000" w:sz="4" w:space="0"/>
            </w:tcBorders>
            <w:shd w:val="clear" w:color="auto" w:fill="FFFFFF"/>
            <w:noWrap w:val="0"/>
            <w:vAlign w:val="center"/>
          </w:tcPr>
          <w:p w14:paraId="3EF5AD49">
            <w:pPr>
              <w:spacing w:line="240" w:lineRule="auto"/>
              <w:ind w:firstLine="0" w:firstLineChars="0"/>
              <w:jc w:val="center"/>
              <w:rPr>
                <w:rFonts w:ascii="Times New Roman" w:hAnsi="Times New Roman"/>
                <w:kern w:val="0"/>
                <w:sz w:val="21"/>
                <w:highlight w:val="none"/>
              </w:rPr>
            </w:pPr>
          </w:p>
        </w:tc>
        <w:tc>
          <w:tcPr>
            <w:tcW w:w="323" w:type="pct"/>
            <w:tcBorders>
              <w:left w:val="single" w:color="000000" w:sz="4" w:space="0"/>
              <w:right w:val="single" w:color="000000" w:sz="4" w:space="0"/>
            </w:tcBorders>
            <w:shd w:val="clear" w:color="auto" w:fill="FFFFFF"/>
            <w:noWrap w:val="0"/>
            <w:vAlign w:val="center"/>
          </w:tcPr>
          <w:p w14:paraId="48FEF34C">
            <w:pPr>
              <w:widowControl/>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sz w:val="21"/>
                <w:highlight w:val="none"/>
              </w:rPr>
              <w:t>烟尘（PM</w:t>
            </w:r>
            <w:r>
              <w:rPr>
                <w:rFonts w:hint="eastAsia" w:ascii="Times New Roman" w:hAnsi="Times New Roman"/>
                <w:sz w:val="21"/>
                <w:highlight w:val="none"/>
                <w:vertAlign w:val="subscript"/>
              </w:rPr>
              <w:t>10</w:t>
            </w:r>
            <w:r>
              <w:rPr>
                <w:rFonts w:hint="eastAsia" w:ascii="Times New Roman" w:hAnsi="Times New Roman"/>
                <w:sz w:val="21"/>
                <w:highlight w:val="none"/>
              </w:rPr>
              <w:t>）</w:t>
            </w:r>
          </w:p>
        </w:tc>
        <w:tc>
          <w:tcPr>
            <w:tcW w:w="273" w:type="pct"/>
            <w:tcBorders>
              <w:left w:val="single" w:color="000000" w:sz="4" w:space="0"/>
              <w:right w:val="single" w:color="000000" w:sz="4" w:space="0"/>
            </w:tcBorders>
            <w:shd w:val="clear" w:color="auto" w:fill="FFFFFF"/>
            <w:noWrap w:val="0"/>
            <w:vAlign w:val="center"/>
          </w:tcPr>
          <w:p w14:paraId="4ADA6D61">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SO</w:t>
            </w:r>
            <w:r>
              <w:rPr>
                <w:rFonts w:ascii="Times New Roman" w:hAnsi="Times New Roman"/>
                <w:sz w:val="21"/>
                <w:highlight w:val="none"/>
                <w:vertAlign w:val="subscript"/>
              </w:rPr>
              <w:t>2</w:t>
            </w:r>
          </w:p>
        </w:tc>
        <w:tc>
          <w:tcPr>
            <w:tcW w:w="392" w:type="pct"/>
            <w:tcBorders>
              <w:left w:val="single" w:color="000000" w:sz="4" w:space="0"/>
              <w:right w:val="nil"/>
            </w:tcBorders>
            <w:noWrap w:val="0"/>
            <w:vAlign w:val="center"/>
          </w:tcPr>
          <w:p w14:paraId="446561E1">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NO</w:t>
            </w:r>
            <w:r>
              <w:rPr>
                <w:rFonts w:ascii="Times New Roman" w:hAnsi="Times New Roman"/>
                <w:sz w:val="21"/>
                <w:highlight w:val="none"/>
                <w:vertAlign w:val="subscript"/>
              </w:rPr>
              <w:t>x</w:t>
            </w:r>
          </w:p>
        </w:tc>
        <w:tc>
          <w:tcPr>
            <w:tcW w:w="369" w:type="pct"/>
            <w:tcBorders>
              <w:left w:val="single" w:color="000000" w:sz="4" w:space="0"/>
              <w:right w:val="nil"/>
            </w:tcBorders>
            <w:noWrap w:val="0"/>
            <w:vAlign w:val="center"/>
          </w:tcPr>
          <w:p w14:paraId="2E9BBAD9">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Hg</w:t>
            </w:r>
          </w:p>
        </w:tc>
        <w:tc>
          <w:tcPr>
            <w:tcW w:w="341" w:type="pct"/>
            <w:tcBorders>
              <w:left w:val="single" w:color="000000" w:sz="4" w:space="0"/>
              <w:right w:val="nil"/>
            </w:tcBorders>
            <w:noWrap w:val="0"/>
            <w:vAlign w:val="center"/>
          </w:tcPr>
          <w:p w14:paraId="2E43FF6C">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氨</w:t>
            </w:r>
          </w:p>
        </w:tc>
      </w:tr>
      <w:tr w14:paraId="50490B7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tcBorders>
              <w:right w:val="single" w:color="000000" w:sz="4" w:space="0"/>
            </w:tcBorders>
            <w:noWrap w:val="0"/>
            <w:vAlign w:val="center"/>
          </w:tcPr>
          <w:p w14:paraId="3316FB2B">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ascii="Times New Roman" w:hAnsi="Times New Roman"/>
                <w:kern w:val="0"/>
                <w:sz w:val="21"/>
                <w:highlight w:val="none"/>
                <w:lang w:bidi="ar"/>
              </w:rPr>
              <w:t>DA00</w:t>
            </w:r>
            <w:r>
              <w:rPr>
                <w:rFonts w:hint="eastAsia" w:ascii="Times New Roman" w:hAnsi="Times New Roman"/>
                <w:kern w:val="0"/>
                <w:sz w:val="21"/>
                <w:highlight w:val="none"/>
                <w:lang w:val="en-US" w:eastAsia="zh-CN" w:bidi="ar"/>
              </w:rPr>
              <w:t>1</w:t>
            </w:r>
          </w:p>
        </w:tc>
        <w:tc>
          <w:tcPr>
            <w:tcW w:w="196" w:type="pct"/>
            <w:tcBorders>
              <w:left w:val="single" w:color="000000" w:sz="4" w:space="0"/>
              <w:right w:val="single" w:color="000000" w:sz="4" w:space="0"/>
            </w:tcBorders>
            <w:noWrap w:val="0"/>
            <w:vAlign w:val="center"/>
          </w:tcPr>
          <w:p w14:paraId="52C9EC74">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锅炉排气筒</w:t>
            </w:r>
          </w:p>
        </w:tc>
        <w:tc>
          <w:tcPr>
            <w:tcW w:w="442" w:type="pct"/>
            <w:tcBorders>
              <w:left w:val="single" w:color="000000" w:sz="4" w:space="0"/>
              <w:right w:val="single" w:color="000000" w:sz="4" w:space="0"/>
            </w:tcBorders>
            <w:noWrap w:val="0"/>
            <w:vAlign w:val="center"/>
          </w:tcPr>
          <w:p w14:paraId="5A40CB5C">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21</w:t>
            </w:r>
          </w:p>
        </w:tc>
        <w:tc>
          <w:tcPr>
            <w:tcW w:w="404" w:type="pct"/>
            <w:tcBorders>
              <w:left w:val="single" w:color="000000" w:sz="4" w:space="0"/>
              <w:right w:val="single" w:color="000000" w:sz="4" w:space="0"/>
            </w:tcBorders>
            <w:noWrap w:val="0"/>
            <w:vAlign w:val="center"/>
          </w:tcPr>
          <w:p w14:paraId="3B52017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14</w:t>
            </w:r>
          </w:p>
        </w:tc>
        <w:tc>
          <w:tcPr>
            <w:tcW w:w="366" w:type="pct"/>
            <w:tcBorders>
              <w:left w:val="single" w:color="000000" w:sz="4" w:space="0"/>
              <w:right w:val="single" w:color="000000" w:sz="4" w:space="0"/>
            </w:tcBorders>
            <w:noWrap w:val="0"/>
            <w:vAlign w:val="center"/>
          </w:tcPr>
          <w:p w14:paraId="21472AE1">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458</w:t>
            </w:r>
          </w:p>
        </w:tc>
        <w:tc>
          <w:tcPr>
            <w:tcW w:w="231" w:type="pct"/>
            <w:tcBorders>
              <w:left w:val="single" w:color="000000" w:sz="4" w:space="0"/>
              <w:right w:val="single" w:color="000000" w:sz="4" w:space="0"/>
            </w:tcBorders>
            <w:noWrap w:val="0"/>
            <w:vAlign w:val="center"/>
          </w:tcPr>
          <w:p w14:paraId="67008B74">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60</w:t>
            </w:r>
          </w:p>
        </w:tc>
        <w:tc>
          <w:tcPr>
            <w:tcW w:w="288" w:type="pct"/>
            <w:tcBorders>
              <w:left w:val="single" w:color="000000" w:sz="4" w:space="0"/>
              <w:right w:val="single" w:color="000000" w:sz="4" w:space="0"/>
            </w:tcBorders>
            <w:noWrap w:val="0"/>
            <w:vAlign w:val="center"/>
          </w:tcPr>
          <w:p w14:paraId="5F4458F2">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hint="eastAsia" w:ascii="Times New Roman" w:hAnsi="Times New Roman"/>
                <w:kern w:val="0"/>
                <w:sz w:val="21"/>
                <w:highlight w:val="none"/>
                <w:lang w:val="en-US" w:eastAsia="zh-CN"/>
              </w:rPr>
              <w:t>4</w:t>
            </w:r>
          </w:p>
        </w:tc>
        <w:tc>
          <w:tcPr>
            <w:tcW w:w="464" w:type="pct"/>
            <w:tcBorders>
              <w:left w:val="single" w:color="000000" w:sz="4" w:space="0"/>
              <w:right w:val="single" w:color="000000" w:sz="4" w:space="0"/>
            </w:tcBorders>
            <w:noWrap w:val="0"/>
            <w:vAlign w:val="center"/>
          </w:tcPr>
          <w:p w14:paraId="1AA349E2">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298649</w:t>
            </w:r>
          </w:p>
        </w:tc>
        <w:tc>
          <w:tcPr>
            <w:tcW w:w="230" w:type="pct"/>
            <w:tcBorders>
              <w:left w:val="single" w:color="000000" w:sz="4" w:space="0"/>
              <w:right w:val="single" w:color="000000" w:sz="4" w:space="0"/>
            </w:tcBorders>
            <w:noWrap w:val="0"/>
            <w:vAlign w:val="center"/>
          </w:tcPr>
          <w:p w14:paraId="753C03A4">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100</w:t>
            </w:r>
          </w:p>
        </w:tc>
        <w:tc>
          <w:tcPr>
            <w:tcW w:w="273" w:type="pct"/>
            <w:tcBorders>
              <w:left w:val="single" w:color="000000" w:sz="4" w:space="0"/>
              <w:right w:val="single" w:color="000000" w:sz="4" w:space="0"/>
            </w:tcBorders>
            <w:noWrap w:val="0"/>
            <w:vAlign w:val="center"/>
          </w:tcPr>
          <w:p w14:paraId="033CE505">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bidi="ar"/>
              </w:rPr>
              <w:t>5040</w:t>
            </w:r>
          </w:p>
        </w:tc>
        <w:tc>
          <w:tcPr>
            <w:tcW w:w="170" w:type="pct"/>
            <w:tcBorders>
              <w:left w:val="single" w:color="000000" w:sz="4" w:space="0"/>
              <w:right w:val="single" w:color="000000" w:sz="4" w:space="0"/>
            </w:tcBorders>
            <w:noWrap w:val="0"/>
            <w:vAlign w:val="center"/>
          </w:tcPr>
          <w:p w14:paraId="5FFC3A99">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正常</w:t>
            </w:r>
          </w:p>
        </w:tc>
        <w:tc>
          <w:tcPr>
            <w:tcW w:w="323" w:type="pct"/>
            <w:tcBorders>
              <w:left w:val="single" w:color="000000" w:sz="4" w:space="0"/>
              <w:right w:val="single" w:color="000000" w:sz="4" w:space="0"/>
            </w:tcBorders>
            <w:noWrap w:val="0"/>
            <w:vAlign w:val="center"/>
          </w:tcPr>
          <w:p w14:paraId="66299513">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0.95</w:t>
            </w:r>
          </w:p>
        </w:tc>
        <w:tc>
          <w:tcPr>
            <w:tcW w:w="273" w:type="pct"/>
            <w:tcBorders>
              <w:left w:val="single" w:color="000000" w:sz="4" w:space="0"/>
              <w:right w:val="single" w:color="000000" w:sz="4" w:space="0"/>
            </w:tcBorders>
            <w:noWrap w:val="0"/>
            <w:vAlign w:val="center"/>
          </w:tcPr>
          <w:p w14:paraId="3894E532">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2.91</w:t>
            </w:r>
          </w:p>
        </w:tc>
        <w:tc>
          <w:tcPr>
            <w:tcW w:w="392" w:type="pct"/>
            <w:tcBorders>
              <w:left w:val="single" w:color="000000" w:sz="4" w:space="0"/>
              <w:right w:val="nil"/>
            </w:tcBorders>
            <w:noWrap w:val="0"/>
            <w:vAlign w:val="center"/>
          </w:tcPr>
          <w:p w14:paraId="1626B140">
            <w:pPr>
              <w:widowControl/>
              <w:spacing w:line="240" w:lineRule="auto"/>
              <w:ind w:firstLine="0" w:firstLineChars="0"/>
              <w:jc w:val="center"/>
              <w:textAlignment w:val="center"/>
              <w:rPr>
                <w:rFonts w:hint="default" w:ascii="Times New Roman" w:hAnsi="Times New Roman"/>
                <w:kern w:val="0"/>
                <w:sz w:val="21"/>
                <w:szCs w:val="21"/>
                <w:highlight w:val="none"/>
                <w:lang w:val="en-US"/>
              </w:rPr>
            </w:pPr>
            <w:r>
              <w:rPr>
                <w:rFonts w:hint="eastAsia" w:ascii="Times New Roman" w:hAnsi="Times New Roman"/>
                <w:sz w:val="21"/>
                <w:szCs w:val="21"/>
                <w:highlight w:val="none"/>
                <w:lang w:val="en-US" w:eastAsia="zh-CN"/>
              </w:rPr>
              <w:t>2.71</w:t>
            </w:r>
          </w:p>
        </w:tc>
        <w:tc>
          <w:tcPr>
            <w:tcW w:w="369" w:type="pct"/>
            <w:tcBorders>
              <w:left w:val="single" w:color="000000" w:sz="4" w:space="0"/>
              <w:right w:val="nil"/>
            </w:tcBorders>
            <w:noWrap w:val="0"/>
            <w:vAlign w:val="center"/>
          </w:tcPr>
          <w:p w14:paraId="2CBEAA96">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0.00219</w:t>
            </w:r>
          </w:p>
        </w:tc>
        <w:tc>
          <w:tcPr>
            <w:tcW w:w="341" w:type="pct"/>
            <w:tcBorders>
              <w:left w:val="single" w:color="000000" w:sz="4" w:space="0"/>
              <w:right w:val="nil"/>
            </w:tcBorders>
            <w:noWrap w:val="0"/>
            <w:vAlign w:val="center"/>
          </w:tcPr>
          <w:p w14:paraId="01978BD5">
            <w:pPr>
              <w:widowControl/>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0.745</w:t>
            </w:r>
          </w:p>
        </w:tc>
      </w:tr>
      <w:tr w14:paraId="479375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tcBorders>
              <w:right w:val="single" w:color="000000" w:sz="4" w:space="0"/>
            </w:tcBorders>
            <w:noWrap w:val="0"/>
            <w:vAlign w:val="center"/>
          </w:tcPr>
          <w:p w14:paraId="7195AC8B">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DA002</w:t>
            </w:r>
          </w:p>
        </w:tc>
        <w:tc>
          <w:tcPr>
            <w:tcW w:w="196" w:type="pct"/>
            <w:tcBorders>
              <w:left w:val="single" w:color="000000" w:sz="4" w:space="0"/>
              <w:right w:val="single" w:color="000000" w:sz="4" w:space="0"/>
            </w:tcBorders>
            <w:noWrap w:val="0"/>
            <w:vAlign w:val="center"/>
          </w:tcPr>
          <w:p w14:paraId="16DD4375">
            <w:pPr>
              <w:widowControl/>
              <w:spacing w:line="240" w:lineRule="auto"/>
              <w:ind w:firstLine="0" w:firstLineChars="0"/>
              <w:jc w:val="center"/>
              <w:textAlignment w:val="center"/>
              <w:rPr>
                <w:rFonts w:hint="eastAsia" w:ascii="Times New Roman" w:hAnsi="Times New Roman" w:eastAsia="宋体"/>
                <w:kern w:val="0"/>
                <w:sz w:val="21"/>
                <w:highlight w:val="none"/>
                <w:lang w:val="en-US" w:eastAsia="zh-CN"/>
              </w:rPr>
            </w:pPr>
            <w:r>
              <w:rPr>
                <w:rFonts w:hint="eastAsia" w:ascii="Times New Roman" w:hAnsi="Times New Roman"/>
                <w:kern w:val="0"/>
                <w:sz w:val="21"/>
                <w:szCs w:val="21"/>
                <w:highlight w:val="none"/>
              </w:rPr>
              <w:t>碎煤机室</w:t>
            </w:r>
            <w:r>
              <w:rPr>
                <w:rFonts w:hint="eastAsia" w:ascii="Times New Roman" w:hAnsi="Times New Roman"/>
                <w:kern w:val="0"/>
                <w:sz w:val="21"/>
                <w:szCs w:val="21"/>
                <w:highlight w:val="none"/>
                <w:lang w:val="en-US" w:eastAsia="zh-CN"/>
              </w:rPr>
              <w:t>排气筒</w:t>
            </w:r>
          </w:p>
        </w:tc>
        <w:tc>
          <w:tcPr>
            <w:tcW w:w="442" w:type="pct"/>
            <w:tcBorders>
              <w:left w:val="single" w:color="000000" w:sz="4" w:space="0"/>
              <w:right w:val="single" w:color="000000" w:sz="4" w:space="0"/>
            </w:tcBorders>
            <w:noWrap w:val="0"/>
            <w:vAlign w:val="center"/>
          </w:tcPr>
          <w:p w14:paraId="04708C4A">
            <w:pPr>
              <w:tabs>
                <w:tab w:val="left" w:pos="1517"/>
              </w:tabs>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04" w:type="pct"/>
            <w:tcBorders>
              <w:left w:val="single" w:color="000000" w:sz="4" w:space="0"/>
              <w:right w:val="single" w:color="000000" w:sz="4" w:space="0"/>
            </w:tcBorders>
            <w:noWrap w:val="0"/>
            <w:vAlign w:val="center"/>
          </w:tcPr>
          <w:p w14:paraId="757772DF">
            <w:pPr>
              <w:tabs>
                <w:tab w:val="left" w:pos="1517"/>
              </w:tabs>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46</w:t>
            </w:r>
          </w:p>
        </w:tc>
        <w:tc>
          <w:tcPr>
            <w:tcW w:w="366" w:type="pct"/>
            <w:tcBorders>
              <w:left w:val="single" w:color="000000" w:sz="4" w:space="0"/>
              <w:right w:val="single" w:color="000000" w:sz="4" w:space="0"/>
            </w:tcBorders>
            <w:noWrap w:val="0"/>
            <w:vAlign w:val="center"/>
          </w:tcPr>
          <w:p w14:paraId="2B110B0F">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458</w:t>
            </w:r>
          </w:p>
        </w:tc>
        <w:tc>
          <w:tcPr>
            <w:tcW w:w="231" w:type="pct"/>
            <w:tcBorders>
              <w:left w:val="single" w:color="000000" w:sz="4" w:space="0"/>
              <w:right w:val="single" w:color="000000" w:sz="4" w:space="0"/>
            </w:tcBorders>
            <w:noWrap w:val="0"/>
            <w:vAlign w:val="center"/>
          </w:tcPr>
          <w:p w14:paraId="6CB558C4">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15</w:t>
            </w:r>
          </w:p>
        </w:tc>
        <w:tc>
          <w:tcPr>
            <w:tcW w:w="288" w:type="pct"/>
            <w:tcBorders>
              <w:left w:val="single" w:color="000000" w:sz="4" w:space="0"/>
              <w:right w:val="single" w:color="000000" w:sz="4" w:space="0"/>
            </w:tcBorders>
            <w:noWrap w:val="0"/>
            <w:vAlign w:val="center"/>
          </w:tcPr>
          <w:p w14:paraId="621832DB">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0.2</w:t>
            </w:r>
          </w:p>
        </w:tc>
        <w:tc>
          <w:tcPr>
            <w:tcW w:w="464" w:type="pct"/>
            <w:tcBorders>
              <w:left w:val="single" w:color="000000" w:sz="4" w:space="0"/>
              <w:right w:val="single" w:color="000000" w:sz="4" w:space="0"/>
            </w:tcBorders>
            <w:noWrap w:val="0"/>
            <w:vAlign w:val="center"/>
          </w:tcPr>
          <w:p w14:paraId="03510736">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4000</w:t>
            </w:r>
          </w:p>
        </w:tc>
        <w:tc>
          <w:tcPr>
            <w:tcW w:w="230" w:type="pct"/>
            <w:tcBorders>
              <w:left w:val="single" w:color="000000" w:sz="4" w:space="0"/>
              <w:right w:val="single" w:color="000000" w:sz="4" w:space="0"/>
            </w:tcBorders>
            <w:noWrap w:val="0"/>
            <w:vAlign w:val="center"/>
          </w:tcPr>
          <w:p w14:paraId="42D6FE8D">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-20</w:t>
            </w:r>
          </w:p>
        </w:tc>
        <w:tc>
          <w:tcPr>
            <w:tcW w:w="273" w:type="pct"/>
            <w:tcBorders>
              <w:left w:val="single" w:color="000000" w:sz="4" w:space="0"/>
              <w:right w:val="single" w:color="000000" w:sz="4" w:space="0"/>
            </w:tcBorders>
            <w:noWrap w:val="0"/>
            <w:vAlign w:val="center"/>
          </w:tcPr>
          <w:p w14:paraId="32AA4069">
            <w:pPr>
              <w:widowControl/>
              <w:spacing w:line="240" w:lineRule="auto"/>
              <w:ind w:firstLine="0" w:firstLineChars="0"/>
              <w:jc w:val="center"/>
              <w:textAlignment w:val="center"/>
              <w:rPr>
                <w:rFonts w:hint="default" w:ascii="Times New Roman" w:hAnsi="Times New Roman"/>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170" w:type="pct"/>
            <w:tcBorders>
              <w:left w:val="single" w:color="000000" w:sz="4" w:space="0"/>
              <w:right w:val="single" w:color="000000" w:sz="4" w:space="0"/>
            </w:tcBorders>
            <w:noWrap w:val="0"/>
            <w:vAlign w:val="center"/>
          </w:tcPr>
          <w:p w14:paraId="1BF9E641">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正常</w:t>
            </w:r>
          </w:p>
        </w:tc>
        <w:tc>
          <w:tcPr>
            <w:tcW w:w="323" w:type="pct"/>
            <w:tcBorders>
              <w:left w:val="single" w:color="000000" w:sz="4" w:space="0"/>
              <w:right w:val="single" w:color="000000" w:sz="4" w:space="0"/>
            </w:tcBorders>
            <w:noWrap w:val="0"/>
            <w:vAlign w:val="center"/>
          </w:tcPr>
          <w:p w14:paraId="5BD14E9A">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0.0016</w:t>
            </w:r>
          </w:p>
        </w:tc>
        <w:tc>
          <w:tcPr>
            <w:tcW w:w="273" w:type="pct"/>
            <w:tcBorders>
              <w:left w:val="single" w:color="000000" w:sz="4" w:space="0"/>
              <w:right w:val="single" w:color="000000" w:sz="4" w:space="0"/>
            </w:tcBorders>
            <w:noWrap w:val="0"/>
            <w:vAlign w:val="center"/>
          </w:tcPr>
          <w:p w14:paraId="5ACF44C1">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92" w:type="pct"/>
            <w:tcBorders>
              <w:left w:val="single" w:color="000000" w:sz="4" w:space="0"/>
              <w:right w:val="nil"/>
            </w:tcBorders>
            <w:noWrap w:val="0"/>
            <w:vAlign w:val="center"/>
          </w:tcPr>
          <w:p w14:paraId="43810A90">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69" w:type="pct"/>
            <w:tcBorders>
              <w:left w:val="single" w:color="000000" w:sz="4" w:space="0"/>
              <w:right w:val="nil"/>
            </w:tcBorders>
            <w:noWrap w:val="0"/>
            <w:vAlign w:val="center"/>
          </w:tcPr>
          <w:p w14:paraId="1DBBC387">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41" w:type="pct"/>
            <w:tcBorders>
              <w:left w:val="single" w:color="000000" w:sz="4" w:space="0"/>
              <w:right w:val="nil"/>
            </w:tcBorders>
            <w:noWrap w:val="0"/>
            <w:vAlign w:val="center"/>
          </w:tcPr>
          <w:p w14:paraId="56EEEBEF">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r>
    </w:tbl>
    <w:p w14:paraId="6EB1B0BB">
      <w:pPr>
        <w:spacing w:line="240" w:lineRule="auto"/>
        <w:ind w:firstLine="0" w:firstLineChars="0"/>
        <w:jc w:val="left"/>
        <w:rPr>
          <w:rFonts w:hint="default" w:ascii="Times New Roman" w:hAnsi="Times New Roman" w:eastAsia="宋体"/>
          <w:b/>
          <w:sz w:val="21"/>
          <w:highlight w:val="none"/>
          <w:lang w:val="en-US" w:eastAsia="zh-CN"/>
        </w:rPr>
      </w:pPr>
      <w:r>
        <w:rPr>
          <w:rFonts w:hint="eastAsia" w:ascii="Times New Roman" w:hAnsi="Times New Roman"/>
          <w:b/>
          <w:sz w:val="21"/>
          <w:highlight w:val="none"/>
        </w:rPr>
        <w:t>注：本次评价烟气排放量</w:t>
      </w:r>
      <w:r>
        <w:rPr>
          <w:rFonts w:hint="eastAsia" w:ascii="Times New Roman" w:hAnsi="Times New Roman"/>
          <w:b/>
          <w:sz w:val="21"/>
          <w:highlight w:val="none"/>
          <w:lang w:val="en-US" w:eastAsia="zh-CN"/>
        </w:rPr>
        <w:t>选取使用锅炉最大组合吨位</w:t>
      </w:r>
      <w:r>
        <w:rPr>
          <w:rFonts w:hint="eastAsia" w:ascii="Times New Roman" w:hAnsi="Times New Roman"/>
          <w:b/>
          <w:sz w:val="21"/>
          <w:highlight w:val="none"/>
        </w:rPr>
        <w:t>进行环境空气评价等级的计算，年排放小时数为</w:t>
      </w:r>
      <w:r>
        <w:rPr>
          <w:rFonts w:hint="eastAsia" w:ascii="Times New Roman" w:hAnsi="Times New Roman"/>
          <w:b/>
          <w:sz w:val="21"/>
          <w:highlight w:val="none"/>
          <w:lang w:val="en-US" w:eastAsia="zh-CN"/>
        </w:rPr>
        <w:t>企业锅炉年运行</w:t>
      </w:r>
      <w:r>
        <w:rPr>
          <w:rFonts w:hint="eastAsia" w:ascii="Times New Roman" w:hAnsi="Times New Roman"/>
          <w:b/>
          <w:sz w:val="21"/>
          <w:highlight w:val="none"/>
        </w:rPr>
        <w:t>小时数。根据《燃煤锅炉烟气中细颗粒物的排放特征和控制现状》（环境工程技术学报2017.05），经过除尘效率相对较高的静电除尘器+湿法脱硫。本次采用布袋除尘器（超细纤维滤袋，表面进行覆膜处理）+湿法脱硫，为除尘效率相对较高的除尘方法。</w:t>
      </w:r>
    </w:p>
    <w:p w14:paraId="7A1033A3">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表2.4-3本项目污染源</w:t>
      </w:r>
      <w:r>
        <w:rPr>
          <w:rFonts w:hint="eastAsia" w:ascii="Times New Roman" w:hAnsi="Times New Roman" w:eastAsia="黑体" w:cs="Times New Roman"/>
          <w:color w:val="auto"/>
          <w:spacing w:val="0"/>
          <w:kern w:val="2"/>
          <w:sz w:val="24"/>
          <w:szCs w:val="24"/>
          <w:highlight w:val="none"/>
          <w:lang w:val="en-US" w:eastAsia="zh-CN" w:bidi="ar-SA"/>
        </w:rPr>
        <w:t>面源</w:t>
      </w:r>
      <w:r>
        <w:rPr>
          <w:rFonts w:hint="default" w:ascii="Times New Roman" w:hAnsi="Times New Roman" w:eastAsia="黑体" w:cs="Times New Roman"/>
          <w:color w:val="auto"/>
          <w:spacing w:val="0"/>
          <w:kern w:val="2"/>
          <w:sz w:val="24"/>
          <w:szCs w:val="24"/>
          <w:highlight w:val="none"/>
          <w:lang w:val="en-US" w:eastAsia="zh-CN" w:bidi="ar-SA"/>
        </w:rPr>
        <w:t>排放参数一览表</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890"/>
        <w:gridCol w:w="1427"/>
        <w:gridCol w:w="1322"/>
        <w:gridCol w:w="1172"/>
        <w:gridCol w:w="911"/>
        <w:gridCol w:w="1061"/>
        <w:gridCol w:w="1035"/>
        <w:gridCol w:w="1248"/>
        <w:gridCol w:w="1257"/>
        <w:gridCol w:w="808"/>
        <w:gridCol w:w="2411"/>
      </w:tblGrid>
      <w:tr w14:paraId="0094B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vMerge w:val="restart"/>
            <w:noWrap w:val="0"/>
            <w:vAlign w:val="center"/>
          </w:tcPr>
          <w:p w14:paraId="554967FC">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编号</w:t>
            </w:r>
          </w:p>
        </w:tc>
        <w:tc>
          <w:tcPr>
            <w:tcW w:w="314" w:type="pct"/>
            <w:vMerge w:val="restart"/>
            <w:noWrap w:val="0"/>
            <w:vAlign w:val="center"/>
          </w:tcPr>
          <w:p w14:paraId="60753711">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名称</w:t>
            </w:r>
          </w:p>
        </w:tc>
        <w:tc>
          <w:tcPr>
            <w:tcW w:w="969" w:type="pct"/>
            <w:gridSpan w:val="2"/>
            <w:noWrap w:val="0"/>
            <w:vAlign w:val="center"/>
          </w:tcPr>
          <w:p w14:paraId="6C6B49CE">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面源起始坐标</w:t>
            </w:r>
            <w:r>
              <w:rPr>
                <w:rFonts w:hint="eastAsia" w:ascii="Times New Roman" w:hAnsi="Times New Roman"/>
                <w:kern w:val="0"/>
                <w:sz w:val="21"/>
                <w:szCs w:val="21"/>
                <w:highlight w:val="none"/>
              </w:rPr>
              <w:t>/m</w:t>
            </w:r>
          </w:p>
        </w:tc>
        <w:tc>
          <w:tcPr>
            <w:tcW w:w="413" w:type="pct"/>
            <w:vMerge w:val="restart"/>
            <w:noWrap w:val="0"/>
            <w:vAlign w:val="center"/>
          </w:tcPr>
          <w:p w14:paraId="3ACC532F">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面源海拔高度/m</w:t>
            </w:r>
          </w:p>
        </w:tc>
        <w:tc>
          <w:tcPr>
            <w:tcW w:w="321" w:type="pct"/>
            <w:vMerge w:val="restart"/>
            <w:noWrap w:val="0"/>
            <w:vAlign w:val="center"/>
          </w:tcPr>
          <w:p w14:paraId="418E52F2">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面源长度/m</w:t>
            </w:r>
          </w:p>
        </w:tc>
        <w:tc>
          <w:tcPr>
            <w:tcW w:w="374" w:type="pct"/>
            <w:vMerge w:val="restart"/>
            <w:noWrap w:val="0"/>
            <w:vAlign w:val="center"/>
          </w:tcPr>
          <w:p w14:paraId="12961839">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面源宽度/m</w:t>
            </w:r>
          </w:p>
        </w:tc>
        <w:tc>
          <w:tcPr>
            <w:tcW w:w="365" w:type="pct"/>
            <w:vMerge w:val="restart"/>
            <w:noWrap w:val="0"/>
            <w:vAlign w:val="center"/>
          </w:tcPr>
          <w:p w14:paraId="06BEA59E">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与正北向夹角/°</w:t>
            </w:r>
          </w:p>
        </w:tc>
        <w:tc>
          <w:tcPr>
            <w:tcW w:w="440" w:type="pct"/>
            <w:vMerge w:val="restart"/>
            <w:noWrap w:val="0"/>
            <w:vAlign w:val="center"/>
          </w:tcPr>
          <w:p w14:paraId="6906FBE5">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面源有效排放高度/m</w:t>
            </w:r>
          </w:p>
        </w:tc>
        <w:tc>
          <w:tcPr>
            <w:tcW w:w="443" w:type="pct"/>
            <w:vMerge w:val="restart"/>
            <w:noWrap w:val="0"/>
            <w:vAlign w:val="center"/>
          </w:tcPr>
          <w:p w14:paraId="207C88FB">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年排放小时数/h</w:t>
            </w:r>
          </w:p>
        </w:tc>
        <w:tc>
          <w:tcPr>
            <w:tcW w:w="285" w:type="pct"/>
            <w:vMerge w:val="restart"/>
            <w:noWrap w:val="0"/>
            <w:vAlign w:val="center"/>
          </w:tcPr>
          <w:p w14:paraId="1E3ACCB1">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排放工况</w:t>
            </w:r>
          </w:p>
        </w:tc>
        <w:tc>
          <w:tcPr>
            <w:tcW w:w="850" w:type="pct"/>
            <w:noWrap w:val="0"/>
            <w:vAlign w:val="center"/>
          </w:tcPr>
          <w:p w14:paraId="5FF65023">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污染物排放速率/（kg/h）</w:t>
            </w:r>
          </w:p>
        </w:tc>
      </w:tr>
      <w:tr w14:paraId="58287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vMerge w:val="continue"/>
            <w:noWrap w:val="0"/>
            <w:vAlign w:val="center"/>
          </w:tcPr>
          <w:p w14:paraId="66821CEF">
            <w:pPr>
              <w:widowControl/>
              <w:spacing w:line="240" w:lineRule="auto"/>
              <w:ind w:firstLine="0" w:firstLineChars="0"/>
              <w:jc w:val="center"/>
              <w:rPr>
                <w:rFonts w:ascii="Times New Roman" w:hAnsi="Times New Roman"/>
                <w:kern w:val="0"/>
                <w:sz w:val="21"/>
                <w:szCs w:val="21"/>
                <w:highlight w:val="none"/>
              </w:rPr>
            </w:pPr>
          </w:p>
        </w:tc>
        <w:tc>
          <w:tcPr>
            <w:tcW w:w="314" w:type="pct"/>
            <w:vMerge w:val="continue"/>
            <w:noWrap w:val="0"/>
            <w:vAlign w:val="center"/>
          </w:tcPr>
          <w:p w14:paraId="2895FC7A">
            <w:pPr>
              <w:widowControl/>
              <w:spacing w:line="240" w:lineRule="auto"/>
              <w:ind w:firstLine="0" w:firstLineChars="0"/>
              <w:jc w:val="center"/>
              <w:rPr>
                <w:rFonts w:ascii="Times New Roman" w:hAnsi="Times New Roman"/>
                <w:kern w:val="0"/>
                <w:sz w:val="21"/>
                <w:szCs w:val="21"/>
                <w:highlight w:val="none"/>
              </w:rPr>
            </w:pPr>
          </w:p>
        </w:tc>
        <w:tc>
          <w:tcPr>
            <w:tcW w:w="503" w:type="pct"/>
            <w:noWrap w:val="0"/>
            <w:vAlign w:val="center"/>
          </w:tcPr>
          <w:p w14:paraId="312E8F94">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X</w:t>
            </w:r>
          </w:p>
        </w:tc>
        <w:tc>
          <w:tcPr>
            <w:tcW w:w="466" w:type="pct"/>
            <w:noWrap w:val="0"/>
            <w:vAlign w:val="center"/>
          </w:tcPr>
          <w:p w14:paraId="4CBE1121">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Y</w:t>
            </w:r>
          </w:p>
        </w:tc>
        <w:tc>
          <w:tcPr>
            <w:tcW w:w="413" w:type="pct"/>
            <w:vMerge w:val="continue"/>
            <w:noWrap w:val="0"/>
            <w:vAlign w:val="center"/>
          </w:tcPr>
          <w:p w14:paraId="354638F4">
            <w:pPr>
              <w:widowControl/>
              <w:spacing w:line="240" w:lineRule="auto"/>
              <w:ind w:firstLine="0" w:firstLineChars="0"/>
              <w:jc w:val="center"/>
              <w:rPr>
                <w:rFonts w:ascii="Times New Roman" w:hAnsi="Times New Roman"/>
                <w:kern w:val="0"/>
                <w:sz w:val="21"/>
                <w:szCs w:val="21"/>
                <w:highlight w:val="none"/>
              </w:rPr>
            </w:pPr>
          </w:p>
        </w:tc>
        <w:tc>
          <w:tcPr>
            <w:tcW w:w="321" w:type="pct"/>
            <w:vMerge w:val="continue"/>
            <w:noWrap w:val="0"/>
            <w:vAlign w:val="center"/>
          </w:tcPr>
          <w:p w14:paraId="543736BC">
            <w:pPr>
              <w:widowControl/>
              <w:spacing w:line="240" w:lineRule="auto"/>
              <w:ind w:firstLine="0" w:firstLineChars="0"/>
              <w:jc w:val="center"/>
              <w:rPr>
                <w:rFonts w:ascii="Times New Roman" w:hAnsi="Times New Roman"/>
                <w:kern w:val="0"/>
                <w:sz w:val="21"/>
                <w:szCs w:val="21"/>
                <w:highlight w:val="none"/>
              </w:rPr>
            </w:pPr>
          </w:p>
        </w:tc>
        <w:tc>
          <w:tcPr>
            <w:tcW w:w="374" w:type="pct"/>
            <w:vMerge w:val="continue"/>
            <w:noWrap w:val="0"/>
            <w:vAlign w:val="center"/>
          </w:tcPr>
          <w:p w14:paraId="5D8225F5">
            <w:pPr>
              <w:widowControl/>
              <w:spacing w:line="240" w:lineRule="auto"/>
              <w:ind w:firstLine="0" w:firstLineChars="0"/>
              <w:jc w:val="center"/>
              <w:rPr>
                <w:rFonts w:ascii="Times New Roman" w:hAnsi="Times New Roman"/>
                <w:kern w:val="0"/>
                <w:sz w:val="21"/>
                <w:szCs w:val="21"/>
                <w:highlight w:val="none"/>
              </w:rPr>
            </w:pPr>
          </w:p>
        </w:tc>
        <w:tc>
          <w:tcPr>
            <w:tcW w:w="365" w:type="pct"/>
            <w:vMerge w:val="continue"/>
            <w:noWrap w:val="0"/>
            <w:vAlign w:val="center"/>
          </w:tcPr>
          <w:p w14:paraId="6404285A">
            <w:pPr>
              <w:widowControl/>
              <w:spacing w:line="240" w:lineRule="auto"/>
              <w:ind w:firstLine="0" w:firstLineChars="0"/>
              <w:jc w:val="center"/>
              <w:rPr>
                <w:rFonts w:ascii="Times New Roman" w:hAnsi="Times New Roman"/>
                <w:kern w:val="0"/>
                <w:sz w:val="21"/>
                <w:szCs w:val="21"/>
                <w:highlight w:val="none"/>
              </w:rPr>
            </w:pPr>
          </w:p>
        </w:tc>
        <w:tc>
          <w:tcPr>
            <w:tcW w:w="440" w:type="pct"/>
            <w:vMerge w:val="continue"/>
            <w:noWrap w:val="0"/>
            <w:vAlign w:val="center"/>
          </w:tcPr>
          <w:p w14:paraId="397250FE">
            <w:pPr>
              <w:widowControl/>
              <w:spacing w:line="240" w:lineRule="auto"/>
              <w:ind w:firstLine="0" w:firstLineChars="0"/>
              <w:jc w:val="center"/>
              <w:rPr>
                <w:rFonts w:ascii="Times New Roman" w:hAnsi="Times New Roman"/>
                <w:kern w:val="0"/>
                <w:sz w:val="21"/>
                <w:szCs w:val="21"/>
                <w:highlight w:val="none"/>
              </w:rPr>
            </w:pPr>
          </w:p>
        </w:tc>
        <w:tc>
          <w:tcPr>
            <w:tcW w:w="443" w:type="pct"/>
            <w:vMerge w:val="continue"/>
            <w:noWrap w:val="0"/>
            <w:vAlign w:val="center"/>
          </w:tcPr>
          <w:p w14:paraId="07E55F32">
            <w:pPr>
              <w:widowControl/>
              <w:spacing w:line="240" w:lineRule="auto"/>
              <w:ind w:firstLine="0" w:firstLineChars="0"/>
              <w:jc w:val="center"/>
              <w:rPr>
                <w:rFonts w:ascii="Times New Roman" w:hAnsi="Times New Roman"/>
                <w:kern w:val="0"/>
                <w:sz w:val="21"/>
                <w:szCs w:val="21"/>
                <w:highlight w:val="none"/>
              </w:rPr>
            </w:pPr>
          </w:p>
        </w:tc>
        <w:tc>
          <w:tcPr>
            <w:tcW w:w="285" w:type="pct"/>
            <w:vMerge w:val="continue"/>
            <w:noWrap w:val="0"/>
            <w:vAlign w:val="center"/>
          </w:tcPr>
          <w:p w14:paraId="1E97ADA8">
            <w:pPr>
              <w:widowControl/>
              <w:spacing w:line="240" w:lineRule="auto"/>
              <w:ind w:firstLine="0" w:firstLineChars="0"/>
              <w:jc w:val="center"/>
              <w:rPr>
                <w:rFonts w:ascii="Times New Roman" w:hAnsi="Times New Roman"/>
                <w:kern w:val="0"/>
                <w:sz w:val="21"/>
                <w:szCs w:val="21"/>
                <w:highlight w:val="none"/>
              </w:rPr>
            </w:pPr>
          </w:p>
        </w:tc>
        <w:tc>
          <w:tcPr>
            <w:tcW w:w="850" w:type="pct"/>
            <w:noWrap w:val="0"/>
            <w:vAlign w:val="center"/>
          </w:tcPr>
          <w:p w14:paraId="4DE48615">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颗粒物</w:t>
            </w:r>
          </w:p>
        </w:tc>
      </w:tr>
      <w:tr w14:paraId="26A8FC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noWrap w:val="0"/>
            <w:vAlign w:val="center"/>
          </w:tcPr>
          <w:p w14:paraId="093E4614">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1</w:t>
            </w:r>
          </w:p>
        </w:tc>
        <w:tc>
          <w:tcPr>
            <w:tcW w:w="314" w:type="pct"/>
            <w:noWrap w:val="0"/>
            <w:vAlign w:val="center"/>
          </w:tcPr>
          <w:p w14:paraId="00F605B0">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灰仓</w:t>
            </w:r>
          </w:p>
        </w:tc>
        <w:tc>
          <w:tcPr>
            <w:tcW w:w="503" w:type="pct"/>
            <w:noWrap w:val="0"/>
            <w:vAlign w:val="center"/>
          </w:tcPr>
          <w:p w14:paraId="10EE835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25</w:t>
            </w:r>
          </w:p>
        </w:tc>
        <w:tc>
          <w:tcPr>
            <w:tcW w:w="466" w:type="pct"/>
            <w:noWrap w:val="0"/>
            <w:vAlign w:val="center"/>
          </w:tcPr>
          <w:p w14:paraId="1238359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11</w:t>
            </w:r>
          </w:p>
        </w:tc>
        <w:tc>
          <w:tcPr>
            <w:tcW w:w="413" w:type="pct"/>
            <w:noWrap w:val="0"/>
            <w:vAlign w:val="center"/>
          </w:tcPr>
          <w:p w14:paraId="5A4BB5C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0FB4B4B1">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6</w:t>
            </w:r>
          </w:p>
        </w:tc>
        <w:tc>
          <w:tcPr>
            <w:tcW w:w="374" w:type="pct"/>
            <w:noWrap w:val="0"/>
            <w:vAlign w:val="center"/>
          </w:tcPr>
          <w:p w14:paraId="41B813E1">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6</w:t>
            </w:r>
          </w:p>
        </w:tc>
        <w:tc>
          <w:tcPr>
            <w:tcW w:w="365" w:type="pct"/>
            <w:noWrap w:val="0"/>
            <w:vAlign w:val="center"/>
          </w:tcPr>
          <w:p w14:paraId="22301073">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0</w:t>
            </w:r>
          </w:p>
        </w:tc>
        <w:tc>
          <w:tcPr>
            <w:tcW w:w="440" w:type="pct"/>
            <w:noWrap w:val="0"/>
            <w:vAlign w:val="center"/>
          </w:tcPr>
          <w:p w14:paraId="2A96910D">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8</w:t>
            </w:r>
          </w:p>
        </w:tc>
        <w:tc>
          <w:tcPr>
            <w:tcW w:w="443" w:type="pct"/>
            <w:noWrap w:val="0"/>
            <w:vAlign w:val="center"/>
          </w:tcPr>
          <w:p w14:paraId="3857FB9D">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highlight w:val="none"/>
                <w:lang w:val="en-US" w:eastAsia="zh-CN" w:bidi="ar"/>
              </w:rPr>
              <w:t>5040</w:t>
            </w:r>
          </w:p>
        </w:tc>
        <w:tc>
          <w:tcPr>
            <w:tcW w:w="285" w:type="pct"/>
            <w:noWrap w:val="0"/>
            <w:vAlign w:val="center"/>
          </w:tcPr>
          <w:p w14:paraId="782CAF4E">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2D0A7615">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0.012</w:t>
            </w:r>
          </w:p>
        </w:tc>
      </w:tr>
      <w:tr w14:paraId="35DFB4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noWrap w:val="0"/>
            <w:vAlign w:val="center"/>
          </w:tcPr>
          <w:p w14:paraId="5CAB6C84">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3</w:t>
            </w:r>
          </w:p>
        </w:tc>
        <w:tc>
          <w:tcPr>
            <w:tcW w:w="314" w:type="pct"/>
            <w:noWrap w:val="0"/>
            <w:vAlign w:val="center"/>
          </w:tcPr>
          <w:p w14:paraId="0E03CF9B">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渣仓</w:t>
            </w:r>
          </w:p>
        </w:tc>
        <w:tc>
          <w:tcPr>
            <w:tcW w:w="503" w:type="pct"/>
            <w:noWrap w:val="0"/>
            <w:vAlign w:val="center"/>
          </w:tcPr>
          <w:p w14:paraId="18063685">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29</w:t>
            </w:r>
          </w:p>
        </w:tc>
        <w:tc>
          <w:tcPr>
            <w:tcW w:w="466" w:type="pct"/>
            <w:noWrap w:val="0"/>
            <w:vAlign w:val="center"/>
          </w:tcPr>
          <w:p w14:paraId="33B0760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21</w:t>
            </w:r>
          </w:p>
        </w:tc>
        <w:tc>
          <w:tcPr>
            <w:tcW w:w="413" w:type="pct"/>
            <w:noWrap w:val="0"/>
            <w:vAlign w:val="center"/>
          </w:tcPr>
          <w:p w14:paraId="44335315">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1DC173A8">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374" w:type="pct"/>
            <w:noWrap w:val="0"/>
            <w:vAlign w:val="center"/>
          </w:tcPr>
          <w:p w14:paraId="2A751DDA">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365" w:type="pct"/>
            <w:noWrap w:val="0"/>
            <w:vAlign w:val="center"/>
          </w:tcPr>
          <w:p w14:paraId="3EBC9457">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2C46F4EC">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8</w:t>
            </w:r>
          </w:p>
        </w:tc>
        <w:tc>
          <w:tcPr>
            <w:tcW w:w="443" w:type="pct"/>
            <w:noWrap w:val="0"/>
            <w:vAlign w:val="center"/>
          </w:tcPr>
          <w:p w14:paraId="6233885B">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highlight w:val="none"/>
                <w:lang w:val="en-US" w:eastAsia="zh-CN" w:bidi="ar"/>
              </w:rPr>
              <w:t>5040</w:t>
            </w:r>
          </w:p>
        </w:tc>
        <w:tc>
          <w:tcPr>
            <w:tcW w:w="285" w:type="pct"/>
            <w:noWrap w:val="0"/>
            <w:vAlign w:val="center"/>
          </w:tcPr>
          <w:p w14:paraId="13BD2C1E">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007EBE9E">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0.005143</w:t>
            </w:r>
          </w:p>
        </w:tc>
      </w:tr>
      <w:tr w14:paraId="132450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noWrap w:val="0"/>
            <w:vAlign w:val="center"/>
          </w:tcPr>
          <w:p w14:paraId="3004FF31">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w:t>
            </w:r>
          </w:p>
        </w:tc>
        <w:tc>
          <w:tcPr>
            <w:tcW w:w="314" w:type="pct"/>
            <w:noWrap w:val="0"/>
            <w:vAlign w:val="center"/>
          </w:tcPr>
          <w:p w14:paraId="5F82F120">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石灰石粉仓</w:t>
            </w:r>
          </w:p>
        </w:tc>
        <w:tc>
          <w:tcPr>
            <w:tcW w:w="503" w:type="pct"/>
            <w:noWrap w:val="0"/>
            <w:vAlign w:val="center"/>
          </w:tcPr>
          <w:p w14:paraId="023E8A0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66" w:type="pct"/>
            <w:noWrap w:val="0"/>
            <w:vAlign w:val="center"/>
          </w:tcPr>
          <w:p w14:paraId="45AE47F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43</w:t>
            </w:r>
          </w:p>
        </w:tc>
        <w:tc>
          <w:tcPr>
            <w:tcW w:w="413" w:type="pct"/>
            <w:noWrap w:val="0"/>
            <w:vAlign w:val="center"/>
          </w:tcPr>
          <w:p w14:paraId="1E4AD234">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33699E26">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5</w:t>
            </w:r>
          </w:p>
        </w:tc>
        <w:tc>
          <w:tcPr>
            <w:tcW w:w="374" w:type="pct"/>
            <w:noWrap w:val="0"/>
            <w:vAlign w:val="center"/>
          </w:tcPr>
          <w:p w14:paraId="13461A0A">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5</w:t>
            </w:r>
          </w:p>
        </w:tc>
        <w:tc>
          <w:tcPr>
            <w:tcW w:w="365" w:type="pct"/>
            <w:noWrap w:val="0"/>
            <w:vAlign w:val="center"/>
          </w:tcPr>
          <w:p w14:paraId="505D4B15">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32C6ABD3">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443" w:type="pct"/>
            <w:noWrap w:val="0"/>
            <w:vAlign w:val="center"/>
          </w:tcPr>
          <w:p w14:paraId="28EE6BE5">
            <w:pPr>
              <w:tabs>
                <w:tab w:val="left" w:pos="1517"/>
              </w:tabs>
              <w:spacing w:line="240" w:lineRule="auto"/>
              <w:ind w:firstLine="0" w:firstLineChars="0"/>
              <w:jc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285" w:type="pct"/>
            <w:noWrap w:val="0"/>
            <w:vAlign w:val="center"/>
          </w:tcPr>
          <w:p w14:paraId="23FDA61F">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0951F4D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0.00148</w:t>
            </w:r>
          </w:p>
        </w:tc>
      </w:tr>
      <w:tr w14:paraId="70951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3" w:type="pct"/>
            <w:noWrap w:val="0"/>
            <w:vAlign w:val="center"/>
          </w:tcPr>
          <w:p w14:paraId="5CD9EE74">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5</w:t>
            </w:r>
          </w:p>
        </w:tc>
        <w:tc>
          <w:tcPr>
            <w:tcW w:w="314" w:type="pct"/>
            <w:noWrap w:val="0"/>
            <w:vAlign w:val="center"/>
          </w:tcPr>
          <w:p w14:paraId="2DEE55DA">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储煤厂</w:t>
            </w:r>
          </w:p>
        </w:tc>
        <w:tc>
          <w:tcPr>
            <w:tcW w:w="503" w:type="pct"/>
            <w:noWrap w:val="0"/>
            <w:vAlign w:val="center"/>
          </w:tcPr>
          <w:p w14:paraId="6A21630A">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66" w:type="pct"/>
            <w:noWrap w:val="0"/>
            <w:vAlign w:val="center"/>
          </w:tcPr>
          <w:p w14:paraId="3D5BD0D1">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46</w:t>
            </w:r>
          </w:p>
        </w:tc>
        <w:tc>
          <w:tcPr>
            <w:tcW w:w="413" w:type="pct"/>
            <w:noWrap w:val="0"/>
            <w:vAlign w:val="center"/>
          </w:tcPr>
          <w:p w14:paraId="2995BA3E">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0950F84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65</w:t>
            </w:r>
          </w:p>
        </w:tc>
        <w:tc>
          <w:tcPr>
            <w:tcW w:w="374" w:type="pct"/>
            <w:noWrap w:val="0"/>
            <w:vAlign w:val="center"/>
          </w:tcPr>
          <w:p w14:paraId="79D2D271">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65</w:t>
            </w:r>
          </w:p>
        </w:tc>
        <w:tc>
          <w:tcPr>
            <w:tcW w:w="365" w:type="pct"/>
            <w:noWrap w:val="0"/>
            <w:vAlign w:val="center"/>
          </w:tcPr>
          <w:p w14:paraId="44F9BF01">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1C4A45F1">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6</w:t>
            </w:r>
          </w:p>
        </w:tc>
        <w:tc>
          <w:tcPr>
            <w:tcW w:w="443" w:type="pct"/>
            <w:noWrap w:val="0"/>
            <w:vAlign w:val="center"/>
          </w:tcPr>
          <w:p w14:paraId="05FDFDB8">
            <w:pPr>
              <w:tabs>
                <w:tab w:val="left" w:pos="1517"/>
              </w:tabs>
              <w:spacing w:line="240" w:lineRule="auto"/>
              <w:ind w:firstLine="0" w:firstLineChars="0"/>
              <w:jc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285" w:type="pct"/>
            <w:noWrap w:val="0"/>
            <w:vAlign w:val="center"/>
          </w:tcPr>
          <w:p w14:paraId="526365B8">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51818F8E">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0.146</w:t>
            </w:r>
          </w:p>
        </w:tc>
      </w:tr>
    </w:tbl>
    <w:p w14:paraId="25C965F4">
      <w:pPr>
        <w:spacing w:line="240" w:lineRule="auto"/>
        <w:ind w:firstLine="0" w:firstLineChars="0"/>
        <w:jc w:val="left"/>
        <w:rPr>
          <w:rFonts w:hint="default" w:ascii="Times New Roman" w:hAnsi="Times New Roman" w:eastAsia="宋体"/>
          <w:highlight w:val="none"/>
          <w:lang w:val="en-US" w:eastAsia="zh-CN"/>
        </w:rPr>
      </w:pPr>
      <w:r>
        <w:rPr>
          <w:rFonts w:hint="eastAsia" w:ascii="Times New Roman" w:hAnsi="Times New Roman"/>
          <w:b/>
          <w:sz w:val="21"/>
          <w:highlight w:val="none"/>
          <w:lang w:val="en-US" w:eastAsia="zh-CN"/>
        </w:rPr>
        <w:t>注：《大气污染物综合排放标准》（GB 16297-1996）对无组织排放作出了明确解释：指大气污染物不经过排气筒的无规则排放。本项目灰仓、渣仓、石灰石粉仓均为排气口排放，储煤厂四周设防风抑尘网，加苫布苫盖，定期洒水降尘。面源有效高度是指面源释放污染物的高度，相对于地面而言。</w:t>
      </w:r>
    </w:p>
    <w:p w14:paraId="187D6111">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表2.4-4估算模型参数表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76"/>
        <w:gridCol w:w="3629"/>
        <w:gridCol w:w="1562"/>
        <w:gridCol w:w="7407"/>
      </w:tblGrid>
      <w:tr w14:paraId="7B2277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6" w:type="pct"/>
            <w:gridSpan w:val="2"/>
            <w:noWrap w:val="0"/>
            <w:vAlign w:val="center"/>
          </w:tcPr>
          <w:p w14:paraId="6D6DEA35">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参数</w:t>
            </w:r>
          </w:p>
        </w:tc>
        <w:tc>
          <w:tcPr>
            <w:tcW w:w="551" w:type="pct"/>
            <w:noWrap w:val="0"/>
            <w:vAlign w:val="center"/>
          </w:tcPr>
          <w:p w14:paraId="702F1ED7">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取值</w:t>
            </w:r>
          </w:p>
        </w:tc>
        <w:tc>
          <w:tcPr>
            <w:tcW w:w="2613" w:type="pct"/>
            <w:noWrap w:val="0"/>
            <w:vAlign w:val="center"/>
          </w:tcPr>
          <w:p w14:paraId="14332A0E">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参数选取依据</w:t>
            </w:r>
          </w:p>
        </w:tc>
      </w:tr>
      <w:tr w14:paraId="1F6D2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restart"/>
            <w:noWrap w:val="0"/>
            <w:vAlign w:val="center"/>
          </w:tcPr>
          <w:p w14:paraId="1971B9BC">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城市/农村选项</w:t>
            </w:r>
          </w:p>
        </w:tc>
        <w:tc>
          <w:tcPr>
            <w:tcW w:w="1280" w:type="pct"/>
            <w:noWrap w:val="0"/>
            <w:vAlign w:val="center"/>
          </w:tcPr>
          <w:p w14:paraId="2F52BAFB">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城市/农村</w:t>
            </w:r>
          </w:p>
        </w:tc>
        <w:tc>
          <w:tcPr>
            <w:tcW w:w="551" w:type="pct"/>
            <w:noWrap w:val="0"/>
            <w:vAlign w:val="center"/>
          </w:tcPr>
          <w:p w14:paraId="622F14EE">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城市</w:t>
            </w:r>
          </w:p>
        </w:tc>
        <w:tc>
          <w:tcPr>
            <w:tcW w:w="2613" w:type="pct"/>
            <w:noWrap w:val="0"/>
            <w:vAlign w:val="center"/>
          </w:tcPr>
          <w:p w14:paraId="10B47767">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根据《环境影响评价技术导则 大气环境》（HJ 2.2-2018）附录B中B.6.1 城市/农村选项：“当项目周边3km半径范围内一半以上面积属于城市建成区或者规划区时，选择城市，否则选择农村”。根据对本项目厂址周边3km半径范围内的用地性质调查结果，</w:t>
            </w:r>
            <w:r>
              <w:rPr>
                <w:rFonts w:ascii="Times New Roman" w:hAnsi="Times New Roman"/>
                <w:kern w:val="0"/>
                <w:sz w:val="21"/>
                <w:highlight w:val="none"/>
              </w:rPr>
              <w:t>项目周边3km范围内一半以上面积属于城市建成区</w:t>
            </w:r>
            <w:r>
              <w:rPr>
                <w:rFonts w:ascii="Times New Roman" w:hAnsi="Times New Roman"/>
                <w:kern w:val="21"/>
                <w:sz w:val="21"/>
                <w:highlight w:val="none"/>
                <w:lang w:bidi="ar"/>
              </w:rPr>
              <w:t>，故本次评价选取城市选项。</w:t>
            </w:r>
          </w:p>
        </w:tc>
      </w:tr>
      <w:tr w14:paraId="365B7F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continue"/>
            <w:noWrap w:val="0"/>
            <w:vAlign w:val="center"/>
          </w:tcPr>
          <w:p w14:paraId="33E3248D">
            <w:pPr>
              <w:adjustRightInd w:val="0"/>
              <w:snapToGrid w:val="0"/>
              <w:spacing w:line="240" w:lineRule="auto"/>
              <w:ind w:firstLine="0" w:firstLineChars="0"/>
              <w:jc w:val="center"/>
              <w:rPr>
                <w:rFonts w:ascii="Times New Roman" w:hAnsi="Times New Roman"/>
                <w:kern w:val="21"/>
                <w:sz w:val="21"/>
                <w:highlight w:val="none"/>
              </w:rPr>
            </w:pPr>
          </w:p>
        </w:tc>
        <w:tc>
          <w:tcPr>
            <w:tcW w:w="1280" w:type="pct"/>
            <w:noWrap w:val="0"/>
            <w:vAlign w:val="center"/>
          </w:tcPr>
          <w:p w14:paraId="021CC7A2">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人口数（城市选项时）</w:t>
            </w:r>
          </w:p>
        </w:tc>
        <w:tc>
          <w:tcPr>
            <w:tcW w:w="551" w:type="pct"/>
            <w:noWrap w:val="0"/>
            <w:vAlign w:val="center"/>
          </w:tcPr>
          <w:p w14:paraId="3F8CC676">
            <w:pPr>
              <w:adjustRightInd w:val="0"/>
              <w:snapToGrid w:val="0"/>
              <w:spacing w:line="240" w:lineRule="auto"/>
              <w:ind w:firstLine="0" w:firstLineChars="0"/>
              <w:jc w:val="center"/>
              <w:rPr>
                <w:rFonts w:hint="eastAsia" w:ascii="Times New Roman" w:hAnsi="Times New Roman"/>
                <w:kern w:val="21"/>
                <w:sz w:val="21"/>
                <w:highlight w:val="none"/>
              </w:rPr>
            </w:pPr>
            <w:r>
              <w:rPr>
                <w:rFonts w:hint="eastAsia" w:ascii="Times New Roman" w:hAnsi="Times New Roman"/>
                <w:kern w:val="0"/>
                <w:sz w:val="21"/>
                <w:highlight w:val="none"/>
                <w:lang w:val="en-US" w:eastAsia="zh-CN"/>
              </w:rPr>
              <w:t>11.49</w:t>
            </w:r>
            <w:r>
              <w:rPr>
                <w:rFonts w:ascii="Arial" w:hAnsi="Arial" w:cs="Arial"/>
                <w:sz w:val="21"/>
                <w:szCs w:val="21"/>
                <w:highlight w:val="none"/>
                <w:shd w:val="clear" w:color="auto" w:fill="FFFFFF"/>
              </w:rPr>
              <w:t>万人</w:t>
            </w:r>
          </w:p>
        </w:tc>
        <w:tc>
          <w:tcPr>
            <w:tcW w:w="2613" w:type="pct"/>
            <w:noWrap w:val="0"/>
            <w:vAlign w:val="center"/>
          </w:tcPr>
          <w:p w14:paraId="2067D3A8">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规划人口数</w:t>
            </w:r>
          </w:p>
        </w:tc>
      </w:tr>
      <w:tr w14:paraId="3FC8EC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6" w:type="pct"/>
            <w:gridSpan w:val="2"/>
            <w:noWrap w:val="0"/>
            <w:vAlign w:val="center"/>
          </w:tcPr>
          <w:p w14:paraId="0AFC935F">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最高环境温度/</w:t>
            </w:r>
            <w:r>
              <w:rPr>
                <w:rFonts w:hint="eastAsia" w:ascii="宋体" w:hAnsi="宋体" w:cs="宋体"/>
                <w:kern w:val="21"/>
                <w:sz w:val="21"/>
                <w:highlight w:val="none"/>
                <w:lang w:bidi="ar"/>
              </w:rPr>
              <w:t>℃</w:t>
            </w:r>
          </w:p>
        </w:tc>
        <w:tc>
          <w:tcPr>
            <w:tcW w:w="551" w:type="pct"/>
            <w:noWrap w:val="0"/>
            <w:vAlign w:val="center"/>
          </w:tcPr>
          <w:p w14:paraId="5CC9882A">
            <w:pPr>
              <w:widowControl/>
              <w:spacing w:line="240" w:lineRule="auto"/>
              <w:ind w:firstLine="0" w:firstLineChars="0"/>
              <w:jc w:val="center"/>
              <w:rPr>
                <w:rFonts w:hint="default" w:ascii="Times New Roman" w:hAnsi="Times New Roman" w:eastAsia="宋体"/>
                <w:kern w:val="21"/>
                <w:sz w:val="21"/>
                <w:highlight w:val="none"/>
                <w:lang w:val="en-US" w:eastAsia="zh-CN"/>
              </w:rPr>
            </w:pPr>
            <w:r>
              <w:rPr>
                <w:rFonts w:hint="eastAsia" w:ascii="Times New Roman" w:hAnsi="Times New Roman"/>
                <w:kern w:val="0"/>
                <w:sz w:val="21"/>
                <w:highlight w:val="none"/>
                <w:lang w:val="en-US" w:eastAsia="zh-CN"/>
              </w:rPr>
              <w:t>31.8</w:t>
            </w:r>
          </w:p>
        </w:tc>
        <w:tc>
          <w:tcPr>
            <w:tcW w:w="2613" w:type="pct"/>
            <w:vMerge w:val="restart"/>
            <w:noWrap w:val="0"/>
            <w:vAlign w:val="center"/>
          </w:tcPr>
          <w:p w14:paraId="0009735D">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最高环境温度及最低环境温度取值来源于</w:t>
            </w:r>
            <w:r>
              <w:rPr>
                <w:rFonts w:hint="eastAsia" w:ascii="Times New Roman" w:hAnsi="Times New Roman"/>
                <w:kern w:val="21"/>
                <w:sz w:val="21"/>
                <w:highlight w:val="none"/>
                <w:lang w:val="en-US" w:eastAsia="zh-CN" w:bidi="ar"/>
              </w:rPr>
              <w:t>绥芬河</w:t>
            </w:r>
            <w:r>
              <w:rPr>
                <w:rFonts w:ascii="Times New Roman" w:hAnsi="Times New Roman"/>
                <w:kern w:val="21"/>
                <w:sz w:val="21"/>
                <w:highlight w:val="none"/>
                <w:lang w:bidi="ar"/>
              </w:rPr>
              <w:t>气象站（50958）二十年气象数据统计结果</w:t>
            </w:r>
          </w:p>
        </w:tc>
      </w:tr>
      <w:tr w14:paraId="1D9DE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6" w:type="pct"/>
            <w:gridSpan w:val="2"/>
            <w:noWrap w:val="0"/>
            <w:vAlign w:val="center"/>
          </w:tcPr>
          <w:p w14:paraId="5EB28019">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最低环境温度/</w:t>
            </w:r>
            <w:r>
              <w:rPr>
                <w:rFonts w:hint="eastAsia" w:ascii="宋体" w:hAnsi="宋体" w:cs="宋体"/>
                <w:kern w:val="21"/>
                <w:sz w:val="21"/>
                <w:highlight w:val="none"/>
                <w:lang w:bidi="ar"/>
              </w:rPr>
              <w:t>℃</w:t>
            </w:r>
          </w:p>
        </w:tc>
        <w:tc>
          <w:tcPr>
            <w:tcW w:w="551" w:type="pct"/>
            <w:noWrap w:val="0"/>
            <w:vAlign w:val="center"/>
          </w:tcPr>
          <w:p w14:paraId="254AE7A5">
            <w:pPr>
              <w:widowControl/>
              <w:spacing w:line="240" w:lineRule="auto"/>
              <w:ind w:firstLine="0" w:firstLineChars="0"/>
              <w:jc w:val="center"/>
              <w:rPr>
                <w:rFonts w:hint="default" w:ascii="Times New Roman" w:hAnsi="Times New Roman" w:eastAsia="宋体"/>
                <w:kern w:val="21"/>
                <w:sz w:val="21"/>
                <w:highlight w:val="none"/>
                <w:lang w:val="en-US" w:eastAsia="zh-CN"/>
              </w:rPr>
            </w:pPr>
            <w:r>
              <w:rPr>
                <w:rFonts w:hint="eastAsia" w:ascii="Times New Roman" w:hAnsi="Times New Roman"/>
                <w:kern w:val="0"/>
                <w:sz w:val="21"/>
                <w:highlight w:val="none"/>
                <w:lang w:val="en-US" w:eastAsia="zh-CN"/>
              </w:rPr>
              <w:t>-26.9</w:t>
            </w:r>
          </w:p>
        </w:tc>
        <w:tc>
          <w:tcPr>
            <w:tcW w:w="2613" w:type="pct"/>
            <w:vMerge w:val="continue"/>
            <w:noWrap w:val="0"/>
            <w:vAlign w:val="center"/>
          </w:tcPr>
          <w:p w14:paraId="43687853">
            <w:pPr>
              <w:adjustRightInd w:val="0"/>
              <w:snapToGrid w:val="0"/>
              <w:spacing w:line="240" w:lineRule="auto"/>
              <w:ind w:firstLine="0" w:firstLineChars="0"/>
              <w:jc w:val="center"/>
              <w:rPr>
                <w:rFonts w:ascii="Times New Roman" w:hAnsi="Times New Roman"/>
                <w:kern w:val="21"/>
                <w:sz w:val="21"/>
                <w:highlight w:val="none"/>
                <w:lang w:bidi="ar"/>
              </w:rPr>
            </w:pPr>
          </w:p>
        </w:tc>
      </w:tr>
      <w:tr w14:paraId="313AA4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6" w:type="pct"/>
            <w:gridSpan w:val="2"/>
            <w:noWrap w:val="0"/>
            <w:vAlign w:val="center"/>
          </w:tcPr>
          <w:p w14:paraId="5192A272">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土地利用类型</w:t>
            </w:r>
          </w:p>
        </w:tc>
        <w:tc>
          <w:tcPr>
            <w:tcW w:w="551" w:type="pct"/>
            <w:noWrap w:val="0"/>
            <w:vAlign w:val="center"/>
          </w:tcPr>
          <w:p w14:paraId="69CA1AB3">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城市</w:t>
            </w:r>
          </w:p>
        </w:tc>
        <w:tc>
          <w:tcPr>
            <w:tcW w:w="2613" w:type="pct"/>
            <w:noWrap w:val="0"/>
            <w:vAlign w:val="center"/>
          </w:tcPr>
          <w:p w14:paraId="340D2A81">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本项目所在区域非</w:t>
            </w:r>
            <w:r>
              <w:rPr>
                <w:rFonts w:ascii="Times New Roman" w:hAnsi="Times New Roman"/>
                <w:kern w:val="21"/>
                <w:sz w:val="21"/>
                <w:highlight w:val="none"/>
                <w:lang w:bidi="ar"/>
              </w:rPr>
              <w:t>建成区及规划区的用地类型主要为建成区，故本次评价</w:t>
            </w:r>
            <w:r>
              <w:rPr>
                <w:rFonts w:ascii="Times New Roman" w:hAnsi="Times New Roman"/>
                <w:kern w:val="21"/>
                <w:sz w:val="21"/>
                <w:highlight w:val="none"/>
              </w:rPr>
              <w:t>选取城市</w:t>
            </w:r>
          </w:p>
        </w:tc>
      </w:tr>
      <w:tr w14:paraId="177B78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36" w:type="pct"/>
            <w:gridSpan w:val="2"/>
            <w:noWrap w:val="0"/>
            <w:vAlign w:val="center"/>
          </w:tcPr>
          <w:p w14:paraId="36E0F7B3">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区域湿度条件</w:t>
            </w:r>
          </w:p>
        </w:tc>
        <w:tc>
          <w:tcPr>
            <w:tcW w:w="551" w:type="pct"/>
            <w:noWrap w:val="0"/>
            <w:vAlign w:val="center"/>
          </w:tcPr>
          <w:p w14:paraId="110994E1">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中等湿度气候</w:t>
            </w:r>
          </w:p>
        </w:tc>
        <w:tc>
          <w:tcPr>
            <w:tcW w:w="2613" w:type="pct"/>
            <w:noWrap w:val="0"/>
            <w:vAlign w:val="center"/>
          </w:tcPr>
          <w:p w14:paraId="56F2166A">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根据中国干湿地区划分图判断，本项目属于中等湿润气候</w:t>
            </w:r>
          </w:p>
        </w:tc>
      </w:tr>
      <w:tr w14:paraId="0D8CB3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restart"/>
            <w:noWrap w:val="0"/>
            <w:vAlign w:val="center"/>
          </w:tcPr>
          <w:p w14:paraId="4C0BFD95">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是否考虑地形</w:t>
            </w:r>
          </w:p>
        </w:tc>
        <w:tc>
          <w:tcPr>
            <w:tcW w:w="1280" w:type="pct"/>
            <w:noWrap w:val="0"/>
            <w:vAlign w:val="center"/>
          </w:tcPr>
          <w:p w14:paraId="31B9FD55">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考虑地形</w:t>
            </w:r>
          </w:p>
        </w:tc>
        <w:tc>
          <w:tcPr>
            <w:tcW w:w="551" w:type="pct"/>
            <w:noWrap w:val="0"/>
            <w:vAlign w:val="center"/>
          </w:tcPr>
          <w:p w14:paraId="7024B62F">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是</w:t>
            </w:r>
          </w:p>
        </w:tc>
        <w:tc>
          <w:tcPr>
            <w:tcW w:w="2613" w:type="pct"/>
            <w:noWrap w:val="0"/>
            <w:vAlign w:val="center"/>
          </w:tcPr>
          <w:p w14:paraId="22CBD7AF">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根据《环境影响评价技术导则 大气环境》（HJ 2.2-2018）中5.3.2.2：“编制环境影响报告书的项目在采用估算模型计算评价等级时，应输入地形参数”。故本次评价考虑地形。</w:t>
            </w:r>
          </w:p>
        </w:tc>
      </w:tr>
      <w:tr w14:paraId="7FE733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continue"/>
            <w:noWrap w:val="0"/>
            <w:vAlign w:val="center"/>
          </w:tcPr>
          <w:p w14:paraId="108722D4">
            <w:pPr>
              <w:adjustRightInd w:val="0"/>
              <w:snapToGrid w:val="0"/>
              <w:spacing w:line="240" w:lineRule="auto"/>
              <w:ind w:firstLine="0" w:firstLineChars="0"/>
              <w:jc w:val="center"/>
              <w:rPr>
                <w:rFonts w:ascii="Times New Roman" w:hAnsi="Times New Roman"/>
                <w:kern w:val="21"/>
                <w:sz w:val="21"/>
                <w:highlight w:val="none"/>
              </w:rPr>
            </w:pPr>
          </w:p>
        </w:tc>
        <w:tc>
          <w:tcPr>
            <w:tcW w:w="1280" w:type="pct"/>
            <w:noWrap w:val="0"/>
            <w:vAlign w:val="center"/>
          </w:tcPr>
          <w:p w14:paraId="17627047">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地形数据分辨/m</w:t>
            </w:r>
          </w:p>
        </w:tc>
        <w:tc>
          <w:tcPr>
            <w:tcW w:w="551" w:type="pct"/>
            <w:noWrap w:val="0"/>
            <w:vAlign w:val="center"/>
          </w:tcPr>
          <w:p w14:paraId="05B1B6D8">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90</w:t>
            </w:r>
          </w:p>
        </w:tc>
        <w:tc>
          <w:tcPr>
            <w:tcW w:w="2613" w:type="pct"/>
            <w:noWrap w:val="0"/>
            <w:vAlign w:val="center"/>
          </w:tcPr>
          <w:p w14:paraId="60D999D9">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根据EIA2018大气预测软件的DEM地形文件，地形数据分辨率90m</w:t>
            </w:r>
          </w:p>
        </w:tc>
      </w:tr>
      <w:tr w14:paraId="6D949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restart"/>
            <w:noWrap w:val="0"/>
            <w:vAlign w:val="center"/>
          </w:tcPr>
          <w:p w14:paraId="716A3FE3">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是否考虑岸线熏烟</w:t>
            </w:r>
          </w:p>
        </w:tc>
        <w:tc>
          <w:tcPr>
            <w:tcW w:w="1280" w:type="pct"/>
            <w:noWrap w:val="0"/>
            <w:vAlign w:val="center"/>
          </w:tcPr>
          <w:p w14:paraId="6B043609">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考虑岸线熏烟</w:t>
            </w:r>
          </w:p>
        </w:tc>
        <w:tc>
          <w:tcPr>
            <w:tcW w:w="551" w:type="pct"/>
            <w:noWrap w:val="0"/>
            <w:vAlign w:val="center"/>
          </w:tcPr>
          <w:p w14:paraId="080FBA3B">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否</w:t>
            </w:r>
          </w:p>
        </w:tc>
        <w:tc>
          <w:tcPr>
            <w:tcW w:w="2613" w:type="pct"/>
            <w:noWrap w:val="0"/>
            <w:vAlign w:val="center"/>
          </w:tcPr>
          <w:p w14:paraId="335D8FBA">
            <w:pPr>
              <w:adjustRightInd w:val="0"/>
              <w:snapToGrid w:val="0"/>
              <w:spacing w:line="240" w:lineRule="auto"/>
              <w:ind w:firstLine="0" w:firstLineChars="0"/>
              <w:jc w:val="center"/>
              <w:rPr>
                <w:rFonts w:ascii="Times New Roman" w:hAnsi="Times New Roman"/>
                <w:kern w:val="21"/>
                <w:sz w:val="21"/>
                <w:highlight w:val="none"/>
                <w:lang w:bidi="ar"/>
              </w:rPr>
            </w:pPr>
            <w:r>
              <w:rPr>
                <w:rFonts w:ascii="Times New Roman" w:hAnsi="Times New Roman"/>
                <w:kern w:val="21"/>
                <w:sz w:val="21"/>
                <w:highlight w:val="none"/>
                <w:lang w:bidi="ar"/>
              </w:rPr>
              <w:t>根据《环境影响评价技术导则 大气环境》（HJ 2.2-2018）附录B中B.6.2 岸边熏烟选项：“对估算模型AERSCREEN，当污染源附近3km范围内有大型水体时，需选择岸边熏烟选项”。本项目附近3km范围内无大型水体时，故不考虑岸边熏烟</w:t>
            </w:r>
          </w:p>
        </w:tc>
      </w:tr>
      <w:tr w14:paraId="580B3B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continue"/>
            <w:noWrap w:val="0"/>
            <w:vAlign w:val="center"/>
          </w:tcPr>
          <w:p w14:paraId="27B775F3">
            <w:pPr>
              <w:adjustRightInd w:val="0"/>
              <w:snapToGrid w:val="0"/>
              <w:spacing w:line="240" w:lineRule="auto"/>
              <w:ind w:firstLine="0" w:firstLineChars="0"/>
              <w:jc w:val="center"/>
              <w:rPr>
                <w:rFonts w:ascii="Times New Roman" w:hAnsi="Times New Roman"/>
                <w:kern w:val="21"/>
                <w:sz w:val="21"/>
                <w:highlight w:val="none"/>
              </w:rPr>
            </w:pPr>
          </w:p>
        </w:tc>
        <w:tc>
          <w:tcPr>
            <w:tcW w:w="1280" w:type="pct"/>
            <w:noWrap w:val="0"/>
            <w:vAlign w:val="center"/>
          </w:tcPr>
          <w:p w14:paraId="47CA1892">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岸线距离/km</w:t>
            </w:r>
          </w:p>
        </w:tc>
        <w:tc>
          <w:tcPr>
            <w:tcW w:w="551" w:type="pct"/>
            <w:noWrap w:val="0"/>
            <w:vAlign w:val="center"/>
          </w:tcPr>
          <w:p w14:paraId="59156E59">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w:t>
            </w:r>
          </w:p>
        </w:tc>
        <w:tc>
          <w:tcPr>
            <w:tcW w:w="2613" w:type="pct"/>
            <w:noWrap w:val="0"/>
            <w:vAlign w:val="center"/>
          </w:tcPr>
          <w:p w14:paraId="3927743A">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w:t>
            </w:r>
          </w:p>
        </w:tc>
      </w:tr>
      <w:tr w14:paraId="2E0EB5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56" w:type="pct"/>
            <w:vMerge w:val="continue"/>
            <w:noWrap w:val="0"/>
            <w:vAlign w:val="center"/>
          </w:tcPr>
          <w:p w14:paraId="07C3ED59">
            <w:pPr>
              <w:adjustRightInd w:val="0"/>
              <w:snapToGrid w:val="0"/>
              <w:spacing w:line="240" w:lineRule="auto"/>
              <w:ind w:firstLine="0" w:firstLineChars="0"/>
              <w:jc w:val="center"/>
              <w:rPr>
                <w:rFonts w:ascii="Times New Roman" w:hAnsi="Times New Roman"/>
                <w:kern w:val="21"/>
                <w:sz w:val="21"/>
                <w:highlight w:val="none"/>
              </w:rPr>
            </w:pPr>
          </w:p>
        </w:tc>
        <w:tc>
          <w:tcPr>
            <w:tcW w:w="1280" w:type="pct"/>
            <w:noWrap w:val="0"/>
            <w:vAlign w:val="center"/>
          </w:tcPr>
          <w:p w14:paraId="1DDFC4DB">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lang w:bidi="ar"/>
              </w:rPr>
              <w:t>岸线方向/</w:t>
            </w:r>
            <w:r>
              <w:rPr>
                <w:rFonts w:ascii="Times New Roman" w:hAnsi="Times New Roman"/>
                <w:kern w:val="21"/>
                <w:sz w:val="21"/>
                <w:highlight w:val="none"/>
                <w:vertAlign w:val="superscript"/>
                <w:lang w:bidi="ar"/>
              </w:rPr>
              <w:t>o</w:t>
            </w:r>
          </w:p>
        </w:tc>
        <w:tc>
          <w:tcPr>
            <w:tcW w:w="551" w:type="pct"/>
            <w:noWrap w:val="0"/>
            <w:vAlign w:val="center"/>
          </w:tcPr>
          <w:p w14:paraId="2D6EEEBB">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w:t>
            </w:r>
          </w:p>
        </w:tc>
        <w:tc>
          <w:tcPr>
            <w:tcW w:w="2613" w:type="pct"/>
            <w:noWrap w:val="0"/>
            <w:vAlign w:val="center"/>
          </w:tcPr>
          <w:p w14:paraId="39E73086">
            <w:pPr>
              <w:adjustRightInd w:val="0"/>
              <w:snapToGrid w:val="0"/>
              <w:spacing w:line="240" w:lineRule="auto"/>
              <w:ind w:firstLine="0" w:firstLineChars="0"/>
              <w:jc w:val="center"/>
              <w:rPr>
                <w:rFonts w:ascii="Times New Roman" w:hAnsi="Times New Roman"/>
                <w:kern w:val="21"/>
                <w:sz w:val="21"/>
                <w:highlight w:val="none"/>
              </w:rPr>
            </w:pPr>
            <w:r>
              <w:rPr>
                <w:rFonts w:ascii="Times New Roman" w:hAnsi="Times New Roman"/>
                <w:kern w:val="21"/>
                <w:sz w:val="21"/>
                <w:highlight w:val="none"/>
              </w:rPr>
              <w:t>--</w:t>
            </w:r>
          </w:p>
        </w:tc>
      </w:tr>
    </w:tbl>
    <w:p w14:paraId="0DB10560">
      <w:pPr>
        <w:ind w:firstLine="0" w:firstLineChars="0"/>
        <w:jc w:val="center"/>
        <w:rPr>
          <w:rFonts w:ascii="Times New Roman" w:hAnsi="Times New Roman"/>
          <w:highlight w:val="none"/>
        </w:rPr>
      </w:pPr>
      <w:r>
        <w:rPr>
          <w:highlight w:val="none"/>
        </w:rPr>
        <w:drawing>
          <wp:inline distT="0" distB="0" distL="114300" distR="114300">
            <wp:extent cx="7134225" cy="4732655"/>
            <wp:effectExtent l="0" t="0" r="9525" b="10795"/>
            <wp:docPr id="16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5"/>
                    <pic:cNvPicPr>
                      <a:picLocks noChangeAspect="1"/>
                    </pic:cNvPicPr>
                  </pic:nvPicPr>
                  <pic:blipFill>
                    <a:blip r:embed="rId10"/>
                    <a:stretch>
                      <a:fillRect/>
                    </a:stretch>
                  </pic:blipFill>
                  <pic:spPr>
                    <a:xfrm>
                      <a:off x="0" y="0"/>
                      <a:ext cx="7134225" cy="4732655"/>
                    </a:xfrm>
                    <a:prstGeom prst="rect">
                      <a:avLst/>
                    </a:prstGeom>
                    <a:noFill/>
                    <a:ln>
                      <a:noFill/>
                    </a:ln>
                  </pic:spPr>
                </pic:pic>
              </a:graphicData>
            </a:graphic>
          </wp:inline>
        </w:drawing>
      </w:r>
    </w:p>
    <w:p w14:paraId="4C67E57B">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图2.4-1 地面地形高程图</w:t>
      </w:r>
    </w:p>
    <w:p w14:paraId="35AD8A32">
      <w:pPr>
        <w:ind w:firstLine="480"/>
        <w:rPr>
          <w:rFonts w:ascii="Times New Roman" w:hAnsi="Times New Roman"/>
          <w:highlight w:val="none"/>
        </w:rPr>
      </w:pPr>
      <w:r>
        <w:rPr>
          <w:rFonts w:ascii="Times New Roman" w:hAnsi="Times New Roman"/>
          <w:highlight w:val="none"/>
        </w:rPr>
        <w:t>本项目主要污染源估算模型计算结果见表2.4-5。</w:t>
      </w:r>
    </w:p>
    <w:p w14:paraId="234F679F">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表2.4-5（1）主要污染源估算模型计算结果表</w:t>
      </w:r>
      <w:r>
        <w:rPr>
          <w:rFonts w:hint="eastAsia" w:ascii="Times New Roman" w:hAnsi="Times New Roman" w:eastAsia="黑体" w:cs="Times New Roman"/>
          <w:color w:val="auto"/>
          <w:spacing w:val="0"/>
          <w:kern w:val="2"/>
          <w:sz w:val="24"/>
          <w:szCs w:val="24"/>
          <w:highlight w:val="none"/>
          <w:lang w:val="en-US" w:eastAsia="zh-CN" w:bidi="ar-SA"/>
        </w:rPr>
        <w:t xml:space="preserve"> 单位mg/m</w:t>
      </w:r>
      <w:r>
        <w:rPr>
          <w:rFonts w:hint="eastAsia" w:ascii="Times New Roman" w:hAnsi="Times New Roman" w:eastAsia="黑体" w:cs="Times New Roman"/>
          <w:color w:val="auto"/>
          <w:spacing w:val="0"/>
          <w:kern w:val="2"/>
          <w:sz w:val="24"/>
          <w:szCs w:val="24"/>
          <w:highlight w:val="none"/>
          <w:vertAlign w:val="superscript"/>
          <w:lang w:val="en-US" w:eastAsia="zh-CN" w:bidi="ar-SA"/>
        </w:rPr>
        <w:t>3</w:t>
      </w:r>
    </w:p>
    <w:tbl>
      <w:tblPr>
        <w:tblStyle w:val="1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1172"/>
        <w:gridCol w:w="969"/>
        <w:gridCol w:w="1131"/>
        <w:gridCol w:w="996"/>
        <w:gridCol w:w="1186"/>
        <w:gridCol w:w="900"/>
        <w:gridCol w:w="1118"/>
        <w:gridCol w:w="928"/>
        <w:gridCol w:w="1077"/>
        <w:gridCol w:w="886"/>
        <w:gridCol w:w="887"/>
        <w:gridCol w:w="1104"/>
        <w:gridCol w:w="632"/>
      </w:tblGrid>
      <w:tr w14:paraId="3402A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vMerge w:val="restart"/>
            <w:noWrap/>
            <w:vAlign w:val="center"/>
          </w:tcPr>
          <w:p w14:paraId="14C68A04">
            <w:pPr>
              <w:widowControl/>
              <w:spacing w:line="240" w:lineRule="auto"/>
              <w:ind w:firstLine="0" w:firstLineChars="0"/>
              <w:jc w:val="center"/>
              <w:textAlignment w:val="center"/>
              <w:rPr>
                <w:rFonts w:hint="eastAsia" w:ascii="Times New Roman" w:hAnsi="Times New Roman" w:eastAsia="宋体"/>
                <w:sz w:val="22"/>
                <w:highlight w:val="none"/>
                <w:lang w:val="en-US" w:eastAsia="zh-CN"/>
              </w:rPr>
            </w:pPr>
            <w:r>
              <w:rPr>
                <w:rFonts w:ascii="Times New Roman" w:hAnsi="Times New Roman"/>
                <w:kern w:val="0"/>
                <w:sz w:val="22"/>
                <w:highlight w:val="none"/>
                <w:lang w:bidi="ar"/>
              </w:rPr>
              <w:t>离源距离(m)</w:t>
            </w:r>
            <w:r>
              <w:rPr>
                <w:rFonts w:hint="eastAsia" w:ascii="Times New Roman" w:hAnsi="Times New Roman"/>
                <w:kern w:val="0"/>
                <w:sz w:val="22"/>
                <w:highlight w:val="none"/>
                <w:lang w:val="en-US" w:eastAsia="zh-CN" w:bidi="ar"/>
              </w:rPr>
              <w:t>锅炉</w:t>
            </w:r>
          </w:p>
        </w:tc>
        <w:tc>
          <w:tcPr>
            <w:tcW w:w="755" w:type="pct"/>
            <w:gridSpan w:val="2"/>
            <w:noWrap/>
            <w:vAlign w:val="center"/>
          </w:tcPr>
          <w:p w14:paraId="49737E8C">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kern w:val="0"/>
                <w:sz w:val="22"/>
                <w:highlight w:val="none"/>
                <w:lang w:bidi="ar"/>
              </w:rPr>
              <w:t>SO</w:t>
            </w:r>
            <w:r>
              <w:rPr>
                <w:rFonts w:ascii="Times New Roman" w:hAnsi="Times New Roman"/>
                <w:kern w:val="0"/>
                <w:sz w:val="22"/>
                <w:highlight w:val="none"/>
                <w:vertAlign w:val="subscript"/>
                <w:lang w:bidi="ar"/>
              </w:rPr>
              <w:t>2</w:t>
            </w:r>
          </w:p>
        </w:tc>
        <w:tc>
          <w:tcPr>
            <w:tcW w:w="750" w:type="pct"/>
            <w:gridSpan w:val="2"/>
            <w:noWrap/>
            <w:vAlign w:val="center"/>
          </w:tcPr>
          <w:p w14:paraId="2452BD74">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kern w:val="0"/>
                <w:sz w:val="22"/>
                <w:highlight w:val="none"/>
                <w:lang w:bidi="ar"/>
              </w:rPr>
              <w:t>PM</w:t>
            </w:r>
            <w:r>
              <w:rPr>
                <w:rFonts w:ascii="Times New Roman" w:hAnsi="Times New Roman"/>
                <w:kern w:val="0"/>
                <w:sz w:val="22"/>
                <w:highlight w:val="none"/>
                <w:vertAlign w:val="subscript"/>
                <w:lang w:bidi="ar"/>
              </w:rPr>
              <w:t>10</w:t>
            </w:r>
          </w:p>
        </w:tc>
        <w:tc>
          <w:tcPr>
            <w:tcW w:w="736" w:type="pct"/>
            <w:gridSpan w:val="2"/>
            <w:noWrap/>
            <w:vAlign w:val="center"/>
          </w:tcPr>
          <w:p w14:paraId="630510AF">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kern w:val="0"/>
                <w:sz w:val="22"/>
                <w:highlight w:val="none"/>
                <w:lang w:bidi="ar"/>
              </w:rPr>
              <w:t>氮氧化物NO</w:t>
            </w:r>
            <w:r>
              <w:rPr>
                <w:rFonts w:ascii="Times New Roman" w:hAnsi="Times New Roman"/>
                <w:kern w:val="0"/>
                <w:sz w:val="22"/>
                <w:highlight w:val="none"/>
                <w:vertAlign w:val="subscript"/>
                <w:lang w:bidi="ar"/>
              </w:rPr>
              <w:t>X</w:t>
            </w:r>
          </w:p>
        </w:tc>
        <w:tc>
          <w:tcPr>
            <w:tcW w:w="722" w:type="pct"/>
            <w:gridSpan w:val="2"/>
            <w:noWrap/>
            <w:vAlign w:val="center"/>
          </w:tcPr>
          <w:p w14:paraId="43B83815">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kern w:val="0"/>
                <w:sz w:val="22"/>
                <w:highlight w:val="none"/>
                <w:lang w:bidi="ar"/>
              </w:rPr>
              <w:t>汞</w:t>
            </w:r>
          </w:p>
        </w:tc>
        <w:tc>
          <w:tcPr>
            <w:tcW w:w="692" w:type="pct"/>
            <w:gridSpan w:val="2"/>
            <w:noWrap/>
            <w:vAlign w:val="center"/>
          </w:tcPr>
          <w:p w14:paraId="3A172F5D">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kern w:val="0"/>
                <w:sz w:val="22"/>
                <w:highlight w:val="none"/>
                <w:lang w:bidi="ar"/>
              </w:rPr>
              <w:t>氨</w:t>
            </w:r>
          </w:p>
        </w:tc>
        <w:tc>
          <w:tcPr>
            <w:tcW w:w="313" w:type="pct"/>
            <w:vMerge w:val="restart"/>
            <w:noWrap/>
            <w:vAlign w:val="center"/>
          </w:tcPr>
          <w:p w14:paraId="734EC71E">
            <w:pPr>
              <w:widowControl/>
              <w:spacing w:line="240" w:lineRule="auto"/>
              <w:ind w:firstLine="0" w:firstLineChars="0"/>
              <w:jc w:val="center"/>
              <w:textAlignment w:val="center"/>
              <w:rPr>
                <w:rFonts w:hint="default" w:ascii="Times New Roman" w:hAnsi="Times New Roman" w:eastAsia="宋体"/>
                <w:kern w:val="0"/>
                <w:sz w:val="22"/>
                <w:highlight w:val="none"/>
                <w:lang w:val="en-US" w:eastAsia="zh-CN" w:bidi="ar"/>
              </w:rPr>
            </w:pPr>
            <w:r>
              <w:rPr>
                <w:rFonts w:hint="eastAsia" w:ascii="Times New Roman" w:hAnsi="Times New Roman"/>
                <w:kern w:val="0"/>
                <w:sz w:val="22"/>
                <w:highlight w:val="none"/>
                <w:lang w:val="en-US" w:eastAsia="zh-CN" w:bidi="ar"/>
              </w:rPr>
              <w:t>离源距离（m）碎煤机室</w:t>
            </w:r>
          </w:p>
        </w:tc>
        <w:tc>
          <w:tcPr>
            <w:tcW w:w="612" w:type="pct"/>
            <w:gridSpan w:val="2"/>
            <w:noWrap/>
            <w:vAlign w:val="center"/>
          </w:tcPr>
          <w:p w14:paraId="23A32A11">
            <w:pPr>
              <w:widowControl/>
              <w:spacing w:line="240" w:lineRule="auto"/>
              <w:ind w:firstLine="0" w:firstLineChars="0"/>
              <w:jc w:val="center"/>
              <w:textAlignment w:val="center"/>
              <w:rPr>
                <w:rFonts w:ascii="Times New Roman" w:hAnsi="Times New Roman"/>
                <w:kern w:val="0"/>
                <w:sz w:val="22"/>
                <w:highlight w:val="none"/>
                <w:lang w:bidi="ar"/>
              </w:rPr>
            </w:pPr>
            <w:r>
              <w:rPr>
                <w:rFonts w:ascii="Times New Roman" w:hAnsi="Times New Roman"/>
                <w:kern w:val="0"/>
                <w:sz w:val="22"/>
                <w:highlight w:val="none"/>
                <w:lang w:bidi="ar"/>
              </w:rPr>
              <w:t>PM</w:t>
            </w:r>
            <w:r>
              <w:rPr>
                <w:rFonts w:ascii="Times New Roman" w:hAnsi="Times New Roman"/>
                <w:kern w:val="0"/>
                <w:sz w:val="22"/>
                <w:highlight w:val="none"/>
                <w:vertAlign w:val="subscript"/>
                <w:lang w:bidi="ar"/>
              </w:rPr>
              <w:t>10</w:t>
            </w:r>
          </w:p>
        </w:tc>
      </w:tr>
      <w:tr w14:paraId="2E7E55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vMerge w:val="continue"/>
            <w:noWrap/>
            <w:vAlign w:val="center"/>
          </w:tcPr>
          <w:p w14:paraId="2783CC4A">
            <w:pPr>
              <w:widowControl/>
              <w:spacing w:line="240" w:lineRule="auto"/>
              <w:ind w:firstLine="0" w:firstLineChars="0"/>
              <w:jc w:val="center"/>
              <w:textAlignment w:val="center"/>
              <w:rPr>
                <w:rFonts w:ascii="Times New Roman" w:hAnsi="Times New Roman"/>
                <w:sz w:val="22"/>
                <w:highlight w:val="none"/>
              </w:rPr>
            </w:pPr>
          </w:p>
        </w:tc>
        <w:tc>
          <w:tcPr>
            <w:tcW w:w="413" w:type="pct"/>
            <w:noWrap/>
            <w:vAlign w:val="center"/>
          </w:tcPr>
          <w:p w14:paraId="719CCAFD">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342" w:type="pct"/>
            <w:noWrap/>
            <w:vAlign w:val="center"/>
          </w:tcPr>
          <w:p w14:paraId="60C9D745">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c>
          <w:tcPr>
            <w:tcW w:w="399" w:type="pct"/>
            <w:noWrap/>
            <w:vAlign w:val="center"/>
          </w:tcPr>
          <w:p w14:paraId="333C4A16">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351" w:type="pct"/>
            <w:noWrap/>
            <w:vAlign w:val="center"/>
          </w:tcPr>
          <w:p w14:paraId="1AEABDA6">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c>
          <w:tcPr>
            <w:tcW w:w="418" w:type="pct"/>
            <w:noWrap/>
            <w:vAlign w:val="center"/>
          </w:tcPr>
          <w:p w14:paraId="5E629C88">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317" w:type="pct"/>
            <w:noWrap/>
            <w:vAlign w:val="center"/>
          </w:tcPr>
          <w:p w14:paraId="6CF968B4">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c>
          <w:tcPr>
            <w:tcW w:w="394" w:type="pct"/>
            <w:noWrap/>
            <w:vAlign w:val="center"/>
          </w:tcPr>
          <w:p w14:paraId="6F5A6313">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327" w:type="pct"/>
            <w:noWrap/>
            <w:vAlign w:val="center"/>
          </w:tcPr>
          <w:p w14:paraId="52E69BE5">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c>
          <w:tcPr>
            <w:tcW w:w="380" w:type="pct"/>
            <w:noWrap/>
            <w:vAlign w:val="center"/>
          </w:tcPr>
          <w:p w14:paraId="6927CAFA">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312" w:type="pct"/>
            <w:noWrap/>
            <w:vAlign w:val="center"/>
          </w:tcPr>
          <w:p w14:paraId="26AA7AB0">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c>
          <w:tcPr>
            <w:tcW w:w="313" w:type="pct"/>
            <w:vMerge w:val="continue"/>
            <w:noWrap/>
            <w:vAlign w:val="center"/>
          </w:tcPr>
          <w:p w14:paraId="743D776B">
            <w:pPr>
              <w:widowControl/>
              <w:spacing w:line="240" w:lineRule="auto"/>
              <w:ind w:firstLine="0" w:firstLineChars="0"/>
              <w:jc w:val="center"/>
              <w:textAlignment w:val="center"/>
              <w:rPr>
                <w:rFonts w:ascii="Times New Roman" w:hAnsi="Times New Roman"/>
                <w:sz w:val="22"/>
                <w:highlight w:val="none"/>
              </w:rPr>
            </w:pPr>
          </w:p>
        </w:tc>
        <w:tc>
          <w:tcPr>
            <w:tcW w:w="389" w:type="pct"/>
            <w:noWrap/>
            <w:vAlign w:val="center"/>
          </w:tcPr>
          <w:p w14:paraId="76272FCA">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浓度</w:t>
            </w:r>
          </w:p>
        </w:tc>
        <w:tc>
          <w:tcPr>
            <w:tcW w:w="223" w:type="pct"/>
            <w:noWrap/>
            <w:vAlign w:val="center"/>
          </w:tcPr>
          <w:p w14:paraId="48C0EAC1">
            <w:pPr>
              <w:widowControl/>
              <w:spacing w:line="240" w:lineRule="auto"/>
              <w:ind w:firstLine="0" w:firstLineChars="0"/>
              <w:jc w:val="center"/>
              <w:textAlignment w:val="center"/>
              <w:rPr>
                <w:rFonts w:ascii="Times New Roman" w:hAnsi="Times New Roman"/>
                <w:sz w:val="22"/>
                <w:highlight w:val="none"/>
              </w:rPr>
            </w:pPr>
            <w:r>
              <w:rPr>
                <w:rFonts w:ascii="Times New Roman" w:hAnsi="Times New Roman"/>
                <w:sz w:val="22"/>
                <w:highlight w:val="none"/>
              </w:rPr>
              <w:t>占标率%</w:t>
            </w:r>
          </w:p>
        </w:tc>
      </w:tr>
      <w:tr w14:paraId="533762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3FDB23D4">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175</w:t>
            </w:r>
          </w:p>
        </w:tc>
        <w:tc>
          <w:tcPr>
            <w:tcW w:w="413" w:type="pct"/>
            <w:noWrap/>
            <w:vAlign w:val="center"/>
          </w:tcPr>
          <w:p w14:paraId="2108BF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9.44E-04</w:t>
            </w:r>
          </w:p>
        </w:tc>
        <w:tc>
          <w:tcPr>
            <w:tcW w:w="342" w:type="pct"/>
            <w:noWrap/>
            <w:vAlign w:val="center"/>
          </w:tcPr>
          <w:p w14:paraId="5AF764E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0.19</w:t>
            </w:r>
          </w:p>
        </w:tc>
        <w:tc>
          <w:tcPr>
            <w:tcW w:w="399" w:type="pct"/>
            <w:noWrap/>
            <w:vAlign w:val="center"/>
          </w:tcPr>
          <w:p w14:paraId="3846BB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3.89E-04</w:t>
            </w:r>
          </w:p>
        </w:tc>
        <w:tc>
          <w:tcPr>
            <w:tcW w:w="351" w:type="pct"/>
            <w:noWrap/>
            <w:vAlign w:val="center"/>
          </w:tcPr>
          <w:p w14:paraId="457380F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0.09</w:t>
            </w:r>
          </w:p>
        </w:tc>
        <w:tc>
          <w:tcPr>
            <w:tcW w:w="418" w:type="pct"/>
            <w:noWrap/>
            <w:vAlign w:val="center"/>
          </w:tcPr>
          <w:p w14:paraId="04D40F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5.52E-03</w:t>
            </w:r>
          </w:p>
        </w:tc>
        <w:tc>
          <w:tcPr>
            <w:tcW w:w="317" w:type="pct"/>
            <w:noWrap/>
            <w:vAlign w:val="center"/>
          </w:tcPr>
          <w:p w14:paraId="55050DD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2.21</w:t>
            </w:r>
          </w:p>
        </w:tc>
        <w:tc>
          <w:tcPr>
            <w:tcW w:w="394" w:type="pct"/>
            <w:noWrap/>
            <w:vAlign w:val="center"/>
          </w:tcPr>
          <w:p w14:paraId="2B247C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8.95E-07</w:t>
            </w:r>
          </w:p>
        </w:tc>
        <w:tc>
          <w:tcPr>
            <w:tcW w:w="327" w:type="pct"/>
            <w:noWrap/>
            <w:vAlign w:val="center"/>
          </w:tcPr>
          <w:p w14:paraId="51ABB37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0.30</w:t>
            </w:r>
          </w:p>
        </w:tc>
        <w:tc>
          <w:tcPr>
            <w:tcW w:w="380" w:type="pct"/>
            <w:noWrap/>
            <w:vAlign w:val="center"/>
          </w:tcPr>
          <w:p w14:paraId="07EF09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3.05E-04</w:t>
            </w:r>
          </w:p>
        </w:tc>
        <w:tc>
          <w:tcPr>
            <w:tcW w:w="312" w:type="pct"/>
            <w:noWrap/>
            <w:vAlign w:val="center"/>
          </w:tcPr>
          <w:p w14:paraId="5A0EABE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0.15</w:t>
            </w:r>
          </w:p>
        </w:tc>
        <w:tc>
          <w:tcPr>
            <w:tcW w:w="313" w:type="pct"/>
            <w:shd w:val="clear" w:color="auto" w:fill="FFFF00"/>
            <w:noWrap/>
            <w:vAlign w:val="center"/>
          </w:tcPr>
          <w:p w14:paraId="2581FD3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25</w:t>
            </w:r>
          </w:p>
        </w:tc>
        <w:tc>
          <w:tcPr>
            <w:tcW w:w="389" w:type="pct"/>
            <w:shd w:val="clear" w:color="auto" w:fill="FFFF00"/>
            <w:noWrap/>
            <w:vAlign w:val="center"/>
          </w:tcPr>
          <w:p w14:paraId="6DAE870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4.92E-05</w:t>
            </w:r>
          </w:p>
        </w:tc>
        <w:tc>
          <w:tcPr>
            <w:tcW w:w="223" w:type="pct"/>
            <w:shd w:val="clear" w:color="auto" w:fill="FFFF00"/>
            <w:noWrap/>
            <w:vAlign w:val="center"/>
          </w:tcPr>
          <w:p w14:paraId="498685B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5C24D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ign w:val="center"/>
          </w:tcPr>
          <w:p w14:paraId="7BDE71D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200</w:t>
            </w:r>
          </w:p>
        </w:tc>
        <w:tc>
          <w:tcPr>
            <w:tcW w:w="413" w:type="pct"/>
            <w:noWrap/>
            <w:vAlign w:val="center"/>
          </w:tcPr>
          <w:p w14:paraId="21DE12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1.08E-03</w:t>
            </w:r>
          </w:p>
        </w:tc>
        <w:tc>
          <w:tcPr>
            <w:tcW w:w="342" w:type="pct"/>
            <w:noWrap/>
            <w:vAlign w:val="center"/>
          </w:tcPr>
          <w:p w14:paraId="6FB5124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99" w:type="pct"/>
            <w:noWrap/>
            <w:vAlign w:val="center"/>
          </w:tcPr>
          <w:p w14:paraId="6C65BD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4.45E-04</w:t>
            </w:r>
          </w:p>
        </w:tc>
        <w:tc>
          <w:tcPr>
            <w:tcW w:w="351" w:type="pct"/>
            <w:noWrap/>
            <w:vAlign w:val="center"/>
          </w:tcPr>
          <w:p w14:paraId="6819B68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0.10</w:t>
            </w:r>
          </w:p>
        </w:tc>
        <w:tc>
          <w:tcPr>
            <w:tcW w:w="418" w:type="pct"/>
            <w:noWrap/>
            <w:vAlign w:val="center"/>
          </w:tcPr>
          <w:p w14:paraId="339581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6.32E-03</w:t>
            </w:r>
          </w:p>
        </w:tc>
        <w:tc>
          <w:tcPr>
            <w:tcW w:w="317" w:type="pct"/>
            <w:noWrap/>
            <w:vAlign w:val="center"/>
          </w:tcPr>
          <w:p w14:paraId="1DF63E4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2.51</w:t>
            </w:r>
          </w:p>
        </w:tc>
        <w:tc>
          <w:tcPr>
            <w:tcW w:w="394" w:type="pct"/>
            <w:noWrap/>
            <w:vAlign w:val="center"/>
          </w:tcPr>
          <w:p w14:paraId="521D06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1.03E-06</w:t>
            </w:r>
          </w:p>
        </w:tc>
        <w:tc>
          <w:tcPr>
            <w:tcW w:w="327" w:type="pct"/>
            <w:noWrap/>
            <w:vAlign w:val="center"/>
          </w:tcPr>
          <w:p w14:paraId="1BA7EDA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0.34</w:t>
            </w:r>
          </w:p>
        </w:tc>
        <w:tc>
          <w:tcPr>
            <w:tcW w:w="380" w:type="pct"/>
            <w:noWrap/>
            <w:vAlign w:val="center"/>
          </w:tcPr>
          <w:p w14:paraId="3600B9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3.49E-04</w:t>
            </w:r>
          </w:p>
        </w:tc>
        <w:tc>
          <w:tcPr>
            <w:tcW w:w="312" w:type="pct"/>
            <w:noWrap/>
            <w:vAlign w:val="center"/>
          </w:tcPr>
          <w:p w14:paraId="50A8BFB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0.17</w:t>
            </w:r>
          </w:p>
        </w:tc>
        <w:tc>
          <w:tcPr>
            <w:tcW w:w="313" w:type="pct"/>
            <w:noWrap/>
            <w:vAlign w:val="center"/>
          </w:tcPr>
          <w:p w14:paraId="1BB9028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75</w:t>
            </w:r>
          </w:p>
        </w:tc>
        <w:tc>
          <w:tcPr>
            <w:tcW w:w="389" w:type="pct"/>
            <w:noWrap/>
            <w:vAlign w:val="center"/>
          </w:tcPr>
          <w:p w14:paraId="4DE062A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4.60E-05</w:t>
            </w:r>
          </w:p>
        </w:tc>
        <w:tc>
          <w:tcPr>
            <w:tcW w:w="223" w:type="pct"/>
            <w:noWrap/>
            <w:vAlign w:val="center"/>
          </w:tcPr>
          <w:p w14:paraId="6C4F69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4A812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16" w:type="pct"/>
            <w:noWrap/>
            <w:vAlign w:val="center"/>
          </w:tcPr>
          <w:p w14:paraId="10EEBE03">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bidi="ar"/>
              </w:rPr>
              <w:t>3</w:t>
            </w:r>
            <w:r>
              <w:rPr>
                <w:rFonts w:hint="default" w:ascii="Times New Roman" w:hAnsi="Times New Roman" w:cs="Times New Roman"/>
                <w:kern w:val="0"/>
                <w:sz w:val="21"/>
                <w:szCs w:val="21"/>
                <w:highlight w:val="none"/>
                <w:lang w:bidi="ar"/>
              </w:rPr>
              <w:t>00</w:t>
            </w:r>
          </w:p>
        </w:tc>
        <w:tc>
          <w:tcPr>
            <w:tcW w:w="413" w:type="pct"/>
            <w:noWrap/>
            <w:vAlign w:val="center"/>
          </w:tcPr>
          <w:p w14:paraId="4BE83C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1.38E-03</w:t>
            </w:r>
          </w:p>
        </w:tc>
        <w:tc>
          <w:tcPr>
            <w:tcW w:w="342" w:type="pct"/>
            <w:noWrap/>
            <w:vAlign w:val="center"/>
          </w:tcPr>
          <w:p w14:paraId="5E2107E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695D503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5.69E-04</w:t>
            </w:r>
          </w:p>
        </w:tc>
        <w:tc>
          <w:tcPr>
            <w:tcW w:w="351" w:type="pct"/>
            <w:noWrap/>
            <w:vAlign w:val="center"/>
          </w:tcPr>
          <w:p w14:paraId="73D80FB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799AC8D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8.08E-03</w:t>
            </w:r>
          </w:p>
        </w:tc>
        <w:tc>
          <w:tcPr>
            <w:tcW w:w="317" w:type="pct"/>
            <w:noWrap/>
            <w:vAlign w:val="center"/>
          </w:tcPr>
          <w:p w14:paraId="21DD35F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3.23</w:t>
            </w:r>
          </w:p>
        </w:tc>
        <w:tc>
          <w:tcPr>
            <w:tcW w:w="394" w:type="pct"/>
            <w:noWrap/>
            <w:vAlign w:val="center"/>
          </w:tcPr>
          <w:p w14:paraId="0641D36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1.31E-06</w:t>
            </w:r>
          </w:p>
        </w:tc>
        <w:tc>
          <w:tcPr>
            <w:tcW w:w="327" w:type="pct"/>
            <w:noWrap/>
            <w:vAlign w:val="center"/>
          </w:tcPr>
          <w:p w14:paraId="01F496D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0.44</w:t>
            </w:r>
          </w:p>
        </w:tc>
        <w:tc>
          <w:tcPr>
            <w:tcW w:w="380" w:type="pct"/>
            <w:noWrap/>
            <w:vAlign w:val="center"/>
          </w:tcPr>
          <w:p w14:paraId="1701F0F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4.46E-04</w:t>
            </w:r>
          </w:p>
        </w:tc>
        <w:tc>
          <w:tcPr>
            <w:tcW w:w="312" w:type="pct"/>
            <w:noWrap/>
            <w:vAlign w:val="center"/>
          </w:tcPr>
          <w:p w14:paraId="0B5FB42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77C7091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100</w:t>
            </w:r>
          </w:p>
        </w:tc>
        <w:tc>
          <w:tcPr>
            <w:tcW w:w="389" w:type="pct"/>
            <w:noWrap/>
            <w:vAlign w:val="center"/>
          </w:tcPr>
          <w:p w14:paraId="4A4D65F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4.85E-05</w:t>
            </w:r>
          </w:p>
        </w:tc>
        <w:tc>
          <w:tcPr>
            <w:tcW w:w="223" w:type="pct"/>
            <w:noWrap/>
            <w:vAlign w:val="center"/>
          </w:tcPr>
          <w:p w14:paraId="146C15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081642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7C2FC402">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bidi="ar"/>
              </w:rPr>
              <w:t>4</w:t>
            </w:r>
            <w:r>
              <w:rPr>
                <w:rFonts w:hint="default" w:ascii="Times New Roman" w:hAnsi="Times New Roman" w:cs="Times New Roman"/>
                <w:kern w:val="0"/>
                <w:sz w:val="21"/>
                <w:szCs w:val="21"/>
                <w:highlight w:val="none"/>
                <w:lang w:bidi="ar"/>
              </w:rPr>
              <w:t>00</w:t>
            </w:r>
          </w:p>
        </w:tc>
        <w:tc>
          <w:tcPr>
            <w:tcW w:w="413" w:type="pct"/>
            <w:noWrap/>
            <w:vAlign w:val="center"/>
          </w:tcPr>
          <w:p w14:paraId="1A4113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1.35E-03</w:t>
            </w:r>
          </w:p>
        </w:tc>
        <w:tc>
          <w:tcPr>
            <w:tcW w:w="342" w:type="pct"/>
            <w:noWrap/>
            <w:vAlign w:val="center"/>
          </w:tcPr>
          <w:p w14:paraId="0CCC216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0.27</w:t>
            </w:r>
          </w:p>
        </w:tc>
        <w:tc>
          <w:tcPr>
            <w:tcW w:w="399" w:type="pct"/>
            <w:noWrap/>
            <w:vAlign w:val="center"/>
          </w:tcPr>
          <w:p w14:paraId="0C7C709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5.55E-04</w:t>
            </w:r>
          </w:p>
        </w:tc>
        <w:tc>
          <w:tcPr>
            <w:tcW w:w="351" w:type="pct"/>
            <w:noWrap/>
            <w:vAlign w:val="center"/>
          </w:tcPr>
          <w:p w14:paraId="1CC26C5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0.10</w:t>
            </w:r>
          </w:p>
        </w:tc>
        <w:tc>
          <w:tcPr>
            <w:tcW w:w="418" w:type="pct"/>
            <w:noWrap/>
            <w:vAlign w:val="center"/>
          </w:tcPr>
          <w:p w14:paraId="0CA241D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7.88E-03</w:t>
            </w:r>
          </w:p>
        </w:tc>
        <w:tc>
          <w:tcPr>
            <w:tcW w:w="317" w:type="pct"/>
            <w:noWrap/>
            <w:vAlign w:val="center"/>
          </w:tcPr>
          <w:p w14:paraId="730A101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3.15</w:t>
            </w:r>
          </w:p>
        </w:tc>
        <w:tc>
          <w:tcPr>
            <w:tcW w:w="394" w:type="pct"/>
            <w:noWrap/>
            <w:vAlign w:val="center"/>
          </w:tcPr>
          <w:p w14:paraId="5738312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1.28E-06</w:t>
            </w:r>
          </w:p>
        </w:tc>
        <w:tc>
          <w:tcPr>
            <w:tcW w:w="327" w:type="pct"/>
            <w:noWrap/>
            <w:vAlign w:val="center"/>
          </w:tcPr>
          <w:p w14:paraId="59D1E2A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0.43</w:t>
            </w:r>
          </w:p>
        </w:tc>
        <w:tc>
          <w:tcPr>
            <w:tcW w:w="380" w:type="pct"/>
            <w:noWrap/>
            <w:vAlign w:val="center"/>
          </w:tcPr>
          <w:p w14:paraId="53765DD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4.35E-04</w:t>
            </w:r>
          </w:p>
        </w:tc>
        <w:tc>
          <w:tcPr>
            <w:tcW w:w="312" w:type="pct"/>
            <w:noWrap/>
            <w:vAlign w:val="center"/>
          </w:tcPr>
          <w:p w14:paraId="7457DAE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0FDB3C0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150</w:t>
            </w:r>
          </w:p>
        </w:tc>
        <w:tc>
          <w:tcPr>
            <w:tcW w:w="389" w:type="pct"/>
            <w:noWrap/>
            <w:vAlign w:val="center"/>
          </w:tcPr>
          <w:p w14:paraId="217E6DC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4.24E-05</w:t>
            </w:r>
          </w:p>
        </w:tc>
        <w:tc>
          <w:tcPr>
            <w:tcW w:w="223" w:type="pct"/>
            <w:noWrap/>
            <w:vAlign w:val="center"/>
          </w:tcPr>
          <w:p w14:paraId="753828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3754A7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6E336DBD">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bidi="ar"/>
              </w:rPr>
              <w:t>5</w:t>
            </w:r>
            <w:r>
              <w:rPr>
                <w:rFonts w:hint="default" w:ascii="Times New Roman" w:hAnsi="Times New Roman" w:cs="Times New Roman"/>
                <w:kern w:val="0"/>
                <w:sz w:val="21"/>
                <w:szCs w:val="21"/>
                <w:highlight w:val="none"/>
                <w:lang w:bidi="ar"/>
              </w:rPr>
              <w:t>00</w:t>
            </w:r>
          </w:p>
        </w:tc>
        <w:tc>
          <w:tcPr>
            <w:tcW w:w="413" w:type="pct"/>
            <w:noWrap/>
            <w:vAlign w:val="center"/>
          </w:tcPr>
          <w:p w14:paraId="414AF8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1.19E-03</w:t>
            </w:r>
          </w:p>
        </w:tc>
        <w:tc>
          <w:tcPr>
            <w:tcW w:w="342" w:type="pct"/>
            <w:noWrap/>
            <w:vAlign w:val="center"/>
          </w:tcPr>
          <w:p w14:paraId="52706F8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0.24</w:t>
            </w:r>
          </w:p>
        </w:tc>
        <w:tc>
          <w:tcPr>
            <w:tcW w:w="399" w:type="pct"/>
            <w:noWrap/>
            <w:vAlign w:val="center"/>
          </w:tcPr>
          <w:p w14:paraId="4E4077B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4.92E-04</w:t>
            </w:r>
          </w:p>
        </w:tc>
        <w:tc>
          <w:tcPr>
            <w:tcW w:w="351" w:type="pct"/>
            <w:noWrap/>
            <w:vAlign w:val="center"/>
          </w:tcPr>
          <w:p w14:paraId="08C4B3B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78E0613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6.99E-03</w:t>
            </w:r>
          </w:p>
        </w:tc>
        <w:tc>
          <w:tcPr>
            <w:tcW w:w="317" w:type="pct"/>
            <w:noWrap/>
            <w:vAlign w:val="center"/>
          </w:tcPr>
          <w:p w14:paraId="0586C94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2.80</w:t>
            </w:r>
          </w:p>
        </w:tc>
        <w:tc>
          <w:tcPr>
            <w:tcW w:w="394" w:type="pct"/>
            <w:noWrap/>
            <w:vAlign w:val="center"/>
          </w:tcPr>
          <w:p w14:paraId="3934B17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1.13E-06</w:t>
            </w:r>
          </w:p>
        </w:tc>
        <w:tc>
          <w:tcPr>
            <w:tcW w:w="327" w:type="pct"/>
            <w:noWrap/>
            <w:vAlign w:val="center"/>
          </w:tcPr>
          <w:p w14:paraId="6FC300B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0.38</w:t>
            </w:r>
          </w:p>
        </w:tc>
        <w:tc>
          <w:tcPr>
            <w:tcW w:w="380" w:type="pct"/>
            <w:noWrap/>
            <w:vAlign w:val="center"/>
          </w:tcPr>
          <w:p w14:paraId="74ABB40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3.86E-04</w:t>
            </w:r>
          </w:p>
        </w:tc>
        <w:tc>
          <w:tcPr>
            <w:tcW w:w="312" w:type="pct"/>
            <w:noWrap/>
            <w:vAlign w:val="center"/>
          </w:tcPr>
          <w:p w14:paraId="7F88621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0.19</w:t>
            </w:r>
          </w:p>
        </w:tc>
        <w:tc>
          <w:tcPr>
            <w:tcW w:w="313" w:type="pct"/>
            <w:noWrap/>
            <w:vAlign w:val="center"/>
          </w:tcPr>
          <w:p w14:paraId="6556FAC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200</w:t>
            </w:r>
          </w:p>
        </w:tc>
        <w:tc>
          <w:tcPr>
            <w:tcW w:w="389" w:type="pct"/>
            <w:noWrap/>
            <w:vAlign w:val="center"/>
          </w:tcPr>
          <w:p w14:paraId="61360E1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4.10E-05</w:t>
            </w:r>
          </w:p>
        </w:tc>
        <w:tc>
          <w:tcPr>
            <w:tcW w:w="223" w:type="pct"/>
            <w:noWrap/>
            <w:vAlign w:val="center"/>
          </w:tcPr>
          <w:p w14:paraId="22F65A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4C3B00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4353A4BD">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bidi="ar"/>
              </w:rPr>
              <w:t>6</w:t>
            </w:r>
            <w:r>
              <w:rPr>
                <w:rFonts w:hint="default" w:ascii="Times New Roman" w:hAnsi="Times New Roman" w:cs="Times New Roman"/>
                <w:kern w:val="0"/>
                <w:sz w:val="21"/>
                <w:szCs w:val="21"/>
                <w:highlight w:val="none"/>
                <w:lang w:bidi="ar"/>
              </w:rPr>
              <w:t>00</w:t>
            </w:r>
          </w:p>
        </w:tc>
        <w:tc>
          <w:tcPr>
            <w:tcW w:w="413" w:type="pct"/>
            <w:noWrap/>
            <w:vAlign w:val="center"/>
          </w:tcPr>
          <w:p w14:paraId="7AC1C6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1.05E-03</w:t>
            </w:r>
          </w:p>
        </w:tc>
        <w:tc>
          <w:tcPr>
            <w:tcW w:w="342" w:type="pct"/>
            <w:noWrap/>
            <w:vAlign w:val="center"/>
          </w:tcPr>
          <w:p w14:paraId="6DD469C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0.21</w:t>
            </w:r>
          </w:p>
        </w:tc>
        <w:tc>
          <w:tcPr>
            <w:tcW w:w="399" w:type="pct"/>
            <w:noWrap/>
            <w:vAlign w:val="center"/>
          </w:tcPr>
          <w:p w14:paraId="46F3C32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4.32E-04</w:t>
            </w:r>
          </w:p>
        </w:tc>
        <w:tc>
          <w:tcPr>
            <w:tcW w:w="351" w:type="pct"/>
            <w:noWrap/>
            <w:vAlign w:val="center"/>
          </w:tcPr>
          <w:p w14:paraId="67743CD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78280DB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6.14E-03</w:t>
            </w:r>
          </w:p>
        </w:tc>
        <w:tc>
          <w:tcPr>
            <w:tcW w:w="317" w:type="pct"/>
            <w:noWrap/>
            <w:vAlign w:val="center"/>
          </w:tcPr>
          <w:p w14:paraId="16C234F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2.46</w:t>
            </w:r>
          </w:p>
        </w:tc>
        <w:tc>
          <w:tcPr>
            <w:tcW w:w="394" w:type="pct"/>
            <w:noWrap/>
            <w:vAlign w:val="center"/>
          </w:tcPr>
          <w:p w14:paraId="72C7B54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9.96E-07</w:t>
            </w:r>
          </w:p>
        </w:tc>
        <w:tc>
          <w:tcPr>
            <w:tcW w:w="327" w:type="pct"/>
            <w:noWrap/>
            <w:vAlign w:val="center"/>
          </w:tcPr>
          <w:p w14:paraId="755CD6E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0.33</w:t>
            </w:r>
          </w:p>
        </w:tc>
        <w:tc>
          <w:tcPr>
            <w:tcW w:w="380" w:type="pct"/>
            <w:noWrap/>
            <w:vAlign w:val="center"/>
          </w:tcPr>
          <w:p w14:paraId="144891E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3.39E-04</w:t>
            </w:r>
          </w:p>
        </w:tc>
        <w:tc>
          <w:tcPr>
            <w:tcW w:w="312" w:type="pct"/>
            <w:noWrap/>
            <w:vAlign w:val="center"/>
          </w:tcPr>
          <w:p w14:paraId="3AAAE94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0.17</w:t>
            </w:r>
          </w:p>
        </w:tc>
        <w:tc>
          <w:tcPr>
            <w:tcW w:w="313" w:type="pct"/>
            <w:noWrap/>
            <w:vAlign w:val="center"/>
          </w:tcPr>
          <w:p w14:paraId="42824EF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300</w:t>
            </w:r>
          </w:p>
        </w:tc>
        <w:tc>
          <w:tcPr>
            <w:tcW w:w="389" w:type="pct"/>
            <w:noWrap/>
            <w:vAlign w:val="center"/>
          </w:tcPr>
          <w:p w14:paraId="3AD149F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3.48E-05</w:t>
            </w:r>
          </w:p>
        </w:tc>
        <w:tc>
          <w:tcPr>
            <w:tcW w:w="223" w:type="pct"/>
            <w:noWrap/>
            <w:vAlign w:val="center"/>
          </w:tcPr>
          <w:p w14:paraId="37B1BE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68118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shd w:val="clear" w:color="auto" w:fill="auto"/>
            <w:noWrap/>
            <w:vAlign w:val="center"/>
          </w:tcPr>
          <w:p w14:paraId="3ADB6A51">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700</w:t>
            </w:r>
          </w:p>
        </w:tc>
        <w:tc>
          <w:tcPr>
            <w:tcW w:w="413" w:type="pct"/>
            <w:shd w:val="clear" w:color="auto" w:fill="auto"/>
            <w:noWrap/>
            <w:vAlign w:val="center"/>
          </w:tcPr>
          <w:p w14:paraId="261A1E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1.03E-03</w:t>
            </w:r>
          </w:p>
        </w:tc>
        <w:tc>
          <w:tcPr>
            <w:tcW w:w="342" w:type="pct"/>
            <w:shd w:val="clear" w:color="auto" w:fill="auto"/>
            <w:noWrap/>
            <w:vAlign w:val="center"/>
          </w:tcPr>
          <w:p w14:paraId="3020D4F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0.21</w:t>
            </w:r>
          </w:p>
        </w:tc>
        <w:tc>
          <w:tcPr>
            <w:tcW w:w="399" w:type="pct"/>
            <w:shd w:val="clear" w:color="auto" w:fill="auto"/>
            <w:noWrap/>
            <w:vAlign w:val="center"/>
          </w:tcPr>
          <w:p w14:paraId="516249A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4.26E-04</w:t>
            </w:r>
          </w:p>
        </w:tc>
        <w:tc>
          <w:tcPr>
            <w:tcW w:w="351" w:type="pct"/>
            <w:shd w:val="clear" w:color="auto" w:fill="auto"/>
            <w:noWrap/>
            <w:vAlign w:val="center"/>
          </w:tcPr>
          <w:p w14:paraId="6442AC3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0.11</w:t>
            </w:r>
          </w:p>
        </w:tc>
        <w:tc>
          <w:tcPr>
            <w:tcW w:w="418" w:type="pct"/>
            <w:shd w:val="clear" w:color="auto" w:fill="auto"/>
            <w:noWrap/>
            <w:vAlign w:val="center"/>
          </w:tcPr>
          <w:p w14:paraId="6071257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6.05E-03</w:t>
            </w:r>
          </w:p>
        </w:tc>
        <w:tc>
          <w:tcPr>
            <w:tcW w:w="317" w:type="pct"/>
            <w:shd w:val="clear" w:color="auto" w:fill="auto"/>
            <w:noWrap/>
            <w:vAlign w:val="center"/>
          </w:tcPr>
          <w:p w14:paraId="2FFE418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2.42</w:t>
            </w:r>
          </w:p>
        </w:tc>
        <w:tc>
          <w:tcPr>
            <w:tcW w:w="394" w:type="pct"/>
            <w:shd w:val="clear" w:color="auto" w:fill="auto"/>
            <w:noWrap/>
            <w:vAlign w:val="center"/>
          </w:tcPr>
          <w:p w14:paraId="12A1F2C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9.81E-07</w:t>
            </w:r>
          </w:p>
        </w:tc>
        <w:tc>
          <w:tcPr>
            <w:tcW w:w="327" w:type="pct"/>
            <w:shd w:val="clear" w:color="auto" w:fill="auto"/>
            <w:noWrap/>
            <w:vAlign w:val="center"/>
          </w:tcPr>
          <w:p w14:paraId="144198B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0.33</w:t>
            </w:r>
          </w:p>
        </w:tc>
        <w:tc>
          <w:tcPr>
            <w:tcW w:w="380" w:type="pct"/>
            <w:shd w:val="clear" w:color="auto" w:fill="auto"/>
            <w:noWrap/>
            <w:vAlign w:val="center"/>
          </w:tcPr>
          <w:p w14:paraId="1EEA5EF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3.34E-04</w:t>
            </w:r>
          </w:p>
        </w:tc>
        <w:tc>
          <w:tcPr>
            <w:tcW w:w="312" w:type="pct"/>
            <w:shd w:val="clear" w:color="auto" w:fill="auto"/>
            <w:noWrap/>
            <w:vAlign w:val="center"/>
          </w:tcPr>
          <w:p w14:paraId="7D9E5EF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0.17</w:t>
            </w:r>
          </w:p>
        </w:tc>
        <w:tc>
          <w:tcPr>
            <w:tcW w:w="313" w:type="pct"/>
            <w:shd w:val="clear" w:color="auto" w:fill="auto"/>
            <w:noWrap/>
            <w:vAlign w:val="center"/>
          </w:tcPr>
          <w:p w14:paraId="18EB092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400</w:t>
            </w:r>
          </w:p>
        </w:tc>
        <w:tc>
          <w:tcPr>
            <w:tcW w:w="389" w:type="pct"/>
            <w:shd w:val="clear" w:color="auto" w:fill="auto"/>
            <w:noWrap/>
            <w:vAlign w:val="center"/>
          </w:tcPr>
          <w:p w14:paraId="1A0D902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2.81E-05</w:t>
            </w:r>
          </w:p>
        </w:tc>
        <w:tc>
          <w:tcPr>
            <w:tcW w:w="223" w:type="pct"/>
            <w:shd w:val="clear" w:color="auto" w:fill="auto"/>
            <w:noWrap/>
            <w:vAlign w:val="center"/>
          </w:tcPr>
          <w:p w14:paraId="5DC65D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63782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ign w:val="center"/>
          </w:tcPr>
          <w:p w14:paraId="614F11B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800</w:t>
            </w:r>
          </w:p>
        </w:tc>
        <w:tc>
          <w:tcPr>
            <w:tcW w:w="413" w:type="pct"/>
            <w:noWrap/>
            <w:vAlign w:val="center"/>
          </w:tcPr>
          <w:p w14:paraId="6DB9AD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1.08E-03</w:t>
            </w:r>
          </w:p>
        </w:tc>
        <w:tc>
          <w:tcPr>
            <w:tcW w:w="342" w:type="pct"/>
            <w:noWrap/>
            <w:vAlign w:val="center"/>
          </w:tcPr>
          <w:p w14:paraId="6490AE7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0.24</w:t>
            </w:r>
          </w:p>
        </w:tc>
        <w:tc>
          <w:tcPr>
            <w:tcW w:w="399" w:type="pct"/>
            <w:noWrap/>
            <w:vAlign w:val="center"/>
          </w:tcPr>
          <w:p w14:paraId="027A028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1.19E-03</w:t>
            </w:r>
          </w:p>
        </w:tc>
        <w:tc>
          <w:tcPr>
            <w:tcW w:w="351" w:type="pct"/>
            <w:noWrap/>
            <w:vAlign w:val="center"/>
          </w:tcPr>
          <w:p w14:paraId="5B7639E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0.11</w:t>
            </w:r>
          </w:p>
        </w:tc>
        <w:tc>
          <w:tcPr>
            <w:tcW w:w="418" w:type="pct"/>
            <w:noWrap/>
            <w:vAlign w:val="center"/>
          </w:tcPr>
          <w:p w14:paraId="660A40D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6.98E-03</w:t>
            </w:r>
          </w:p>
        </w:tc>
        <w:tc>
          <w:tcPr>
            <w:tcW w:w="317" w:type="pct"/>
            <w:noWrap/>
            <w:vAlign w:val="center"/>
          </w:tcPr>
          <w:p w14:paraId="25B7821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2.79</w:t>
            </w:r>
          </w:p>
        </w:tc>
        <w:tc>
          <w:tcPr>
            <w:tcW w:w="394" w:type="pct"/>
            <w:noWrap/>
            <w:vAlign w:val="center"/>
          </w:tcPr>
          <w:p w14:paraId="6E6AE23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1.13E-06</w:t>
            </w:r>
          </w:p>
        </w:tc>
        <w:tc>
          <w:tcPr>
            <w:tcW w:w="327" w:type="pct"/>
            <w:noWrap/>
            <w:vAlign w:val="center"/>
          </w:tcPr>
          <w:p w14:paraId="7B1966C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0.38</w:t>
            </w:r>
          </w:p>
        </w:tc>
        <w:tc>
          <w:tcPr>
            <w:tcW w:w="380" w:type="pct"/>
            <w:noWrap/>
            <w:vAlign w:val="center"/>
          </w:tcPr>
          <w:p w14:paraId="551A3CB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3.85E-04</w:t>
            </w:r>
          </w:p>
        </w:tc>
        <w:tc>
          <w:tcPr>
            <w:tcW w:w="312" w:type="pct"/>
            <w:noWrap/>
            <w:vAlign w:val="center"/>
          </w:tcPr>
          <w:p w14:paraId="7AB8BCC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0.19</w:t>
            </w:r>
          </w:p>
        </w:tc>
        <w:tc>
          <w:tcPr>
            <w:tcW w:w="313" w:type="pct"/>
            <w:noWrap/>
            <w:vAlign w:val="center"/>
          </w:tcPr>
          <w:p w14:paraId="5ABAE93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500</w:t>
            </w:r>
          </w:p>
        </w:tc>
        <w:tc>
          <w:tcPr>
            <w:tcW w:w="389" w:type="pct"/>
            <w:noWrap/>
            <w:vAlign w:val="center"/>
          </w:tcPr>
          <w:p w14:paraId="2A1B9DD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2.50E-05</w:t>
            </w:r>
          </w:p>
        </w:tc>
        <w:tc>
          <w:tcPr>
            <w:tcW w:w="223" w:type="pct"/>
            <w:noWrap/>
            <w:vAlign w:val="center"/>
          </w:tcPr>
          <w:p w14:paraId="444D9A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0.01</w:t>
            </w:r>
          </w:p>
        </w:tc>
      </w:tr>
      <w:tr w14:paraId="699041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00A2AD70">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bidi="ar"/>
              </w:rPr>
              <w:t>900</w:t>
            </w:r>
          </w:p>
        </w:tc>
        <w:tc>
          <w:tcPr>
            <w:tcW w:w="413" w:type="pct"/>
            <w:noWrap/>
            <w:vAlign w:val="center"/>
          </w:tcPr>
          <w:p w14:paraId="744AC2B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1.30E-03</w:t>
            </w:r>
          </w:p>
        </w:tc>
        <w:tc>
          <w:tcPr>
            <w:tcW w:w="342" w:type="pct"/>
            <w:noWrap/>
            <w:vAlign w:val="center"/>
          </w:tcPr>
          <w:p w14:paraId="66A1ED4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0.26</w:t>
            </w:r>
          </w:p>
        </w:tc>
        <w:tc>
          <w:tcPr>
            <w:tcW w:w="399" w:type="pct"/>
            <w:noWrap/>
            <w:vAlign w:val="center"/>
          </w:tcPr>
          <w:p w14:paraId="5001A3F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5.35E-04</w:t>
            </w:r>
          </w:p>
        </w:tc>
        <w:tc>
          <w:tcPr>
            <w:tcW w:w="351" w:type="pct"/>
            <w:noWrap/>
            <w:vAlign w:val="center"/>
          </w:tcPr>
          <w:p w14:paraId="2A402A4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3D3A95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7.60E-03</w:t>
            </w:r>
          </w:p>
        </w:tc>
        <w:tc>
          <w:tcPr>
            <w:tcW w:w="317" w:type="pct"/>
            <w:noWrap/>
            <w:vAlign w:val="center"/>
          </w:tcPr>
          <w:p w14:paraId="7946597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3.04</w:t>
            </w:r>
          </w:p>
        </w:tc>
        <w:tc>
          <w:tcPr>
            <w:tcW w:w="394" w:type="pct"/>
            <w:noWrap/>
            <w:vAlign w:val="center"/>
          </w:tcPr>
          <w:p w14:paraId="00F95B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1.23E-06</w:t>
            </w:r>
          </w:p>
        </w:tc>
        <w:tc>
          <w:tcPr>
            <w:tcW w:w="327" w:type="pct"/>
            <w:noWrap/>
            <w:vAlign w:val="center"/>
          </w:tcPr>
          <w:p w14:paraId="3F15C04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0.41</w:t>
            </w:r>
          </w:p>
        </w:tc>
        <w:tc>
          <w:tcPr>
            <w:tcW w:w="380" w:type="pct"/>
            <w:noWrap/>
            <w:vAlign w:val="center"/>
          </w:tcPr>
          <w:p w14:paraId="2E81D0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4.19E-04</w:t>
            </w:r>
          </w:p>
        </w:tc>
        <w:tc>
          <w:tcPr>
            <w:tcW w:w="312" w:type="pct"/>
            <w:noWrap/>
            <w:vAlign w:val="center"/>
          </w:tcPr>
          <w:p w14:paraId="39E13A6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0.21</w:t>
            </w:r>
          </w:p>
        </w:tc>
        <w:tc>
          <w:tcPr>
            <w:tcW w:w="313" w:type="pct"/>
            <w:noWrap/>
            <w:vAlign w:val="center"/>
          </w:tcPr>
          <w:p w14:paraId="2EF16A5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600</w:t>
            </w:r>
          </w:p>
        </w:tc>
        <w:tc>
          <w:tcPr>
            <w:tcW w:w="389" w:type="pct"/>
            <w:noWrap/>
            <w:vAlign w:val="center"/>
          </w:tcPr>
          <w:p w14:paraId="53E9311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2.22E-05</w:t>
            </w:r>
          </w:p>
        </w:tc>
        <w:tc>
          <w:tcPr>
            <w:tcW w:w="223" w:type="pct"/>
            <w:noWrap/>
            <w:vAlign w:val="center"/>
          </w:tcPr>
          <w:p w14:paraId="1C8748D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0F5E3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25308D56">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925</w:t>
            </w:r>
          </w:p>
        </w:tc>
        <w:tc>
          <w:tcPr>
            <w:tcW w:w="413" w:type="pct"/>
            <w:noWrap/>
            <w:vAlign w:val="center"/>
          </w:tcPr>
          <w:p w14:paraId="34297E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1.32E-03</w:t>
            </w:r>
          </w:p>
        </w:tc>
        <w:tc>
          <w:tcPr>
            <w:tcW w:w="342" w:type="pct"/>
            <w:noWrap/>
            <w:vAlign w:val="center"/>
          </w:tcPr>
          <w:p w14:paraId="5B1E57C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0.26</w:t>
            </w:r>
          </w:p>
        </w:tc>
        <w:tc>
          <w:tcPr>
            <w:tcW w:w="399" w:type="pct"/>
            <w:noWrap/>
            <w:vAlign w:val="center"/>
          </w:tcPr>
          <w:p w14:paraId="2B7D50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5.43E-04</w:t>
            </w:r>
          </w:p>
        </w:tc>
        <w:tc>
          <w:tcPr>
            <w:tcW w:w="351" w:type="pct"/>
            <w:noWrap/>
            <w:vAlign w:val="center"/>
          </w:tcPr>
          <w:p w14:paraId="1279941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232B54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7.71E-03</w:t>
            </w:r>
          </w:p>
        </w:tc>
        <w:tc>
          <w:tcPr>
            <w:tcW w:w="317" w:type="pct"/>
            <w:noWrap/>
            <w:vAlign w:val="center"/>
          </w:tcPr>
          <w:p w14:paraId="08475EC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3.08</w:t>
            </w:r>
          </w:p>
        </w:tc>
        <w:tc>
          <w:tcPr>
            <w:tcW w:w="394" w:type="pct"/>
            <w:noWrap/>
            <w:vAlign w:val="center"/>
          </w:tcPr>
          <w:p w14:paraId="7902BA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1.25E-06</w:t>
            </w:r>
          </w:p>
        </w:tc>
        <w:tc>
          <w:tcPr>
            <w:tcW w:w="327" w:type="pct"/>
            <w:noWrap/>
            <w:vAlign w:val="center"/>
          </w:tcPr>
          <w:p w14:paraId="3DD39E6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0.42</w:t>
            </w:r>
          </w:p>
        </w:tc>
        <w:tc>
          <w:tcPr>
            <w:tcW w:w="380" w:type="pct"/>
            <w:noWrap/>
            <w:vAlign w:val="center"/>
          </w:tcPr>
          <w:p w14:paraId="1B439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4.26E-04</w:t>
            </w:r>
          </w:p>
        </w:tc>
        <w:tc>
          <w:tcPr>
            <w:tcW w:w="312" w:type="pct"/>
            <w:noWrap/>
            <w:vAlign w:val="center"/>
          </w:tcPr>
          <w:p w14:paraId="4A44B40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2C03727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700</w:t>
            </w:r>
          </w:p>
        </w:tc>
        <w:tc>
          <w:tcPr>
            <w:tcW w:w="389" w:type="pct"/>
            <w:noWrap/>
            <w:vAlign w:val="center"/>
          </w:tcPr>
          <w:p w14:paraId="340860C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2.19E-05</w:t>
            </w:r>
          </w:p>
        </w:tc>
        <w:tc>
          <w:tcPr>
            <w:tcW w:w="223" w:type="pct"/>
            <w:noWrap/>
            <w:vAlign w:val="center"/>
          </w:tcPr>
          <w:p w14:paraId="30C01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1E686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09444436">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950</w:t>
            </w:r>
          </w:p>
        </w:tc>
        <w:tc>
          <w:tcPr>
            <w:tcW w:w="413" w:type="pct"/>
            <w:noWrap/>
            <w:vAlign w:val="center"/>
          </w:tcPr>
          <w:p w14:paraId="387E08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1.33E-03</w:t>
            </w:r>
          </w:p>
        </w:tc>
        <w:tc>
          <w:tcPr>
            <w:tcW w:w="342" w:type="pct"/>
            <w:noWrap/>
            <w:vAlign w:val="center"/>
          </w:tcPr>
          <w:p w14:paraId="285DC44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0.27</w:t>
            </w:r>
          </w:p>
        </w:tc>
        <w:tc>
          <w:tcPr>
            <w:tcW w:w="399" w:type="pct"/>
            <w:noWrap/>
            <w:vAlign w:val="center"/>
          </w:tcPr>
          <w:p w14:paraId="65CC21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5.50E-04</w:t>
            </w:r>
          </w:p>
        </w:tc>
        <w:tc>
          <w:tcPr>
            <w:tcW w:w="351" w:type="pct"/>
            <w:noWrap/>
            <w:vAlign w:val="center"/>
          </w:tcPr>
          <w:p w14:paraId="2A3B7EF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5782CF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7.81E-03</w:t>
            </w:r>
          </w:p>
        </w:tc>
        <w:tc>
          <w:tcPr>
            <w:tcW w:w="317" w:type="pct"/>
            <w:noWrap/>
            <w:vAlign w:val="center"/>
          </w:tcPr>
          <w:p w14:paraId="2843DA9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3.12</w:t>
            </w:r>
          </w:p>
        </w:tc>
        <w:tc>
          <w:tcPr>
            <w:tcW w:w="394" w:type="pct"/>
            <w:noWrap/>
            <w:vAlign w:val="center"/>
          </w:tcPr>
          <w:p w14:paraId="5F5EE4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1.27E-06</w:t>
            </w:r>
          </w:p>
        </w:tc>
        <w:tc>
          <w:tcPr>
            <w:tcW w:w="327" w:type="pct"/>
            <w:noWrap/>
            <w:vAlign w:val="center"/>
          </w:tcPr>
          <w:p w14:paraId="3A7BD73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0.42</w:t>
            </w:r>
          </w:p>
        </w:tc>
        <w:tc>
          <w:tcPr>
            <w:tcW w:w="380" w:type="pct"/>
            <w:noWrap/>
            <w:vAlign w:val="center"/>
          </w:tcPr>
          <w:p w14:paraId="6DD95D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4.31E-04</w:t>
            </w:r>
          </w:p>
        </w:tc>
        <w:tc>
          <w:tcPr>
            <w:tcW w:w="312" w:type="pct"/>
            <w:noWrap/>
            <w:vAlign w:val="center"/>
          </w:tcPr>
          <w:p w14:paraId="4F7ADA9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1E9CDE7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800</w:t>
            </w:r>
          </w:p>
        </w:tc>
        <w:tc>
          <w:tcPr>
            <w:tcW w:w="389" w:type="pct"/>
            <w:noWrap/>
            <w:vAlign w:val="center"/>
          </w:tcPr>
          <w:p w14:paraId="6E9C690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2.19E-05</w:t>
            </w:r>
          </w:p>
        </w:tc>
        <w:tc>
          <w:tcPr>
            <w:tcW w:w="223" w:type="pct"/>
            <w:noWrap/>
            <w:vAlign w:val="center"/>
          </w:tcPr>
          <w:p w14:paraId="0B682C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7211D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7BD1695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1000</w:t>
            </w:r>
          </w:p>
        </w:tc>
        <w:tc>
          <w:tcPr>
            <w:tcW w:w="413" w:type="pct"/>
            <w:noWrap/>
            <w:vAlign w:val="center"/>
          </w:tcPr>
          <w:p w14:paraId="56F5088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1.36E-03</w:t>
            </w:r>
          </w:p>
        </w:tc>
        <w:tc>
          <w:tcPr>
            <w:tcW w:w="342" w:type="pct"/>
            <w:noWrap/>
            <w:vAlign w:val="center"/>
          </w:tcPr>
          <w:p w14:paraId="78F8258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0.27</w:t>
            </w:r>
          </w:p>
        </w:tc>
        <w:tc>
          <w:tcPr>
            <w:tcW w:w="399" w:type="pct"/>
            <w:noWrap/>
            <w:vAlign w:val="center"/>
          </w:tcPr>
          <w:p w14:paraId="70A01BB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5.61E-04</w:t>
            </w:r>
          </w:p>
        </w:tc>
        <w:tc>
          <w:tcPr>
            <w:tcW w:w="351" w:type="pct"/>
            <w:noWrap/>
            <w:vAlign w:val="center"/>
          </w:tcPr>
          <w:p w14:paraId="0CC661E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04EBC41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7.97E-03</w:t>
            </w:r>
          </w:p>
        </w:tc>
        <w:tc>
          <w:tcPr>
            <w:tcW w:w="317" w:type="pct"/>
            <w:noWrap/>
            <w:vAlign w:val="center"/>
          </w:tcPr>
          <w:p w14:paraId="30D45FC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3.19</w:t>
            </w:r>
          </w:p>
        </w:tc>
        <w:tc>
          <w:tcPr>
            <w:tcW w:w="394" w:type="pct"/>
            <w:noWrap/>
            <w:vAlign w:val="center"/>
          </w:tcPr>
          <w:p w14:paraId="17D69A5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1.29E-06</w:t>
            </w:r>
          </w:p>
        </w:tc>
        <w:tc>
          <w:tcPr>
            <w:tcW w:w="327" w:type="pct"/>
            <w:noWrap/>
            <w:vAlign w:val="center"/>
          </w:tcPr>
          <w:p w14:paraId="568337F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0.43</w:t>
            </w:r>
          </w:p>
        </w:tc>
        <w:tc>
          <w:tcPr>
            <w:tcW w:w="380" w:type="pct"/>
            <w:noWrap/>
            <w:vAlign w:val="center"/>
          </w:tcPr>
          <w:p w14:paraId="5CB562F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4.40E-04</w:t>
            </w:r>
          </w:p>
        </w:tc>
        <w:tc>
          <w:tcPr>
            <w:tcW w:w="312" w:type="pct"/>
            <w:noWrap/>
            <w:vAlign w:val="center"/>
          </w:tcPr>
          <w:p w14:paraId="462A45D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08F3FB7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900</w:t>
            </w:r>
          </w:p>
        </w:tc>
        <w:tc>
          <w:tcPr>
            <w:tcW w:w="389" w:type="pct"/>
            <w:noWrap/>
            <w:vAlign w:val="center"/>
          </w:tcPr>
          <w:p w14:paraId="350FE6C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2.12E-05</w:t>
            </w:r>
          </w:p>
        </w:tc>
        <w:tc>
          <w:tcPr>
            <w:tcW w:w="223" w:type="pct"/>
            <w:noWrap/>
            <w:vAlign w:val="center"/>
          </w:tcPr>
          <w:p w14:paraId="39C10B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0371D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7639704C">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1125</w:t>
            </w:r>
          </w:p>
        </w:tc>
        <w:tc>
          <w:tcPr>
            <w:tcW w:w="413" w:type="pct"/>
            <w:noWrap/>
            <w:vAlign w:val="center"/>
          </w:tcPr>
          <w:p w14:paraId="06E0D1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1.40E-03</w:t>
            </w:r>
          </w:p>
        </w:tc>
        <w:tc>
          <w:tcPr>
            <w:tcW w:w="342" w:type="pct"/>
            <w:noWrap/>
            <w:vAlign w:val="center"/>
          </w:tcPr>
          <w:p w14:paraId="059C2F5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5C6455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5.77E-04</w:t>
            </w:r>
          </w:p>
        </w:tc>
        <w:tc>
          <w:tcPr>
            <w:tcW w:w="351" w:type="pct"/>
            <w:noWrap/>
            <w:vAlign w:val="center"/>
          </w:tcPr>
          <w:p w14:paraId="32C04E4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034CCF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8.19E-03</w:t>
            </w:r>
          </w:p>
        </w:tc>
        <w:tc>
          <w:tcPr>
            <w:tcW w:w="317" w:type="pct"/>
            <w:noWrap/>
            <w:vAlign w:val="center"/>
          </w:tcPr>
          <w:p w14:paraId="2E47167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3.28</w:t>
            </w:r>
          </w:p>
        </w:tc>
        <w:tc>
          <w:tcPr>
            <w:tcW w:w="394" w:type="pct"/>
            <w:noWrap/>
            <w:vAlign w:val="center"/>
          </w:tcPr>
          <w:p w14:paraId="6A1671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1.33E-06</w:t>
            </w:r>
          </w:p>
        </w:tc>
        <w:tc>
          <w:tcPr>
            <w:tcW w:w="327" w:type="pct"/>
            <w:noWrap/>
            <w:vAlign w:val="center"/>
          </w:tcPr>
          <w:p w14:paraId="31BC9E1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0.44</w:t>
            </w:r>
          </w:p>
        </w:tc>
        <w:tc>
          <w:tcPr>
            <w:tcW w:w="380" w:type="pct"/>
            <w:noWrap/>
            <w:vAlign w:val="center"/>
          </w:tcPr>
          <w:p w14:paraId="69D7E6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4.52E-04</w:t>
            </w:r>
          </w:p>
        </w:tc>
        <w:tc>
          <w:tcPr>
            <w:tcW w:w="312" w:type="pct"/>
            <w:noWrap/>
            <w:vAlign w:val="center"/>
          </w:tcPr>
          <w:p w14:paraId="36D462D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00D0A8C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1000</w:t>
            </w:r>
          </w:p>
        </w:tc>
        <w:tc>
          <w:tcPr>
            <w:tcW w:w="389" w:type="pct"/>
            <w:noWrap/>
            <w:vAlign w:val="center"/>
          </w:tcPr>
          <w:p w14:paraId="71AE2B6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2.02E-05</w:t>
            </w:r>
          </w:p>
        </w:tc>
        <w:tc>
          <w:tcPr>
            <w:tcW w:w="223" w:type="pct"/>
            <w:noWrap/>
            <w:vAlign w:val="center"/>
          </w:tcPr>
          <w:p w14:paraId="72C435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59FA1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6F03C73D">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1150</w:t>
            </w:r>
          </w:p>
        </w:tc>
        <w:tc>
          <w:tcPr>
            <w:tcW w:w="413" w:type="pct"/>
            <w:noWrap/>
            <w:vAlign w:val="center"/>
          </w:tcPr>
          <w:p w14:paraId="6092D9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1.40E-03</w:t>
            </w:r>
          </w:p>
        </w:tc>
        <w:tc>
          <w:tcPr>
            <w:tcW w:w="342" w:type="pct"/>
            <w:noWrap/>
            <w:vAlign w:val="center"/>
          </w:tcPr>
          <w:p w14:paraId="5ECA8E1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54532C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5.78E-04</w:t>
            </w:r>
          </w:p>
        </w:tc>
        <w:tc>
          <w:tcPr>
            <w:tcW w:w="351" w:type="pct"/>
            <w:noWrap/>
            <w:vAlign w:val="center"/>
          </w:tcPr>
          <w:p w14:paraId="7128DA7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279BE5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8.21E-03</w:t>
            </w:r>
          </w:p>
        </w:tc>
        <w:tc>
          <w:tcPr>
            <w:tcW w:w="317" w:type="pct"/>
            <w:noWrap/>
            <w:vAlign w:val="center"/>
          </w:tcPr>
          <w:p w14:paraId="659EFCD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3.29</w:t>
            </w:r>
          </w:p>
        </w:tc>
        <w:tc>
          <w:tcPr>
            <w:tcW w:w="394" w:type="pct"/>
            <w:noWrap/>
            <w:vAlign w:val="center"/>
          </w:tcPr>
          <w:p w14:paraId="2A3D06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1.33E-06</w:t>
            </w:r>
          </w:p>
        </w:tc>
        <w:tc>
          <w:tcPr>
            <w:tcW w:w="327" w:type="pct"/>
            <w:noWrap/>
            <w:vAlign w:val="center"/>
          </w:tcPr>
          <w:p w14:paraId="17896B9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0.44</w:t>
            </w:r>
          </w:p>
        </w:tc>
        <w:tc>
          <w:tcPr>
            <w:tcW w:w="380" w:type="pct"/>
            <w:noWrap/>
            <w:vAlign w:val="center"/>
          </w:tcPr>
          <w:p w14:paraId="49A3AF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4.53E-04</w:t>
            </w:r>
          </w:p>
        </w:tc>
        <w:tc>
          <w:tcPr>
            <w:tcW w:w="312" w:type="pct"/>
            <w:noWrap/>
            <w:vAlign w:val="center"/>
          </w:tcPr>
          <w:p w14:paraId="5B5D44A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3577CF3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1125</w:t>
            </w:r>
          </w:p>
        </w:tc>
        <w:tc>
          <w:tcPr>
            <w:tcW w:w="389" w:type="pct"/>
            <w:noWrap/>
            <w:vAlign w:val="center"/>
          </w:tcPr>
          <w:p w14:paraId="75A51C5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2.00E-05</w:t>
            </w:r>
          </w:p>
        </w:tc>
        <w:tc>
          <w:tcPr>
            <w:tcW w:w="223" w:type="pct"/>
            <w:noWrap/>
            <w:vAlign w:val="center"/>
          </w:tcPr>
          <w:p w14:paraId="38CDFD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5FDAFC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shd w:val="clear" w:color="auto" w:fill="FFFF00"/>
            <w:noWrap/>
            <w:vAlign w:val="center"/>
          </w:tcPr>
          <w:p w14:paraId="69AF88F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1200</w:t>
            </w:r>
          </w:p>
        </w:tc>
        <w:tc>
          <w:tcPr>
            <w:tcW w:w="413" w:type="pct"/>
            <w:shd w:val="clear" w:color="auto" w:fill="FFFF00"/>
            <w:noWrap/>
            <w:vAlign w:val="center"/>
          </w:tcPr>
          <w:p w14:paraId="58EDB6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1.41E-03</w:t>
            </w:r>
          </w:p>
        </w:tc>
        <w:tc>
          <w:tcPr>
            <w:tcW w:w="342" w:type="pct"/>
            <w:shd w:val="clear" w:color="auto" w:fill="FFFF00"/>
            <w:noWrap/>
            <w:vAlign w:val="center"/>
          </w:tcPr>
          <w:p w14:paraId="2D40BB9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shd w:val="clear" w:color="auto" w:fill="FFFF00"/>
            <w:noWrap/>
            <w:vAlign w:val="center"/>
          </w:tcPr>
          <w:p w14:paraId="15CEE7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5.80E-04</w:t>
            </w:r>
          </w:p>
        </w:tc>
        <w:tc>
          <w:tcPr>
            <w:tcW w:w="351" w:type="pct"/>
            <w:shd w:val="clear" w:color="auto" w:fill="FFFF00"/>
            <w:noWrap/>
            <w:vAlign w:val="center"/>
          </w:tcPr>
          <w:p w14:paraId="4160502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shd w:val="clear" w:color="auto" w:fill="FFFF00"/>
            <w:noWrap/>
            <w:vAlign w:val="center"/>
          </w:tcPr>
          <w:p w14:paraId="1D8274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8.24E-03</w:t>
            </w:r>
          </w:p>
        </w:tc>
        <w:tc>
          <w:tcPr>
            <w:tcW w:w="317" w:type="pct"/>
            <w:shd w:val="clear" w:color="auto" w:fill="FFFF00"/>
            <w:noWrap/>
            <w:vAlign w:val="center"/>
          </w:tcPr>
          <w:p w14:paraId="54249E9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3.30</w:t>
            </w:r>
          </w:p>
        </w:tc>
        <w:tc>
          <w:tcPr>
            <w:tcW w:w="394" w:type="pct"/>
            <w:shd w:val="clear" w:color="auto" w:fill="FFFF00"/>
            <w:noWrap/>
            <w:vAlign w:val="center"/>
          </w:tcPr>
          <w:p w14:paraId="264DC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1.34E-06</w:t>
            </w:r>
          </w:p>
        </w:tc>
        <w:tc>
          <w:tcPr>
            <w:tcW w:w="327" w:type="pct"/>
            <w:shd w:val="clear" w:color="auto" w:fill="FFFF00"/>
            <w:noWrap/>
            <w:vAlign w:val="center"/>
          </w:tcPr>
          <w:p w14:paraId="1C31F15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0.45</w:t>
            </w:r>
          </w:p>
        </w:tc>
        <w:tc>
          <w:tcPr>
            <w:tcW w:w="380" w:type="pct"/>
            <w:shd w:val="clear" w:color="auto" w:fill="FFFF00"/>
            <w:noWrap/>
            <w:vAlign w:val="center"/>
          </w:tcPr>
          <w:p w14:paraId="6FEF48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4.55E-04</w:t>
            </w:r>
          </w:p>
        </w:tc>
        <w:tc>
          <w:tcPr>
            <w:tcW w:w="312" w:type="pct"/>
            <w:shd w:val="clear" w:color="auto" w:fill="FFFF00"/>
            <w:noWrap/>
            <w:vAlign w:val="center"/>
          </w:tcPr>
          <w:p w14:paraId="1723394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14131C7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1150</w:t>
            </w:r>
          </w:p>
        </w:tc>
        <w:tc>
          <w:tcPr>
            <w:tcW w:w="389" w:type="pct"/>
            <w:noWrap/>
            <w:vAlign w:val="center"/>
          </w:tcPr>
          <w:p w14:paraId="32394EE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2.01E-05</w:t>
            </w:r>
          </w:p>
        </w:tc>
        <w:tc>
          <w:tcPr>
            <w:tcW w:w="223" w:type="pct"/>
            <w:noWrap/>
            <w:vAlign w:val="center"/>
          </w:tcPr>
          <w:p w14:paraId="61A4CE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75A4E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12EC4C84">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1225</w:t>
            </w:r>
          </w:p>
        </w:tc>
        <w:tc>
          <w:tcPr>
            <w:tcW w:w="413" w:type="pct"/>
            <w:noWrap/>
            <w:vAlign w:val="center"/>
          </w:tcPr>
          <w:p w14:paraId="2AC2D0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1.41E-03</w:t>
            </w:r>
          </w:p>
        </w:tc>
        <w:tc>
          <w:tcPr>
            <w:tcW w:w="342" w:type="pct"/>
            <w:noWrap/>
            <w:vAlign w:val="center"/>
          </w:tcPr>
          <w:p w14:paraId="186CCB7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510216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5.80E-04</w:t>
            </w:r>
          </w:p>
        </w:tc>
        <w:tc>
          <w:tcPr>
            <w:tcW w:w="351" w:type="pct"/>
            <w:noWrap/>
            <w:vAlign w:val="center"/>
          </w:tcPr>
          <w:p w14:paraId="7CE2579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5CF03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8.24E-03</w:t>
            </w:r>
          </w:p>
        </w:tc>
        <w:tc>
          <w:tcPr>
            <w:tcW w:w="317" w:type="pct"/>
            <w:noWrap/>
            <w:vAlign w:val="center"/>
          </w:tcPr>
          <w:p w14:paraId="745B2A6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3.30</w:t>
            </w:r>
          </w:p>
        </w:tc>
        <w:tc>
          <w:tcPr>
            <w:tcW w:w="394" w:type="pct"/>
            <w:noWrap/>
            <w:vAlign w:val="center"/>
          </w:tcPr>
          <w:p w14:paraId="2B29DF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1.34E-06</w:t>
            </w:r>
          </w:p>
        </w:tc>
        <w:tc>
          <w:tcPr>
            <w:tcW w:w="327" w:type="pct"/>
            <w:noWrap/>
            <w:vAlign w:val="center"/>
          </w:tcPr>
          <w:p w14:paraId="5D62068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0.45</w:t>
            </w:r>
          </w:p>
        </w:tc>
        <w:tc>
          <w:tcPr>
            <w:tcW w:w="380" w:type="pct"/>
            <w:noWrap/>
            <w:vAlign w:val="center"/>
          </w:tcPr>
          <w:p w14:paraId="535AB7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4.55E-04</w:t>
            </w:r>
          </w:p>
        </w:tc>
        <w:tc>
          <w:tcPr>
            <w:tcW w:w="312" w:type="pct"/>
            <w:noWrap/>
            <w:vAlign w:val="center"/>
          </w:tcPr>
          <w:p w14:paraId="09F2E59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70DA9ED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1200</w:t>
            </w:r>
          </w:p>
        </w:tc>
        <w:tc>
          <w:tcPr>
            <w:tcW w:w="389" w:type="pct"/>
            <w:noWrap/>
            <w:vAlign w:val="center"/>
          </w:tcPr>
          <w:p w14:paraId="35C2590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2.01E-05</w:t>
            </w:r>
          </w:p>
        </w:tc>
        <w:tc>
          <w:tcPr>
            <w:tcW w:w="223" w:type="pct"/>
            <w:noWrap/>
            <w:vAlign w:val="center"/>
          </w:tcPr>
          <w:p w14:paraId="3BB0AB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1F294D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492328B2">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1250</w:t>
            </w:r>
          </w:p>
        </w:tc>
        <w:tc>
          <w:tcPr>
            <w:tcW w:w="413" w:type="pct"/>
            <w:noWrap/>
            <w:vAlign w:val="center"/>
          </w:tcPr>
          <w:p w14:paraId="572F16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1.41E-03</w:t>
            </w:r>
          </w:p>
        </w:tc>
        <w:tc>
          <w:tcPr>
            <w:tcW w:w="342" w:type="pct"/>
            <w:noWrap/>
            <w:vAlign w:val="center"/>
          </w:tcPr>
          <w:p w14:paraId="7073449E">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3D7BA5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5.80E-04</w:t>
            </w:r>
          </w:p>
        </w:tc>
        <w:tc>
          <w:tcPr>
            <w:tcW w:w="351" w:type="pct"/>
            <w:noWrap/>
            <w:vAlign w:val="center"/>
          </w:tcPr>
          <w:p w14:paraId="5DE5B9B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005081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8.24E-03</w:t>
            </w:r>
          </w:p>
        </w:tc>
        <w:tc>
          <w:tcPr>
            <w:tcW w:w="317" w:type="pct"/>
            <w:noWrap/>
            <w:vAlign w:val="center"/>
          </w:tcPr>
          <w:p w14:paraId="626168E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3.30</w:t>
            </w:r>
          </w:p>
        </w:tc>
        <w:tc>
          <w:tcPr>
            <w:tcW w:w="394" w:type="pct"/>
            <w:noWrap/>
            <w:vAlign w:val="center"/>
          </w:tcPr>
          <w:p w14:paraId="111D76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1.34E-06</w:t>
            </w:r>
          </w:p>
        </w:tc>
        <w:tc>
          <w:tcPr>
            <w:tcW w:w="327" w:type="pct"/>
            <w:noWrap/>
            <w:vAlign w:val="center"/>
          </w:tcPr>
          <w:p w14:paraId="026E1D5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0.45</w:t>
            </w:r>
          </w:p>
        </w:tc>
        <w:tc>
          <w:tcPr>
            <w:tcW w:w="380" w:type="pct"/>
            <w:noWrap/>
            <w:vAlign w:val="center"/>
          </w:tcPr>
          <w:p w14:paraId="3A98CF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4.55E-04</w:t>
            </w:r>
          </w:p>
        </w:tc>
        <w:tc>
          <w:tcPr>
            <w:tcW w:w="312" w:type="pct"/>
            <w:noWrap/>
            <w:vAlign w:val="center"/>
          </w:tcPr>
          <w:p w14:paraId="656E1F7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64DFA57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1250</w:t>
            </w:r>
          </w:p>
        </w:tc>
        <w:tc>
          <w:tcPr>
            <w:tcW w:w="389" w:type="pct"/>
            <w:noWrap/>
            <w:vAlign w:val="center"/>
          </w:tcPr>
          <w:p w14:paraId="17DDBE9C">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1.99E-05</w:t>
            </w:r>
          </w:p>
        </w:tc>
        <w:tc>
          <w:tcPr>
            <w:tcW w:w="223" w:type="pct"/>
            <w:noWrap/>
            <w:vAlign w:val="center"/>
          </w:tcPr>
          <w:p w14:paraId="400115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65257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41F58E55">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1300</w:t>
            </w:r>
          </w:p>
        </w:tc>
        <w:tc>
          <w:tcPr>
            <w:tcW w:w="413" w:type="pct"/>
            <w:noWrap/>
            <w:vAlign w:val="center"/>
          </w:tcPr>
          <w:p w14:paraId="29D298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1.41E-03</w:t>
            </w:r>
          </w:p>
        </w:tc>
        <w:tc>
          <w:tcPr>
            <w:tcW w:w="342" w:type="pct"/>
            <w:noWrap/>
            <w:vAlign w:val="center"/>
          </w:tcPr>
          <w:p w14:paraId="3387ED0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317967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5.80E-04</w:t>
            </w:r>
          </w:p>
        </w:tc>
        <w:tc>
          <w:tcPr>
            <w:tcW w:w="351" w:type="pct"/>
            <w:noWrap/>
            <w:vAlign w:val="center"/>
          </w:tcPr>
          <w:p w14:paraId="1ED1706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4CF4F2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8.24E-03</w:t>
            </w:r>
          </w:p>
        </w:tc>
        <w:tc>
          <w:tcPr>
            <w:tcW w:w="317" w:type="pct"/>
            <w:noWrap/>
            <w:vAlign w:val="center"/>
          </w:tcPr>
          <w:p w14:paraId="3FE1E951">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3.30</w:t>
            </w:r>
          </w:p>
        </w:tc>
        <w:tc>
          <w:tcPr>
            <w:tcW w:w="394" w:type="pct"/>
            <w:noWrap/>
            <w:vAlign w:val="center"/>
          </w:tcPr>
          <w:p w14:paraId="0E04D0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1.34E-06</w:t>
            </w:r>
          </w:p>
        </w:tc>
        <w:tc>
          <w:tcPr>
            <w:tcW w:w="327" w:type="pct"/>
            <w:noWrap/>
            <w:vAlign w:val="center"/>
          </w:tcPr>
          <w:p w14:paraId="516A11E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0.45</w:t>
            </w:r>
          </w:p>
        </w:tc>
        <w:tc>
          <w:tcPr>
            <w:tcW w:w="380" w:type="pct"/>
            <w:noWrap/>
            <w:vAlign w:val="center"/>
          </w:tcPr>
          <w:p w14:paraId="597090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sz w:val="21"/>
                <w:szCs w:val="21"/>
                <w:highlight w:val="none"/>
              </w:rPr>
              <w:t>4.55E-04</w:t>
            </w:r>
          </w:p>
        </w:tc>
        <w:tc>
          <w:tcPr>
            <w:tcW w:w="312" w:type="pct"/>
            <w:noWrap/>
            <w:vAlign w:val="center"/>
          </w:tcPr>
          <w:p w14:paraId="04B0DD9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4B38D3E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1300</w:t>
            </w:r>
          </w:p>
        </w:tc>
        <w:tc>
          <w:tcPr>
            <w:tcW w:w="389" w:type="pct"/>
            <w:noWrap/>
            <w:vAlign w:val="center"/>
          </w:tcPr>
          <w:p w14:paraId="5232151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1.95E-05</w:t>
            </w:r>
          </w:p>
        </w:tc>
        <w:tc>
          <w:tcPr>
            <w:tcW w:w="223" w:type="pct"/>
            <w:noWrap/>
            <w:vAlign w:val="center"/>
          </w:tcPr>
          <w:p w14:paraId="6C67FF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4B029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shd w:val="clear" w:color="auto" w:fill="auto"/>
            <w:noWrap/>
            <w:vAlign w:val="center"/>
          </w:tcPr>
          <w:p w14:paraId="244BB1C4">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1325</w:t>
            </w:r>
          </w:p>
        </w:tc>
        <w:tc>
          <w:tcPr>
            <w:tcW w:w="413" w:type="pct"/>
            <w:shd w:val="clear" w:color="auto" w:fill="auto"/>
            <w:noWrap/>
            <w:vAlign w:val="center"/>
          </w:tcPr>
          <w:p w14:paraId="56A3B8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1.41E-03</w:t>
            </w:r>
          </w:p>
        </w:tc>
        <w:tc>
          <w:tcPr>
            <w:tcW w:w="342" w:type="pct"/>
            <w:shd w:val="clear" w:color="auto" w:fill="auto"/>
            <w:noWrap/>
            <w:vAlign w:val="center"/>
          </w:tcPr>
          <w:p w14:paraId="532D2B31">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0.28</w:t>
            </w:r>
          </w:p>
        </w:tc>
        <w:tc>
          <w:tcPr>
            <w:tcW w:w="399" w:type="pct"/>
            <w:shd w:val="clear" w:color="auto" w:fill="auto"/>
            <w:noWrap/>
            <w:vAlign w:val="center"/>
          </w:tcPr>
          <w:p w14:paraId="35949D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5.80E-04</w:t>
            </w:r>
          </w:p>
        </w:tc>
        <w:tc>
          <w:tcPr>
            <w:tcW w:w="351" w:type="pct"/>
            <w:shd w:val="clear" w:color="auto" w:fill="auto"/>
            <w:noWrap/>
            <w:vAlign w:val="center"/>
          </w:tcPr>
          <w:p w14:paraId="2940B0BF">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0.13</w:t>
            </w:r>
          </w:p>
        </w:tc>
        <w:tc>
          <w:tcPr>
            <w:tcW w:w="418" w:type="pct"/>
            <w:shd w:val="clear" w:color="auto" w:fill="auto"/>
            <w:noWrap/>
            <w:vAlign w:val="center"/>
          </w:tcPr>
          <w:p w14:paraId="50D5D4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8.24E-03</w:t>
            </w:r>
          </w:p>
        </w:tc>
        <w:tc>
          <w:tcPr>
            <w:tcW w:w="317" w:type="pct"/>
            <w:shd w:val="clear" w:color="auto" w:fill="auto"/>
            <w:noWrap/>
            <w:vAlign w:val="center"/>
          </w:tcPr>
          <w:p w14:paraId="3189CCF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3.29</w:t>
            </w:r>
          </w:p>
        </w:tc>
        <w:tc>
          <w:tcPr>
            <w:tcW w:w="394" w:type="pct"/>
            <w:shd w:val="clear" w:color="auto" w:fill="auto"/>
            <w:noWrap/>
            <w:vAlign w:val="center"/>
          </w:tcPr>
          <w:p w14:paraId="73D08C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1.34E-06</w:t>
            </w:r>
          </w:p>
        </w:tc>
        <w:tc>
          <w:tcPr>
            <w:tcW w:w="327" w:type="pct"/>
            <w:shd w:val="clear" w:color="auto" w:fill="auto"/>
            <w:noWrap/>
            <w:vAlign w:val="center"/>
          </w:tcPr>
          <w:p w14:paraId="48D02590">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0.44</w:t>
            </w:r>
          </w:p>
        </w:tc>
        <w:tc>
          <w:tcPr>
            <w:tcW w:w="380" w:type="pct"/>
            <w:shd w:val="clear" w:color="auto" w:fill="auto"/>
            <w:noWrap/>
            <w:vAlign w:val="center"/>
          </w:tcPr>
          <w:p w14:paraId="21F2CB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4.55E-04</w:t>
            </w:r>
          </w:p>
        </w:tc>
        <w:tc>
          <w:tcPr>
            <w:tcW w:w="312" w:type="pct"/>
            <w:shd w:val="clear" w:color="auto" w:fill="auto"/>
            <w:noWrap/>
            <w:vAlign w:val="center"/>
          </w:tcPr>
          <w:p w14:paraId="029E66B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0.23</w:t>
            </w:r>
          </w:p>
        </w:tc>
        <w:tc>
          <w:tcPr>
            <w:tcW w:w="313" w:type="pct"/>
            <w:shd w:val="clear" w:color="auto" w:fill="auto"/>
            <w:noWrap/>
            <w:vAlign w:val="center"/>
          </w:tcPr>
          <w:p w14:paraId="5276D12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1325</w:t>
            </w:r>
          </w:p>
        </w:tc>
        <w:tc>
          <w:tcPr>
            <w:tcW w:w="389" w:type="pct"/>
            <w:shd w:val="clear" w:color="auto" w:fill="auto"/>
            <w:noWrap/>
            <w:vAlign w:val="center"/>
          </w:tcPr>
          <w:p w14:paraId="3FB3002F">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1.97E-05</w:t>
            </w:r>
          </w:p>
        </w:tc>
        <w:tc>
          <w:tcPr>
            <w:tcW w:w="223" w:type="pct"/>
            <w:shd w:val="clear" w:color="auto" w:fill="auto"/>
            <w:noWrap/>
            <w:vAlign w:val="center"/>
          </w:tcPr>
          <w:p w14:paraId="0787B0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3101C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224B7B05">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1500</w:t>
            </w:r>
          </w:p>
        </w:tc>
        <w:tc>
          <w:tcPr>
            <w:tcW w:w="413" w:type="pct"/>
            <w:noWrap/>
            <w:vAlign w:val="center"/>
          </w:tcPr>
          <w:p w14:paraId="34F4F75E">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1.39E-03</w:t>
            </w:r>
          </w:p>
        </w:tc>
        <w:tc>
          <w:tcPr>
            <w:tcW w:w="342" w:type="pct"/>
            <w:noWrap/>
            <w:vAlign w:val="center"/>
          </w:tcPr>
          <w:p w14:paraId="2813004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1C60C91B">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5.74E-04</w:t>
            </w:r>
          </w:p>
        </w:tc>
        <w:tc>
          <w:tcPr>
            <w:tcW w:w="351" w:type="pct"/>
            <w:noWrap/>
            <w:vAlign w:val="center"/>
          </w:tcPr>
          <w:p w14:paraId="5C4AB3C7">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311F9E66">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8.16E-03</w:t>
            </w:r>
          </w:p>
        </w:tc>
        <w:tc>
          <w:tcPr>
            <w:tcW w:w="317" w:type="pct"/>
            <w:noWrap/>
            <w:vAlign w:val="center"/>
          </w:tcPr>
          <w:p w14:paraId="4FEDF1A8">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3.26</w:t>
            </w:r>
          </w:p>
        </w:tc>
        <w:tc>
          <w:tcPr>
            <w:tcW w:w="394" w:type="pct"/>
            <w:noWrap/>
            <w:vAlign w:val="center"/>
          </w:tcPr>
          <w:p w14:paraId="645F70D2">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1.32E-06</w:t>
            </w:r>
          </w:p>
        </w:tc>
        <w:tc>
          <w:tcPr>
            <w:tcW w:w="327" w:type="pct"/>
            <w:noWrap/>
            <w:vAlign w:val="center"/>
          </w:tcPr>
          <w:p w14:paraId="0C61183D">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0.44</w:t>
            </w:r>
          </w:p>
        </w:tc>
        <w:tc>
          <w:tcPr>
            <w:tcW w:w="380" w:type="pct"/>
            <w:noWrap/>
            <w:vAlign w:val="center"/>
          </w:tcPr>
          <w:p w14:paraId="2176FF22">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4.50E-04</w:t>
            </w:r>
          </w:p>
        </w:tc>
        <w:tc>
          <w:tcPr>
            <w:tcW w:w="312" w:type="pct"/>
            <w:noWrap/>
            <w:vAlign w:val="center"/>
          </w:tcPr>
          <w:p w14:paraId="31CA7265">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0.23</w:t>
            </w:r>
          </w:p>
        </w:tc>
        <w:tc>
          <w:tcPr>
            <w:tcW w:w="313" w:type="pct"/>
            <w:noWrap/>
            <w:vAlign w:val="center"/>
          </w:tcPr>
          <w:p w14:paraId="15DBB4F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1500</w:t>
            </w:r>
          </w:p>
        </w:tc>
        <w:tc>
          <w:tcPr>
            <w:tcW w:w="389" w:type="pct"/>
            <w:noWrap/>
            <w:vAlign w:val="center"/>
          </w:tcPr>
          <w:p w14:paraId="5172F9BA">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1.89E-05</w:t>
            </w:r>
          </w:p>
        </w:tc>
        <w:tc>
          <w:tcPr>
            <w:tcW w:w="223" w:type="pct"/>
            <w:noWrap/>
            <w:vAlign w:val="center"/>
          </w:tcPr>
          <w:p w14:paraId="1D4C6B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3577D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259D8B7C">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1600</w:t>
            </w:r>
          </w:p>
        </w:tc>
        <w:tc>
          <w:tcPr>
            <w:tcW w:w="413" w:type="pct"/>
            <w:noWrap/>
            <w:vAlign w:val="center"/>
          </w:tcPr>
          <w:p w14:paraId="46C568CA">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1.38E-03</w:t>
            </w:r>
          </w:p>
        </w:tc>
        <w:tc>
          <w:tcPr>
            <w:tcW w:w="342" w:type="pct"/>
            <w:noWrap/>
            <w:vAlign w:val="center"/>
          </w:tcPr>
          <w:p w14:paraId="7168BC4F">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0.28</w:t>
            </w:r>
          </w:p>
        </w:tc>
        <w:tc>
          <w:tcPr>
            <w:tcW w:w="399" w:type="pct"/>
            <w:noWrap/>
            <w:vAlign w:val="center"/>
          </w:tcPr>
          <w:p w14:paraId="118438CC">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5.68E-04</w:t>
            </w:r>
          </w:p>
        </w:tc>
        <w:tc>
          <w:tcPr>
            <w:tcW w:w="351" w:type="pct"/>
            <w:noWrap/>
            <w:vAlign w:val="center"/>
          </w:tcPr>
          <w:p w14:paraId="1DC2AD38">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0.13</w:t>
            </w:r>
          </w:p>
        </w:tc>
        <w:tc>
          <w:tcPr>
            <w:tcW w:w="418" w:type="pct"/>
            <w:noWrap/>
            <w:vAlign w:val="center"/>
          </w:tcPr>
          <w:p w14:paraId="5F7B2503">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8.07E-03</w:t>
            </w:r>
          </w:p>
        </w:tc>
        <w:tc>
          <w:tcPr>
            <w:tcW w:w="317" w:type="pct"/>
            <w:noWrap/>
            <w:vAlign w:val="center"/>
          </w:tcPr>
          <w:p w14:paraId="5E434E06">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3.23</w:t>
            </w:r>
          </w:p>
        </w:tc>
        <w:tc>
          <w:tcPr>
            <w:tcW w:w="394" w:type="pct"/>
            <w:noWrap/>
            <w:vAlign w:val="center"/>
          </w:tcPr>
          <w:p w14:paraId="1F22FE4C">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1.31E-06</w:t>
            </w:r>
          </w:p>
        </w:tc>
        <w:tc>
          <w:tcPr>
            <w:tcW w:w="327" w:type="pct"/>
            <w:noWrap/>
            <w:vAlign w:val="center"/>
          </w:tcPr>
          <w:p w14:paraId="38903DC3">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0.44</w:t>
            </w:r>
          </w:p>
        </w:tc>
        <w:tc>
          <w:tcPr>
            <w:tcW w:w="380" w:type="pct"/>
            <w:noWrap/>
            <w:vAlign w:val="center"/>
          </w:tcPr>
          <w:p w14:paraId="10A748CD">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4.46E-04</w:t>
            </w:r>
          </w:p>
        </w:tc>
        <w:tc>
          <w:tcPr>
            <w:tcW w:w="312" w:type="pct"/>
            <w:noWrap/>
            <w:vAlign w:val="center"/>
          </w:tcPr>
          <w:p w14:paraId="780651F2">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33F603F4">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1600</w:t>
            </w:r>
          </w:p>
        </w:tc>
        <w:tc>
          <w:tcPr>
            <w:tcW w:w="389" w:type="pct"/>
            <w:noWrap/>
            <w:vAlign w:val="center"/>
          </w:tcPr>
          <w:p w14:paraId="616F1DB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2.16E-05</w:t>
            </w:r>
          </w:p>
        </w:tc>
        <w:tc>
          <w:tcPr>
            <w:tcW w:w="223" w:type="pct"/>
            <w:noWrap/>
            <w:vAlign w:val="center"/>
          </w:tcPr>
          <w:p w14:paraId="45A0D5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6044B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25992700">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1700</w:t>
            </w:r>
          </w:p>
        </w:tc>
        <w:tc>
          <w:tcPr>
            <w:tcW w:w="413" w:type="pct"/>
            <w:noWrap/>
            <w:vAlign w:val="center"/>
          </w:tcPr>
          <w:p w14:paraId="7CD6BFA3">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1.36E-03</w:t>
            </w:r>
          </w:p>
        </w:tc>
        <w:tc>
          <w:tcPr>
            <w:tcW w:w="342" w:type="pct"/>
            <w:noWrap/>
            <w:vAlign w:val="center"/>
          </w:tcPr>
          <w:p w14:paraId="6A937754">
            <w:pPr>
              <w:widowControl/>
              <w:spacing w:line="240" w:lineRule="auto"/>
              <w:ind w:firstLine="0" w:firstLineChars="0"/>
              <w:jc w:val="center"/>
              <w:textAlignment w:val="center"/>
              <w:rPr>
                <w:rFonts w:hint="default" w:ascii="Times New Roman" w:hAnsi="Times New Roman" w:cs="Times New Roman"/>
                <w:sz w:val="21"/>
                <w:szCs w:val="21"/>
                <w:highlight w:val="none"/>
                <w:lang w:val="en-US"/>
              </w:rPr>
            </w:pPr>
            <w:r>
              <w:rPr>
                <w:rFonts w:hint="default" w:ascii="Times New Roman" w:hAnsi="Times New Roman" w:cs="Times New Roman"/>
                <w:kern w:val="0"/>
                <w:sz w:val="21"/>
                <w:szCs w:val="21"/>
                <w:highlight w:val="none"/>
                <w:lang w:val="en-US" w:eastAsia="zh-CN" w:bidi="ar"/>
              </w:rPr>
              <w:t>0.27</w:t>
            </w:r>
          </w:p>
        </w:tc>
        <w:tc>
          <w:tcPr>
            <w:tcW w:w="399" w:type="pct"/>
            <w:noWrap/>
            <w:vAlign w:val="center"/>
          </w:tcPr>
          <w:p w14:paraId="5A10BFBD">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5.51E-04</w:t>
            </w:r>
          </w:p>
        </w:tc>
        <w:tc>
          <w:tcPr>
            <w:tcW w:w="351" w:type="pct"/>
            <w:noWrap/>
            <w:vAlign w:val="center"/>
          </w:tcPr>
          <w:p w14:paraId="45EEB7BC">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6D0A9E34">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7.96E-03</w:t>
            </w:r>
          </w:p>
        </w:tc>
        <w:tc>
          <w:tcPr>
            <w:tcW w:w="317" w:type="pct"/>
            <w:noWrap/>
            <w:vAlign w:val="center"/>
          </w:tcPr>
          <w:p w14:paraId="0609CFA3">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3.18</w:t>
            </w:r>
          </w:p>
        </w:tc>
        <w:tc>
          <w:tcPr>
            <w:tcW w:w="394" w:type="pct"/>
            <w:noWrap/>
            <w:vAlign w:val="center"/>
          </w:tcPr>
          <w:p w14:paraId="583B7FC6">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1.29E-06</w:t>
            </w:r>
          </w:p>
        </w:tc>
        <w:tc>
          <w:tcPr>
            <w:tcW w:w="327" w:type="pct"/>
            <w:noWrap/>
            <w:vAlign w:val="center"/>
          </w:tcPr>
          <w:p w14:paraId="17B1BA75">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0.43</w:t>
            </w:r>
          </w:p>
        </w:tc>
        <w:tc>
          <w:tcPr>
            <w:tcW w:w="380" w:type="pct"/>
            <w:noWrap/>
            <w:vAlign w:val="center"/>
          </w:tcPr>
          <w:p w14:paraId="6073C6C5">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4.46E-04</w:t>
            </w:r>
          </w:p>
        </w:tc>
        <w:tc>
          <w:tcPr>
            <w:tcW w:w="312" w:type="pct"/>
            <w:noWrap/>
            <w:vAlign w:val="center"/>
          </w:tcPr>
          <w:p w14:paraId="28D5542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35FDDBB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1700</w:t>
            </w:r>
          </w:p>
        </w:tc>
        <w:tc>
          <w:tcPr>
            <w:tcW w:w="389" w:type="pct"/>
            <w:noWrap/>
            <w:vAlign w:val="center"/>
          </w:tcPr>
          <w:p w14:paraId="1904313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3.05E-05</w:t>
            </w:r>
          </w:p>
        </w:tc>
        <w:tc>
          <w:tcPr>
            <w:tcW w:w="223" w:type="pct"/>
            <w:noWrap/>
            <w:vAlign w:val="center"/>
          </w:tcPr>
          <w:p w14:paraId="7AE354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4B3111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34988029">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1800</w:t>
            </w:r>
          </w:p>
        </w:tc>
        <w:tc>
          <w:tcPr>
            <w:tcW w:w="413" w:type="pct"/>
            <w:noWrap/>
            <w:vAlign w:val="center"/>
          </w:tcPr>
          <w:p w14:paraId="35B8ADB1">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1.34E-03</w:t>
            </w:r>
          </w:p>
        </w:tc>
        <w:tc>
          <w:tcPr>
            <w:tcW w:w="342" w:type="pct"/>
            <w:noWrap/>
            <w:vAlign w:val="center"/>
          </w:tcPr>
          <w:p w14:paraId="2753770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0.27</w:t>
            </w:r>
          </w:p>
        </w:tc>
        <w:tc>
          <w:tcPr>
            <w:tcW w:w="399" w:type="pct"/>
            <w:noWrap/>
            <w:vAlign w:val="center"/>
          </w:tcPr>
          <w:p w14:paraId="04721093">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5.51E-04</w:t>
            </w:r>
          </w:p>
        </w:tc>
        <w:tc>
          <w:tcPr>
            <w:tcW w:w="351" w:type="pct"/>
            <w:noWrap/>
            <w:vAlign w:val="center"/>
          </w:tcPr>
          <w:p w14:paraId="01DF659B">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41310557">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7.83E-03</w:t>
            </w:r>
          </w:p>
        </w:tc>
        <w:tc>
          <w:tcPr>
            <w:tcW w:w="317" w:type="pct"/>
            <w:noWrap/>
            <w:vAlign w:val="center"/>
          </w:tcPr>
          <w:p w14:paraId="02E81A63">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3.13</w:t>
            </w:r>
          </w:p>
        </w:tc>
        <w:tc>
          <w:tcPr>
            <w:tcW w:w="394" w:type="pct"/>
            <w:noWrap/>
            <w:vAlign w:val="center"/>
          </w:tcPr>
          <w:p w14:paraId="60900486">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1.27E-06</w:t>
            </w:r>
          </w:p>
        </w:tc>
        <w:tc>
          <w:tcPr>
            <w:tcW w:w="327" w:type="pct"/>
            <w:noWrap/>
            <w:vAlign w:val="center"/>
          </w:tcPr>
          <w:p w14:paraId="4F40793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0.42</w:t>
            </w:r>
          </w:p>
        </w:tc>
        <w:tc>
          <w:tcPr>
            <w:tcW w:w="380" w:type="pct"/>
            <w:noWrap/>
            <w:vAlign w:val="center"/>
          </w:tcPr>
          <w:p w14:paraId="45CA9834">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4.32E-04</w:t>
            </w:r>
          </w:p>
        </w:tc>
        <w:tc>
          <w:tcPr>
            <w:tcW w:w="312" w:type="pct"/>
            <w:noWrap/>
            <w:vAlign w:val="center"/>
          </w:tcPr>
          <w:p w14:paraId="5C48B63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0.22</w:t>
            </w:r>
          </w:p>
        </w:tc>
        <w:tc>
          <w:tcPr>
            <w:tcW w:w="313" w:type="pct"/>
            <w:noWrap/>
            <w:vAlign w:val="center"/>
          </w:tcPr>
          <w:p w14:paraId="014D34D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1800</w:t>
            </w:r>
          </w:p>
        </w:tc>
        <w:tc>
          <w:tcPr>
            <w:tcW w:w="389" w:type="pct"/>
            <w:noWrap/>
            <w:vAlign w:val="center"/>
          </w:tcPr>
          <w:p w14:paraId="6A0D1EA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3.22E-05</w:t>
            </w:r>
          </w:p>
        </w:tc>
        <w:tc>
          <w:tcPr>
            <w:tcW w:w="223" w:type="pct"/>
            <w:noWrap/>
            <w:vAlign w:val="center"/>
          </w:tcPr>
          <w:p w14:paraId="6E6A01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15FB5A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6" w:type="pct"/>
            <w:noWrap/>
            <w:vAlign w:val="center"/>
          </w:tcPr>
          <w:p w14:paraId="6BFBF9FA">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1900</w:t>
            </w:r>
          </w:p>
        </w:tc>
        <w:tc>
          <w:tcPr>
            <w:tcW w:w="413" w:type="pct"/>
            <w:noWrap/>
            <w:vAlign w:val="center"/>
          </w:tcPr>
          <w:p w14:paraId="4BDDE83B">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1.31E-03</w:t>
            </w:r>
          </w:p>
        </w:tc>
        <w:tc>
          <w:tcPr>
            <w:tcW w:w="342" w:type="pct"/>
            <w:noWrap/>
            <w:vAlign w:val="center"/>
          </w:tcPr>
          <w:p w14:paraId="4111113A">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0.26</w:t>
            </w:r>
          </w:p>
        </w:tc>
        <w:tc>
          <w:tcPr>
            <w:tcW w:w="399" w:type="pct"/>
            <w:noWrap/>
            <w:vAlign w:val="center"/>
          </w:tcPr>
          <w:p w14:paraId="767B36DB">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5.41E-04</w:t>
            </w:r>
          </w:p>
        </w:tc>
        <w:tc>
          <w:tcPr>
            <w:tcW w:w="351" w:type="pct"/>
            <w:noWrap/>
            <w:vAlign w:val="center"/>
          </w:tcPr>
          <w:p w14:paraId="07FE7EA4">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517DBC25">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7.68E-03</w:t>
            </w:r>
          </w:p>
        </w:tc>
        <w:tc>
          <w:tcPr>
            <w:tcW w:w="317" w:type="pct"/>
            <w:noWrap/>
            <w:vAlign w:val="center"/>
          </w:tcPr>
          <w:p w14:paraId="4EDF118F">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3.07</w:t>
            </w:r>
          </w:p>
        </w:tc>
        <w:tc>
          <w:tcPr>
            <w:tcW w:w="394" w:type="pct"/>
            <w:noWrap/>
            <w:vAlign w:val="center"/>
          </w:tcPr>
          <w:p w14:paraId="11522280">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1.24E-06</w:t>
            </w:r>
          </w:p>
        </w:tc>
        <w:tc>
          <w:tcPr>
            <w:tcW w:w="327" w:type="pct"/>
            <w:noWrap/>
            <w:vAlign w:val="center"/>
          </w:tcPr>
          <w:p w14:paraId="04620A69">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0.41</w:t>
            </w:r>
          </w:p>
        </w:tc>
        <w:tc>
          <w:tcPr>
            <w:tcW w:w="380" w:type="pct"/>
            <w:noWrap/>
            <w:vAlign w:val="center"/>
          </w:tcPr>
          <w:p w14:paraId="02C6F4C7">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4.24E-04</w:t>
            </w:r>
          </w:p>
        </w:tc>
        <w:tc>
          <w:tcPr>
            <w:tcW w:w="312" w:type="pct"/>
            <w:noWrap/>
            <w:vAlign w:val="center"/>
          </w:tcPr>
          <w:p w14:paraId="75202906">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0.21</w:t>
            </w:r>
          </w:p>
        </w:tc>
        <w:tc>
          <w:tcPr>
            <w:tcW w:w="313" w:type="pct"/>
            <w:noWrap/>
            <w:vAlign w:val="center"/>
          </w:tcPr>
          <w:p w14:paraId="6BAB4AC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1900</w:t>
            </w:r>
          </w:p>
        </w:tc>
        <w:tc>
          <w:tcPr>
            <w:tcW w:w="389" w:type="pct"/>
            <w:noWrap/>
            <w:vAlign w:val="center"/>
          </w:tcPr>
          <w:p w14:paraId="2556DA09">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3.67E-05</w:t>
            </w:r>
          </w:p>
        </w:tc>
        <w:tc>
          <w:tcPr>
            <w:tcW w:w="223" w:type="pct"/>
            <w:noWrap/>
            <w:vAlign w:val="center"/>
          </w:tcPr>
          <w:p w14:paraId="040E93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07B384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65142A85">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2000</w:t>
            </w:r>
          </w:p>
        </w:tc>
        <w:tc>
          <w:tcPr>
            <w:tcW w:w="413" w:type="pct"/>
            <w:noWrap/>
            <w:vAlign w:val="center"/>
          </w:tcPr>
          <w:p w14:paraId="0923E551">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1.28E-03</w:t>
            </w:r>
          </w:p>
        </w:tc>
        <w:tc>
          <w:tcPr>
            <w:tcW w:w="342" w:type="pct"/>
            <w:noWrap/>
            <w:vAlign w:val="center"/>
          </w:tcPr>
          <w:p w14:paraId="20FDA08C">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0.26</w:t>
            </w:r>
          </w:p>
        </w:tc>
        <w:tc>
          <w:tcPr>
            <w:tcW w:w="399" w:type="pct"/>
            <w:noWrap/>
            <w:vAlign w:val="center"/>
          </w:tcPr>
          <w:p w14:paraId="487DAA30">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5.29E-04</w:t>
            </w:r>
          </w:p>
        </w:tc>
        <w:tc>
          <w:tcPr>
            <w:tcW w:w="351" w:type="pct"/>
            <w:noWrap/>
            <w:vAlign w:val="center"/>
          </w:tcPr>
          <w:p w14:paraId="146DC11F">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0.12</w:t>
            </w:r>
          </w:p>
        </w:tc>
        <w:tc>
          <w:tcPr>
            <w:tcW w:w="418" w:type="pct"/>
            <w:noWrap/>
            <w:vAlign w:val="center"/>
          </w:tcPr>
          <w:p w14:paraId="761D7B11">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7.51E-03</w:t>
            </w:r>
          </w:p>
        </w:tc>
        <w:tc>
          <w:tcPr>
            <w:tcW w:w="317" w:type="pct"/>
            <w:noWrap/>
            <w:vAlign w:val="center"/>
          </w:tcPr>
          <w:p w14:paraId="70AC53B3">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3.00</w:t>
            </w:r>
          </w:p>
        </w:tc>
        <w:tc>
          <w:tcPr>
            <w:tcW w:w="394" w:type="pct"/>
            <w:noWrap/>
            <w:vAlign w:val="center"/>
          </w:tcPr>
          <w:p w14:paraId="69054E06">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1.22E-06</w:t>
            </w:r>
          </w:p>
        </w:tc>
        <w:tc>
          <w:tcPr>
            <w:tcW w:w="327" w:type="pct"/>
            <w:noWrap/>
            <w:vAlign w:val="center"/>
          </w:tcPr>
          <w:p w14:paraId="389449E7">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0.41</w:t>
            </w:r>
          </w:p>
        </w:tc>
        <w:tc>
          <w:tcPr>
            <w:tcW w:w="380" w:type="pct"/>
            <w:noWrap/>
            <w:vAlign w:val="center"/>
          </w:tcPr>
          <w:p w14:paraId="7A9880D1">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4.15E-04</w:t>
            </w:r>
          </w:p>
        </w:tc>
        <w:tc>
          <w:tcPr>
            <w:tcW w:w="312" w:type="pct"/>
            <w:noWrap/>
            <w:vAlign w:val="center"/>
          </w:tcPr>
          <w:p w14:paraId="54AA8147">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0.21</w:t>
            </w:r>
          </w:p>
        </w:tc>
        <w:tc>
          <w:tcPr>
            <w:tcW w:w="313" w:type="pct"/>
            <w:noWrap/>
            <w:vAlign w:val="center"/>
          </w:tcPr>
          <w:p w14:paraId="231C0F6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2000</w:t>
            </w:r>
          </w:p>
        </w:tc>
        <w:tc>
          <w:tcPr>
            <w:tcW w:w="389" w:type="pct"/>
            <w:noWrap/>
            <w:vAlign w:val="center"/>
          </w:tcPr>
          <w:p w14:paraId="135A1AB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3.86E-05</w:t>
            </w:r>
          </w:p>
        </w:tc>
        <w:tc>
          <w:tcPr>
            <w:tcW w:w="223" w:type="pct"/>
            <w:noWrap/>
            <w:vAlign w:val="center"/>
          </w:tcPr>
          <w:p w14:paraId="60F540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7AC482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16" w:type="pct"/>
            <w:noWrap/>
            <w:vAlign w:val="center"/>
          </w:tcPr>
          <w:p w14:paraId="0F508394">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2500</w:t>
            </w:r>
          </w:p>
        </w:tc>
        <w:tc>
          <w:tcPr>
            <w:tcW w:w="413" w:type="pct"/>
            <w:noWrap/>
            <w:vAlign w:val="center"/>
          </w:tcPr>
          <w:p w14:paraId="5AC4E434">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1.14E-03</w:t>
            </w:r>
          </w:p>
        </w:tc>
        <w:tc>
          <w:tcPr>
            <w:tcW w:w="342" w:type="pct"/>
            <w:noWrap/>
            <w:vAlign w:val="center"/>
          </w:tcPr>
          <w:p w14:paraId="6CF4879D">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0.23</w:t>
            </w:r>
          </w:p>
        </w:tc>
        <w:tc>
          <w:tcPr>
            <w:tcW w:w="399" w:type="pct"/>
            <w:noWrap/>
            <w:vAlign w:val="center"/>
          </w:tcPr>
          <w:p w14:paraId="63A28916">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4.71E-04</w:t>
            </w:r>
          </w:p>
        </w:tc>
        <w:tc>
          <w:tcPr>
            <w:tcW w:w="351" w:type="pct"/>
            <w:noWrap/>
            <w:vAlign w:val="center"/>
          </w:tcPr>
          <w:p w14:paraId="1305D1E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0.10</w:t>
            </w:r>
          </w:p>
        </w:tc>
        <w:tc>
          <w:tcPr>
            <w:tcW w:w="418" w:type="pct"/>
            <w:noWrap/>
            <w:vAlign w:val="center"/>
          </w:tcPr>
          <w:p w14:paraId="37F7F1D3">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6.70E-03</w:t>
            </w:r>
          </w:p>
        </w:tc>
        <w:tc>
          <w:tcPr>
            <w:tcW w:w="317" w:type="pct"/>
            <w:noWrap/>
            <w:vAlign w:val="center"/>
          </w:tcPr>
          <w:p w14:paraId="780C97DF">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2.68</w:t>
            </w:r>
          </w:p>
        </w:tc>
        <w:tc>
          <w:tcPr>
            <w:tcW w:w="394" w:type="pct"/>
            <w:noWrap/>
            <w:vAlign w:val="center"/>
          </w:tcPr>
          <w:p w14:paraId="30D0D577">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bidi="ar"/>
              </w:rPr>
              <w:t>1.09E-06</w:t>
            </w:r>
          </w:p>
        </w:tc>
        <w:tc>
          <w:tcPr>
            <w:tcW w:w="327" w:type="pct"/>
            <w:noWrap/>
            <w:vAlign w:val="center"/>
          </w:tcPr>
          <w:p w14:paraId="13179EB6">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0.36</w:t>
            </w:r>
          </w:p>
        </w:tc>
        <w:tc>
          <w:tcPr>
            <w:tcW w:w="380" w:type="pct"/>
            <w:noWrap/>
            <w:vAlign w:val="center"/>
          </w:tcPr>
          <w:p w14:paraId="3F85F047">
            <w:pPr>
              <w:widowControl/>
              <w:spacing w:line="240" w:lineRule="auto"/>
              <w:ind w:firstLine="0" w:firstLineChars="0"/>
              <w:jc w:val="center"/>
              <w:textAlignment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3.70E-04</w:t>
            </w:r>
          </w:p>
        </w:tc>
        <w:tc>
          <w:tcPr>
            <w:tcW w:w="312" w:type="pct"/>
            <w:noWrap/>
            <w:vAlign w:val="center"/>
          </w:tcPr>
          <w:p w14:paraId="32911DCE">
            <w:pPr>
              <w:widowControl/>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kern w:val="0"/>
                <w:sz w:val="21"/>
                <w:szCs w:val="21"/>
                <w:highlight w:val="none"/>
                <w:lang w:val="en-US" w:eastAsia="zh-CN" w:bidi="ar"/>
              </w:rPr>
              <w:t>0.18</w:t>
            </w:r>
          </w:p>
        </w:tc>
        <w:tc>
          <w:tcPr>
            <w:tcW w:w="313" w:type="pct"/>
            <w:noWrap/>
            <w:vAlign w:val="center"/>
          </w:tcPr>
          <w:p w14:paraId="196002E7">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2500</w:t>
            </w:r>
          </w:p>
        </w:tc>
        <w:tc>
          <w:tcPr>
            <w:tcW w:w="389" w:type="pct"/>
            <w:noWrap/>
            <w:vAlign w:val="center"/>
          </w:tcPr>
          <w:p w14:paraId="2E7B968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3.12E-05</w:t>
            </w:r>
          </w:p>
        </w:tc>
        <w:tc>
          <w:tcPr>
            <w:tcW w:w="223" w:type="pct"/>
            <w:noWrap/>
            <w:vAlign w:val="center"/>
          </w:tcPr>
          <w:p w14:paraId="0F61C2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0.00</w:t>
            </w:r>
          </w:p>
        </w:tc>
      </w:tr>
      <w:tr w14:paraId="392B20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416" w:type="pct"/>
            <w:noWrap/>
            <w:vAlign w:val="center"/>
          </w:tcPr>
          <w:p w14:paraId="4F3B22BB">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D</w:t>
            </w:r>
            <w:r>
              <w:rPr>
                <w:rFonts w:hint="default" w:ascii="Times New Roman" w:hAnsi="Times New Roman" w:cs="Times New Roman"/>
                <w:kern w:val="0"/>
                <w:sz w:val="21"/>
                <w:szCs w:val="21"/>
                <w:highlight w:val="none"/>
                <w:vertAlign w:val="subscript"/>
                <w:lang w:bidi="ar"/>
              </w:rPr>
              <w:t>10%</w:t>
            </w:r>
            <w:r>
              <w:rPr>
                <w:rFonts w:hint="default" w:ascii="Times New Roman" w:hAnsi="Times New Roman" w:cs="Times New Roman"/>
                <w:kern w:val="0"/>
                <w:sz w:val="21"/>
                <w:szCs w:val="21"/>
                <w:highlight w:val="none"/>
                <w:lang w:bidi="ar"/>
              </w:rPr>
              <w:t>(m)</w:t>
            </w:r>
          </w:p>
        </w:tc>
        <w:tc>
          <w:tcPr>
            <w:tcW w:w="413" w:type="pct"/>
            <w:noWrap/>
            <w:vAlign w:val="center"/>
          </w:tcPr>
          <w:p w14:paraId="4AB7D11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42" w:type="pct"/>
            <w:noWrap/>
            <w:vAlign w:val="center"/>
          </w:tcPr>
          <w:p w14:paraId="08A89AC2">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99" w:type="pct"/>
            <w:noWrap/>
            <w:vAlign w:val="center"/>
          </w:tcPr>
          <w:p w14:paraId="2EAB3AE3">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51" w:type="pct"/>
            <w:noWrap/>
            <w:vAlign w:val="center"/>
          </w:tcPr>
          <w:p w14:paraId="4655B356">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418" w:type="pct"/>
            <w:noWrap/>
            <w:vAlign w:val="center"/>
          </w:tcPr>
          <w:p w14:paraId="21126ED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17" w:type="pct"/>
            <w:noWrap/>
            <w:vAlign w:val="center"/>
          </w:tcPr>
          <w:p w14:paraId="6CDBB235">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94" w:type="pct"/>
            <w:noWrap/>
            <w:vAlign w:val="center"/>
          </w:tcPr>
          <w:p w14:paraId="5F64D87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27" w:type="pct"/>
            <w:noWrap/>
            <w:vAlign w:val="center"/>
          </w:tcPr>
          <w:p w14:paraId="14DD3530">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80" w:type="pct"/>
            <w:noWrap/>
            <w:vAlign w:val="center"/>
          </w:tcPr>
          <w:p w14:paraId="01406D18">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12" w:type="pct"/>
            <w:noWrap/>
            <w:vAlign w:val="center"/>
          </w:tcPr>
          <w:p w14:paraId="7B1E232D">
            <w:pPr>
              <w:widowControl/>
              <w:spacing w:line="240" w:lineRule="auto"/>
              <w:ind w:firstLine="0" w:firstLineChars="0"/>
              <w:jc w:val="center"/>
              <w:textAlignment w:val="center"/>
              <w:rPr>
                <w:rFonts w:hint="default" w:ascii="Times New Roman" w:hAnsi="Times New Roman" w:cs="Times New Roman"/>
                <w:kern w:val="0"/>
                <w:sz w:val="21"/>
                <w:szCs w:val="21"/>
                <w:highlight w:val="none"/>
                <w:lang w:bidi="ar"/>
              </w:rPr>
            </w:pPr>
            <w:r>
              <w:rPr>
                <w:rFonts w:hint="default" w:ascii="Times New Roman" w:hAnsi="Times New Roman" w:cs="Times New Roman"/>
                <w:kern w:val="0"/>
                <w:sz w:val="21"/>
                <w:szCs w:val="21"/>
                <w:highlight w:val="none"/>
                <w:lang w:bidi="ar"/>
              </w:rPr>
              <w:t>/</w:t>
            </w:r>
          </w:p>
        </w:tc>
        <w:tc>
          <w:tcPr>
            <w:tcW w:w="313" w:type="pct"/>
            <w:noWrap/>
            <w:vAlign w:val="center"/>
          </w:tcPr>
          <w:p w14:paraId="564C6C8A">
            <w:pPr>
              <w:widowControl/>
              <w:spacing w:line="240" w:lineRule="auto"/>
              <w:ind w:firstLine="0" w:firstLineChars="0"/>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w:t>
            </w:r>
          </w:p>
        </w:tc>
        <w:tc>
          <w:tcPr>
            <w:tcW w:w="389" w:type="pct"/>
            <w:noWrap/>
            <w:vAlign w:val="center"/>
          </w:tcPr>
          <w:p w14:paraId="010A627E">
            <w:pPr>
              <w:widowControl/>
              <w:spacing w:line="240" w:lineRule="auto"/>
              <w:ind w:firstLine="0" w:firstLineChars="0"/>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w:t>
            </w:r>
          </w:p>
        </w:tc>
        <w:tc>
          <w:tcPr>
            <w:tcW w:w="223" w:type="pct"/>
            <w:noWrap/>
            <w:vAlign w:val="center"/>
          </w:tcPr>
          <w:p w14:paraId="1B567AEB">
            <w:pPr>
              <w:widowControl/>
              <w:spacing w:line="240" w:lineRule="auto"/>
              <w:ind w:firstLine="0" w:firstLineChars="0"/>
              <w:jc w:val="center"/>
              <w:textAlignment w:val="center"/>
              <w:rPr>
                <w:rFonts w:hint="default" w:ascii="Times New Roman" w:hAnsi="Times New Roman" w:eastAsia="宋体" w:cs="Times New Roman"/>
                <w:kern w:val="0"/>
                <w:sz w:val="21"/>
                <w:szCs w:val="21"/>
                <w:highlight w:val="none"/>
                <w:lang w:val="en-US" w:eastAsia="zh-CN" w:bidi="ar"/>
              </w:rPr>
            </w:pPr>
            <w:r>
              <w:rPr>
                <w:rFonts w:hint="default" w:ascii="Times New Roman" w:hAnsi="Times New Roman" w:cs="Times New Roman"/>
                <w:kern w:val="0"/>
                <w:sz w:val="21"/>
                <w:szCs w:val="21"/>
                <w:highlight w:val="none"/>
                <w:lang w:val="en-US" w:eastAsia="zh-CN" w:bidi="ar"/>
              </w:rPr>
              <w:t>/</w:t>
            </w:r>
          </w:p>
        </w:tc>
      </w:tr>
    </w:tbl>
    <w:p w14:paraId="1C6E989C">
      <w:pPr>
        <w:pStyle w:val="29"/>
        <w:spacing w:line="240" w:lineRule="auto"/>
        <w:ind w:firstLine="480"/>
        <w:rPr>
          <w:highlight w:val="none"/>
        </w:rPr>
      </w:pPr>
    </w:p>
    <w:p w14:paraId="4154AC49">
      <w:pPr>
        <w:pStyle w:val="22"/>
        <w:rPr>
          <w:highlight w:val="none"/>
        </w:rPr>
      </w:pPr>
    </w:p>
    <w:p w14:paraId="5361E9B5">
      <w:pPr>
        <w:ind w:firstLine="0" w:firstLineChars="0"/>
        <w:rPr>
          <w:rFonts w:ascii="Times New Roman" w:hAnsi="Times New Roman"/>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26" w:charSpace="0"/>
        </w:sectPr>
      </w:pPr>
    </w:p>
    <w:p w14:paraId="5BD8B8C7">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表2.4-5（2）主要污染源估算模型计算结果表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07"/>
        <w:gridCol w:w="1698"/>
        <w:gridCol w:w="3403"/>
        <w:gridCol w:w="1614"/>
      </w:tblGrid>
      <w:tr w14:paraId="5A85D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vMerge w:val="restart"/>
            <w:noWrap w:val="0"/>
            <w:vAlign w:val="center"/>
          </w:tcPr>
          <w:p w14:paraId="30180BD8">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hint="eastAsia" w:ascii="Times New Roman" w:hAnsi="Times New Roman"/>
                <w:kern w:val="0"/>
                <w:highlight w:val="none"/>
              </w:rPr>
              <w:t>污染源</w:t>
            </w:r>
          </w:p>
        </w:tc>
        <w:tc>
          <w:tcPr>
            <w:tcW w:w="3939" w:type="pct"/>
            <w:gridSpan w:val="3"/>
            <w:noWrap w:val="0"/>
            <w:vAlign w:val="center"/>
          </w:tcPr>
          <w:p w14:paraId="6DF72D85">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ascii="Times New Roman" w:hAnsi="Times New Roman"/>
                <w:kern w:val="0"/>
                <w:highlight w:val="none"/>
              </w:rPr>
              <w:t>无组织</w:t>
            </w:r>
          </w:p>
        </w:tc>
      </w:tr>
      <w:tr w14:paraId="4ED06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0" w:type="pct"/>
            <w:vMerge w:val="continue"/>
            <w:noWrap w:val="0"/>
            <w:vAlign w:val="center"/>
          </w:tcPr>
          <w:p w14:paraId="402BE696">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p>
        </w:tc>
        <w:tc>
          <w:tcPr>
            <w:tcW w:w="2992" w:type="pct"/>
            <w:gridSpan w:val="2"/>
            <w:noWrap w:val="0"/>
            <w:vAlign w:val="center"/>
          </w:tcPr>
          <w:p w14:paraId="0CB4D2BF">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iCs/>
                <w:snapToGrid w:val="0"/>
                <w:kern w:val="0"/>
                <w:highlight w:val="none"/>
              </w:rPr>
            </w:pPr>
            <w:r>
              <w:rPr>
                <w:rFonts w:hint="eastAsia" w:ascii="Times New Roman" w:hAnsi="Times New Roman"/>
                <w:iCs/>
                <w:snapToGrid w:val="0"/>
                <w:kern w:val="0"/>
                <w:highlight w:val="none"/>
              </w:rPr>
              <w:t>颗粒物（PM</w:t>
            </w:r>
            <w:r>
              <w:rPr>
                <w:rFonts w:hint="eastAsia" w:ascii="Times New Roman" w:hAnsi="Times New Roman"/>
                <w:iCs/>
                <w:snapToGrid w:val="0"/>
                <w:kern w:val="0"/>
                <w:highlight w:val="none"/>
                <w:vertAlign w:val="subscript"/>
              </w:rPr>
              <w:t>10</w:t>
            </w:r>
            <w:r>
              <w:rPr>
                <w:rFonts w:hint="eastAsia" w:ascii="Times New Roman" w:hAnsi="Times New Roman"/>
                <w:iCs/>
                <w:snapToGrid w:val="0"/>
                <w:kern w:val="0"/>
                <w:highlight w:val="none"/>
              </w:rPr>
              <w:t>）</w:t>
            </w:r>
          </w:p>
        </w:tc>
        <w:tc>
          <w:tcPr>
            <w:tcW w:w="946" w:type="pct"/>
            <w:vMerge w:val="restart"/>
            <w:noWrap w:val="0"/>
            <w:vAlign w:val="center"/>
          </w:tcPr>
          <w:p w14:paraId="49DAC3D3">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ascii="Times New Roman" w:hAnsi="Times New Roman"/>
                <w:kern w:val="0"/>
                <w:highlight w:val="none"/>
              </w:rPr>
              <w:t>D10%</w:t>
            </w:r>
            <w:r>
              <w:rPr>
                <w:rFonts w:hint="eastAsia" w:ascii="Times New Roman" w:hAnsi="Times New Roman"/>
                <w:kern w:val="0"/>
                <w:highlight w:val="none"/>
              </w:rPr>
              <w:t>（m）</w:t>
            </w:r>
          </w:p>
        </w:tc>
      </w:tr>
      <w:tr w14:paraId="295D4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vMerge w:val="continue"/>
            <w:noWrap w:val="0"/>
            <w:vAlign w:val="center"/>
          </w:tcPr>
          <w:p w14:paraId="1894C00C">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p>
        </w:tc>
        <w:tc>
          <w:tcPr>
            <w:tcW w:w="996" w:type="pct"/>
            <w:noWrap w:val="0"/>
            <w:vAlign w:val="center"/>
          </w:tcPr>
          <w:p w14:paraId="61979043">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最大</w:t>
            </w:r>
            <w:r>
              <w:rPr>
                <w:rFonts w:ascii="Times New Roman" w:hAnsi="Times New Roman"/>
                <w:kern w:val="0"/>
                <w:highlight w:val="none"/>
              </w:rPr>
              <w:t>占标率%</w:t>
            </w:r>
          </w:p>
        </w:tc>
        <w:tc>
          <w:tcPr>
            <w:tcW w:w="1996" w:type="pct"/>
            <w:noWrap w:val="0"/>
            <w:vAlign w:val="center"/>
          </w:tcPr>
          <w:p w14:paraId="314FE46F">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最大</w:t>
            </w:r>
            <w:r>
              <w:rPr>
                <w:rFonts w:ascii="Times New Roman" w:hAnsi="Times New Roman"/>
                <w:kern w:val="0"/>
                <w:highlight w:val="none"/>
              </w:rPr>
              <w:t>预测质量浓度/μ</w:t>
            </w:r>
            <w:r>
              <w:rPr>
                <w:rFonts w:ascii="Times New Roman" w:hAnsi="Times New Roman"/>
                <w:iCs/>
                <w:kern w:val="0"/>
                <w:highlight w:val="none"/>
              </w:rPr>
              <w:t>g/m</w:t>
            </w:r>
            <w:r>
              <w:rPr>
                <w:rFonts w:ascii="Times New Roman" w:hAnsi="Times New Roman"/>
                <w:iCs/>
                <w:kern w:val="0"/>
                <w:highlight w:val="none"/>
                <w:vertAlign w:val="superscript"/>
              </w:rPr>
              <w:t>3</w:t>
            </w:r>
          </w:p>
        </w:tc>
        <w:tc>
          <w:tcPr>
            <w:tcW w:w="946" w:type="pct"/>
            <w:vMerge w:val="continue"/>
            <w:noWrap w:val="0"/>
            <w:vAlign w:val="center"/>
          </w:tcPr>
          <w:p w14:paraId="5100F287">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p>
        </w:tc>
      </w:tr>
      <w:tr w14:paraId="4ECB4B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noWrap w:val="0"/>
            <w:vAlign w:val="center"/>
          </w:tcPr>
          <w:p w14:paraId="3263A5D6">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灰仓</w:t>
            </w:r>
          </w:p>
        </w:tc>
        <w:tc>
          <w:tcPr>
            <w:tcW w:w="996" w:type="pct"/>
            <w:noWrap w:val="0"/>
            <w:vAlign w:val="center"/>
          </w:tcPr>
          <w:p w14:paraId="03A82CBD">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7.58</w:t>
            </w:r>
          </w:p>
        </w:tc>
        <w:tc>
          <w:tcPr>
            <w:tcW w:w="1996" w:type="pct"/>
            <w:noWrap w:val="0"/>
            <w:vAlign w:val="center"/>
          </w:tcPr>
          <w:p w14:paraId="12297C40">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3.41E-02</w:t>
            </w:r>
          </w:p>
        </w:tc>
        <w:tc>
          <w:tcPr>
            <w:tcW w:w="946" w:type="pct"/>
            <w:noWrap w:val="0"/>
            <w:vAlign w:val="center"/>
          </w:tcPr>
          <w:p w14:paraId="7F412F9F">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hint="eastAsia" w:ascii="Times New Roman" w:hAnsi="Times New Roman"/>
                <w:kern w:val="0"/>
                <w:highlight w:val="none"/>
              </w:rPr>
              <w:t>/</w:t>
            </w:r>
          </w:p>
        </w:tc>
      </w:tr>
      <w:tr w14:paraId="0A8720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noWrap w:val="0"/>
            <w:vAlign w:val="center"/>
          </w:tcPr>
          <w:p w14:paraId="494A3DD6">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渣仓</w:t>
            </w:r>
          </w:p>
        </w:tc>
        <w:tc>
          <w:tcPr>
            <w:tcW w:w="996" w:type="pct"/>
            <w:noWrap w:val="0"/>
            <w:vAlign w:val="center"/>
          </w:tcPr>
          <w:p w14:paraId="4F0CC476">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3.25</w:t>
            </w:r>
          </w:p>
        </w:tc>
        <w:tc>
          <w:tcPr>
            <w:tcW w:w="1996" w:type="pct"/>
            <w:noWrap w:val="0"/>
            <w:vAlign w:val="center"/>
          </w:tcPr>
          <w:p w14:paraId="7E70A6C3">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1.46E+01</w:t>
            </w:r>
          </w:p>
        </w:tc>
        <w:tc>
          <w:tcPr>
            <w:tcW w:w="946" w:type="pct"/>
            <w:noWrap w:val="0"/>
            <w:vAlign w:val="center"/>
          </w:tcPr>
          <w:p w14:paraId="15B0E729">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hint="eastAsia" w:ascii="Times New Roman" w:hAnsi="Times New Roman"/>
                <w:kern w:val="0"/>
                <w:highlight w:val="none"/>
              </w:rPr>
              <w:t>/</w:t>
            </w:r>
          </w:p>
        </w:tc>
      </w:tr>
      <w:tr w14:paraId="0B4147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noWrap w:val="0"/>
            <w:vAlign w:val="center"/>
          </w:tcPr>
          <w:p w14:paraId="3471FC7E">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石灰石粉仓</w:t>
            </w:r>
          </w:p>
        </w:tc>
        <w:tc>
          <w:tcPr>
            <w:tcW w:w="996" w:type="pct"/>
            <w:noWrap w:val="0"/>
            <w:vAlign w:val="center"/>
          </w:tcPr>
          <w:p w14:paraId="3ADFAA2F">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1.91</w:t>
            </w:r>
          </w:p>
        </w:tc>
        <w:tc>
          <w:tcPr>
            <w:tcW w:w="1996" w:type="pct"/>
            <w:noWrap w:val="0"/>
            <w:vAlign w:val="center"/>
          </w:tcPr>
          <w:p w14:paraId="3EB289E1">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8.61E+00</w:t>
            </w:r>
          </w:p>
        </w:tc>
        <w:tc>
          <w:tcPr>
            <w:tcW w:w="946" w:type="pct"/>
            <w:noWrap w:val="0"/>
            <w:vAlign w:val="center"/>
          </w:tcPr>
          <w:p w14:paraId="2DB501B9">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hint="eastAsia" w:ascii="Times New Roman" w:hAnsi="Times New Roman"/>
                <w:kern w:val="0"/>
                <w:highlight w:val="none"/>
              </w:rPr>
              <w:t>/</w:t>
            </w:r>
          </w:p>
        </w:tc>
      </w:tr>
      <w:tr w14:paraId="6405AA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noWrap w:val="0"/>
            <w:vAlign w:val="center"/>
          </w:tcPr>
          <w:p w14:paraId="604425D5">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eastAsia="宋体"/>
                <w:kern w:val="0"/>
                <w:highlight w:val="none"/>
                <w:lang w:val="en-US" w:eastAsia="zh-CN"/>
              </w:rPr>
            </w:pPr>
            <w:r>
              <w:rPr>
                <w:rFonts w:hint="eastAsia" w:ascii="Times New Roman" w:hAnsi="Times New Roman"/>
                <w:kern w:val="0"/>
                <w:highlight w:val="none"/>
                <w:lang w:val="en-US" w:eastAsia="zh-CN"/>
              </w:rPr>
              <w:t>污染源</w:t>
            </w:r>
          </w:p>
        </w:tc>
        <w:tc>
          <w:tcPr>
            <w:tcW w:w="2992" w:type="pct"/>
            <w:gridSpan w:val="2"/>
            <w:noWrap w:val="0"/>
            <w:vAlign w:val="center"/>
          </w:tcPr>
          <w:p w14:paraId="6DC0DD90">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TSP</w:t>
            </w:r>
          </w:p>
        </w:tc>
        <w:tc>
          <w:tcPr>
            <w:tcW w:w="946" w:type="pct"/>
            <w:noWrap w:val="0"/>
            <w:vAlign w:val="center"/>
          </w:tcPr>
          <w:p w14:paraId="6C938260">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p>
        </w:tc>
      </w:tr>
      <w:tr w14:paraId="37860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0" w:type="pct"/>
            <w:noWrap w:val="0"/>
            <w:vAlign w:val="center"/>
          </w:tcPr>
          <w:p w14:paraId="628B1653">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储煤厂</w:t>
            </w:r>
          </w:p>
        </w:tc>
        <w:tc>
          <w:tcPr>
            <w:tcW w:w="996" w:type="pct"/>
            <w:noWrap w:val="0"/>
            <w:vAlign w:val="center"/>
          </w:tcPr>
          <w:p w14:paraId="7D3F239C">
            <w:pPr>
              <w:tabs>
                <w:tab w:val="left" w:pos="567"/>
                <w:tab w:val="left" w:pos="4440"/>
              </w:tabs>
              <w:autoSpaceDE w:val="0"/>
              <w:autoSpaceDN w:val="0"/>
              <w:snapToGrid w:val="0"/>
              <w:spacing w:line="240" w:lineRule="auto"/>
              <w:ind w:firstLine="0" w:firstLineChars="0"/>
              <w:jc w:val="center"/>
              <w:textAlignment w:val="bottom"/>
              <w:rPr>
                <w:rFonts w:hint="default" w:ascii="Times New Roman" w:hAnsi="Times New Roman" w:eastAsia="宋体"/>
                <w:kern w:val="0"/>
                <w:highlight w:val="none"/>
                <w:lang w:val="en-US" w:eastAsia="zh-CN"/>
              </w:rPr>
            </w:pPr>
            <w:r>
              <w:rPr>
                <w:rFonts w:hint="eastAsia" w:ascii="Times New Roman" w:hAnsi="Times New Roman"/>
                <w:kern w:val="0"/>
                <w:highlight w:val="none"/>
                <w:lang w:val="en-US" w:eastAsia="zh-CN"/>
              </w:rPr>
              <w:t>9.65</w:t>
            </w:r>
          </w:p>
        </w:tc>
        <w:tc>
          <w:tcPr>
            <w:tcW w:w="1996" w:type="pct"/>
            <w:noWrap w:val="0"/>
            <w:vAlign w:val="center"/>
          </w:tcPr>
          <w:p w14:paraId="5214202D">
            <w:pPr>
              <w:tabs>
                <w:tab w:val="left" w:pos="567"/>
                <w:tab w:val="left" w:pos="4440"/>
              </w:tabs>
              <w:autoSpaceDE w:val="0"/>
              <w:autoSpaceDN w:val="0"/>
              <w:snapToGrid w:val="0"/>
              <w:spacing w:line="240" w:lineRule="auto"/>
              <w:ind w:firstLine="0" w:firstLineChars="0"/>
              <w:jc w:val="center"/>
              <w:textAlignment w:val="bottom"/>
              <w:rPr>
                <w:rFonts w:ascii="Times New Roman" w:hAnsi="Times New Roman"/>
                <w:kern w:val="0"/>
                <w:highlight w:val="none"/>
              </w:rPr>
            </w:pPr>
            <w:r>
              <w:rPr>
                <w:rFonts w:hint="eastAsia" w:ascii="Times New Roman" w:hAnsi="Times New Roman"/>
                <w:kern w:val="0"/>
                <w:highlight w:val="none"/>
              </w:rPr>
              <w:t>8.</w:t>
            </w:r>
            <w:r>
              <w:rPr>
                <w:rFonts w:hint="eastAsia" w:ascii="Times New Roman" w:hAnsi="Times New Roman"/>
                <w:kern w:val="0"/>
                <w:highlight w:val="none"/>
                <w:lang w:val="en-US" w:eastAsia="zh-CN"/>
              </w:rPr>
              <w:t>69</w:t>
            </w:r>
            <w:r>
              <w:rPr>
                <w:rFonts w:hint="eastAsia" w:ascii="Times New Roman" w:hAnsi="Times New Roman"/>
                <w:kern w:val="0"/>
                <w:highlight w:val="none"/>
              </w:rPr>
              <w:t>E+01</w:t>
            </w:r>
          </w:p>
        </w:tc>
        <w:tc>
          <w:tcPr>
            <w:tcW w:w="946" w:type="pct"/>
            <w:noWrap w:val="0"/>
            <w:vAlign w:val="center"/>
          </w:tcPr>
          <w:p w14:paraId="4FC524CA">
            <w:pPr>
              <w:tabs>
                <w:tab w:val="left" w:pos="567"/>
                <w:tab w:val="left" w:pos="4440"/>
              </w:tabs>
              <w:autoSpaceDE w:val="0"/>
              <w:autoSpaceDN w:val="0"/>
              <w:snapToGrid w:val="0"/>
              <w:spacing w:line="240" w:lineRule="auto"/>
              <w:ind w:firstLine="0" w:firstLineChars="0"/>
              <w:jc w:val="center"/>
              <w:textAlignment w:val="bottom"/>
              <w:rPr>
                <w:rFonts w:hint="eastAsia" w:ascii="Times New Roman" w:hAnsi="Times New Roman"/>
                <w:kern w:val="0"/>
                <w:highlight w:val="none"/>
              </w:rPr>
            </w:pPr>
            <w:r>
              <w:rPr>
                <w:rFonts w:hint="eastAsia" w:ascii="Times New Roman" w:hAnsi="Times New Roman"/>
                <w:kern w:val="0"/>
                <w:highlight w:val="none"/>
              </w:rPr>
              <w:t>/</w:t>
            </w:r>
          </w:p>
        </w:tc>
      </w:tr>
    </w:tbl>
    <w:p w14:paraId="3224B6DF">
      <w:pPr>
        <w:ind w:firstLine="480"/>
        <w:rPr>
          <w:rFonts w:ascii="Times New Roman" w:hAnsi="Times New Roman"/>
          <w:highlight w:val="none"/>
        </w:rPr>
      </w:pPr>
      <w:r>
        <w:rPr>
          <w:rFonts w:ascii="Times New Roman" w:hAnsi="Times New Roman"/>
          <w:highlight w:val="none"/>
        </w:rPr>
        <w:t>由上表可知，本项目各污染物最大地面空气质量浓度占标率为</w:t>
      </w:r>
      <w:r>
        <w:rPr>
          <w:rFonts w:hint="eastAsia" w:ascii="Times New Roman" w:hAnsi="Times New Roman"/>
          <w:highlight w:val="none"/>
          <w:lang w:val="en-US" w:eastAsia="zh-CN"/>
        </w:rPr>
        <w:t>储煤厂无</w:t>
      </w:r>
      <w:r>
        <w:rPr>
          <w:rFonts w:ascii="Times New Roman" w:hAnsi="Times New Roman"/>
          <w:highlight w:val="none"/>
        </w:rPr>
        <w:t>组织排放的</w:t>
      </w:r>
      <w:r>
        <w:rPr>
          <w:rFonts w:hint="eastAsia" w:ascii="Times New Roman" w:hAnsi="Times New Roman"/>
          <w:highlight w:val="none"/>
          <w:lang w:val="en-US" w:eastAsia="zh-CN"/>
        </w:rPr>
        <w:t>颗粒物</w:t>
      </w:r>
      <w:r>
        <w:rPr>
          <w:rFonts w:ascii="Times New Roman" w:hAnsi="Times New Roman"/>
          <w:highlight w:val="none"/>
        </w:rPr>
        <w:t>：P</w:t>
      </w:r>
      <w:r>
        <w:rPr>
          <w:rFonts w:ascii="Times New Roman" w:hAnsi="Times New Roman"/>
          <w:highlight w:val="none"/>
          <w:vertAlign w:val="subscript"/>
        </w:rPr>
        <w:t>max</w:t>
      </w:r>
      <w:r>
        <w:rPr>
          <w:rFonts w:ascii="Times New Roman" w:hAnsi="Times New Roman"/>
          <w:highlight w:val="none"/>
        </w:rPr>
        <w:t>=</w:t>
      </w:r>
      <w:r>
        <w:rPr>
          <w:rFonts w:hint="eastAsia" w:ascii="Times New Roman" w:hAnsi="Times New Roman"/>
          <w:highlight w:val="none"/>
          <w:lang w:val="en-US" w:eastAsia="zh-CN"/>
        </w:rPr>
        <w:t>9.65</w:t>
      </w:r>
      <w:r>
        <w:rPr>
          <w:rFonts w:ascii="Times New Roman" w:hAnsi="Times New Roman"/>
          <w:highlight w:val="none"/>
        </w:rPr>
        <w:t>%。根据《环境影响评价技术导则 大气环境》（HJ2.2-2018）分判依据，使用高污染燃料为主的多源项目，并且编制环境影响报告书的项目评价等级提高一级，故环境空气评价工作等级为一级。</w:t>
      </w:r>
    </w:p>
    <w:p w14:paraId="71AC5068">
      <w:pPr>
        <w:ind w:firstLine="480"/>
        <w:rPr>
          <w:rFonts w:ascii="Times New Roman" w:hAnsi="Times New Roman"/>
          <w:highlight w:val="none"/>
        </w:rPr>
      </w:pPr>
      <w:r>
        <w:rPr>
          <w:rFonts w:ascii="Times New Roman" w:hAnsi="Times New Roman"/>
          <w:highlight w:val="none"/>
        </w:rPr>
        <w:t>（2）评价范围</w:t>
      </w:r>
    </w:p>
    <w:p w14:paraId="6B20FDEB">
      <w:pPr>
        <w:ind w:firstLine="480"/>
        <w:rPr>
          <w:rFonts w:ascii="Times New Roman" w:hAnsi="Times New Roman"/>
          <w:highlight w:val="none"/>
        </w:rPr>
      </w:pPr>
      <w:r>
        <w:rPr>
          <w:rFonts w:ascii="Times New Roman" w:hAnsi="Times New Roman"/>
          <w:highlight w:val="none"/>
        </w:rPr>
        <w:t>根据《环境影响评价技术导则 大气环境》(HJ2.2-2018)中“5.4.1 一级评价项目根据建设项目排放污染物的最远影响距离(D</w:t>
      </w:r>
      <w:r>
        <w:rPr>
          <w:rFonts w:ascii="Times New Roman" w:hAnsi="Times New Roman"/>
          <w:highlight w:val="none"/>
          <w:vertAlign w:val="subscript"/>
        </w:rPr>
        <w:t>10%</w:t>
      </w:r>
      <w:r>
        <w:rPr>
          <w:rFonts w:ascii="Times New Roman" w:hAnsi="Times New Roman"/>
          <w:highlight w:val="none"/>
        </w:rPr>
        <w:t>)确定大气环境影响评价范围。即以项目厂址为中心区域，自厂界外延D</w:t>
      </w:r>
      <w:r>
        <w:rPr>
          <w:rFonts w:ascii="Times New Roman" w:hAnsi="Times New Roman"/>
          <w:highlight w:val="none"/>
          <w:vertAlign w:val="subscript"/>
        </w:rPr>
        <w:t>10%</w:t>
      </w:r>
      <w:r>
        <w:rPr>
          <w:rFonts w:ascii="Times New Roman" w:hAnsi="Times New Roman"/>
          <w:highlight w:val="none"/>
        </w:rPr>
        <w:t>的矩形区域作为大气环境影响评价范围。当D</w:t>
      </w:r>
      <w:r>
        <w:rPr>
          <w:rFonts w:ascii="Times New Roman" w:hAnsi="Times New Roman"/>
          <w:highlight w:val="none"/>
          <w:vertAlign w:val="subscript"/>
        </w:rPr>
        <w:t>10%</w:t>
      </w:r>
      <w:r>
        <w:rPr>
          <w:rFonts w:ascii="Times New Roman" w:hAnsi="Times New Roman"/>
          <w:highlight w:val="none"/>
        </w:rPr>
        <w:t>超过25km时，确定评价范围为边长50km 的矩形区域；当D</w:t>
      </w:r>
      <w:r>
        <w:rPr>
          <w:rFonts w:ascii="Times New Roman" w:hAnsi="Times New Roman"/>
          <w:highlight w:val="none"/>
          <w:vertAlign w:val="subscript"/>
        </w:rPr>
        <w:t>10%</w:t>
      </w:r>
      <w:r>
        <w:rPr>
          <w:rFonts w:ascii="Times New Roman" w:hAnsi="Times New Roman"/>
          <w:highlight w:val="none"/>
        </w:rPr>
        <w:t>小于2.5km时，评价范围边长取5km”。结合预测结果，本项目污染物排放无D</w:t>
      </w:r>
      <w:r>
        <w:rPr>
          <w:rFonts w:ascii="Times New Roman" w:hAnsi="Times New Roman"/>
          <w:highlight w:val="none"/>
          <w:vertAlign w:val="subscript"/>
        </w:rPr>
        <w:t>10%</w:t>
      </w:r>
      <w:r>
        <w:rPr>
          <w:rFonts w:ascii="Times New Roman" w:hAnsi="Times New Roman"/>
          <w:highlight w:val="none"/>
        </w:rPr>
        <w:t>，因此，</w:t>
      </w:r>
      <w:r>
        <w:rPr>
          <w:rFonts w:hint="eastAsia" w:ascii="Times New Roman" w:hAnsi="Times New Roman"/>
          <w:highlight w:val="none"/>
        </w:rPr>
        <w:t>当D10%小于2.5km，评价范围取边长5km</w:t>
      </w:r>
      <w:r>
        <w:rPr>
          <w:rFonts w:ascii="Times New Roman" w:hAnsi="Times New Roman"/>
          <w:highlight w:val="none"/>
        </w:rPr>
        <w:t>。</w:t>
      </w:r>
    </w:p>
    <w:p w14:paraId="730B7F9D">
      <w:pPr>
        <w:pStyle w:val="23"/>
        <w:ind w:firstLine="0" w:firstLineChars="0"/>
        <w:rPr>
          <w:rFonts w:ascii="Times New Roman" w:hAnsi="Times New Roman"/>
          <w:color w:val="auto"/>
          <w:highlight w:val="none"/>
        </w:rPr>
      </w:pPr>
      <w:r>
        <w:rPr>
          <w:rFonts w:ascii="Times New Roman" w:hAnsi="Times New Roman"/>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3903980</wp:posOffset>
                </wp:positionH>
                <wp:positionV relativeFrom="paragraph">
                  <wp:posOffset>3368675</wp:posOffset>
                </wp:positionV>
                <wp:extent cx="266700" cy="200025"/>
                <wp:effectExtent l="12700" t="12700" r="25400" b="15875"/>
                <wp:wrapNone/>
                <wp:docPr id="316" name="矩形 316"/>
                <wp:cNvGraphicFramePr/>
                <a:graphic xmlns:a="http://schemas.openxmlformats.org/drawingml/2006/main">
                  <a:graphicData uri="http://schemas.microsoft.com/office/word/2010/wordprocessingShape">
                    <wps:wsp>
                      <wps:cNvSpPr/>
                      <wps:spPr>
                        <a:xfrm>
                          <a:off x="0" y="0"/>
                          <a:ext cx="266700" cy="200025"/>
                        </a:xfrm>
                        <a:prstGeom prst="rect">
                          <a:avLst/>
                        </a:prstGeom>
                        <a:solidFill>
                          <a:srgbClr val="FF0000">
                            <a:alpha val="50196"/>
                          </a:srgbClr>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7.4pt;margin-top:265.25pt;height:15.75pt;width:21pt;z-index:251662336;v-text-anchor:middle;mso-width-relative:page;mso-height-relative:page;" fillcolor="#FF0000" filled="t" stroked="t" coordsize="21600,21600" o:gfxdata="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&#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OY/IvLWAAAACwEAAA8AAAAAAAAAAQAgAAAAIgAAAGRy&#10;cy9kb3ducmV2LnhtbFBLAQIUABQAAAAIAIdO4kBXo4n3eQIAAA8FAAAOAAAAAAAAAAEAIAAAACUB&#10;AABkcnMvZTJvRG9jLnhtbFBLBQYAAAAABgAGAFkBAAAQBgAAAAA=&#10;">
                <v:fill on="t" opacity="32896f" focussize="0,0"/>
                <v:stroke weight="2pt" color="#FF0000" joinstyle="round"/>
                <v:imagedata o:title=""/>
                <o:lock v:ext="edit" aspectratio="f"/>
              </v:rect>
            </w:pict>
          </mc:Fallback>
        </mc:AlternateContent>
      </w:r>
      <w:r>
        <w:rPr>
          <w:rFonts w:ascii="Times New Roman" w:hAnsi="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3933825</wp:posOffset>
                </wp:positionH>
                <wp:positionV relativeFrom="paragraph">
                  <wp:posOffset>3825240</wp:posOffset>
                </wp:positionV>
                <wp:extent cx="266700" cy="200025"/>
                <wp:effectExtent l="12700" t="12700" r="25400" b="15875"/>
                <wp:wrapNone/>
                <wp:docPr id="315" name="矩形 315"/>
                <wp:cNvGraphicFramePr/>
                <a:graphic xmlns:a="http://schemas.openxmlformats.org/drawingml/2006/main">
                  <a:graphicData uri="http://schemas.microsoft.com/office/word/2010/wordprocessingShape">
                    <wps:wsp>
                      <wps:cNvSpPr/>
                      <wps:spPr>
                        <a:xfrm>
                          <a:off x="0" y="0"/>
                          <a:ext cx="266700" cy="200025"/>
                        </a:xfrm>
                        <a:prstGeom prst="rect">
                          <a:avLst/>
                        </a:prstGeom>
                        <a:noFill/>
                        <a:ln w="25400" cap="flat" cmpd="sng" algn="ctr">
                          <a:solidFill>
                            <a:srgbClr val="0070C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9.75pt;margin-top:301.2pt;height:15.75pt;width:21pt;z-index:251661312;v-text-anchor:middle;mso-width-relative:page;mso-height-relative:page;" filled="f" stroked="t" coordsize="21600,21600" o:gfxdata="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UvdfONUAAAALAQAADwAAAAAAAAABACAAAAAiAAAAZHJzL2Rvd25yZXYueG1sUEsBAhQAFAAA&#10;AAgAh07iQGhgyapkAgAAxQQAAA4AAAAAAAAAAQAgAAAAJAEAAGRycy9lMm9Eb2MueG1sUEsFBgAA&#10;AAAGAAYAWQEAAPoFAAAAAA==&#10;">
                <v:fill on="f" focussize="0,0"/>
                <v:stroke weight="2pt" color="#0070C0" joinstyle="round"/>
                <v:imagedata o:title=""/>
                <o:lock v:ext="edit" aspectratio="f"/>
              </v:rect>
            </w:pict>
          </mc:Fallback>
        </mc:AlternateContent>
      </w:r>
      <w:r>
        <w:rPr>
          <w:rFonts w:ascii="Times New Roman" w:hAnsi="Times New Roman"/>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4111625</wp:posOffset>
                </wp:positionH>
                <wp:positionV relativeFrom="paragraph">
                  <wp:posOffset>3710940</wp:posOffset>
                </wp:positionV>
                <wp:extent cx="1190625" cy="1772285"/>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190625" cy="1403985"/>
                        </a:xfrm>
                        <a:prstGeom prst="rect">
                          <a:avLst/>
                        </a:prstGeom>
                        <a:noFill/>
                        <a:ln w="9525">
                          <a:noFill/>
                          <a:miter lim="800000"/>
                        </a:ln>
                        <a:effectLst/>
                      </wps:spPr>
                      <wps:txbx>
                        <w:txbxContent>
                          <w:p w14:paraId="209BE774">
                            <w:pPr>
                              <w:ind w:firstLine="0" w:firstLineChars="0"/>
                            </w:pPr>
                            <w:r>
                              <w:rPr>
                                <w:rFonts w:hint="eastAsia"/>
                              </w:rPr>
                              <w:t>大气评价范围</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23.75pt;margin-top:292.2pt;height:139.55pt;width:93.75pt;z-index:251665408;mso-width-relative:page;mso-height-relative:margin;mso-height-percent:200;" filled="f" stroked="f" coordsize="21600,21600" o:gfxdata="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0hgooNoAAAALAQAADwAAAAAAAAABACAAAAAiAAAAZHJzL2Rvd25yZXYueG1sUEsB&#10;AhQAFAAAAAgAh07iQGg6i7gsAgAAPAQAAA4AAAAAAAAAAQAgAAAAKQEAAGRycy9lMm9Eb2MueG1s&#10;UEsFBgAAAAAGAAYAWQEAAMcFAAAAAA==&#10;">
                <v:fill on="f" focussize="0,0"/>
                <v:stroke on="f" miterlimit="8" joinstyle="miter"/>
                <v:imagedata o:title=""/>
                <o:lock v:ext="edit" aspectratio="f"/>
                <v:textbox style="mso-fit-shape-to-text:t;">
                  <w:txbxContent>
                    <w:p w14:paraId="209BE774">
                      <w:pPr>
                        <w:ind w:firstLine="0" w:firstLineChars="0"/>
                      </w:pPr>
                      <w:r>
                        <w:rPr>
                          <w:rFonts w:hint="eastAsia"/>
                        </w:rPr>
                        <w:t>大气评价范围</w:t>
                      </w:r>
                    </w:p>
                  </w:txbxContent>
                </v:textbox>
              </v:shape>
            </w:pict>
          </mc:Fallback>
        </mc:AlternateContent>
      </w:r>
      <w:r>
        <w:rPr>
          <w:rFonts w:ascii="Times New Roman" w:hAnsi="Times New Roman"/>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4273550</wp:posOffset>
                </wp:positionH>
                <wp:positionV relativeFrom="paragraph">
                  <wp:posOffset>3286760</wp:posOffset>
                </wp:positionV>
                <wp:extent cx="1028700" cy="1772285"/>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1028700" cy="1403985"/>
                        </a:xfrm>
                        <a:prstGeom prst="rect">
                          <a:avLst/>
                        </a:prstGeom>
                        <a:noFill/>
                        <a:ln w="9525">
                          <a:noFill/>
                          <a:miter lim="800000"/>
                        </a:ln>
                        <a:effectLst/>
                      </wps:spPr>
                      <wps:txbx>
                        <w:txbxContent>
                          <w:p w14:paraId="76063312">
                            <w:pPr>
                              <w:ind w:firstLine="0" w:firstLineChars="0"/>
                            </w:pPr>
                            <w:r>
                              <w:rPr>
                                <w:rFonts w:hint="eastAsia"/>
                              </w:rPr>
                              <w:t>项目位置</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36.5pt;margin-top:258.8pt;height:139.55pt;width:81pt;z-index:251664384;mso-width-relative:page;mso-height-relative:margin;mso-height-percent:200;" filled="f" stroked="f" coordsize="21600,21600" o:gfxdata="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fAa8zaAAAACwEAAA8AAAAAAAAAAQAgAAAAIgAAAGRycy9kb3ducmV2LnhtbFBL&#10;AQIUABQAAAAIAIdO4kDMrjV7LQIAADwEAAAOAAAAAAAAAAEAIAAAACkBAABkcnMvZTJvRG9jLnht&#10;bFBLBQYAAAAABgAGAFkBAADIBQAAAAA=&#10;">
                <v:fill on="f" focussize="0,0"/>
                <v:stroke on="f" miterlimit="8" joinstyle="miter"/>
                <v:imagedata o:title=""/>
                <o:lock v:ext="edit" aspectratio="f"/>
                <v:textbox style="mso-fit-shape-to-text:t;">
                  <w:txbxContent>
                    <w:p w14:paraId="76063312">
                      <w:pPr>
                        <w:ind w:firstLine="0" w:firstLineChars="0"/>
                      </w:pPr>
                      <w:r>
                        <w:rPr>
                          <w:rFonts w:hint="eastAsia"/>
                        </w:rPr>
                        <w:t>项目位置</w:t>
                      </w:r>
                    </w:p>
                  </w:txbxContent>
                </v:textbox>
              </v:shape>
            </w:pict>
          </mc:Fallback>
        </mc:AlternateContent>
      </w:r>
      <w:r>
        <w:rPr>
          <w:rFonts w:ascii="Times New Roman" w:hAnsi="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3868420</wp:posOffset>
                </wp:positionH>
                <wp:positionV relativeFrom="paragraph">
                  <wp:posOffset>2948940</wp:posOffset>
                </wp:positionV>
                <wp:extent cx="1370330" cy="1333500"/>
                <wp:effectExtent l="12700" t="12700" r="26670" b="25400"/>
                <wp:wrapNone/>
                <wp:docPr id="308" name="矩形 308"/>
                <wp:cNvGraphicFramePr/>
                <a:graphic xmlns:a="http://schemas.openxmlformats.org/drawingml/2006/main">
                  <a:graphicData uri="http://schemas.microsoft.com/office/word/2010/wordprocessingShape">
                    <wps:wsp>
                      <wps:cNvSpPr/>
                      <wps:spPr>
                        <a:xfrm>
                          <a:off x="0" y="0"/>
                          <a:ext cx="1370330" cy="1333500"/>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4.6pt;margin-top:232.2pt;height:105pt;width:107.9pt;z-index:251660288;v-text-anchor:middle;mso-width-relative:page;mso-height-relative:page;" fillcolor="#FFFFFF" filled="t" stroked="t" coordsize="21600,21600" o:gfxdata="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LVXVRjZAAAACwEAAA8AAAAAAAAAAQAgAAAAIgAAAGRycy9kb3ducmV2&#10;LnhtbFBLAQIUABQAAAAIAIdO4kB5k1fjbQIAAPAEAAAOAAAAAAAAAAEAIAAAACgBAABkcnMvZTJv&#10;RG9jLnhtbFBLBQYAAAAABgAGAFkBAAAHBgAAAAA=&#10;">
                <v:fill on="t" focussize="0,0"/>
                <v:stroke weight="2pt" color="#000000" joinstyle="round"/>
                <v:imagedata o:title=""/>
                <o:lock v:ext="edit" aspectratio="f"/>
              </v:rect>
            </w:pict>
          </mc:Fallback>
        </mc:AlternateContent>
      </w:r>
      <w:r>
        <w:rPr>
          <w:rFonts w:ascii="Times New Roman" w:hAnsi="Times New Roman"/>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4485005</wp:posOffset>
                </wp:positionH>
                <wp:positionV relativeFrom="paragraph">
                  <wp:posOffset>2926715</wp:posOffset>
                </wp:positionV>
                <wp:extent cx="561975" cy="1772285"/>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561975" cy="1403985"/>
                        </a:xfrm>
                        <a:prstGeom prst="rect">
                          <a:avLst/>
                        </a:prstGeom>
                        <a:noFill/>
                        <a:ln w="9525">
                          <a:noFill/>
                          <a:miter lim="800000"/>
                        </a:ln>
                        <a:effectLst/>
                      </wps:spPr>
                      <wps:txbx>
                        <w:txbxContent>
                          <w:p w14:paraId="41CE7C06">
                            <w:pPr>
                              <w:ind w:firstLine="0" w:firstLineChars="0"/>
                            </w:pPr>
                            <w:r>
                              <w:rPr>
                                <w:rFonts w:hint="eastAsia"/>
                              </w:rPr>
                              <w:t>图例</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53.15pt;margin-top:230.45pt;height:139.55pt;width:44.25pt;z-index:251663360;mso-width-relative:page;mso-height-relative:margin;mso-height-percent:200;" filled="f" stroked="f" coordsize="21600,21600" o:gfxdata="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D7XjRDZAAAACwEAAA8AAAAAAAAAAQAgAAAAIgAAAGRycy9kb3ducmV2LnhtbFBL&#10;AQIUABQAAAAIAIdO4kCZn3CULgIAADsEAAAOAAAAAAAAAAEAIAAAACgBAABkcnMvZTJvRG9jLnht&#10;bFBLBQYAAAAABgAGAFkBAADIBQAAAAA=&#10;">
                <v:fill on="f" focussize="0,0"/>
                <v:stroke on="f" miterlimit="8" joinstyle="miter"/>
                <v:imagedata o:title=""/>
                <o:lock v:ext="edit" aspectratio="f"/>
                <v:textbox style="mso-fit-shape-to-text:t;">
                  <w:txbxContent>
                    <w:p w14:paraId="41CE7C06">
                      <w:pPr>
                        <w:ind w:firstLine="0" w:firstLineChars="0"/>
                      </w:pPr>
                      <w:r>
                        <w:rPr>
                          <w:rFonts w:hint="eastAsia"/>
                        </w:rPr>
                        <w:t>图例</w:t>
                      </w:r>
                    </w:p>
                  </w:txbxContent>
                </v:textbox>
              </v:shape>
            </w:pict>
          </mc:Fallback>
        </mc:AlternateContent>
      </w:r>
      <w:r>
        <w:rPr>
          <w:highlight w:val="none"/>
        </w:rPr>
        <w:drawing>
          <wp:inline distT="0" distB="0" distL="114300" distR="114300">
            <wp:extent cx="5265420" cy="4230370"/>
            <wp:effectExtent l="0" t="0" r="11430" b="17780"/>
            <wp:docPr id="16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7"/>
                    <pic:cNvPicPr>
                      <a:picLocks noChangeAspect="1"/>
                    </pic:cNvPicPr>
                  </pic:nvPicPr>
                  <pic:blipFill>
                    <a:blip r:embed="rId11"/>
                    <a:stretch>
                      <a:fillRect/>
                    </a:stretch>
                  </pic:blipFill>
                  <pic:spPr>
                    <a:xfrm>
                      <a:off x="0" y="0"/>
                      <a:ext cx="5265420" cy="4230370"/>
                    </a:xfrm>
                    <a:prstGeom prst="rect">
                      <a:avLst/>
                    </a:prstGeom>
                    <a:noFill/>
                    <a:ln>
                      <a:noFill/>
                    </a:ln>
                  </pic:spPr>
                </pic:pic>
              </a:graphicData>
            </a:graphic>
          </wp:inline>
        </w:drawing>
      </w:r>
    </w:p>
    <w:p w14:paraId="05E4D5CB">
      <w:pPr>
        <w:pStyle w:val="29"/>
        <w:spacing w:line="240" w:lineRule="auto"/>
        <w:ind w:firstLine="480"/>
        <w:rPr>
          <w:rFonts w:hint="default" w:ascii="Times New Roman" w:hAnsi="Times New Roman" w:eastAsia="黑体" w:cs="Times New Roman"/>
          <w:color w:val="auto"/>
          <w:spacing w:val="0"/>
          <w:kern w:val="2"/>
          <w:sz w:val="24"/>
          <w:szCs w:val="24"/>
          <w:highlight w:val="none"/>
          <w:lang w:val="en-US" w:eastAsia="zh-CN" w:bidi="ar-SA"/>
        </w:rPr>
      </w:pPr>
      <w:r>
        <w:rPr>
          <w:rFonts w:hint="default" w:ascii="Times New Roman" w:hAnsi="Times New Roman" w:eastAsia="黑体" w:cs="Times New Roman"/>
          <w:color w:val="auto"/>
          <w:spacing w:val="0"/>
          <w:kern w:val="2"/>
          <w:sz w:val="24"/>
          <w:szCs w:val="24"/>
          <w:highlight w:val="none"/>
          <w:lang w:val="en-US" w:eastAsia="zh-CN" w:bidi="ar-SA"/>
        </w:rPr>
        <w:t>图2.4-2大气评价范围</w:t>
      </w:r>
    </w:p>
    <w:p w14:paraId="7E827834">
      <w:pPr>
        <w:pStyle w:val="5"/>
        <w:bidi w:val="0"/>
        <w:ind w:left="0" w:leftChars="0" w:firstLine="0" w:firstLineChars="0"/>
        <w:rPr>
          <w:rFonts w:hint="eastAsia"/>
          <w:sz w:val="30"/>
          <w:szCs w:val="30"/>
          <w:highlight w:val="none"/>
          <w:lang w:val="en-US" w:eastAsia="zh-CN"/>
        </w:rPr>
      </w:pPr>
      <w:bookmarkStart w:id="47" w:name="_Toc10027"/>
      <w:r>
        <w:rPr>
          <w:rFonts w:hint="default" w:ascii="Times New Roman" w:hAnsi="Times New Roman" w:cs="Times New Roman"/>
          <w:sz w:val="30"/>
          <w:szCs w:val="30"/>
          <w:highlight w:val="none"/>
          <w:lang w:val="en-US" w:eastAsia="zh-CN"/>
        </w:rPr>
        <w:t>2.4.2</w:t>
      </w:r>
      <w:r>
        <w:rPr>
          <w:rFonts w:hint="eastAsia"/>
          <w:sz w:val="30"/>
          <w:szCs w:val="30"/>
          <w:highlight w:val="none"/>
          <w:lang w:val="en-US" w:eastAsia="zh-CN"/>
        </w:rPr>
        <w:t>地表水环境</w:t>
      </w:r>
      <w:bookmarkEnd w:id="47"/>
    </w:p>
    <w:p w14:paraId="6CA9C053">
      <w:pPr>
        <w:ind w:firstLine="480"/>
        <w:rPr>
          <w:rFonts w:ascii="Times New Roman" w:hAnsi="Times New Roman"/>
          <w:highlight w:val="none"/>
        </w:rPr>
      </w:pPr>
      <w:r>
        <w:rPr>
          <w:rFonts w:ascii="Times New Roman" w:hAnsi="Times New Roman"/>
          <w:highlight w:val="none"/>
        </w:rPr>
        <w:t>（1）评价工作等级</w:t>
      </w:r>
    </w:p>
    <w:p w14:paraId="2CEFA1B0">
      <w:pPr>
        <w:ind w:firstLine="480"/>
        <w:rPr>
          <w:rFonts w:ascii="Times New Roman" w:hAnsi="Times New Roman"/>
          <w:highlight w:val="none"/>
        </w:rPr>
      </w:pPr>
      <w:r>
        <w:rPr>
          <w:rFonts w:ascii="Times New Roman" w:hAnsi="Times New Roman"/>
          <w:highlight w:val="none"/>
        </w:rPr>
        <w:t>根据《环境影响评价技术导则 地表水环境》（HJ2.3-2018</w:t>
      </w:r>
      <w:r>
        <w:rPr>
          <w:rFonts w:hint="eastAsia" w:ascii="Times New Roman" w:hAnsi="Times New Roman"/>
          <w:highlight w:val="none"/>
        </w:rPr>
        <w:t>）</w:t>
      </w:r>
      <w:r>
        <w:rPr>
          <w:rFonts w:ascii="Times New Roman" w:hAnsi="Times New Roman"/>
          <w:highlight w:val="none"/>
        </w:rPr>
        <w:t>中规定的地表水环境影响评价级别的判定方法，水污染型建设项目评价等级划分见表2.4-6。</w:t>
      </w:r>
    </w:p>
    <w:p w14:paraId="2DFEEA1A">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2.4-6</w:t>
      </w:r>
      <w:r>
        <w:rPr>
          <w:rFonts w:hint="eastAsia" w:ascii="黑体" w:hAnsi="黑体" w:eastAsia="黑体" w:cs="黑体"/>
          <w:highlight w:val="none"/>
        </w:rPr>
        <w:t>地表水评价等级判定依据</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840"/>
        <w:gridCol w:w="2843"/>
      </w:tblGrid>
      <w:tr w14:paraId="5FF3D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restart"/>
            <w:noWrap w:val="0"/>
            <w:vAlign w:val="center"/>
          </w:tcPr>
          <w:p w14:paraId="40F8D56C">
            <w:pPr>
              <w:pStyle w:val="27"/>
              <w:rPr>
                <w:rFonts w:ascii="Times New Roman" w:hAnsi="Times New Roman" w:eastAsia="宋体"/>
                <w:highlight w:val="none"/>
              </w:rPr>
            </w:pPr>
            <w:r>
              <w:rPr>
                <w:rFonts w:ascii="Times New Roman" w:hAnsi="Times New Roman" w:eastAsia="宋体"/>
                <w:highlight w:val="none"/>
              </w:rPr>
              <w:t>评价等级</w:t>
            </w:r>
          </w:p>
        </w:tc>
        <w:tc>
          <w:tcPr>
            <w:tcW w:w="3333" w:type="pct"/>
            <w:gridSpan w:val="2"/>
            <w:noWrap w:val="0"/>
            <w:vAlign w:val="center"/>
          </w:tcPr>
          <w:p w14:paraId="528230E1">
            <w:pPr>
              <w:pStyle w:val="27"/>
              <w:rPr>
                <w:rFonts w:ascii="Times New Roman" w:hAnsi="Times New Roman" w:eastAsia="宋体"/>
                <w:highlight w:val="none"/>
              </w:rPr>
            </w:pPr>
            <w:r>
              <w:rPr>
                <w:rFonts w:ascii="Times New Roman" w:hAnsi="Times New Roman" w:eastAsia="宋体"/>
                <w:highlight w:val="none"/>
              </w:rPr>
              <w:t>判定依据</w:t>
            </w:r>
          </w:p>
        </w:tc>
      </w:tr>
      <w:tr w14:paraId="42BF38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vMerge w:val="continue"/>
            <w:noWrap w:val="0"/>
            <w:vAlign w:val="center"/>
          </w:tcPr>
          <w:p w14:paraId="416AFB42">
            <w:pPr>
              <w:pStyle w:val="27"/>
              <w:rPr>
                <w:rFonts w:ascii="Times New Roman" w:hAnsi="Times New Roman" w:eastAsia="宋体"/>
                <w:highlight w:val="none"/>
              </w:rPr>
            </w:pPr>
          </w:p>
        </w:tc>
        <w:tc>
          <w:tcPr>
            <w:tcW w:w="1666" w:type="pct"/>
            <w:noWrap w:val="0"/>
            <w:vAlign w:val="center"/>
          </w:tcPr>
          <w:p w14:paraId="3771B22E">
            <w:pPr>
              <w:pStyle w:val="27"/>
              <w:rPr>
                <w:rFonts w:ascii="Times New Roman" w:hAnsi="Times New Roman" w:eastAsia="宋体"/>
                <w:highlight w:val="none"/>
              </w:rPr>
            </w:pPr>
            <w:r>
              <w:rPr>
                <w:rFonts w:ascii="Times New Roman" w:hAnsi="Times New Roman" w:eastAsia="宋体"/>
                <w:highlight w:val="none"/>
              </w:rPr>
              <w:t>排放方式</w:t>
            </w:r>
          </w:p>
        </w:tc>
        <w:tc>
          <w:tcPr>
            <w:tcW w:w="1666" w:type="pct"/>
            <w:noWrap w:val="0"/>
            <w:vAlign w:val="center"/>
          </w:tcPr>
          <w:p w14:paraId="5126706D">
            <w:pPr>
              <w:pStyle w:val="27"/>
              <w:rPr>
                <w:rFonts w:ascii="Times New Roman" w:hAnsi="Times New Roman" w:eastAsia="宋体"/>
                <w:highlight w:val="none"/>
              </w:rPr>
            </w:pPr>
            <w:r>
              <w:rPr>
                <w:rFonts w:ascii="Times New Roman" w:hAnsi="Times New Roman" w:eastAsia="宋体"/>
                <w:highlight w:val="none"/>
              </w:rPr>
              <w:t>废水排放量Q/（m</w:t>
            </w:r>
            <w:r>
              <w:rPr>
                <w:rFonts w:ascii="Times New Roman" w:hAnsi="Times New Roman" w:eastAsia="宋体"/>
                <w:highlight w:val="none"/>
                <w:vertAlign w:val="superscript"/>
              </w:rPr>
              <w:t>3</w:t>
            </w:r>
            <w:r>
              <w:rPr>
                <w:rFonts w:ascii="Times New Roman" w:hAnsi="Times New Roman" w:eastAsia="宋体"/>
                <w:highlight w:val="none"/>
              </w:rPr>
              <w:t>/d）</w:t>
            </w:r>
          </w:p>
          <w:p w14:paraId="12650280">
            <w:pPr>
              <w:pStyle w:val="27"/>
              <w:rPr>
                <w:rFonts w:ascii="Times New Roman" w:hAnsi="Times New Roman" w:eastAsia="宋体"/>
                <w:highlight w:val="none"/>
              </w:rPr>
            </w:pPr>
            <w:r>
              <w:rPr>
                <w:rFonts w:ascii="Times New Roman" w:hAnsi="Times New Roman" w:eastAsia="宋体"/>
                <w:highlight w:val="none"/>
              </w:rPr>
              <w:t>水污染物当量W/（无量纲）</w:t>
            </w:r>
          </w:p>
        </w:tc>
      </w:tr>
      <w:tr w14:paraId="2AF10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noWrap w:val="0"/>
            <w:vAlign w:val="center"/>
          </w:tcPr>
          <w:p w14:paraId="09F0F035">
            <w:pPr>
              <w:pStyle w:val="27"/>
              <w:rPr>
                <w:rFonts w:ascii="Times New Roman" w:hAnsi="Times New Roman" w:eastAsia="宋体"/>
                <w:highlight w:val="none"/>
              </w:rPr>
            </w:pPr>
            <w:r>
              <w:rPr>
                <w:rFonts w:ascii="Times New Roman" w:hAnsi="Times New Roman" w:eastAsia="宋体"/>
                <w:highlight w:val="none"/>
              </w:rPr>
              <w:t>一级</w:t>
            </w:r>
          </w:p>
        </w:tc>
        <w:tc>
          <w:tcPr>
            <w:tcW w:w="1666" w:type="pct"/>
            <w:noWrap w:val="0"/>
            <w:vAlign w:val="center"/>
          </w:tcPr>
          <w:p w14:paraId="22DD2A38">
            <w:pPr>
              <w:pStyle w:val="27"/>
              <w:rPr>
                <w:rFonts w:ascii="Times New Roman" w:hAnsi="Times New Roman" w:eastAsia="宋体"/>
                <w:highlight w:val="none"/>
              </w:rPr>
            </w:pPr>
            <w:r>
              <w:rPr>
                <w:rFonts w:ascii="Times New Roman" w:hAnsi="Times New Roman" w:eastAsia="宋体"/>
                <w:highlight w:val="none"/>
              </w:rPr>
              <w:t>直接排放</w:t>
            </w:r>
          </w:p>
        </w:tc>
        <w:tc>
          <w:tcPr>
            <w:tcW w:w="1666" w:type="pct"/>
            <w:noWrap w:val="0"/>
            <w:vAlign w:val="center"/>
          </w:tcPr>
          <w:p w14:paraId="7A2082F4">
            <w:pPr>
              <w:pStyle w:val="27"/>
              <w:rPr>
                <w:rFonts w:ascii="Times New Roman" w:hAnsi="Times New Roman" w:eastAsia="宋体"/>
                <w:highlight w:val="none"/>
              </w:rPr>
            </w:pPr>
            <w:r>
              <w:rPr>
                <w:rFonts w:ascii="Times New Roman" w:hAnsi="Times New Roman" w:eastAsia="宋体"/>
                <w:highlight w:val="none"/>
              </w:rPr>
              <w:t>Q≥20000或W≥600000</w:t>
            </w:r>
          </w:p>
        </w:tc>
      </w:tr>
      <w:tr w14:paraId="0042D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noWrap w:val="0"/>
            <w:vAlign w:val="center"/>
          </w:tcPr>
          <w:p w14:paraId="1F868444">
            <w:pPr>
              <w:pStyle w:val="27"/>
              <w:rPr>
                <w:rFonts w:ascii="Times New Roman" w:hAnsi="Times New Roman" w:eastAsia="宋体"/>
                <w:highlight w:val="none"/>
              </w:rPr>
            </w:pPr>
            <w:r>
              <w:rPr>
                <w:rFonts w:ascii="Times New Roman" w:hAnsi="Times New Roman" w:eastAsia="宋体"/>
                <w:highlight w:val="none"/>
              </w:rPr>
              <w:t>二级</w:t>
            </w:r>
          </w:p>
        </w:tc>
        <w:tc>
          <w:tcPr>
            <w:tcW w:w="1666" w:type="pct"/>
            <w:noWrap w:val="0"/>
            <w:vAlign w:val="center"/>
          </w:tcPr>
          <w:p w14:paraId="6E22A62B">
            <w:pPr>
              <w:pStyle w:val="27"/>
              <w:rPr>
                <w:rFonts w:ascii="Times New Roman" w:hAnsi="Times New Roman" w:eastAsia="宋体"/>
                <w:highlight w:val="none"/>
              </w:rPr>
            </w:pPr>
            <w:r>
              <w:rPr>
                <w:rFonts w:ascii="Times New Roman" w:hAnsi="Times New Roman" w:eastAsia="宋体"/>
                <w:highlight w:val="none"/>
              </w:rPr>
              <w:t>直接排放</w:t>
            </w:r>
          </w:p>
        </w:tc>
        <w:tc>
          <w:tcPr>
            <w:tcW w:w="1666" w:type="pct"/>
            <w:noWrap w:val="0"/>
            <w:vAlign w:val="center"/>
          </w:tcPr>
          <w:p w14:paraId="79B9E161">
            <w:pPr>
              <w:pStyle w:val="27"/>
              <w:rPr>
                <w:rFonts w:ascii="Times New Roman" w:hAnsi="Times New Roman" w:eastAsia="宋体"/>
                <w:highlight w:val="none"/>
              </w:rPr>
            </w:pPr>
            <w:r>
              <w:rPr>
                <w:rFonts w:ascii="Times New Roman" w:hAnsi="Times New Roman" w:eastAsia="宋体"/>
                <w:highlight w:val="none"/>
              </w:rPr>
              <w:t>其他</w:t>
            </w:r>
          </w:p>
        </w:tc>
      </w:tr>
      <w:tr w14:paraId="2983F2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noWrap w:val="0"/>
            <w:vAlign w:val="center"/>
          </w:tcPr>
          <w:p w14:paraId="7086824B">
            <w:pPr>
              <w:pStyle w:val="27"/>
              <w:rPr>
                <w:rFonts w:ascii="Times New Roman" w:hAnsi="Times New Roman" w:eastAsia="宋体"/>
                <w:highlight w:val="none"/>
              </w:rPr>
            </w:pPr>
            <w:r>
              <w:rPr>
                <w:rFonts w:ascii="Times New Roman" w:hAnsi="Times New Roman" w:eastAsia="宋体"/>
                <w:highlight w:val="none"/>
              </w:rPr>
              <w:t>三级A</w:t>
            </w:r>
          </w:p>
        </w:tc>
        <w:tc>
          <w:tcPr>
            <w:tcW w:w="1666" w:type="pct"/>
            <w:noWrap w:val="0"/>
            <w:vAlign w:val="center"/>
          </w:tcPr>
          <w:p w14:paraId="3E9FC784">
            <w:pPr>
              <w:pStyle w:val="27"/>
              <w:rPr>
                <w:rFonts w:ascii="Times New Roman" w:hAnsi="Times New Roman" w:eastAsia="宋体"/>
                <w:highlight w:val="none"/>
              </w:rPr>
            </w:pPr>
            <w:r>
              <w:rPr>
                <w:rFonts w:ascii="Times New Roman" w:hAnsi="Times New Roman" w:eastAsia="宋体"/>
                <w:highlight w:val="none"/>
              </w:rPr>
              <w:t>直接排放</w:t>
            </w:r>
          </w:p>
        </w:tc>
        <w:tc>
          <w:tcPr>
            <w:tcW w:w="1666" w:type="pct"/>
            <w:noWrap w:val="0"/>
            <w:vAlign w:val="center"/>
          </w:tcPr>
          <w:p w14:paraId="68814905">
            <w:pPr>
              <w:pStyle w:val="27"/>
              <w:rPr>
                <w:rFonts w:ascii="Times New Roman" w:hAnsi="Times New Roman" w:eastAsia="宋体"/>
                <w:highlight w:val="none"/>
              </w:rPr>
            </w:pPr>
            <w:r>
              <w:rPr>
                <w:rFonts w:ascii="Times New Roman" w:hAnsi="Times New Roman" w:eastAsia="宋体"/>
                <w:highlight w:val="none"/>
              </w:rPr>
              <w:t>Q＜200或W＜6000</w:t>
            </w:r>
          </w:p>
        </w:tc>
      </w:tr>
      <w:tr w14:paraId="18E678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noWrap w:val="0"/>
            <w:vAlign w:val="center"/>
          </w:tcPr>
          <w:p w14:paraId="4EE84B8D">
            <w:pPr>
              <w:pStyle w:val="27"/>
              <w:rPr>
                <w:rFonts w:ascii="Times New Roman" w:hAnsi="Times New Roman" w:eastAsia="宋体"/>
                <w:highlight w:val="none"/>
              </w:rPr>
            </w:pPr>
            <w:r>
              <w:rPr>
                <w:rFonts w:ascii="Times New Roman" w:hAnsi="Times New Roman" w:eastAsia="宋体"/>
                <w:highlight w:val="none"/>
              </w:rPr>
              <w:t>三级B</w:t>
            </w:r>
          </w:p>
        </w:tc>
        <w:tc>
          <w:tcPr>
            <w:tcW w:w="1666" w:type="pct"/>
            <w:noWrap w:val="0"/>
            <w:vAlign w:val="center"/>
          </w:tcPr>
          <w:p w14:paraId="4CFB0FCE">
            <w:pPr>
              <w:pStyle w:val="27"/>
              <w:rPr>
                <w:rFonts w:ascii="Times New Roman" w:hAnsi="Times New Roman" w:eastAsia="宋体"/>
                <w:highlight w:val="none"/>
              </w:rPr>
            </w:pPr>
            <w:r>
              <w:rPr>
                <w:rFonts w:ascii="Times New Roman" w:hAnsi="Times New Roman" w:eastAsia="宋体"/>
                <w:highlight w:val="none"/>
              </w:rPr>
              <w:t>间接排放</w:t>
            </w:r>
          </w:p>
        </w:tc>
        <w:tc>
          <w:tcPr>
            <w:tcW w:w="1666" w:type="pct"/>
            <w:noWrap w:val="0"/>
            <w:vAlign w:val="center"/>
          </w:tcPr>
          <w:p w14:paraId="55C97534">
            <w:pPr>
              <w:pStyle w:val="27"/>
              <w:rPr>
                <w:rFonts w:ascii="Times New Roman" w:hAnsi="Times New Roman" w:eastAsia="宋体"/>
                <w:highlight w:val="none"/>
              </w:rPr>
            </w:pPr>
            <w:r>
              <w:rPr>
                <w:rFonts w:ascii="Times New Roman" w:hAnsi="Times New Roman" w:eastAsia="宋体"/>
                <w:highlight w:val="none"/>
              </w:rPr>
              <w:t>——</w:t>
            </w:r>
          </w:p>
        </w:tc>
      </w:tr>
      <w:tr w14:paraId="1279EB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noWrap w:val="0"/>
            <w:vAlign w:val="center"/>
          </w:tcPr>
          <w:p w14:paraId="7D19A6A7">
            <w:pPr>
              <w:pStyle w:val="27"/>
              <w:jc w:val="both"/>
              <w:rPr>
                <w:rFonts w:ascii="Times New Roman" w:hAnsi="Times New Roman" w:eastAsia="宋体"/>
                <w:highlight w:val="none"/>
              </w:rPr>
            </w:pPr>
            <w:r>
              <w:rPr>
                <w:rFonts w:ascii="Times New Roman" w:hAnsi="Times New Roman" w:eastAsia="宋体"/>
                <w:b/>
                <w:highlight w:val="none"/>
              </w:rPr>
              <w:t>注1</w:t>
            </w:r>
            <w:r>
              <w:rPr>
                <w:rFonts w:ascii="Times New Roman" w:hAnsi="Times New Roman" w:eastAsia="宋体"/>
                <w:highlight w:val="none"/>
              </w:rPr>
              <w:t>：水污染物当量数等于该污染物的年排放量除以该污染物的污染当量值(见附录A)，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14:paraId="340A2B7D">
            <w:pPr>
              <w:pStyle w:val="27"/>
              <w:jc w:val="both"/>
              <w:rPr>
                <w:rFonts w:ascii="Times New Roman" w:hAnsi="Times New Roman" w:eastAsia="宋体"/>
                <w:highlight w:val="none"/>
              </w:rPr>
            </w:pPr>
            <w:r>
              <w:rPr>
                <w:rFonts w:ascii="Times New Roman" w:hAnsi="Times New Roman" w:eastAsia="宋体"/>
                <w:b/>
                <w:highlight w:val="none"/>
              </w:rPr>
              <w:t>注2</w:t>
            </w:r>
            <w:r>
              <w:rPr>
                <w:rFonts w:ascii="Times New Roman" w:hAnsi="Times New Roman" w:eastAsia="宋体"/>
                <w:highlight w:val="none"/>
              </w:rPr>
              <w:t>：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p>
          <w:p w14:paraId="4FB1A450">
            <w:pPr>
              <w:pStyle w:val="27"/>
              <w:jc w:val="both"/>
              <w:rPr>
                <w:rFonts w:ascii="Times New Roman" w:hAnsi="Times New Roman" w:eastAsia="宋体"/>
                <w:highlight w:val="none"/>
              </w:rPr>
            </w:pPr>
            <w:r>
              <w:rPr>
                <w:rFonts w:ascii="Times New Roman" w:hAnsi="Times New Roman" w:eastAsia="宋体"/>
                <w:b/>
                <w:highlight w:val="none"/>
              </w:rPr>
              <w:t>注3</w:t>
            </w:r>
            <w:r>
              <w:rPr>
                <w:rFonts w:ascii="Times New Roman" w:hAnsi="Times New Roman" w:eastAsia="宋体"/>
                <w:highlight w:val="none"/>
              </w:rPr>
              <w:t>：厂区存在堆积物(露天堆放的原料、燃料、废渣等以及垃圾堆放场)、降尘污染的，应将初期雨污水纳入废水排放量，相应的主要污染物纳入水污染当量计算。</w:t>
            </w:r>
          </w:p>
          <w:p w14:paraId="4F0C20D4">
            <w:pPr>
              <w:pStyle w:val="27"/>
              <w:jc w:val="both"/>
              <w:rPr>
                <w:rFonts w:ascii="Times New Roman" w:hAnsi="Times New Roman" w:eastAsia="宋体"/>
                <w:highlight w:val="none"/>
              </w:rPr>
            </w:pPr>
            <w:r>
              <w:rPr>
                <w:rFonts w:ascii="Times New Roman" w:hAnsi="Times New Roman" w:eastAsia="宋体"/>
                <w:b/>
                <w:highlight w:val="none"/>
              </w:rPr>
              <w:t>注4</w:t>
            </w:r>
            <w:r>
              <w:rPr>
                <w:rFonts w:ascii="Times New Roman" w:hAnsi="Times New Roman" w:eastAsia="宋体"/>
                <w:highlight w:val="none"/>
              </w:rPr>
              <w:t>：建设项目直接排放第一类污染物的，其评价等级为一级；建设项目直接排放的污染物为受纳水体超标因子的，评价等级不低于二级。</w:t>
            </w:r>
          </w:p>
          <w:p w14:paraId="58C74570">
            <w:pPr>
              <w:pStyle w:val="27"/>
              <w:jc w:val="both"/>
              <w:rPr>
                <w:rFonts w:ascii="Times New Roman" w:hAnsi="Times New Roman" w:eastAsia="宋体"/>
                <w:highlight w:val="none"/>
              </w:rPr>
            </w:pPr>
            <w:r>
              <w:rPr>
                <w:rFonts w:ascii="Times New Roman" w:hAnsi="Times New Roman" w:eastAsia="宋体"/>
                <w:b/>
                <w:highlight w:val="none"/>
              </w:rPr>
              <w:t>注5</w:t>
            </w:r>
            <w:r>
              <w:rPr>
                <w:rFonts w:ascii="Times New Roman" w:hAnsi="Times New Roman" w:eastAsia="宋体"/>
                <w:highlight w:val="none"/>
              </w:rPr>
              <w:t>：直接排放受纳水体影响范围涉及饮用水水源保护区、饮用水取水口、重点保护与珍稀水生生物的栖息地、重要水生生物的自然产卵场等保护目标时，评价等级不低于二级。</w:t>
            </w:r>
          </w:p>
          <w:p w14:paraId="7AACB528">
            <w:pPr>
              <w:pStyle w:val="27"/>
              <w:jc w:val="both"/>
              <w:rPr>
                <w:rFonts w:ascii="Times New Roman" w:hAnsi="Times New Roman" w:eastAsia="宋体"/>
                <w:highlight w:val="none"/>
              </w:rPr>
            </w:pPr>
            <w:r>
              <w:rPr>
                <w:rFonts w:ascii="Times New Roman" w:hAnsi="Times New Roman" w:eastAsia="宋体"/>
                <w:b/>
                <w:highlight w:val="none"/>
              </w:rPr>
              <w:t>注6</w:t>
            </w:r>
            <w:r>
              <w:rPr>
                <w:rFonts w:ascii="Times New Roman" w:hAnsi="Times New Roman" w:eastAsia="宋体"/>
                <w:highlight w:val="none"/>
              </w:rPr>
              <w:t>：建设项目向河流、湖库排放温排水引起受纳水体水温变化超过水环境质量标准要求，且评价范围有水温敏感目标时，评价等级为一级。</w:t>
            </w:r>
          </w:p>
          <w:p w14:paraId="49A8ABD6">
            <w:pPr>
              <w:pStyle w:val="27"/>
              <w:jc w:val="both"/>
              <w:rPr>
                <w:rFonts w:ascii="Times New Roman" w:hAnsi="Times New Roman" w:eastAsia="宋体"/>
                <w:highlight w:val="none"/>
              </w:rPr>
            </w:pPr>
            <w:r>
              <w:rPr>
                <w:rFonts w:ascii="Times New Roman" w:hAnsi="Times New Roman" w:eastAsia="宋体"/>
                <w:b/>
                <w:highlight w:val="none"/>
              </w:rPr>
              <w:t>注7</w:t>
            </w:r>
            <w:r>
              <w:rPr>
                <w:rFonts w:ascii="Times New Roman" w:hAnsi="Times New Roman" w:eastAsia="宋体"/>
                <w:highlight w:val="none"/>
              </w:rPr>
              <w:t>：建设项目利用海水作为调节温度介质，排水量≥500 万m</w:t>
            </w:r>
            <w:r>
              <w:rPr>
                <w:rFonts w:ascii="Times New Roman" w:hAnsi="Times New Roman" w:eastAsia="宋体"/>
                <w:highlight w:val="none"/>
                <w:vertAlign w:val="superscript"/>
              </w:rPr>
              <w:t>3</w:t>
            </w:r>
            <w:r>
              <w:rPr>
                <w:rFonts w:ascii="Times New Roman" w:hAnsi="Times New Roman" w:eastAsia="宋体"/>
                <w:highlight w:val="none"/>
              </w:rPr>
              <w:t>/d，评价等级为一级；排水量＜500万m</w:t>
            </w:r>
            <w:r>
              <w:rPr>
                <w:rFonts w:ascii="Times New Roman" w:hAnsi="Times New Roman" w:eastAsia="宋体"/>
                <w:highlight w:val="none"/>
                <w:vertAlign w:val="superscript"/>
              </w:rPr>
              <w:t>3</w:t>
            </w:r>
            <w:r>
              <w:rPr>
                <w:rFonts w:ascii="Times New Roman" w:hAnsi="Times New Roman" w:eastAsia="宋体"/>
                <w:highlight w:val="none"/>
              </w:rPr>
              <w:t>/d，评价等级为二级。</w:t>
            </w:r>
          </w:p>
          <w:p w14:paraId="510A823C">
            <w:pPr>
              <w:pStyle w:val="27"/>
              <w:jc w:val="both"/>
              <w:rPr>
                <w:rFonts w:ascii="Times New Roman" w:hAnsi="Times New Roman" w:eastAsia="宋体"/>
                <w:highlight w:val="none"/>
              </w:rPr>
            </w:pPr>
            <w:r>
              <w:rPr>
                <w:rFonts w:ascii="Times New Roman" w:hAnsi="Times New Roman" w:eastAsia="宋体"/>
                <w:b/>
                <w:highlight w:val="none"/>
              </w:rPr>
              <w:t>注8</w:t>
            </w:r>
            <w:r>
              <w:rPr>
                <w:rFonts w:ascii="Times New Roman" w:hAnsi="Times New Roman" w:eastAsia="宋体"/>
                <w:highlight w:val="none"/>
              </w:rPr>
              <w:t>：仅涉及清净下水排放的，如其排放水质满足受纳水体水环境质量标准要求的，评价等级为三级A。</w:t>
            </w:r>
          </w:p>
          <w:p w14:paraId="027E902B">
            <w:pPr>
              <w:pStyle w:val="27"/>
              <w:jc w:val="both"/>
              <w:rPr>
                <w:rFonts w:ascii="Times New Roman" w:hAnsi="Times New Roman" w:eastAsia="宋体"/>
                <w:highlight w:val="none"/>
              </w:rPr>
            </w:pPr>
            <w:r>
              <w:rPr>
                <w:rFonts w:ascii="Times New Roman" w:hAnsi="Times New Roman" w:eastAsia="宋体"/>
                <w:b/>
                <w:highlight w:val="none"/>
              </w:rPr>
              <w:t>注9</w:t>
            </w:r>
            <w:r>
              <w:rPr>
                <w:rFonts w:ascii="Times New Roman" w:hAnsi="Times New Roman" w:eastAsia="宋体"/>
                <w:highlight w:val="none"/>
              </w:rPr>
              <w:t>：依托现有排放口，且对外环境未新增排放污染物的直接排放建设项目，评价等级参照间接排放，定为三级B。</w:t>
            </w:r>
          </w:p>
          <w:p w14:paraId="6E1C80BD">
            <w:pPr>
              <w:pStyle w:val="27"/>
              <w:jc w:val="both"/>
              <w:rPr>
                <w:rFonts w:ascii="Times New Roman" w:hAnsi="Times New Roman" w:eastAsia="宋体"/>
                <w:highlight w:val="none"/>
              </w:rPr>
            </w:pPr>
            <w:r>
              <w:rPr>
                <w:rFonts w:ascii="Times New Roman" w:hAnsi="Times New Roman" w:eastAsia="宋体"/>
                <w:b/>
                <w:highlight w:val="none"/>
              </w:rPr>
              <w:t>注10</w:t>
            </w:r>
            <w:r>
              <w:rPr>
                <w:rFonts w:ascii="Times New Roman" w:hAnsi="Times New Roman" w:eastAsia="宋体"/>
                <w:highlight w:val="none"/>
              </w:rPr>
              <w:t>：建设项目生产工艺中有废水产生，但作为回水利用，不排放到外环境的，按三级B 评价。</w:t>
            </w:r>
          </w:p>
        </w:tc>
      </w:tr>
    </w:tbl>
    <w:p w14:paraId="3F83BA7D">
      <w:pPr>
        <w:ind w:firstLine="480"/>
        <w:rPr>
          <w:rFonts w:ascii="Times New Roman" w:hAnsi="Times New Roman"/>
          <w:highlight w:val="none"/>
        </w:rPr>
      </w:pPr>
      <w:r>
        <w:rPr>
          <w:rFonts w:ascii="Times New Roman" w:hAnsi="Times New Roman"/>
          <w:highlight w:val="none"/>
        </w:rPr>
        <w:t>建设项目的污水排放：项目生活污水</w:t>
      </w:r>
      <w:r>
        <w:rPr>
          <w:rFonts w:hint="eastAsia" w:ascii="Times New Roman" w:hAnsi="Times New Roman"/>
          <w:highlight w:val="none"/>
        </w:rPr>
        <w:t>排入排入市政管网，经污水管网排入</w:t>
      </w:r>
      <w:r>
        <w:rPr>
          <w:rFonts w:hint="eastAsia" w:ascii="Times New Roman" w:hAnsi="Times New Roman"/>
          <w:highlight w:val="none"/>
          <w:lang w:val="en-US" w:eastAsia="zh-CN"/>
        </w:rPr>
        <w:t>绥芬河中环污水处理有限公司</w:t>
      </w:r>
      <w:r>
        <w:rPr>
          <w:rFonts w:hint="eastAsia" w:ascii="Times New Roman" w:hAnsi="Times New Roman"/>
          <w:highlight w:val="none"/>
        </w:rPr>
        <w:t>，处理达到《城镇污水处理厂污染物排放标准》(GB18918—2002)一级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标准后排</w:t>
      </w:r>
      <w:r>
        <w:rPr>
          <w:rFonts w:hint="eastAsia" w:ascii="Times New Roman" w:hAnsi="Times New Roman"/>
          <w:highlight w:val="none"/>
          <w:lang w:val="en-US" w:eastAsia="zh-CN"/>
        </w:rPr>
        <w:t>放</w:t>
      </w:r>
      <w:r>
        <w:rPr>
          <w:rFonts w:ascii="Times New Roman" w:hAnsi="Times New Roman"/>
          <w:highlight w:val="none"/>
        </w:rPr>
        <w:t>，生产废水全部回用，无排放。综上所述，本项目地表水评价等级为三级B。</w:t>
      </w:r>
    </w:p>
    <w:p w14:paraId="2E8D0BA7">
      <w:pPr>
        <w:pStyle w:val="5"/>
        <w:bidi w:val="0"/>
        <w:ind w:left="0" w:leftChars="0" w:firstLine="0" w:firstLineChars="0"/>
        <w:rPr>
          <w:rFonts w:hint="eastAsia"/>
          <w:sz w:val="30"/>
          <w:szCs w:val="30"/>
          <w:highlight w:val="none"/>
          <w:lang w:val="en-US" w:eastAsia="zh-CN"/>
        </w:rPr>
      </w:pPr>
      <w:bookmarkStart w:id="48" w:name="_Toc3129"/>
      <w:r>
        <w:rPr>
          <w:rFonts w:hint="default" w:ascii="Times New Roman" w:hAnsi="Times New Roman" w:eastAsia="黑体" w:cs="Times New Roman"/>
          <w:sz w:val="30"/>
          <w:szCs w:val="30"/>
          <w:highlight w:val="none"/>
          <w:lang w:val="en-US" w:eastAsia="zh-CN"/>
        </w:rPr>
        <w:t>2.4.3</w:t>
      </w:r>
      <w:r>
        <w:rPr>
          <w:rFonts w:hint="eastAsia"/>
          <w:sz w:val="30"/>
          <w:szCs w:val="30"/>
          <w:highlight w:val="none"/>
          <w:lang w:val="en-US" w:eastAsia="zh-CN"/>
        </w:rPr>
        <w:t>地下水环境</w:t>
      </w:r>
      <w:bookmarkEnd w:id="48"/>
    </w:p>
    <w:p w14:paraId="5F37097F">
      <w:pPr>
        <w:rPr>
          <w:rFonts w:ascii="Times New Roman" w:hAnsi="Times New Roman"/>
          <w:highlight w:val="none"/>
        </w:rPr>
      </w:pPr>
      <w:r>
        <w:rPr>
          <w:rFonts w:ascii="Times New Roman" w:hAnsi="Times New Roman"/>
          <w:highlight w:val="none"/>
        </w:rPr>
        <w:t>根据《环境影响评价技术导则 地下水环境》（HJ610-2016）附录A，本项目属于其中第142条“热力生产和供应工程”报告书类项目，属于地下水环境影响评价项目分类中的</w:t>
      </w:r>
      <w:r>
        <w:rPr>
          <w:rFonts w:hint="eastAsia" w:ascii="宋体" w:hAnsi="宋体" w:cs="宋体"/>
          <w:highlight w:val="none"/>
        </w:rPr>
        <w:t>Ⅳ</w:t>
      </w:r>
      <w:r>
        <w:rPr>
          <w:rFonts w:ascii="Times New Roman" w:hAnsi="Times New Roman"/>
          <w:highlight w:val="none"/>
        </w:rPr>
        <w:t>类项目，</w:t>
      </w:r>
      <w:r>
        <w:rPr>
          <w:rFonts w:hint="eastAsia" w:ascii="宋体" w:hAnsi="宋体" w:cs="宋体"/>
          <w:highlight w:val="none"/>
        </w:rPr>
        <w:t>Ⅳ</w:t>
      </w:r>
      <w:r>
        <w:rPr>
          <w:rFonts w:ascii="Times New Roman" w:hAnsi="Times New Roman"/>
          <w:highlight w:val="none"/>
        </w:rPr>
        <w:t>类建设项目不开展地下水环境影响评价。</w:t>
      </w:r>
    </w:p>
    <w:p w14:paraId="0F75669C">
      <w:pPr>
        <w:pStyle w:val="5"/>
        <w:bidi w:val="0"/>
        <w:ind w:left="0" w:leftChars="0" w:firstLine="0" w:firstLineChars="0"/>
        <w:rPr>
          <w:rFonts w:hint="eastAsia"/>
          <w:sz w:val="30"/>
          <w:szCs w:val="30"/>
          <w:highlight w:val="none"/>
          <w:lang w:val="en-US" w:eastAsia="zh-CN"/>
        </w:rPr>
      </w:pPr>
      <w:bookmarkStart w:id="49" w:name="_Toc15741"/>
      <w:r>
        <w:rPr>
          <w:rFonts w:hint="default" w:ascii="Times New Roman" w:hAnsi="Times New Roman" w:cs="Times New Roman"/>
          <w:sz w:val="30"/>
          <w:szCs w:val="30"/>
          <w:highlight w:val="none"/>
          <w:lang w:val="en-US" w:eastAsia="zh-CN"/>
        </w:rPr>
        <w:t>2.4.4</w:t>
      </w:r>
      <w:r>
        <w:rPr>
          <w:rFonts w:hint="eastAsia"/>
          <w:sz w:val="30"/>
          <w:szCs w:val="30"/>
          <w:highlight w:val="none"/>
          <w:lang w:val="en-US" w:eastAsia="zh-CN"/>
        </w:rPr>
        <w:t>声环境</w:t>
      </w:r>
      <w:bookmarkEnd w:id="49"/>
    </w:p>
    <w:p w14:paraId="7E6FE811">
      <w:pPr>
        <w:ind w:firstLine="480"/>
        <w:rPr>
          <w:rFonts w:ascii="Times New Roman" w:hAnsi="Times New Roman"/>
          <w:highlight w:val="none"/>
        </w:rPr>
      </w:pPr>
      <w:r>
        <w:rPr>
          <w:rFonts w:ascii="Times New Roman" w:hAnsi="Times New Roman"/>
          <w:highlight w:val="none"/>
        </w:rPr>
        <w:t>（1）评价工作等级</w:t>
      </w:r>
    </w:p>
    <w:p w14:paraId="30DD1FB7">
      <w:pPr>
        <w:ind w:firstLine="480"/>
        <w:rPr>
          <w:rFonts w:ascii="Times New Roman" w:hAnsi="Times New Roman"/>
          <w:highlight w:val="none"/>
        </w:rPr>
      </w:pPr>
      <w:r>
        <w:rPr>
          <w:rFonts w:ascii="Times New Roman" w:hAnsi="Times New Roman"/>
          <w:highlight w:val="none"/>
        </w:rPr>
        <w:t>根据《环境影响评价技术导则  声环境》（HJ 2.4—2021）将声环境影响评价工作等级分为三级，划分依据见表2.4-7。</w:t>
      </w:r>
    </w:p>
    <w:p w14:paraId="75FD7173">
      <w:pPr>
        <w:ind w:firstLine="0" w:firstLineChars="0"/>
        <w:jc w:val="center"/>
        <w:rPr>
          <w:rFonts w:hint="eastAsia" w:ascii="黑体" w:hAnsi="黑体" w:eastAsia="黑体" w:cs="黑体"/>
          <w:highlight w:val="none"/>
        </w:rPr>
      </w:pPr>
      <w:r>
        <w:rPr>
          <w:rFonts w:hint="eastAsia" w:ascii="黑体" w:hAnsi="黑体" w:eastAsia="黑体" w:cs="黑体"/>
          <w:highlight w:val="none"/>
        </w:rPr>
        <w:t>表2.4-7 声环境评价工作等级划分（相关部分）</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797"/>
        <w:gridCol w:w="1909"/>
        <w:gridCol w:w="1909"/>
        <w:gridCol w:w="1907"/>
      </w:tblGrid>
      <w:tr w14:paraId="756600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41" w:type="pct"/>
            <w:noWrap w:val="0"/>
            <w:vAlign w:val="center"/>
          </w:tcPr>
          <w:p w14:paraId="1EFA77F3">
            <w:pPr>
              <w:pStyle w:val="27"/>
              <w:rPr>
                <w:rFonts w:ascii="Times New Roman" w:hAnsi="Times New Roman"/>
                <w:highlight w:val="none"/>
              </w:rPr>
            </w:pPr>
            <w:r>
              <w:rPr>
                <w:rFonts w:ascii="Times New Roman" w:hAnsi="Times New Roman"/>
                <w:highlight w:val="none"/>
              </w:rPr>
              <w:t>声环境评价工作等级</w:t>
            </w:r>
          </w:p>
        </w:tc>
        <w:tc>
          <w:tcPr>
            <w:tcW w:w="1120" w:type="pct"/>
            <w:noWrap w:val="0"/>
            <w:vAlign w:val="center"/>
          </w:tcPr>
          <w:p w14:paraId="568DA56C">
            <w:pPr>
              <w:pStyle w:val="27"/>
              <w:rPr>
                <w:rFonts w:ascii="Times New Roman" w:hAnsi="Times New Roman"/>
                <w:highlight w:val="none"/>
              </w:rPr>
            </w:pPr>
            <w:r>
              <w:rPr>
                <w:rFonts w:ascii="Times New Roman" w:hAnsi="Times New Roman"/>
                <w:highlight w:val="none"/>
              </w:rPr>
              <w:t>一级</w:t>
            </w:r>
          </w:p>
        </w:tc>
        <w:tc>
          <w:tcPr>
            <w:tcW w:w="1120" w:type="pct"/>
            <w:noWrap w:val="0"/>
            <w:vAlign w:val="center"/>
          </w:tcPr>
          <w:p w14:paraId="201DE5DD">
            <w:pPr>
              <w:pStyle w:val="27"/>
              <w:rPr>
                <w:rFonts w:ascii="Times New Roman" w:hAnsi="Times New Roman"/>
                <w:highlight w:val="none"/>
              </w:rPr>
            </w:pPr>
            <w:r>
              <w:rPr>
                <w:rFonts w:ascii="Times New Roman" w:hAnsi="Times New Roman"/>
                <w:highlight w:val="none"/>
              </w:rPr>
              <w:t>二级</w:t>
            </w:r>
          </w:p>
        </w:tc>
        <w:tc>
          <w:tcPr>
            <w:tcW w:w="1119" w:type="pct"/>
            <w:noWrap w:val="0"/>
            <w:vAlign w:val="center"/>
          </w:tcPr>
          <w:p w14:paraId="002F0D05">
            <w:pPr>
              <w:pStyle w:val="27"/>
              <w:rPr>
                <w:rFonts w:ascii="Times New Roman" w:hAnsi="Times New Roman"/>
                <w:highlight w:val="none"/>
              </w:rPr>
            </w:pPr>
            <w:r>
              <w:rPr>
                <w:rFonts w:ascii="Times New Roman" w:hAnsi="Times New Roman"/>
                <w:highlight w:val="none"/>
              </w:rPr>
              <w:t>三级</w:t>
            </w:r>
          </w:p>
        </w:tc>
      </w:tr>
      <w:tr w14:paraId="0690B7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41" w:type="pct"/>
            <w:noWrap w:val="0"/>
            <w:vAlign w:val="center"/>
          </w:tcPr>
          <w:p w14:paraId="1A398573">
            <w:pPr>
              <w:pStyle w:val="27"/>
              <w:rPr>
                <w:rFonts w:ascii="Times New Roman" w:hAnsi="Times New Roman"/>
                <w:highlight w:val="none"/>
              </w:rPr>
            </w:pPr>
            <w:r>
              <w:rPr>
                <w:rFonts w:ascii="Times New Roman" w:hAnsi="Times New Roman"/>
                <w:highlight w:val="none"/>
              </w:rPr>
              <w:t>建设项目所在区域的声环境功能区类别</w:t>
            </w:r>
          </w:p>
        </w:tc>
        <w:tc>
          <w:tcPr>
            <w:tcW w:w="1120" w:type="pct"/>
            <w:noWrap w:val="0"/>
            <w:vAlign w:val="center"/>
          </w:tcPr>
          <w:p w14:paraId="10DD5A2A">
            <w:pPr>
              <w:pStyle w:val="27"/>
              <w:rPr>
                <w:rFonts w:ascii="Times New Roman" w:hAnsi="Times New Roman"/>
                <w:highlight w:val="none"/>
              </w:rPr>
            </w:pPr>
            <w:r>
              <w:rPr>
                <w:rFonts w:ascii="Times New Roman" w:hAnsi="Times New Roman"/>
                <w:highlight w:val="none"/>
              </w:rPr>
              <w:t>GB3096规定的0类声环境功能区域</w:t>
            </w:r>
          </w:p>
        </w:tc>
        <w:tc>
          <w:tcPr>
            <w:tcW w:w="1120" w:type="pct"/>
            <w:noWrap w:val="0"/>
            <w:vAlign w:val="center"/>
          </w:tcPr>
          <w:p w14:paraId="529037D6">
            <w:pPr>
              <w:pStyle w:val="27"/>
              <w:rPr>
                <w:rFonts w:ascii="Times New Roman" w:hAnsi="Times New Roman"/>
                <w:highlight w:val="none"/>
              </w:rPr>
            </w:pPr>
            <w:r>
              <w:rPr>
                <w:rFonts w:ascii="Times New Roman" w:hAnsi="Times New Roman"/>
                <w:highlight w:val="none"/>
              </w:rPr>
              <w:t>GB3096规定的1类、2类地区</w:t>
            </w:r>
          </w:p>
        </w:tc>
        <w:tc>
          <w:tcPr>
            <w:tcW w:w="1119" w:type="pct"/>
            <w:noWrap w:val="0"/>
            <w:vAlign w:val="center"/>
          </w:tcPr>
          <w:p w14:paraId="4A5BD74A">
            <w:pPr>
              <w:pStyle w:val="27"/>
              <w:rPr>
                <w:rFonts w:ascii="Times New Roman" w:hAnsi="Times New Roman"/>
                <w:highlight w:val="none"/>
              </w:rPr>
            </w:pPr>
            <w:r>
              <w:rPr>
                <w:rFonts w:ascii="Times New Roman" w:hAnsi="Times New Roman"/>
                <w:highlight w:val="none"/>
              </w:rPr>
              <w:t>GB3096规定的3类、4类地区</w:t>
            </w:r>
          </w:p>
        </w:tc>
      </w:tr>
      <w:tr w14:paraId="14EA65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02" w:hRule="atLeast"/>
          <w:jc w:val="center"/>
        </w:trPr>
        <w:tc>
          <w:tcPr>
            <w:tcW w:w="1641" w:type="pct"/>
            <w:noWrap w:val="0"/>
            <w:vAlign w:val="center"/>
          </w:tcPr>
          <w:p w14:paraId="41C49025">
            <w:pPr>
              <w:pStyle w:val="27"/>
              <w:rPr>
                <w:rFonts w:ascii="Times New Roman" w:hAnsi="Times New Roman"/>
                <w:highlight w:val="none"/>
              </w:rPr>
            </w:pPr>
            <w:r>
              <w:rPr>
                <w:rFonts w:ascii="Times New Roman" w:hAnsi="Times New Roman"/>
                <w:highlight w:val="none"/>
              </w:rPr>
              <w:t>建设项目建设前后所在区域的声环境质量变化程度</w:t>
            </w:r>
          </w:p>
        </w:tc>
        <w:tc>
          <w:tcPr>
            <w:tcW w:w="1120" w:type="pct"/>
            <w:noWrap w:val="0"/>
            <w:vAlign w:val="center"/>
          </w:tcPr>
          <w:p w14:paraId="5F0FFC3C">
            <w:pPr>
              <w:pStyle w:val="27"/>
              <w:rPr>
                <w:rFonts w:ascii="Times New Roman" w:hAnsi="Times New Roman"/>
                <w:highlight w:val="none"/>
              </w:rPr>
            </w:pPr>
            <w:r>
              <w:rPr>
                <w:rFonts w:ascii="Times New Roman" w:hAnsi="Times New Roman"/>
                <w:highlight w:val="none"/>
              </w:rPr>
              <w:t>敏感目标噪声级增高量＞5dB（A）</w:t>
            </w:r>
          </w:p>
        </w:tc>
        <w:tc>
          <w:tcPr>
            <w:tcW w:w="1120" w:type="pct"/>
            <w:noWrap w:val="0"/>
            <w:vAlign w:val="center"/>
          </w:tcPr>
          <w:p w14:paraId="3AF92E4C">
            <w:pPr>
              <w:pStyle w:val="27"/>
              <w:rPr>
                <w:rFonts w:ascii="Times New Roman" w:hAnsi="Times New Roman"/>
                <w:highlight w:val="none"/>
              </w:rPr>
            </w:pPr>
            <w:r>
              <w:rPr>
                <w:rFonts w:ascii="Times New Roman" w:hAnsi="Times New Roman"/>
                <w:highlight w:val="none"/>
              </w:rPr>
              <w:t>敏感目标噪声级增高量达3dB（A）～5dB（A）</w:t>
            </w:r>
          </w:p>
        </w:tc>
        <w:tc>
          <w:tcPr>
            <w:tcW w:w="1119" w:type="pct"/>
            <w:noWrap w:val="0"/>
            <w:vAlign w:val="center"/>
          </w:tcPr>
          <w:p w14:paraId="610D2668">
            <w:pPr>
              <w:pStyle w:val="27"/>
              <w:rPr>
                <w:rFonts w:ascii="Times New Roman" w:hAnsi="Times New Roman"/>
                <w:highlight w:val="none"/>
              </w:rPr>
            </w:pPr>
            <w:r>
              <w:rPr>
                <w:rFonts w:ascii="Times New Roman" w:hAnsi="Times New Roman"/>
                <w:highlight w:val="none"/>
              </w:rPr>
              <w:t>敏感目标噪声级增高量＜3dB（A）</w:t>
            </w:r>
          </w:p>
        </w:tc>
      </w:tr>
      <w:tr w14:paraId="276BE4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0" w:hRule="atLeast"/>
          <w:jc w:val="center"/>
        </w:trPr>
        <w:tc>
          <w:tcPr>
            <w:tcW w:w="1641" w:type="pct"/>
            <w:noWrap w:val="0"/>
            <w:vAlign w:val="center"/>
          </w:tcPr>
          <w:p w14:paraId="5EE94EBC">
            <w:pPr>
              <w:pStyle w:val="27"/>
              <w:rPr>
                <w:rFonts w:ascii="Times New Roman" w:hAnsi="Times New Roman"/>
                <w:highlight w:val="none"/>
              </w:rPr>
            </w:pPr>
            <w:r>
              <w:rPr>
                <w:rFonts w:ascii="Times New Roman" w:hAnsi="Times New Roman"/>
                <w:highlight w:val="none"/>
              </w:rPr>
              <w:t>受建设项目影响人口的数量</w:t>
            </w:r>
          </w:p>
        </w:tc>
        <w:tc>
          <w:tcPr>
            <w:tcW w:w="1120" w:type="pct"/>
            <w:noWrap w:val="0"/>
            <w:vAlign w:val="center"/>
          </w:tcPr>
          <w:p w14:paraId="41FAD163">
            <w:pPr>
              <w:pStyle w:val="27"/>
              <w:rPr>
                <w:rFonts w:ascii="Times New Roman" w:hAnsi="Times New Roman"/>
                <w:highlight w:val="none"/>
              </w:rPr>
            </w:pPr>
            <w:r>
              <w:rPr>
                <w:rFonts w:ascii="Times New Roman" w:hAnsi="Times New Roman"/>
                <w:highlight w:val="none"/>
              </w:rPr>
              <w:t>显著增多</w:t>
            </w:r>
          </w:p>
        </w:tc>
        <w:tc>
          <w:tcPr>
            <w:tcW w:w="1120" w:type="pct"/>
            <w:noWrap w:val="0"/>
            <w:vAlign w:val="center"/>
          </w:tcPr>
          <w:p w14:paraId="7C8AA10B">
            <w:pPr>
              <w:pStyle w:val="27"/>
              <w:rPr>
                <w:rFonts w:ascii="Times New Roman" w:hAnsi="Times New Roman"/>
                <w:highlight w:val="none"/>
              </w:rPr>
            </w:pPr>
            <w:r>
              <w:rPr>
                <w:rFonts w:ascii="Times New Roman" w:hAnsi="Times New Roman"/>
                <w:highlight w:val="none"/>
              </w:rPr>
              <w:t>增加较多</w:t>
            </w:r>
          </w:p>
        </w:tc>
        <w:tc>
          <w:tcPr>
            <w:tcW w:w="1119" w:type="pct"/>
            <w:noWrap w:val="0"/>
            <w:vAlign w:val="center"/>
          </w:tcPr>
          <w:p w14:paraId="77DF8C82">
            <w:pPr>
              <w:pStyle w:val="27"/>
              <w:rPr>
                <w:rFonts w:ascii="Times New Roman" w:hAnsi="Times New Roman"/>
                <w:highlight w:val="none"/>
              </w:rPr>
            </w:pPr>
            <w:r>
              <w:rPr>
                <w:rFonts w:ascii="Times New Roman" w:hAnsi="Times New Roman"/>
                <w:highlight w:val="none"/>
              </w:rPr>
              <w:t>变化不大</w:t>
            </w:r>
          </w:p>
        </w:tc>
      </w:tr>
    </w:tbl>
    <w:p w14:paraId="08B53235">
      <w:pPr>
        <w:ind w:firstLine="480"/>
        <w:rPr>
          <w:rFonts w:ascii="Times New Roman" w:hAnsi="Times New Roman"/>
          <w:highlight w:val="none"/>
        </w:rPr>
      </w:pPr>
      <w:r>
        <w:rPr>
          <w:rFonts w:ascii="Times New Roman" w:hAnsi="Times New Roman"/>
          <w:highlight w:val="none"/>
        </w:rPr>
        <w:t>本工程具体情况为：本项目处于《声环境质量标准》(GB3096-2008)中</w:t>
      </w:r>
      <w:r>
        <w:rPr>
          <w:rFonts w:hint="eastAsia" w:ascii="Times New Roman" w:hAnsi="Times New Roman"/>
          <w:highlight w:val="none"/>
          <w:lang w:val="en-US" w:eastAsia="zh-CN"/>
        </w:rPr>
        <w:t>2</w:t>
      </w:r>
      <w:r>
        <w:rPr>
          <w:rFonts w:ascii="Times New Roman" w:hAnsi="Times New Roman"/>
          <w:highlight w:val="none"/>
        </w:rPr>
        <w:t>类区，敏感目标噪声级增高量达3dB（A）～5dB（A），</w:t>
      </w:r>
      <w:r>
        <w:rPr>
          <w:rFonts w:hint="eastAsia" w:ascii="Times New Roman" w:hAnsi="Times New Roman"/>
          <w:highlight w:val="none"/>
        </w:rPr>
        <w:t>本项目建</w:t>
      </w:r>
      <w:r>
        <w:rPr>
          <w:rFonts w:hint="eastAsia" w:ascii="Times New Roman" w:hAnsi="Times New Roman"/>
          <w:highlight w:val="none"/>
          <w:lang w:val="en-US" w:eastAsia="zh-CN"/>
        </w:rPr>
        <w:t>设</w:t>
      </w:r>
      <w:r>
        <w:rPr>
          <w:rFonts w:hint="eastAsia" w:ascii="Times New Roman" w:hAnsi="Times New Roman"/>
          <w:highlight w:val="none"/>
        </w:rPr>
        <w:t>后，距厂界距离200m范围内，受建设项目影响新增人口的数量变化不大。</w:t>
      </w:r>
      <w:r>
        <w:rPr>
          <w:rFonts w:ascii="Times New Roman" w:hAnsi="Times New Roman"/>
          <w:highlight w:val="none"/>
        </w:rPr>
        <w:t>对照上表，确定本次声环境评价等级为</w:t>
      </w:r>
      <w:r>
        <w:rPr>
          <w:rFonts w:hint="eastAsia" w:ascii="Times New Roman" w:hAnsi="Times New Roman"/>
          <w:highlight w:val="none"/>
          <w:lang w:val="en-US" w:eastAsia="zh-CN"/>
        </w:rPr>
        <w:t>二</w:t>
      </w:r>
      <w:r>
        <w:rPr>
          <w:rFonts w:ascii="Times New Roman" w:hAnsi="Times New Roman"/>
          <w:highlight w:val="none"/>
        </w:rPr>
        <w:t>级。</w:t>
      </w:r>
    </w:p>
    <w:p w14:paraId="6828664D">
      <w:pPr>
        <w:ind w:firstLine="480"/>
        <w:rPr>
          <w:rFonts w:ascii="Times New Roman" w:hAnsi="Times New Roman"/>
          <w:highlight w:val="none"/>
        </w:rPr>
      </w:pPr>
      <w:r>
        <w:rPr>
          <w:rFonts w:ascii="Times New Roman" w:hAnsi="Times New Roman"/>
          <w:highlight w:val="none"/>
        </w:rPr>
        <w:t>（2）评价范围</w:t>
      </w:r>
    </w:p>
    <w:p w14:paraId="59E2DF2D">
      <w:pPr>
        <w:ind w:firstLine="480"/>
        <w:rPr>
          <w:rFonts w:ascii="Times New Roman" w:hAnsi="Times New Roman"/>
          <w:highlight w:val="none"/>
        </w:rPr>
      </w:pPr>
      <w:r>
        <w:rPr>
          <w:rFonts w:ascii="Times New Roman" w:hAnsi="Times New Roman"/>
          <w:highlight w:val="none"/>
        </w:rPr>
        <w:t>根据《环境影响评价技术导则  声环境》（HJ 2.4—2021）中关于噪声环境影响评价范围的确定原则，本评价噪声评价范围厂界外200m。</w:t>
      </w:r>
    </w:p>
    <w:p w14:paraId="5D641AF7">
      <w:pPr>
        <w:pStyle w:val="23"/>
        <w:ind w:firstLine="0" w:firstLineChars="0"/>
        <w:jc w:val="right"/>
        <w:rPr>
          <w:rFonts w:hint="eastAsia" w:ascii="Times New Roman" w:hAnsi="Times New Roman" w:eastAsia="宋体"/>
          <w:color w:val="auto"/>
          <w:highlight w:val="none"/>
          <w:lang w:eastAsia="zh-CN"/>
        </w:rPr>
      </w:pPr>
      <w:r>
        <w:rPr>
          <w:sz w:val="24"/>
          <w:highlight w:val="none"/>
        </w:rPr>
        <mc:AlternateContent>
          <mc:Choice Requires="wps">
            <w:drawing>
              <wp:anchor distT="0" distB="0" distL="114300" distR="114300" simplePos="0" relativeHeight="251680768" behindDoc="0" locked="0" layoutInCell="1" allowOverlap="1">
                <wp:simplePos x="0" y="0"/>
                <wp:positionH relativeFrom="column">
                  <wp:posOffset>3970655</wp:posOffset>
                </wp:positionH>
                <wp:positionV relativeFrom="paragraph">
                  <wp:posOffset>4174490</wp:posOffset>
                </wp:positionV>
                <wp:extent cx="314325" cy="161925"/>
                <wp:effectExtent l="6350" t="6350" r="22225" b="22225"/>
                <wp:wrapNone/>
                <wp:docPr id="29" name="矩形 29"/>
                <wp:cNvGraphicFramePr/>
                <a:graphic xmlns:a="http://schemas.openxmlformats.org/drawingml/2006/main">
                  <a:graphicData uri="http://schemas.microsoft.com/office/word/2010/wordprocessingShape">
                    <wps:wsp>
                      <wps:cNvSpPr/>
                      <wps:spPr>
                        <a:xfrm>
                          <a:off x="5094605" y="8047355"/>
                          <a:ext cx="314325" cy="161925"/>
                        </a:xfrm>
                        <a:prstGeom prst="rect">
                          <a:avLst/>
                        </a:prstGeom>
                        <a:noFill/>
                        <a:ln>
                          <a:solidFill>
                            <a:schemeClr val="accent4"/>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2.65pt;margin-top:328.7pt;height:12.75pt;width:24.75pt;z-index:251680768;v-text-anchor:middle;mso-width-relative:page;mso-height-relative:page;" filled="f" stroked="t" coordsize="21600,21600" o:gfxdata="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FxDWSPZAAAACwEAAA8AAAAAAAAAAQAgAAAAIgAA&#10;AGRycy9kb3ducmV2LnhtbFBLAQIUABQAAAAIAIdO4kANr57PeQIAANgEAAAOAAAAAAAAAAEAIAAA&#10;ACgBAABkcnMvZTJvRG9jLnhtbFBLBQYAAAAABgAGAFkBAAATBgAAAAA=&#10;">
                <v:fill on="f" focussize="0,0"/>
                <v:stroke weight="1pt" color="#75BD42 [3207]" miterlimit="8" joinstyle="miter"/>
                <v:imagedata o:title=""/>
                <o:lock v:ext="edit" aspectratio="f"/>
              </v:rect>
            </w:pict>
          </mc:Fallback>
        </mc:AlternateContent>
      </w:r>
      <w:r>
        <w:rPr>
          <w:sz w:val="24"/>
          <w:highlight w:val="none"/>
        </w:rPr>
        <mc:AlternateContent>
          <mc:Choice Requires="wps">
            <w:drawing>
              <wp:anchor distT="0" distB="0" distL="114300" distR="114300" simplePos="0" relativeHeight="251679744" behindDoc="0" locked="0" layoutInCell="1" allowOverlap="1">
                <wp:simplePos x="0" y="0"/>
                <wp:positionH relativeFrom="column">
                  <wp:posOffset>3951605</wp:posOffset>
                </wp:positionH>
                <wp:positionV relativeFrom="paragraph">
                  <wp:posOffset>3869690</wp:posOffset>
                </wp:positionV>
                <wp:extent cx="323850" cy="161925"/>
                <wp:effectExtent l="6350" t="6350" r="12700" b="22225"/>
                <wp:wrapNone/>
                <wp:docPr id="28" name="矩形 28"/>
                <wp:cNvGraphicFramePr/>
                <a:graphic xmlns:a="http://schemas.openxmlformats.org/drawingml/2006/main">
                  <a:graphicData uri="http://schemas.microsoft.com/office/word/2010/wordprocessingShape">
                    <wps:wsp>
                      <wps:cNvSpPr/>
                      <wps:spPr>
                        <a:xfrm>
                          <a:off x="5123180" y="7733030"/>
                          <a:ext cx="323850" cy="161925"/>
                        </a:xfrm>
                        <a:prstGeom prst="rect">
                          <a:avLst/>
                        </a:prstGeom>
                        <a:noFill/>
                        <a:ln>
                          <a:solidFill>
                            <a:schemeClr val="accent3"/>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1.15pt;margin-top:304.7pt;height:12.75pt;width:25.5pt;z-index:251679744;v-text-anchor:middle;mso-width-relative:page;mso-height-relative:page;" filled="f" stroked="t" coordsize="21600,21600" o:gfxdata="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DAVO+r2gAAAAsBAAAPAAAAAAAAAAEAIAAAACIA&#10;AABkcnMvZG93bnJldi54bWxQSwECFAAUAAAACACHTuJAIqP91HkCAADYBAAADgAAAAAAAAABACAA&#10;AAApAQAAZHJzL2Uyb0RvYy54bWxQSwUGAAAAAAYABgBZAQAAFAYAAAAA&#10;">
                <v:fill on="f" focussize="0,0"/>
                <v:stroke weight="1pt" color="#F2BA02 [3206]" miterlimit="8" joinstyle="miter"/>
                <v:imagedata o:title=""/>
                <o:lock v:ext="edit" aspectratio="f"/>
              </v:rect>
            </w:pict>
          </mc:Fallback>
        </mc:AlternateContent>
      </w:r>
      <w:r>
        <w:rPr>
          <w:sz w:val="24"/>
          <w:highlight w:val="none"/>
        </w:rPr>
        <mc:AlternateContent>
          <mc:Choice Requires="wps">
            <w:drawing>
              <wp:anchor distT="0" distB="0" distL="114300" distR="114300" simplePos="0" relativeHeight="251678720" behindDoc="0" locked="0" layoutInCell="1" allowOverlap="1">
                <wp:simplePos x="0" y="0"/>
                <wp:positionH relativeFrom="column">
                  <wp:posOffset>3942080</wp:posOffset>
                </wp:positionH>
                <wp:positionV relativeFrom="paragraph">
                  <wp:posOffset>3631565</wp:posOffset>
                </wp:positionV>
                <wp:extent cx="342900" cy="161925"/>
                <wp:effectExtent l="6350" t="6350" r="12700" b="22225"/>
                <wp:wrapNone/>
                <wp:docPr id="27" name="矩形 27"/>
                <wp:cNvGraphicFramePr/>
                <a:graphic xmlns:a="http://schemas.openxmlformats.org/drawingml/2006/main">
                  <a:graphicData uri="http://schemas.microsoft.com/office/word/2010/wordprocessingShape">
                    <wps:wsp>
                      <wps:cNvSpPr/>
                      <wps:spPr>
                        <a:xfrm>
                          <a:off x="5085080" y="7466330"/>
                          <a:ext cx="342900" cy="161925"/>
                        </a:xfrm>
                        <a:prstGeom prst="rect">
                          <a:avLst/>
                        </a:prstGeom>
                        <a:noFill/>
                        <a:ln>
                          <a:solidFill>
                            <a:srgbClr val="C0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0.4pt;margin-top:285.95pt;height:12.75pt;width:27pt;z-index:251678720;v-text-anchor:middle;mso-width-relative:page;mso-height-relative:page;" filled="f" stroked="t" coordsize="21600,21600" o:gfxdata="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vp+v9NkAAAALAQAADwAAAAAAAAABACAAAAAiAAAAZHJz&#10;L2Rvd25yZXYueG1sUEsBAhQAFAAAAAgAh07iQAkG2DB1AgAA2AQAAA4AAAAAAAAAAQAgAAAAKAEA&#10;AGRycy9lMm9Eb2MueG1sUEsFBgAAAAAGAAYAWQEAAA8GAAAAAA==&#10;">
                <v:fill on="f" focussize="0,0"/>
                <v:stroke weight="1pt" color="#C00000 [2404]" miterlimit="8" joinstyle="miter"/>
                <v:imagedata o:title=""/>
                <o:lock v:ext="edit" aspectratio="f"/>
              </v:rect>
            </w:pict>
          </mc:Fallback>
        </mc:AlternateContent>
      </w:r>
      <w:r>
        <w:rPr>
          <w:rFonts w:ascii="Times New Roman" w:hAnsi="Times New Roman"/>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3800475</wp:posOffset>
                </wp:positionH>
                <wp:positionV relativeFrom="paragraph">
                  <wp:posOffset>3247390</wp:posOffset>
                </wp:positionV>
                <wp:extent cx="1457325" cy="1200785"/>
                <wp:effectExtent l="12700" t="12700" r="15875" b="24765"/>
                <wp:wrapNone/>
                <wp:docPr id="78" name="矩形 78"/>
                <wp:cNvGraphicFramePr/>
                <a:graphic xmlns:a="http://schemas.openxmlformats.org/drawingml/2006/main">
                  <a:graphicData uri="http://schemas.microsoft.com/office/word/2010/wordprocessingShape">
                    <wps:wsp>
                      <wps:cNvSpPr/>
                      <wps:spPr>
                        <a:xfrm>
                          <a:off x="0" y="0"/>
                          <a:ext cx="1457325" cy="1200785"/>
                        </a:xfrm>
                        <a:prstGeom prst="rect">
                          <a:avLst/>
                        </a:prstGeom>
                        <a:solidFill>
                          <a:srgbClr val="FFFFFF"/>
                        </a:solidFill>
                        <a:ln w="25400" cap="flat" cmpd="sng" algn="ctr">
                          <a:solidFill>
                            <a:srgbClr val="00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9.25pt;margin-top:255.7pt;height:94.55pt;width:114.75pt;z-index:251666432;v-text-anchor:middle;mso-width-relative:page;mso-height-relative:page;" fillcolor="#FFFFFF" filled="t" stroked="t" coordsize="21600,21600" o:gfxdata="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F8yMKLZAAAACwEAAA8AAAAAAAAAAQAgAAAAIgAAAGRycy9kb3ducmV2Lnht&#10;bFBLAQIUABQAAAAIAIdO4kB+xcVkagIAAO4EAAAOAAAAAAAAAAEAIAAAACgBAABkcnMvZTJvRG9j&#10;LnhtbFBLBQYAAAAABgAGAFkBAAAEBgAAAAA=&#10;">
                <v:fill on="t" focussize="0,0"/>
                <v:stroke weight="2pt" color="#000000" joinstyle="round"/>
                <v:imagedata o:title=""/>
                <o:lock v:ext="edit" aspectratio="f"/>
              </v:rect>
            </w:pict>
          </mc:Fallback>
        </mc:AlternateContent>
      </w:r>
      <w:r>
        <w:rPr>
          <w:rFonts w:ascii="Times New Roman" w:hAnsi="Times New Roman"/>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4619625</wp:posOffset>
                </wp:positionH>
                <wp:positionV relativeFrom="paragraph">
                  <wp:posOffset>3219450</wp:posOffset>
                </wp:positionV>
                <wp:extent cx="552450" cy="34290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52450" cy="342900"/>
                        </a:xfrm>
                        <a:prstGeom prst="rect">
                          <a:avLst/>
                        </a:prstGeom>
                        <a:noFill/>
                        <a:ln w="9525">
                          <a:noFill/>
                          <a:miter lim="800000"/>
                        </a:ln>
                        <a:effectLst/>
                      </wps:spPr>
                      <wps:txbx>
                        <w:txbxContent>
                          <w:p w14:paraId="3F553716">
                            <w:pPr>
                              <w:ind w:firstLine="0" w:firstLineChars="0"/>
                            </w:pPr>
                            <w:r>
                              <w:rPr>
                                <w:rFonts w:hint="eastAsia"/>
                              </w:rPr>
                              <w:t>图例</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63.75pt;margin-top:253.5pt;height:27pt;width:43.5pt;z-index:251667456;mso-width-relative:page;mso-height-relative:page;" filled="f" stroked="f" coordsize="21600,21600" o:gfxdata="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HSozYtcAAAALAQAADwAAAAAAAAABACAAAAAiAAAAZHJzL2Rvd25yZXYueG1sUEsBAhQAFAAA&#10;AAgAh07iQF0+LI8pAgAAOAQAAA4AAAAAAAAAAQAgAAAAJgEAAGRycy9lMm9Eb2MueG1sUEsFBgAA&#10;AAAGAAYAWQEAAMEFAAAAAA==&#10;">
                <v:fill on="f" focussize="0,0"/>
                <v:stroke on="f" miterlimit="8" joinstyle="miter"/>
                <v:imagedata o:title=""/>
                <o:lock v:ext="edit" aspectratio="f"/>
                <v:textbox>
                  <w:txbxContent>
                    <w:p w14:paraId="3F553716">
                      <w:pPr>
                        <w:ind w:firstLine="0" w:firstLineChars="0"/>
                      </w:pPr>
                      <w:r>
                        <w:rPr>
                          <w:rFonts w:hint="eastAsia"/>
                        </w:rPr>
                        <w:t>图例</w:t>
                      </w:r>
                    </w:p>
                  </w:txbxContent>
                </v:textbox>
              </v:shape>
            </w:pict>
          </mc:Fallback>
        </mc:AlternateContent>
      </w:r>
      <w:r>
        <w:rPr>
          <w:rFonts w:ascii="Times New Roman" w:hAnsi="Times New Roman"/>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4352925</wp:posOffset>
                </wp:positionH>
                <wp:positionV relativeFrom="paragraph">
                  <wp:posOffset>3524250</wp:posOffset>
                </wp:positionV>
                <wp:extent cx="1009650" cy="3429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1009650" cy="342900"/>
                        </a:xfrm>
                        <a:prstGeom prst="rect">
                          <a:avLst/>
                        </a:prstGeom>
                        <a:noFill/>
                        <a:ln w="9525">
                          <a:noFill/>
                          <a:miter lim="800000"/>
                        </a:ln>
                        <a:effectLst/>
                      </wps:spPr>
                      <wps:txbx>
                        <w:txbxContent>
                          <w:p w14:paraId="00F87C73">
                            <w:pPr>
                              <w:ind w:firstLine="0" w:firstLineChars="0"/>
                            </w:pPr>
                            <w:r>
                              <w:rPr>
                                <w:rFonts w:hint="eastAsia"/>
                              </w:rPr>
                              <w:t>项目位置</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42.75pt;margin-top:277.5pt;height:27pt;width:79.5pt;z-index:251668480;mso-width-relative:page;mso-height-relative:page;" filled="f" stroked="f" coordsize="21600,21600" o:gfxdata="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hlxYLXAAAACwEAAA8AAAAAAAAAAQAgAAAAIgAAAGRycy9kb3ducmV2LnhtbFBLAQIUABQA&#10;AAAIAIdO4kBtmqc2KgIAADkEAAAOAAAAAAAAAAEAIAAAACYBAABkcnMvZTJvRG9jLnhtbFBLBQYA&#10;AAAABgAGAFkBAADCBQAAAAA=&#10;">
                <v:fill on="f" focussize="0,0"/>
                <v:stroke on="f" miterlimit="8" joinstyle="miter"/>
                <v:imagedata o:title=""/>
                <o:lock v:ext="edit" aspectratio="f"/>
                <v:textbox>
                  <w:txbxContent>
                    <w:p w14:paraId="00F87C73">
                      <w:pPr>
                        <w:ind w:firstLine="0" w:firstLineChars="0"/>
                      </w:pPr>
                      <w:r>
                        <w:rPr>
                          <w:rFonts w:hint="eastAsia"/>
                        </w:rPr>
                        <w:t>项目位置</w:t>
                      </w:r>
                    </w:p>
                  </w:txbxContent>
                </v:textbox>
              </v:shape>
            </w:pict>
          </mc:Fallback>
        </mc:AlternateContent>
      </w:r>
      <w:r>
        <w:rPr>
          <w:rFonts w:ascii="Times New Roman" w:hAnsi="Times New Roman"/>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4200525</wp:posOffset>
                </wp:positionH>
                <wp:positionV relativeFrom="paragraph">
                  <wp:posOffset>4095750</wp:posOffset>
                </wp:positionV>
                <wp:extent cx="1133475" cy="34290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1133475" cy="342900"/>
                        </a:xfrm>
                        <a:prstGeom prst="rect">
                          <a:avLst/>
                        </a:prstGeom>
                        <a:noFill/>
                        <a:ln w="9525">
                          <a:noFill/>
                          <a:miter lim="800000"/>
                        </a:ln>
                        <a:effectLst/>
                      </wps:spPr>
                      <wps:txbx>
                        <w:txbxContent>
                          <w:p w14:paraId="768A120E">
                            <w:pPr>
                              <w:ind w:firstLine="0" w:firstLineChars="0"/>
                              <w:rPr>
                                <w:rFonts w:hint="default" w:eastAsia="宋体"/>
                                <w:lang w:val="en-US" w:eastAsia="zh-CN"/>
                              </w:rPr>
                            </w:pPr>
                            <w:r>
                              <w:rPr>
                                <w:rFonts w:hint="eastAsia"/>
                                <w:lang w:val="en-US" w:eastAsia="zh-CN"/>
                              </w:rPr>
                              <w:t>土壤评价范围</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30.75pt;margin-top:322.5pt;height:27pt;width:89.25pt;z-index:251677696;mso-width-relative:page;mso-height-relative:page;" filled="f" stroked="f" coordsize="21600,21600" o:gfxdata="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R4bydcAAAALAQAADwAAAAAAAAABACAAAAAiAAAAZHJzL2Rvd25yZXYueG1sUEsBAhQA&#10;FAAAAAgAh07iQIeXHUksAgAAOQQAAA4AAAAAAAAAAQAgAAAAJgEAAGRycy9lMm9Eb2MueG1sUEsF&#10;BgAAAAAGAAYAWQEAAMQFAAAAAA==&#10;">
                <v:fill on="f" focussize="0,0"/>
                <v:stroke on="f" miterlimit="8" joinstyle="miter"/>
                <v:imagedata o:title=""/>
                <o:lock v:ext="edit" aspectratio="f"/>
                <v:textbox>
                  <w:txbxContent>
                    <w:p w14:paraId="768A120E">
                      <w:pPr>
                        <w:ind w:firstLine="0" w:firstLineChars="0"/>
                        <w:rPr>
                          <w:rFonts w:hint="default" w:eastAsia="宋体"/>
                          <w:lang w:val="en-US" w:eastAsia="zh-CN"/>
                        </w:rPr>
                      </w:pPr>
                      <w:r>
                        <w:rPr>
                          <w:rFonts w:hint="eastAsia"/>
                          <w:lang w:val="en-US" w:eastAsia="zh-CN"/>
                        </w:rPr>
                        <w:t>土壤评价范围</w:t>
                      </w:r>
                    </w:p>
                  </w:txbxContent>
                </v:textbox>
              </v:shape>
            </w:pict>
          </mc:Fallback>
        </mc:AlternateContent>
      </w:r>
      <w:r>
        <w:rPr>
          <w:rFonts w:ascii="Times New Roman" w:hAnsi="Times New Roman"/>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4248150</wp:posOffset>
                </wp:positionH>
                <wp:positionV relativeFrom="paragraph">
                  <wp:posOffset>3771900</wp:posOffset>
                </wp:positionV>
                <wp:extent cx="1028700" cy="34290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noFill/>
                        <a:ln w="9525">
                          <a:noFill/>
                          <a:miter lim="800000"/>
                        </a:ln>
                        <a:effectLst/>
                      </wps:spPr>
                      <wps:txbx>
                        <w:txbxContent>
                          <w:p w14:paraId="14ABB134">
                            <w:pPr>
                              <w:ind w:firstLine="0" w:firstLineChars="0"/>
                            </w:pPr>
                            <w:r>
                              <w:rPr>
                                <w:rFonts w:hint="eastAsia"/>
                              </w:rPr>
                              <w:t>声评价范围</w:t>
                            </w:r>
                          </w:p>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334.5pt;margin-top:297pt;height:27pt;width:81pt;z-index:251669504;mso-width-relative:page;mso-height-relative:page;" filled="f" stroked="f" coordsize="21600,21600" o:gfxdata="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FVGD2XXAAAACwEAAA8AAAAAAAAAAQAgAAAAIgAAAGRycy9kb3ducmV2LnhtbFBLAQIUABQAAAAI&#10;AIdO4kAkvwJyJwIAADkEAAAOAAAAAAAAAAEAIAAAACYBAABkcnMvZTJvRG9jLnhtbFBLBQYAAAAA&#10;BgAGAFkBAAC/BQAAAAA=&#10;">
                <v:fill on="f" focussize="0,0"/>
                <v:stroke on="f" miterlimit="8" joinstyle="miter"/>
                <v:imagedata o:title=""/>
                <o:lock v:ext="edit" aspectratio="f"/>
                <v:textbox>
                  <w:txbxContent>
                    <w:p w14:paraId="14ABB134">
                      <w:pPr>
                        <w:ind w:firstLine="0" w:firstLineChars="0"/>
                      </w:pPr>
                      <w:r>
                        <w:rPr>
                          <w:rFonts w:hint="eastAsia"/>
                        </w:rPr>
                        <w:t>声评价范围</w:t>
                      </w:r>
                    </w:p>
                  </w:txbxContent>
                </v:textbox>
              </v:shape>
            </w:pict>
          </mc:Fallback>
        </mc:AlternateContent>
      </w:r>
      <w:r>
        <w:rPr>
          <w:rFonts w:ascii="Times New Roman" w:hAnsi="Times New Roman"/>
          <w:color w:val="auto"/>
          <w:highlight w:val="none"/>
        </w:rPr>
        <w:drawing>
          <wp:anchor distT="0" distB="0" distL="114300" distR="114300" simplePos="0" relativeHeight="251670528" behindDoc="0" locked="0" layoutInCell="1" allowOverlap="1">
            <wp:simplePos x="0" y="0"/>
            <wp:positionH relativeFrom="column">
              <wp:posOffset>4257675</wp:posOffset>
            </wp:positionH>
            <wp:positionV relativeFrom="paragraph">
              <wp:posOffset>85725</wp:posOffset>
            </wp:positionV>
            <wp:extent cx="1009650" cy="1228725"/>
            <wp:effectExtent l="0" t="0" r="0" b="9525"/>
            <wp:wrapNone/>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2"/>
                    <a:srcRect l="11627" r="6201"/>
                    <a:stretch>
                      <a:fillRect/>
                    </a:stretch>
                  </pic:blipFill>
                  <pic:spPr>
                    <a:xfrm>
                      <a:off x="0" y="0"/>
                      <a:ext cx="1009650" cy="1228725"/>
                    </a:xfrm>
                    <a:prstGeom prst="rect">
                      <a:avLst/>
                    </a:prstGeom>
                    <a:noFill/>
                    <a:ln>
                      <a:noFill/>
                    </a:ln>
                  </pic:spPr>
                </pic:pic>
              </a:graphicData>
            </a:graphic>
          </wp:anchor>
        </w:drawing>
      </w:r>
      <w:r>
        <w:rPr>
          <w:rFonts w:hint="eastAsia" w:ascii="Times New Roman" w:hAnsi="Times New Roman" w:eastAsia="宋体"/>
          <w:color w:val="auto"/>
          <w:highlight w:val="none"/>
          <w:lang w:eastAsia="zh-CN"/>
        </w:rPr>
        <w:drawing>
          <wp:inline distT="0" distB="0" distL="114300" distR="114300">
            <wp:extent cx="5264150" cy="4370070"/>
            <wp:effectExtent l="0" t="0" r="12700" b="11430"/>
            <wp:docPr id="25" name="图片 25" descr="0507cb9e4f06a254a3fe66ede4bd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0507cb9e4f06a254a3fe66ede4bd736"/>
                    <pic:cNvPicPr>
                      <a:picLocks noChangeAspect="1"/>
                    </pic:cNvPicPr>
                  </pic:nvPicPr>
                  <pic:blipFill>
                    <a:blip r:embed="rId13"/>
                    <a:stretch>
                      <a:fillRect/>
                    </a:stretch>
                  </pic:blipFill>
                  <pic:spPr>
                    <a:xfrm>
                      <a:off x="0" y="0"/>
                      <a:ext cx="5264150" cy="4370070"/>
                    </a:xfrm>
                    <a:prstGeom prst="rect">
                      <a:avLst/>
                    </a:prstGeom>
                  </pic:spPr>
                </pic:pic>
              </a:graphicData>
            </a:graphic>
          </wp:inline>
        </w:drawing>
      </w:r>
    </w:p>
    <w:p w14:paraId="7241FF51">
      <w:pPr>
        <w:ind w:firstLine="0" w:firstLineChars="0"/>
        <w:jc w:val="center"/>
        <w:rPr>
          <w:rFonts w:hint="eastAsia" w:ascii="Times New Roman" w:hAnsi="Times New Roman"/>
          <w:highlight w:val="none"/>
        </w:rPr>
      </w:pPr>
      <w:r>
        <w:rPr>
          <w:rFonts w:ascii="Times New Roman" w:hAnsi="Times New Roman"/>
          <w:b/>
          <w:bCs/>
          <w:highlight w:val="none"/>
        </w:rPr>
        <w:t>图2.4-</w:t>
      </w:r>
      <w:r>
        <w:rPr>
          <w:rFonts w:hint="eastAsia" w:ascii="Times New Roman" w:hAnsi="Times New Roman"/>
          <w:b/>
          <w:bCs/>
          <w:highlight w:val="none"/>
        </w:rPr>
        <w:t>3</w:t>
      </w:r>
      <w:r>
        <w:rPr>
          <w:rFonts w:ascii="Times New Roman" w:hAnsi="Times New Roman"/>
          <w:b/>
          <w:bCs/>
          <w:highlight w:val="none"/>
        </w:rPr>
        <w:t>声环境评价范围</w:t>
      </w:r>
    </w:p>
    <w:p w14:paraId="3E49BD21">
      <w:pPr>
        <w:pStyle w:val="23"/>
        <w:spacing w:line="240" w:lineRule="auto"/>
        <w:ind w:firstLine="0" w:firstLineChars="0"/>
        <w:rPr>
          <w:rFonts w:hint="eastAsia"/>
          <w:color w:val="auto"/>
          <w:highlight w:val="none"/>
        </w:rPr>
      </w:pPr>
      <w:r>
        <w:rPr>
          <w:color w:val="auto"/>
          <w:highlight w:val="none"/>
        </w:rPr>
        <w:drawing>
          <wp:anchor distT="0" distB="0" distL="114300" distR="114300" simplePos="0" relativeHeight="251671552" behindDoc="0" locked="0" layoutInCell="1" allowOverlap="1">
            <wp:simplePos x="0" y="0"/>
            <wp:positionH relativeFrom="column">
              <wp:posOffset>4257675</wp:posOffset>
            </wp:positionH>
            <wp:positionV relativeFrom="paragraph">
              <wp:posOffset>97155</wp:posOffset>
            </wp:positionV>
            <wp:extent cx="1009650" cy="1228725"/>
            <wp:effectExtent l="0" t="0" r="0" b="9525"/>
            <wp:wrapNone/>
            <wp:docPr id="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7"/>
                    <pic:cNvPicPr>
                      <a:picLocks noChangeAspect="1"/>
                    </pic:cNvPicPr>
                  </pic:nvPicPr>
                  <pic:blipFill>
                    <a:blip r:embed="rId12"/>
                    <a:srcRect l="11627" r="6201"/>
                    <a:stretch>
                      <a:fillRect/>
                    </a:stretch>
                  </pic:blipFill>
                  <pic:spPr>
                    <a:xfrm>
                      <a:off x="0" y="0"/>
                      <a:ext cx="1009650" cy="1228725"/>
                    </a:xfrm>
                    <a:prstGeom prst="rect">
                      <a:avLst/>
                    </a:prstGeom>
                    <a:noFill/>
                    <a:ln>
                      <a:noFill/>
                    </a:ln>
                  </pic:spPr>
                </pic:pic>
              </a:graphicData>
            </a:graphic>
          </wp:anchor>
        </w:drawing>
      </w:r>
      <w:r>
        <w:rPr>
          <w:highlight w:val="none"/>
        </w:rPr>
        <w:drawing>
          <wp:inline distT="0" distB="0" distL="114300" distR="114300">
            <wp:extent cx="5267325" cy="4825365"/>
            <wp:effectExtent l="0" t="0" r="9525" b="13335"/>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
                    <pic:cNvPicPr>
                      <a:picLocks noChangeAspect="1"/>
                    </pic:cNvPicPr>
                  </pic:nvPicPr>
                  <pic:blipFill>
                    <a:blip r:embed="rId14"/>
                    <a:stretch>
                      <a:fillRect/>
                    </a:stretch>
                  </pic:blipFill>
                  <pic:spPr>
                    <a:xfrm>
                      <a:off x="0" y="0"/>
                      <a:ext cx="5267325" cy="4825365"/>
                    </a:xfrm>
                    <a:prstGeom prst="rect">
                      <a:avLst/>
                    </a:prstGeom>
                    <a:noFill/>
                    <a:ln>
                      <a:noFill/>
                    </a:ln>
                  </pic:spPr>
                </pic:pic>
              </a:graphicData>
            </a:graphic>
          </wp:inline>
        </w:drawing>
      </w:r>
    </w:p>
    <w:p w14:paraId="21D334FB">
      <w:pPr>
        <w:ind w:firstLine="0" w:firstLineChars="0"/>
        <w:jc w:val="center"/>
        <w:rPr>
          <w:rFonts w:hint="eastAsia" w:ascii="Times New Roman" w:hAnsi="Times New Roman"/>
          <w:b/>
          <w:bCs/>
          <w:highlight w:val="none"/>
        </w:rPr>
      </w:pPr>
      <w:r>
        <w:rPr>
          <w:rFonts w:ascii="Times New Roman" w:hAnsi="Times New Roman"/>
          <w:b/>
          <w:bCs/>
          <w:highlight w:val="none"/>
        </w:rPr>
        <w:t>图2.4-</w:t>
      </w:r>
      <w:r>
        <w:rPr>
          <w:rFonts w:hint="eastAsia" w:ascii="Times New Roman" w:hAnsi="Times New Roman"/>
          <w:b/>
          <w:bCs/>
          <w:highlight w:val="none"/>
        </w:rPr>
        <w:t>4</w:t>
      </w:r>
      <w:r>
        <w:rPr>
          <w:rFonts w:ascii="Times New Roman" w:hAnsi="Times New Roman"/>
          <w:b/>
          <w:bCs/>
          <w:highlight w:val="none"/>
        </w:rPr>
        <w:t>声环境评价范围</w:t>
      </w:r>
      <w:r>
        <w:rPr>
          <w:rFonts w:hint="eastAsia" w:ascii="Times New Roman" w:hAnsi="Times New Roman"/>
          <w:b/>
          <w:bCs/>
          <w:highlight w:val="none"/>
        </w:rPr>
        <w:t>（运输道路）</w:t>
      </w:r>
    </w:p>
    <w:p w14:paraId="516CC2DB">
      <w:pPr>
        <w:pStyle w:val="5"/>
        <w:bidi w:val="0"/>
        <w:ind w:left="0" w:leftChars="0" w:firstLine="0" w:firstLineChars="0"/>
        <w:rPr>
          <w:rFonts w:hint="eastAsia"/>
          <w:sz w:val="30"/>
          <w:szCs w:val="30"/>
          <w:highlight w:val="none"/>
          <w:lang w:val="en-US" w:eastAsia="zh-CN"/>
        </w:rPr>
      </w:pPr>
      <w:bookmarkStart w:id="50" w:name="_Toc4441"/>
      <w:r>
        <w:rPr>
          <w:rFonts w:hint="default" w:ascii="Times New Roman" w:hAnsi="Times New Roman" w:cs="Times New Roman"/>
          <w:sz w:val="30"/>
          <w:szCs w:val="30"/>
          <w:highlight w:val="none"/>
          <w:lang w:val="en-US" w:eastAsia="zh-CN"/>
        </w:rPr>
        <w:t>2.4.5</w:t>
      </w:r>
      <w:r>
        <w:rPr>
          <w:rFonts w:hint="eastAsia"/>
          <w:sz w:val="30"/>
          <w:szCs w:val="30"/>
          <w:highlight w:val="none"/>
          <w:lang w:val="en-US" w:eastAsia="zh-CN"/>
        </w:rPr>
        <w:t>土壤环境</w:t>
      </w:r>
      <w:bookmarkEnd w:id="50"/>
    </w:p>
    <w:p w14:paraId="5FFEDA27">
      <w:pPr>
        <w:ind w:firstLine="480"/>
        <w:rPr>
          <w:rFonts w:ascii="Times New Roman" w:hAnsi="Times New Roman"/>
          <w:highlight w:val="none"/>
        </w:rPr>
      </w:pPr>
      <w:r>
        <w:rPr>
          <w:rFonts w:ascii="Times New Roman" w:hAnsi="Times New Roman"/>
          <w:highlight w:val="none"/>
        </w:rPr>
        <w:t>（1）评价工作等级</w:t>
      </w:r>
    </w:p>
    <w:p w14:paraId="3131F2E0">
      <w:pPr>
        <w:ind w:firstLine="480"/>
        <w:rPr>
          <w:rFonts w:ascii="Times New Roman" w:hAnsi="Times New Roman"/>
          <w:highlight w:val="none"/>
        </w:rPr>
      </w:pPr>
      <w:r>
        <w:rPr>
          <w:rFonts w:ascii="Times New Roman" w:hAnsi="Times New Roman"/>
          <w:highlight w:val="none"/>
        </w:rPr>
        <w:t>根据《环境影响评价技术导则 土壤环境（试行）》（HJ964-2018）附录A确定本项目所属于“燃煤锅炉总容量65t/h以上的热力生产工程”，土壤环境影响评价项目类别为</w:t>
      </w:r>
      <w:r>
        <w:rPr>
          <w:rFonts w:hint="eastAsia" w:ascii="宋体" w:hAnsi="宋体" w:cs="宋体"/>
          <w:highlight w:val="none"/>
        </w:rPr>
        <w:t>Ⅲ</w:t>
      </w:r>
      <w:r>
        <w:rPr>
          <w:rFonts w:ascii="Times New Roman" w:hAnsi="Times New Roman"/>
          <w:highlight w:val="none"/>
        </w:rPr>
        <w:t>类。</w:t>
      </w:r>
    </w:p>
    <w:p w14:paraId="6756077A">
      <w:pPr>
        <w:ind w:firstLine="480"/>
        <w:rPr>
          <w:rFonts w:ascii="Times New Roman" w:hAnsi="Times New Roman"/>
          <w:highlight w:val="none"/>
        </w:rPr>
      </w:pPr>
      <w:r>
        <w:rPr>
          <w:rFonts w:ascii="Times New Roman" w:hAnsi="Times New Roman"/>
          <w:highlight w:val="none"/>
        </w:rPr>
        <w:t>通过土壤环境影响识别，本项目属于污染影响型项目，影响途径主要为大气沉降。</w:t>
      </w:r>
    </w:p>
    <w:p w14:paraId="4EF7106B">
      <w:pPr>
        <w:ind w:firstLine="482"/>
        <w:rPr>
          <w:rFonts w:ascii="Times New Roman" w:hAnsi="Times New Roman"/>
          <w:b/>
          <w:highlight w:val="none"/>
        </w:rPr>
      </w:pPr>
      <w:r>
        <w:rPr>
          <w:rFonts w:ascii="Times New Roman" w:hAnsi="Times New Roman"/>
          <w:b/>
          <w:highlight w:val="none"/>
        </w:rPr>
        <w:t>污染影响型：</w:t>
      </w:r>
    </w:p>
    <w:p w14:paraId="3B76E4B8">
      <w:pPr>
        <w:ind w:firstLine="480"/>
        <w:rPr>
          <w:rFonts w:ascii="Times New Roman" w:hAnsi="Times New Roman"/>
          <w:highlight w:val="none"/>
        </w:rPr>
      </w:pPr>
      <w:r>
        <w:rPr>
          <w:rFonts w:ascii="Times New Roman" w:hAnsi="Times New Roman"/>
          <w:highlight w:val="none"/>
        </w:rPr>
        <w:t>将建设项目占地规模分为大型（≥50hm</w:t>
      </w:r>
      <w:r>
        <w:rPr>
          <w:rFonts w:ascii="Times New Roman" w:hAnsi="Times New Roman"/>
          <w:highlight w:val="none"/>
          <w:vertAlign w:val="superscript"/>
        </w:rPr>
        <w:t>2</w:t>
      </w:r>
      <w:r>
        <w:rPr>
          <w:rFonts w:ascii="Times New Roman" w:hAnsi="Times New Roman"/>
          <w:highlight w:val="none"/>
        </w:rPr>
        <w:t>）、中型（5~50hm</w:t>
      </w:r>
      <w:r>
        <w:rPr>
          <w:rFonts w:ascii="Times New Roman" w:hAnsi="Times New Roman"/>
          <w:highlight w:val="none"/>
          <w:vertAlign w:val="superscript"/>
        </w:rPr>
        <w:t>2</w:t>
      </w:r>
      <w:r>
        <w:rPr>
          <w:rFonts w:ascii="Times New Roman" w:hAnsi="Times New Roman"/>
          <w:highlight w:val="none"/>
        </w:rPr>
        <w:t>）、小型（≤5hm</w:t>
      </w:r>
      <w:r>
        <w:rPr>
          <w:rFonts w:ascii="Times New Roman" w:hAnsi="Times New Roman"/>
          <w:highlight w:val="none"/>
          <w:vertAlign w:val="superscript"/>
        </w:rPr>
        <w:t>2</w:t>
      </w:r>
      <w:r>
        <w:rPr>
          <w:rFonts w:ascii="Times New Roman" w:hAnsi="Times New Roman"/>
          <w:highlight w:val="none"/>
        </w:rPr>
        <w:t>），本项目占地面积</w:t>
      </w:r>
      <w:r>
        <w:rPr>
          <w:rFonts w:hint="eastAsia" w:ascii="Times New Roman" w:hAnsi="Times New Roman"/>
          <w:iCs/>
          <w:highlight w:val="none"/>
          <w:lang w:val="en-US" w:eastAsia="zh-CN"/>
        </w:rPr>
        <w:t>13000</w:t>
      </w:r>
      <w:r>
        <w:rPr>
          <w:rFonts w:ascii="Times New Roman" w:hAnsi="Times New Roman"/>
          <w:highlight w:val="none"/>
        </w:rPr>
        <w:t>m</w:t>
      </w:r>
      <w:r>
        <w:rPr>
          <w:rFonts w:ascii="Times New Roman" w:hAnsi="Times New Roman"/>
          <w:highlight w:val="none"/>
          <w:vertAlign w:val="superscript"/>
        </w:rPr>
        <w:t>2</w:t>
      </w:r>
      <w:r>
        <w:rPr>
          <w:rFonts w:ascii="Times New Roman" w:hAnsi="Times New Roman"/>
          <w:highlight w:val="none"/>
        </w:rPr>
        <w:t>，占地规模为小型规模。建设项目占地主要为永久占地。</w:t>
      </w:r>
    </w:p>
    <w:p w14:paraId="3AA2A5F4">
      <w:pPr>
        <w:ind w:firstLine="480"/>
        <w:rPr>
          <w:rFonts w:ascii="Times New Roman" w:hAnsi="Times New Roman"/>
          <w:highlight w:val="none"/>
        </w:rPr>
      </w:pPr>
      <w:r>
        <w:rPr>
          <w:rFonts w:hint="eastAsia" w:ascii="Times New Roman" w:hAnsi="Times New Roman"/>
          <w:highlight w:val="none"/>
        </w:rPr>
        <w:t>结合大气污染物最大落地浓度出现距离及</w:t>
      </w:r>
      <w:r>
        <w:rPr>
          <w:rFonts w:ascii="Times New Roman" w:hAnsi="Times New Roman"/>
          <w:highlight w:val="none"/>
        </w:rPr>
        <w:t>建设项目所在地周边的土壤环境敏感程度分为敏感、较敏感、不敏感，判别依据见表2.4-8。</w:t>
      </w:r>
    </w:p>
    <w:p w14:paraId="3B592ED9">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eastAsia="黑体" w:cs="Times New Roman"/>
          <w:highlight w:val="none"/>
        </w:rPr>
        <w:t>2.4-8</w:t>
      </w:r>
      <w:r>
        <w:rPr>
          <w:rFonts w:hint="eastAsia" w:ascii="黑体" w:hAnsi="黑体" w:eastAsia="黑体" w:cs="黑体"/>
          <w:highlight w:val="none"/>
        </w:rPr>
        <w:t xml:space="preserve"> 污染影响型敏感程度分级表</w:t>
      </w:r>
    </w:p>
    <w:tbl>
      <w:tblPr>
        <w:tblStyle w:val="17"/>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43"/>
        <w:gridCol w:w="7279"/>
      </w:tblGrid>
      <w:tr w14:paraId="21DB49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29" w:type="pct"/>
            <w:noWrap/>
            <w:vAlign w:val="top"/>
          </w:tcPr>
          <w:p w14:paraId="68E6A649">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敏感程度</w:t>
            </w:r>
          </w:p>
        </w:tc>
        <w:tc>
          <w:tcPr>
            <w:tcW w:w="4271" w:type="pct"/>
            <w:noWrap/>
            <w:vAlign w:val="top"/>
          </w:tcPr>
          <w:p w14:paraId="4FC75CA5">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判别依据</w:t>
            </w:r>
          </w:p>
        </w:tc>
      </w:tr>
      <w:tr w14:paraId="44EF61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29" w:type="pct"/>
            <w:noWrap/>
            <w:vAlign w:val="center"/>
          </w:tcPr>
          <w:p w14:paraId="0DBCDEA7">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敏感</w:t>
            </w:r>
          </w:p>
        </w:tc>
        <w:tc>
          <w:tcPr>
            <w:tcW w:w="4271" w:type="pct"/>
            <w:noWrap/>
            <w:vAlign w:val="top"/>
          </w:tcPr>
          <w:p w14:paraId="5614B66F">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建设项目周边存在耕地、园地、牧草地、饮用水水源地或居民区、学校、医院、疗养院、养老院等土壤环境敏感目标的</w:t>
            </w:r>
          </w:p>
        </w:tc>
      </w:tr>
      <w:tr w14:paraId="4F7218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29" w:type="pct"/>
            <w:noWrap/>
            <w:vAlign w:val="top"/>
          </w:tcPr>
          <w:p w14:paraId="2D11C846">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较敏感</w:t>
            </w:r>
          </w:p>
        </w:tc>
        <w:tc>
          <w:tcPr>
            <w:tcW w:w="4271" w:type="pct"/>
            <w:noWrap/>
            <w:vAlign w:val="top"/>
          </w:tcPr>
          <w:p w14:paraId="3561C0FD">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建设项目周边存在其他土壤环境敏感目标的</w:t>
            </w:r>
          </w:p>
        </w:tc>
      </w:tr>
      <w:tr w14:paraId="27384B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29" w:type="pct"/>
            <w:noWrap/>
            <w:vAlign w:val="top"/>
          </w:tcPr>
          <w:p w14:paraId="17C2856A">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不敏感</w:t>
            </w:r>
          </w:p>
        </w:tc>
        <w:tc>
          <w:tcPr>
            <w:tcW w:w="4271" w:type="pct"/>
            <w:noWrap/>
            <w:vAlign w:val="top"/>
          </w:tcPr>
          <w:p w14:paraId="7049EC45">
            <w:pPr>
              <w:tabs>
                <w:tab w:val="right" w:pos="8240"/>
              </w:tabs>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其他情况</w:t>
            </w:r>
          </w:p>
        </w:tc>
      </w:tr>
    </w:tbl>
    <w:p w14:paraId="3E49E87C">
      <w:pPr>
        <w:ind w:firstLine="480"/>
        <w:rPr>
          <w:rFonts w:ascii="Times New Roman" w:hAnsi="Times New Roman"/>
          <w:highlight w:val="none"/>
        </w:rPr>
      </w:pPr>
      <w:r>
        <w:rPr>
          <w:rFonts w:ascii="Times New Roman" w:hAnsi="Times New Roman"/>
          <w:highlight w:val="none"/>
        </w:rPr>
        <w:t>根据土壤环境影响评价项目类别、占地规模与敏感程度划分评价工作等级，详见表2.4-9。</w:t>
      </w:r>
    </w:p>
    <w:p w14:paraId="581DD4C0">
      <w:pPr>
        <w:ind w:firstLine="0" w:firstLineChars="0"/>
        <w:jc w:val="center"/>
        <w:rPr>
          <w:rFonts w:hint="eastAsia" w:ascii="黑体" w:hAnsi="黑体" w:eastAsia="黑体" w:cs="黑体"/>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2.4-9</w:t>
      </w:r>
      <w:r>
        <w:rPr>
          <w:rFonts w:hint="eastAsia" w:ascii="黑体" w:hAnsi="黑体" w:eastAsia="黑体" w:cs="黑体"/>
          <w:highlight w:val="none"/>
        </w:rPr>
        <w:t>污染影响型土壤环境工作等级划分表</w:t>
      </w:r>
    </w:p>
    <w:tbl>
      <w:tblPr>
        <w:tblStyle w:val="17"/>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607"/>
        <w:gridCol w:w="767"/>
        <w:gridCol w:w="767"/>
        <w:gridCol w:w="770"/>
        <w:gridCol w:w="767"/>
        <w:gridCol w:w="769"/>
        <w:gridCol w:w="769"/>
        <w:gridCol w:w="769"/>
        <w:gridCol w:w="767"/>
        <w:gridCol w:w="770"/>
      </w:tblGrid>
      <w:tr w14:paraId="30EBA9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943" w:type="pct"/>
            <w:vMerge w:val="restart"/>
            <w:noWrap/>
            <w:vAlign w:val="center"/>
          </w:tcPr>
          <w:p w14:paraId="0C44636E">
            <w:pPr>
              <w:tabs>
                <w:tab w:val="right" w:pos="8240"/>
              </w:tabs>
              <w:spacing w:line="240" w:lineRule="auto"/>
              <w:ind w:firstLine="0" w:firstLineChars="0"/>
              <w:jc w:val="right"/>
              <w:rPr>
                <w:rFonts w:ascii="Times New Roman" w:hAnsi="Times New Roman"/>
                <w:bCs/>
                <w:sz w:val="15"/>
                <w:szCs w:val="15"/>
                <w:highlight w:val="none"/>
              </w:rPr>
            </w:pPr>
            <w:r>
              <w:rPr>
                <w:rFonts w:ascii="Times New Roman" w:hAnsi="Times New Roman"/>
                <w:b/>
                <w:bCs/>
                <w:kern w:val="0"/>
                <w:szCs w:val="24"/>
                <w:highlight w:val="none"/>
              </w:rPr>
              <mc:AlternateContent>
                <mc:Choice Requires="wps">
                  <w:drawing>
                    <wp:anchor distT="0" distB="0" distL="114300" distR="114300" simplePos="0" relativeHeight="251672576" behindDoc="0" locked="0" layoutInCell="1" allowOverlap="1">
                      <wp:simplePos x="0" y="0"/>
                      <wp:positionH relativeFrom="column">
                        <wp:posOffset>312420</wp:posOffset>
                      </wp:positionH>
                      <wp:positionV relativeFrom="paragraph">
                        <wp:posOffset>-4445</wp:posOffset>
                      </wp:positionV>
                      <wp:extent cx="619125" cy="600075"/>
                      <wp:effectExtent l="3175" t="3175" r="6350" b="6350"/>
                      <wp:wrapNone/>
                      <wp:docPr id="61" name="直接箭头连接符 61"/>
                      <wp:cNvGraphicFramePr/>
                      <a:graphic xmlns:a="http://schemas.openxmlformats.org/drawingml/2006/main">
                        <a:graphicData uri="http://schemas.microsoft.com/office/word/2010/wordprocessingShape">
                          <wps:wsp>
                            <wps:cNvCnPr/>
                            <wps:spPr>
                              <a:xfrm>
                                <a:off x="0" y="0"/>
                                <a:ext cx="619125" cy="600075"/>
                              </a:xfrm>
                              <a:prstGeom prst="straightConnector1">
                                <a:avLst/>
                              </a:prstGeom>
                              <a:ln w="6350"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4.6pt;margin-top:-0.35pt;height:47.25pt;width:48.75pt;z-index:251672576;mso-width-relative:page;mso-height-relative:page;" filled="f" stroked="t" coordsize="21600,21600" o:gfxdata="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B6Ws31gAAAAcBAAAPAAAAAAAAAAEAIAAAACIAAABkcnMv&#10;ZG93bnJldi54bWxQSwECFAAUAAAACACHTuJAdjavKgUCAAAABAAADgAAAAAAAAABACAAAAAlAQAA&#10;ZHJzL2Uyb0RvYy54bWxQSwUGAAAAAAYABgBZAQAAnAUAAAAA&#10;">
                      <v:fill on="f" focussize="0,0"/>
                      <v:stroke weight="0.5pt" color="#000000" joinstyle="round"/>
                      <v:imagedata o:title=""/>
                      <o:lock v:ext="edit" aspectratio="f"/>
                    </v:shape>
                  </w:pict>
                </mc:Fallback>
              </mc:AlternateContent>
            </w:r>
            <w:r>
              <w:rPr>
                <w:rFonts w:ascii="Times New Roman" w:hAnsi="Times New Roman"/>
                <w:bCs/>
                <w:sz w:val="15"/>
                <w:szCs w:val="15"/>
                <w:highlight w:val="none"/>
              </w:rPr>
              <w:t>占地规模</w:t>
            </w:r>
          </w:p>
          <w:p w14:paraId="558A5C2C">
            <w:pPr>
              <w:tabs>
                <w:tab w:val="right" w:pos="8240"/>
              </w:tabs>
              <w:spacing w:line="240" w:lineRule="auto"/>
              <w:ind w:right="300" w:firstLine="0" w:firstLineChars="0"/>
              <w:rPr>
                <w:rFonts w:ascii="Times New Roman" w:hAnsi="Times New Roman"/>
                <w:bCs/>
                <w:sz w:val="15"/>
                <w:szCs w:val="15"/>
                <w:highlight w:val="none"/>
              </w:rPr>
            </w:pPr>
            <w:r>
              <w:rPr>
                <w:rFonts w:ascii="Times New Roman" w:hAnsi="Times New Roman"/>
                <w:bCs/>
                <w:sz w:val="15"/>
                <w:szCs w:val="15"/>
                <w:highlight w:val="none"/>
              </w:rPr>
              <mc:AlternateContent>
                <mc:Choice Requires="wps">
                  <w:drawing>
                    <wp:anchor distT="0" distB="0" distL="114300" distR="114300" simplePos="0" relativeHeight="251673600" behindDoc="0" locked="0" layoutInCell="1" allowOverlap="1">
                      <wp:simplePos x="0" y="0"/>
                      <wp:positionH relativeFrom="column">
                        <wp:posOffset>-68580</wp:posOffset>
                      </wp:positionH>
                      <wp:positionV relativeFrom="paragraph">
                        <wp:posOffset>178435</wp:posOffset>
                      </wp:positionV>
                      <wp:extent cx="1000125" cy="219075"/>
                      <wp:effectExtent l="1270" t="4445" r="8255" b="5080"/>
                      <wp:wrapNone/>
                      <wp:docPr id="62" name="直接箭头连接符 62"/>
                      <wp:cNvGraphicFramePr/>
                      <a:graphic xmlns:a="http://schemas.openxmlformats.org/drawingml/2006/main">
                        <a:graphicData uri="http://schemas.microsoft.com/office/word/2010/wordprocessingShape">
                          <wps:wsp>
                            <wps:cNvCnPr/>
                            <wps:spPr>
                              <a:xfrm>
                                <a:off x="0" y="0"/>
                                <a:ext cx="1000125" cy="219075"/>
                              </a:xfrm>
                              <a:prstGeom prst="straightConnector1">
                                <a:avLst/>
                              </a:prstGeom>
                              <a:ln w="6350"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5.4pt;margin-top:14.05pt;height:17.25pt;width:78.75pt;z-index:251673600;mso-width-relative:page;mso-height-relative:page;" filled="f" stroked="t" coordsize="21600,21600" o:gfxdata="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&#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tJhJS2AAAAAkBAAAPAAAAAAAAAAEAIAAAACIAAABk&#10;cnMvZG93bnJldi54bWxQSwECFAAUAAAACACHTuJA4v1wLwYCAAABBAAADgAAAAAAAAABACAAAAAn&#10;AQAAZHJzL2Uyb0RvYy54bWxQSwUGAAAAAAYABgBZAQAAnwUAAAAA&#10;">
                      <v:fill on="f" focussize="0,0"/>
                      <v:stroke weight="0.5pt" color="#000000" joinstyle="round"/>
                      <v:imagedata o:title=""/>
                      <o:lock v:ext="edit" aspectratio="f"/>
                    </v:shape>
                  </w:pict>
                </mc:Fallback>
              </mc:AlternateContent>
            </w:r>
            <w:r>
              <w:rPr>
                <w:rFonts w:ascii="Times New Roman" w:hAnsi="Times New Roman"/>
                <w:bCs/>
                <w:sz w:val="15"/>
                <w:szCs w:val="15"/>
                <w:highlight w:val="none"/>
              </w:rPr>
              <w:t xml:space="preserve">评价工作等级 </w:t>
            </w:r>
          </w:p>
          <w:p w14:paraId="1514312D">
            <w:pPr>
              <w:tabs>
                <w:tab w:val="right" w:pos="8240"/>
              </w:tabs>
              <w:spacing w:line="240" w:lineRule="auto"/>
              <w:ind w:firstLine="0" w:firstLineChars="0"/>
              <w:jc w:val="left"/>
              <w:rPr>
                <w:rFonts w:ascii="Times New Roman" w:hAnsi="Times New Roman"/>
                <w:bCs/>
                <w:sz w:val="15"/>
                <w:szCs w:val="15"/>
                <w:highlight w:val="none"/>
              </w:rPr>
            </w:pPr>
            <w:r>
              <w:rPr>
                <w:rFonts w:ascii="Times New Roman" w:hAnsi="Times New Roman"/>
                <w:bCs/>
                <w:sz w:val="15"/>
                <w:szCs w:val="15"/>
                <w:highlight w:val="none"/>
              </w:rPr>
              <w:t>敏感程度</w:t>
            </w:r>
          </w:p>
        </w:tc>
        <w:tc>
          <w:tcPr>
            <w:tcW w:w="1352" w:type="pct"/>
            <w:gridSpan w:val="3"/>
            <w:noWrap/>
            <w:vAlign w:val="center"/>
          </w:tcPr>
          <w:p w14:paraId="10AAEE79">
            <w:pPr>
              <w:tabs>
                <w:tab w:val="right" w:pos="8240"/>
              </w:tabs>
              <w:spacing w:line="240" w:lineRule="auto"/>
              <w:ind w:firstLine="0" w:firstLineChars="0"/>
              <w:jc w:val="center"/>
              <w:rPr>
                <w:rFonts w:ascii="Times New Roman" w:hAnsi="Times New Roman"/>
                <w:bCs/>
                <w:sz w:val="21"/>
                <w:szCs w:val="21"/>
                <w:highlight w:val="none"/>
              </w:rPr>
            </w:pPr>
            <w:r>
              <w:rPr>
                <w:rFonts w:hint="eastAsia" w:ascii="宋体" w:hAnsi="宋体" w:cs="宋体"/>
                <w:bCs/>
                <w:sz w:val="21"/>
                <w:szCs w:val="21"/>
                <w:highlight w:val="none"/>
              </w:rPr>
              <w:t>Ⅰ</w:t>
            </w:r>
            <w:r>
              <w:rPr>
                <w:rFonts w:ascii="Times New Roman" w:hAnsi="Times New Roman"/>
                <w:bCs/>
                <w:sz w:val="21"/>
                <w:szCs w:val="21"/>
                <w:highlight w:val="none"/>
              </w:rPr>
              <w:t>类</w:t>
            </w:r>
          </w:p>
        </w:tc>
        <w:tc>
          <w:tcPr>
            <w:tcW w:w="1352" w:type="pct"/>
            <w:gridSpan w:val="3"/>
            <w:noWrap/>
            <w:vAlign w:val="center"/>
          </w:tcPr>
          <w:p w14:paraId="7388BC22">
            <w:pPr>
              <w:tabs>
                <w:tab w:val="right" w:pos="8240"/>
              </w:tabs>
              <w:spacing w:line="240" w:lineRule="auto"/>
              <w:ind w:firstLine="0" w:firstLineChars="0"/>
              <w:jc w:val="center"/>
              <w:rPr>
                <w:rFonts w:ascii="Times New Roman" w:hAnsi="Times New Roman"/>
                <w:bCs/>
                <w:sz w:val="21"/>
                <w:szCs w:val="21"/>
                <w:highlight w:val="none"/>
              </w:rPr>
            </w:pPr>
            <w:r>
              <w:rPr>
                <w:rFonts w:hint="eastAsia" w:ascii="宋体" w:hAnsi="宋体" w:cs="宋体"/>
                <w:bCs/>
                <w:sz w:val="21"/>
                <w:szCs w:val="21"/>
                <w:highlight w:val="none"/>
              </w:rPr>
              <w:t>Ⅱ</w:t>
            </w:r>
            <w:r>
              <w:rPr>
                <w:rFonts w:ascii="Times New Roman" w:hAnsi="Times New Roman"/>
                <w:bCs/>
                <w:sz w:val="21"/>
                <w:szCs w:val="21"/>
                <w:highlight w:val="none"/>
              </w:rPr>
              <w:t>类</w:t>
            </w:r>
          </w:p>
        </w:tc>
        <w:tc>
          <w:tcPr>
            <w:tcW w:w="1353" w:type="pct"/>
            <w:gridSpan w:val="3"/>
            <w:noWrap/>
            <w:vAlign w:val="center"/>
          </w:tcPr>
          <w:p w14:paraId="3C7C292C">
            <w:pPr>
              <w:tabs>
                <w:tab w:val="right" w:pos="8240"/>
              </w:tabs>
              <w:spacing w:line="240" w:lineRule="auto"/>
              <w:ind w:firstLine="0" w:firstLineChars="0"/>
              <w:jc w:val="center"/>
              <w:rPr>
                <w:rFonts w:ascii="Times New Roman" w:hAnsi="Times New Roman"/>
                <w:bCs/>
                <w:sz w:val="21"/>
                <w:szCs w:val="21"/>
                <w:highlight w:val="none"/>
              </w:rPr>
            </w:pPr>
            <w:r>
              <w:rPr>
                <w:rFonts w:hint="eastAsia" w:ascii="宋体" w:hAnsi="宋体" w:cs="宋体"/>
                <w:bCs/>
                <w:sz w:val="21"/>
                <w:szCs w:val="21"/>
                <w:highlight w:val="none"/>
              </w:rPr>
              <w:t>Ⅲ</w:t>
            </w:r>
            <w:r>
              <w:rPr>
                <w:rFonts w:ascii="Times New Roman" w:hAnsi="Times New Roman"/>
                <w:bCs/>
                <w:sz w:val="21"/>
                <w:szCs w:val="21"/>
                <w:highlight w:val="none"/>
              </w:rPr>
              <w:t>类</w:t>
            </w:r>
          </w:p>
        </w:tc>
      </w:tr>
      <w:tr w14:paraId="7B946E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943" w:type="pct"/>
            <w:vMerge w:val="continue"/>
            <w:noWrap/>
            <w:vAlign w:val="top"/>
          </w:tcPr>
          <w:p w14:paraId="0173D907">
            <w:pPr>
              <w:tabs>
                <w:tab w:val="right" w:pos="8240"/>
              </w:tabs>
              <w:spacing w:line="240" w:lineRule="auto"/>
              <w:ind w:firstLine="0" w:firstLineChars="0"/>
              <w:jc w:val="center"/>
              <w:rPr>
                <w:rFonts w:ascii="Times New Roman" w:hAnsi="Times New Roman"/>
                <w:bCs/>
                <w:highlight w:val="none"/>
              </w:rPr>
            </w:pPr>
          </w:p>
        </w:tc>
        <w:tc>
          <w:tcPr>
            <w:tcW w:w="450" w:type="pct"/>
            <w:noWrap/>
            <w:vAlign w:val="center"/>
          </w:tcPr>
          <w:p w14:paraId="17F612B5">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大</w:t>
            </w:r>
          </w:p>
        </w:tc>
        <w:tc>
          <w:tcPr>
            <w:tcW w:w="450" w:type="pct"/>
            <w:noWrap/>
            <w:vAlign w:val="center"/>
          </w:tcPr>
          <w:p w14:paraId="46049A89">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中</w:t>
            </w:r>
          </w:p>
        </w:tc>
        <w:tc>
          <w:tcPr>
            <w:tcW w:w="452" w:type="pct"/>
            <w:noWrap/>
            <w:vAlign w:val="center"/>
          </w:tcPr>
          <w:p w14:paraId="7DA26C83">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小</w:t>
            </w:r>
          </w:p>
        </w:tc>
        <w:tc>
          <w:tcPr>
            <w:tcW w:w="450" w:type="pct"/>
            <w:noWrap/>
            <w:vAlign w:val="center"/>
          </w:tcPr>
          <w:p w14:paraId="60F8E71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大</w:t>
            </w:r>
          </w:p>
        </w:tc>
        <w:tc>
          <w:tcPr>
            <w:tcW w:w="451" w:type="pct"/>
            <w:noWrap/>
            <w:vAlign w:val="center"/>
          </w:tcPr>
          <w:p w14:paraId="79642977">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中</w:t>
            </w:r>
          </w:p>
        </w:tc>
        <w:tc>
          <w:tcPr>
            <w:tcW w:w="451" w:type="pct"/>
            <w:noWrap/>
            <w:vAlign w:val="center"/>
          </w:tcPr>
          <w:p w14:paraId="0B76ADB0">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小</w:t>
            </w:r>
          </w:p>
        </w:tc>
        <w:tc>
          <w:tcPr>
            <w:tcW w:w="451" w:type="pct"/>
            <w:noWrap/>
            <w:vAlign w:val="center"/>
          </w:tcPr>
          <w:p w14:paraId="3C84A636">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大</w:t>
            </w:r>
          </w:p>
        </w:tc>
        <w:tc>
          <w:tcPr>
            <w:tcW w:w="450" w:type="pct"/>
            <w:noWrap/>
            <w:vAlign w:val="center"/>
          </w:tcPr>
          <w:p w14:paraId="07576FC3">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中</w:t>
            </w:r>
          </w:p>
        </w:tc>
        <w:tc>
          <w:tcPr>
            <w:tcW w:w="452" w:type="pct"/>
            <w:noWrap/>
            <w:vAlign w:val="center"/>
          </w:tcPr>
          <w:p w14:paraId="08E3E7F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小</w:t>
            </w:r>
          </w:p>
        </w:tc>
      </w:tr>
      <w:tr w14:paraId="79F5FE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943" w:type="pct"/>
            <w:noWrap/>
            <w:vAlign w:val="center"/>
          </w:tcPr>
          <w:p w14:paraId="1685224F">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敏感</w:t>
            </w:r>
          </w:p>
        </w:tc>
        <w:tc>
          <w:tcPr>
            <w:tcW w:w="450" w:type="pct"/>
            <w:noWrap/>
            <w:vAlign w:val="center"/>
          </w:tcPr>
          <w:p w14:paraId="4B182E5B">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0" w:type="pct"/>
            <w:noWrap/>
            <w:vAlign w:val="center"/>
          </w:tcPr>
          <w:p w14:paraId="7B8DF867">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2" w:type="pct"/>
            <w:noWrap/>
            <w:vAlign w:val="center"/>
          </w:tcPr>
          <w:p w14:paraId="04130D7D">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0" w:type="pct"/>
            <w:noWrap/>
            <w:vAlign w:val="center"/>
          </w:tcPr>
          <w:p w14:paraId="68BF4DAB">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790CACB6">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72513530">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44C2A755">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0" w:type="pct"/>
            <w:noWrap/>
            <w:vAlign w:val="center"/>
          </w:tcPr>
          <w:p w14:paraId="6FF65F04">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2" w:type="pct"/>
            <w:noWrap/>
            <w:vAlign w:val="center"/>
          </w:tcPr>
          <w:p w14:paraId="19F0649A">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r>
      <w:tr w14:paraId="71F96F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943" w:type="pct"/>
            <w:noWrap/>
            <w:vAlign w:val="center"/>
          </w:tcPr>
          <w:p w14:paraId="6BA35762">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较敏感</w:t>
            </w:r>
          </w:p>
        </w:tc>
        <w:tc>
          <w:tcPr>
            <w:tcW w:w="450" w:type="pct"/>
            <w:noWrap/>
            <w:vAlign w:val="center"/>
          </w:tcPr>
          <w:p w14:paraId="10AAEB3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0" w:type="pct"/>
            <w:noWrap/>
            <w:vAlign w:val="center"/>
          </w:tcPr>
          <w:p w14:paraId="3F02728E">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2" w:type="pct"/>
            <w:noWrap/>
            <w:vAlign w:val="center"/>
          </w:tcPr>
          <w:p w14:paraId="1B40354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0" w:type="pct"/>
            <w:noWrap/>
            <w:vAlign w:val="center"/>
          </w:tcPr>
          <w:p w14:paraId="7300A6B2">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48C0F934">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1F1223B1">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1" w:type="pct"/>
            <w:noWrap/>
            <w:vAlign w:val="center"/>
          </w:tcPr>
          <w:p w14:paraId="3FD17577">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0" w:type="pct"/>
            <w:noWrap/>
            <w:vAlign w:val="center"/>
          </w:tcPr>
          <w:p w14:paraId="50CD3918">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2" w:type="pct"/>
            <w:noWrap/>
            <w:vAlign w:val="center"/>
          </w:tcPr>
          <w:p w14:paraId="5CF1CC2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w:t>
            </w:r>
          </w:p>
        </w:tc>
      </w:tr>
      <w:tr w14:paraId="04EC17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43" w:type="pct"/>
            <w:noWrap/>
            <w:vAlign w:val="center"/>
          </w:tcPr>
          <w:p w14:paraId="02B18B50">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不敏感</w:t>
            </w:r>
          </w:p>
        </w:tc>
        <w:tc>
          <w:tcPr>
            <w:tcW w:w="450" w:type="pct"/>
            <w:noWrap/>
            <w:vAlign w:val="center"/>
          </w:tcPr>
          <w:p w14:paraId="29B6E092">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一级</w:t>
            </w:r>
          </w:p>
        </w:tc>
        <w:tc>
          <w:tcPr>
            <w:tcW w:w="450" w:type="pct"/>
            <w:noWrap/>
            <w:vAlign w:val="center"/>
          </w:tcPr>
          <w:p w14:paraId="0294E2FE">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2" w:type="pct"/>
            <w:noWrap/>
            <w:vAlign w:val="center"/>
          </w:tcPr>
          <w:p w14:paraId="55C423C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0" w:type="pct"/>
            <w:noWrap/>
            <w:vAlign w:val="center"/>
          </w:tcPr>
          <w:p w14:paraId="5EE0E8AF">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二级</w:t>
            </w:r>
          </w:p>
        </w:tc>
        <w:tc>
          <w:tcPr>
            <w:tcW w:w="451" w:type="pct"/>
            <w:noWrap/>
            <w:vAlign w:val="center"/>
          </w:tcPr>
          <w:p w14:paraId="672A50DE">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1" w:type="pct"/>
            <w:noWrap/>
            <w:vAlign w:val="center"/>
          </w:tcPr>
          <w:p w14:paraId="46C05016">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1" w:type="pct"/>
            <w:noWrap/>
            <w:vAlign w:val="center"/>
          </w:tcPr>
          <w:p w14:paraId="2464695A">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三级</w:t>
            </w:r>
          </w:p>
        </w:tc>
        <w:tc>
          <w:tcPr>
            <w:tcW w:w="450" w:type="pct"/>
            <w:noWrap/>
            <w:vAlign w:val="center"/>
          </w:tcPr>
          <w:p w14:paraId="6B6C4471">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w:t>
            </w:r>
          </w:p>
        </w:tc>
        <w:tc>
          <w:tcPr>
            <w:tcW w:w="452" w:type="pct"/>
            <w:noWrap/>
            <w:vAlign w:val="center"/>
          </w:tcPr>
          <w:p w14:paraId="4E2568DC">
            <w:pPr>
              <w:tabs>
                <w:tab w:val="right" w:pos="8240"/>
              </w:tabs>
              <w:spacing w:line="240" w:lineRule="auto"/>
              <w:ind w:firstLine="0" w:firstLineChars="0"/>
              <w:jc w:val="center"/>
              <w:rPr>
                <w:rFonts w:ascii="Times New Roman" w:hAnsi="Times New Roman"/>
                <w:bCs/>
                <w:sz w:val="21"/>
                <w:szCs w:val="21"/>
                <w:highlight w:val="none"/>
              </w:rPr>
            </w:pPr>
            <w:r>
              <w:rPr>
                <w:rFonts w:ascii="Times New Roman" w:hAnsi="Times New Roman"/>
                <w:bCs/>
                <w:sz w:val="21"/>
                <w:szCs w:val="21"/>
                <w:highlight w:val="none"/>
              </w:rPr>
              <w:t>-</w:t>
            </w:r>
          </w:p>
        </w:tc>
      </w:tr>
      <w:tr w14:paraId="355E9E4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5000" w:type="pct"/>
            <w:gridSpan w:val="10"/>
            <w:noWrap/>
            <w:vAlign w:val="top"/>
          </w:tcPr>
          <w:p w14:paraId="2633D6EC">
            <w:pPr>
              <w:tabs>
                <w:tab w:val="right" w:pos="8240"/>
              </w:tabs>
              <w:spacing w:line="240" w:lineRule="auto"/>
              <w:ind w:firstLine="0" w:firstLineChars="0"/>
              <w:jc w:val="left"/>
              <w:rPr>
                <w:rFonts w:ascii="Times New Roman" w:hAnsi="Times New Roman"/>
                <w:bCs/>
                <w:highlight w:val="none"/>
              </w:rPr>
            </w:pPr>
            <w:r>
              <w:rPr>
                <w:rFonts w:ascii="Times New Roman" w:hAnsi="Times New Roman"/>
                <w:bCs/>
                <w:sz w:val="21"/>
                <w:szCs w:val="21"/>
                <w:highlight w:val="none"/>
              </w:rPr>
              <w:t>注：“-”表示可不开展土壤环境影响评价工作</w:t>
            </w:r>
          </w:p>
        </w:tc>
      </w:tr>
    </w:tbl>
    <w:p w14:paraId="5A333F27">
      <w:pPr>
        <w:ind w:firstLine="480"/>
        <w:rPr>
          <w:rFonts w:ascii="Times New Roman" w:hAnsi="Times New Roman"/>
          <w:highlight w:val="none"/>
        </w:rPr>
      </w:pPr>
      <w:r>
        <w:rPr>
          <w:rFonts w:ascii="Times New Roman" w:hAnsi="Times New Roman"/>
          <w:highlight w:val="none"/>
        </w:rPr>
        <w:t>本项目厂区周边存在</w:t>
      </w:r>
      <w:r>
        <w:rPr>
          <w:rFonts w:hint="eastAsia"/>
          <w:highlight w:val="none"/>
          <w:lang w:val="en-US" w:eastAsia="zh-CN"/>
        </w:rPr>
        <w:t>新安幸福嘉园</w:t>
      </w:r>
      <w:r>
        <w:rPr>
          <w:rFonts w:ascii="Times New Roman" w:hAnsi="Times New Roman"/>
          <w:highlight w:val="none"/>
        </w:rPr>
        <w:t>、</w:t>
      </w:r>
      <w:r>
        <w:rPr>
          <w:rFonts w:hint="eastAsia" w:ascii="Times New Roman" w:hAnsi="Times New Roman"/>
          <w:highlight w:val="none"/>
          <w:lang w:val="en-US" w:eastAsia="zh-CN"/>
        </w:rPr>
        <w:t>旅游局家属楼</w:t>
      </w:r>
      <w:r>
        <w:rPr>
          <w:rFonts w:ascii="Times New Roman" w:hAnsi="Times New Roman"/>
          <w:highlight w:val="none"/>
        </w:rPr>
        <w:t>及</w:t>
      </w:r>
      <w:r>
        <w:rPr>
          <w:rFonts w:hint="eastAsia" w:ascii="Times New Roman" w:hAnsi="Times New Roman"/>
          <w:highlight w:val="none"/>
          <w:lang w:val="en-US" w:eastAsia="zh-CN"/>
        </w:rPr>
        <w:t>附近林地</w:t>
      </w:r>
      <w:r>
        <w:rPr>
          <w:rFonts w:ascii="Times New Roman" w:hAnsi="Times New Roman"/>
          <w:highlight w:val="none"/>
        </w:rPr>
        <w:t>敏感目标，因此敏感程度属于敏感。确定本次土壤环境评价等级为三级。</w:t>
      </w:r>
    </w:p>
    <w:p w14:paraId="406EFBBD">
      <w:pPr>
        <w:ind w:firstLine="480"/>
        <w:rPr>
          <w:rFonts w:ascii="Times New Roman" w:hAnsi="Times New Roman"/>
          <w:highlight w:val="none"/>
        </w:rPr>
      </w:pPr>
      <w:r>
        <w:rPr>
          <w:rFonts w:ascii="Times New Roman" w:hAnsi="Times New Roman"/>
          <w:highlight w:val="none"/>
        </w:rPr>
        <w:t>（2）评价范围</w:t>
      </w:r>
    </w:p>
    <w:p w14:paraId="43BA5B06">
      <w:pPr>
        <w:ind w:firstLine="480"/>
        <w:rPr>
          <w:rFonts w:ascii="Times New Roman" w:hAnsi="Times New Roman"/>
          <w:highlight w:val="none"/>
        </w:rPr>
      </w:pPr>
      <w:r>
        <w:rPr>
          <w:sz w:val="24"/>
          <w:highlight w:val="none"/>
        </w:rPr>
        <w:t>参照土壤导则要求，本项目土壤评价</w:t>
      </w:r>
      <w:r>
        <w:rPr>
          <w:rFonts w:hint="eastAsia"/>
          <w:sz w:val="24"/>
          <w:highlight w:val="none"/>
        </w:rPr>
        <w:t>为三级评级，其评价范围为</w:t>
      </w:r>
      <w:r>
        <w:rPr>
          <w:sz w:val="24"/>
          <w:highlight w:val="none"/>
        </w:rPr>
        <w:t>：</w:t>
      </w:r>
      <w:r>
        <w:rPr>
          <w:rFonts w:hint="eastAsia"/>
          <w:sz w:val="24"/>
          <w:highlight w:val="none"/>
        </w:rPr>
        <w:t>场区</w:t>
      </w:r>
      <w:r>
        <w:rPr>
          <w:sz w:val="24"/>
          <w:highlight w:val="none"/>
        </w:rPr>
        <w:t>整体占地和</w:t>
      </w:r>
      <w:r>
        <w:rPr>
          <w:rFonts w:hint="eastAsia"/>
          <w:sz w:val="24"/>
          <w:highlight w:val="none"/>
        </w:rPr>
        <w:t>场</w:t>
      </w:r>
      <w:r>
        <w:rPr>
          <w:sz w:val="24"/>
          <w:highlight w:val="none"/>
        </w:rPr>
        <w:t>界外0.</w:t>
      </w:r>
      <w:r>
        <w:rPr>
          <w:rFonts w:hint="eastAsia"/>
          <w:sz w:val="24"/>
          <w:highlight w:val="none"/>
        </w:rPr>
        <w:t>05</w:t>
      </w:r>
      <w:r>
        <w:rPr>
          <w:sz w:val="24"/>
          <w:highlight w:val="none"/>
        </w:rPr>
        <w:t>km范围</w:t>
      </w:r>
      <w:r>
        <w:rPr>
          <w:rFonts w:hint="eastAsia"/>
          <w:sz w:val="24"/>
          <w:highlight w:val="none"/>
          <w:lang w:eastAsia="zh-CN"/>
        </w:rPr>
        <w:t>，</w:t>
      </w:r>
      <w:r>
        <w:rPr>
          <w:rFonts w:hint="eastAsia"/>
          <w:sz w:val="24"/>
          <w:highlight w:val="none"/>
          <w:lang w:val="en-US" w:eastAsia="zh-CN"/>
        </w:rPr>
        <w:t>详见图2.4-3</w:t>
      </w:r>
      <w:r>
        <w:rPr>
          <w:sz w:val="24"/>
          <w:highlight w:val="none"/>
        </w:rPr>
        <w:t>。</w:t>
      </w:r>
    </w:p>
    <w:p w14:paraId="478B21AC">
      <w:pPr>
        <w:pStyle w:val="5"/>
        <w:bidi w:val="0"/>
        <w:ind w:left="0" w:leftChars="0" w:firstLine="0" w:firstLineChars="0"/>
        <w:rPr>
          <w:rFonts w:hint="eastAsia"/>
          <w:sz w:val="30"/>
          <w:szCs w:val="30"/>
          <w:highlight w:val="none"/>
          <w:lang w:val="en-US" w:eastAsia="zh-CN"/>
        </w:rPr>
      </w:pPr>
      <w:bookmarkStart w:id="51" w:name="_Toc1022"/>
      <w:r>
        <w:rPr>
          <w:rFonts w:hint="default" w:ascii="Times New Roman" w:hAnsi="Times New Roman" w:cs="Times New Roman"/>
          <w:sz w:val="30"/>
          <w:szCs w:val="30"/>
          <w:highlight w:val="none"/>
          <w:lang w:val="en-US" w:eastAsia="zh-CN"/>
        </w:rPr>
        <w:t>2.4.6</w:t>
      </w:r>
      <w:r>
        <w:rPr>
          <w:rFonts w:hint="eastAsia"/>
          <w:sz w:val="30"/>
          <w:szCs w:val="30"/>
          <w:highlight w:val="none"/>
          <w:lang w:val="en-US" w:eastAsia="zh-CN"/>
        </w:rPr>
        <w:t>生态环境</w:t>
      </w:r>
      <w:bookmarkEnd w:id="51"/>
    </w:p>
    <w:p w14:paraId="24AF2975">
      <w:pPr>
        <w:ind w:firstLine="480"/>
        <w:rPr>
          <w:rFonts w:ascii="Times New Roman" w:hAnsi="Times New Roman"/>
          <w:highlight w:val="none"/>
        </w:rPr>
      </w:pPr>
      <w:r>
        <w:rPr>
          <w:rFonts w:ascii="Times New Roman" w:hAnsi="Times New Roman"/>
          <w:highlight w:val="none"/>
        </w:rPr>
        <w:t>（1）评价等级</w:t>
      </w:r>
    </w:p>
    <w:p w14:paraId="6D54A0C2">
      <w:pPr>
        <w:ind w:firstLine="480"/>
        <w:rPr>
          <w:rFonts w:ascii="Times New Roman" w:hAnsi="Times New Roman"/>
          <w:highlight w:val="none"/>
        </w:rPr>
      </w:pPr>
      <w:r>
        <w:rPr>
          <w:rFonts w:ascii="Times New Roman" w:hAnsi="Times New Roman"/>
          <w:highlight w:val="none"/>
        </w:rPr>
        <w:t>根据《环境影响评价技术导则  生态影响》（HJ19-2022）中规定的评价工作等级划分依据：</w:t>
      </w:r>
    </w:p>
    <w:p w14:paraId="44DD3167">
      <w:pPr>
        <w:ind w:firstLine="480"/>
        <w:rPr>
          <w:rFonts w:ascii="Times New Roman" w:hAnsi="Times New Roman"/>
          <w:highlight w:val="none"/>
        </w:rPr>
      </w:pPr>
      <w:r>
        <w:rPr>
          <w:rFonts w:ascii="Times New Roman" w:hAnsi="Times New Roman"/>
          <w:highlight w:val="none"/>
        </w:rPr>
        <w:t>a）涉及国家公园、自然保护区、世界自然遗产、重要生境时，评价等级为一级；</w:t>
      </w:r>
    </w:p>
    <w:p w14:paraId="5188B621">
      <w:pPr>
        <w:ind w:firstLine="480"/>
        <w:rPr>
          <w:rFonts w:ascii="Times New Roman" w:hAnsi="Times New Roman"/>
          <w:highlight w:val="none"/>
        </w:rPr>
      </w:pPr>
      <w:r>
        <w:rPr>
          <w:rFonts w:ascii="Times New Roman" w:hAnsi="Times New Roman"/>
          <w:highlight w:val="none"/>
        </w:rPr>
        <w:t>b）涉及自然公园时，评价等级为二级；</w:t>
      </w:r>
    </w:p>
    <w:p w14:paraId="30571D6A">
      <w:pPr>
        <w:ind w:firstLine="480"/>
        <w:rPr>
          <w:rFonts w:ascii="Times New Roman" w:hAnsi="Times New Roman"/>
          <w:highlight w:val="none"/>
        </w:rPr>
      </w:pPr>
      <w:r>
        <w:rPr>
          <w:rFonts w:ascii="Times New Roman" w:hAnsi="Times New Roman"/>
          <w:highlight w:val="none"/>
        </w:rPr>
        <w:t>c）涉及生态保护红线时，评价等级不低于二级；</w:t>
      </w:r>
    </w:p>
    <w:p w14:paraId="58F91E68">
      <w:pPr>
        <w:ind w:firstLine="480"/>
        <w:rPr>
          <w:rFonts w:ascii="Times New Roman" w:hAnsi="Times New Roman"/>
          <w:highlight w:val="none"/>
        </w:rPr>
      </w:pPr>
      <w:r>
        <w:rPr>
          <w:rFonts w:ascii="Times New Roman" w:hAnsi="Times New Roman"/>
          <w:highlight w:val="none"/>
        </w:rPr>
        <w:t>d）根据 HJ2.3判断属于水文要素影响型且地表水评价等级不低于二级的建设项目，生态影响评价等级不低于二级；</w:t>
      </w:r>
    </w:p>
    <w:p w14:paraId="4203A5A0">
      <w:pPr>
        <w:ind w:firstLine="480"/>
        <w:rPr>
          <w:rFonts w:ascii="Times New Roman" w:hAnsi="Times New Roman"/>
          <w:highlight w:val="none"/>
        </w:rPr>
      </w:pPr>
      <w:r>
        <w:rPr>
          <w:rFonts w:ascii="Times New Roman" w:hAnsi="Times New Roman"/>
          <w:highlight w:val="none"/>
        </w:rPr>
        <w:t>e）根据 HJ 610 、HJ 964 判断地下水水位或土壤影响范围内分布有天然林、公益林、湿地等生态保护目标的建设项目，生态影响评价等级不低于二级；</w:t>
      </w:r>
    </w:p>
    <w:p w14:paraId="3B80D135">
      <w:pPr>
        <w:ind w:firstLine="480"/>
        <w:rPr>
          <w:rFonts w:ascii="Times New Roman" w:hAnsi="Times New Roman"/>
          <w:highlight w:val="none"/>
        </w:rPr>
      </w:pPr>
      <w:r>
        <w:rPr>
          <w:rFonts w:ascii="Times New Roman" w:hAnsi="Times New Roman"/>
          <w:highlight w:val="none"/>
        </w:rPr>
        <w:t>f）当工程占地规模大于 20km</w:t>
      </w:r>
      <w:r>
        <w:rPr>
          <w:rFonts w:ascii="Times New Roman" w:hAnsi="Times New Roman"/>
          <w:highlight w:val="none"/>
          <w:vertAlign w:val="superscript"/>
        </w:rPr>
        <w:t>2</w:t>
      </w:r>
      <w:r>
        <w:rPr>
          <w:rFonts w:ascii="Times New Roman" w:hAnsi="Times New Roman"/>
          <w:highlight w:val="none"/>
        </w:rPr>
        <w:t>时（包括永久和临时占用陆域和水域），评价等级不低于二级；改扩建项目的占地范围以新增占地（包括陆域和水域）确定；</w:t>
      </w:r>
    </w:p>
    <w:p w14:paraId="658C4511">
      <w:pPr>
        <w:ind w:firstLine="480"/>
        <w:rPr>
          <w:rFonts w:ascii="Times New Roman" w:hAnsi="Times New Roman"/>
          <w:highlight w:val="none"/>
        </w:rPr>
      </w:pPr>
      <w:r>
        <w:rPr>
          <w:rFonts w:ascii="Times New Roman" w:hAnsi="Times New Roman"/>
          <w:highlight w:val="none"/>
        </w:rPr>
        <w:t>g）除本条a）、b）、c）、d）、e）、f）以外的情况，评价等级为三级；</w:t>
      </w:r>
    </w:p>
    <w:p w14:paraId="7C5523F3">
      <w:pPr>
        <w:ind w:firstLine="480"/>
        <w:rPr>
          <w:rFonts w:ascii="Times New Roman" w:hAnsi="Times New Roman"/>
          <w:highlight w:val="none"/>
        </w:rPr>
      </w:pPr>
      <w:r>
        <w:rPr>
          <w:rFonts w:ascii="Times New Roman" w:hAnsi="Times New Roman"/>
          <w:highlight w:val="none"/>
        </w:rPr>
        <w:t>h）当评价等级判定同时符合上述多种情况时，应采用其中最高的评价等级。</w:t>
      </w:r>
    </w:p>
    <w:p w14:paraId="33A0B089">
      <w:pPr>
        <w:ind w:firstLine="480"/>
        <w:rPr>
          <w:rFonts w:ascii="Times New Roman" w:hAnsi="Times New Roman"/>
          <w:highlight w:val="none"/>
        </w:rPr>
      </w:pPr>
      <w:r>
        <w:rPr>
          <w:rFonts w:ascii="Times New Roman" w:hAnsi="Times New Roman"/>
          <w:highlight w:val="none"/>
        </w:rPr>
        <w:t>符合生态环境分区管控要求且位于原厂界（或永久用地）范围内的污染影响类改扩建项目，位于已批准规划环评的产业园区内且符合规划环评要求、不涉及生态敏感区的污染影响类建设项目，可不确定评价等级，直接进行生态影响简单分析。”</w:t>
      </w:r>
    </w:p>
    <w:p w14:paraId="5F609103">
      <w:pPr>
        <w:ind w:firstLine="480"/>
        <w:rPr>
          <w:rFonts w:ascii="Times New Roman" w:hAnsi="Times New Roman"/>
          <w:highlight w:val="none"/>
        </w:rPr>
      </w:pPr>
      <w:r>
        <w:rPr>
          <w:rFonts w:ascii="Times New Roman" w:hAnsi="Times New Roman"/>
          <w:highlight w:val="none"/>
        </w:rPr>
        <w:t>本项目拟选厂址位于</w:t>
      </w:r>
      <w:r>
        <w:rPr>
          <w:rFonts w:hint="eastAsia" w:ascii="Times New Roman" w:hAnsi="Times New Roman"/>
          <w:highlight w:val="none"/>
          <w:lang w:val="en-US" w:eastAsia="zh-CN"/>
        </w:rPr>
        <w:t>绥芬河市长山路幸福街1号</w:t>
      </w:r>
      <w:r>
        <w:rPr>
          <w:rFonts w:ascii="Times New Roman" w:hAnsi="Times New Roman"/>
          <w:highlight w:val="none"/>
        </w:rPr>
        <w:t>，</w:t>
      </w:r>
      <w:r>
        <w:rPr>
          <w:rFonts w:hint="eastAsia" w:ascii="Times New Roman" w:hAnsi="Times New Roman"/>
          <w:highlight w:val="none"/>
        </w:rPr>
        <w:t>用地性质为公共设施用地</w:t>
      </w:r>
      <w:r>
        <w:rPr>
          <w:rFonts w:ascii="Times New Roman" w:hAnsi="Times New Roman"/>
          <w:highlight w:val="none"/>
        </w:rPr>
        <w:t>，不属于生态敏感区，</w:t>
      </w:r>
      <w:r>
        <w:rPr>
          <w:rFonts w:hint="eastAsia" w:ascii="Times New Roman" w:hAnsi="Times New Roman"/>
          <w:highlight w:val="none"/>
        </w:rPr>
        <w:t>所在区域属于一般区域，</w:t>
      </w:r>
      <w:r>
        <w:rPr>
          <w:rFonts w:hint="eastAsia" w:cs="Times New Roman"/>
          <w:highlight w:val="none"/>
        </w:rPr>
        <w:t>根据《环境影响评价技术导则生态影响》（HJ19-2022）可知，</w:t>
      </w:r>
      <w:r>
        <w:rPr>
          <w:rFonts w:hint="eastAsia"/>
          <w:color w:val="auto"/>
          <w:sz w:val="24"/>
          <w:highlight w:val="none"/>
          <w:lang w:val="en-US" w:eastAsia="zh-CN"/>
        </w:rPr>
        <w:t>占</w:t>
      </w:r>
      <w:r>
        <w:rPr>
          <w:color w:val="auto"/>
          <w:sz w:val="24"/>
          <w:highlight w:val="none"/>
          <w:lang w:val="en-GB"/>
        </w:rPr>
        <w:t>地范围内不涉及</w:t>
      </w:r>
      <w:r>
        <w:rPr>
          <w:rFonts w:hint="eastAsia"/>
          <w:color w:val="auto"/>
          <w:sz w:val="24"/>
          <w:highlight w:val="none"/>
        </w:rPr>
        <w:t>国家公园、自然保护区、世界自然遗产、重要生境、自然公园、生态保护红线</w:t>
      </w:r>
      <w:r>
        <w:rPr>
          <w:color w:val="auto"/>
          <w:sz w:val="24"/>
          <w:highlight w:val="none"/>
          <w:lang w:val="en-GB"/>
        </w:rPr>
        <w:t>，</w:t>
      </w:r>
      <w:r>
        <w:rPr>
          <w:rFonts w:hint="eastAsia"/>
          <w:color w:val="auto"/>
          <w:sz w:val="24"/>
          <w:highlight w:val="none"/>
          <w:lang w:val="en-GB"/>
        </w:rPr>
        <w:t>不属于水文要素影响型且地表水评价等级不低于二级的建设项目，地下水水位或土壤影响范围内分布没有天然林、公益林、湿地等生态保护目标，</w:t>
      </w:r>
      <w:r>
        <w:rPr>
          <w:color w:val="auto"/>
          <w:sz w:val="24"/>
          <w:highlight w:val="none"/>
          <w:lang w:val="en-GB"/>
        </w:rPr>
        <w:t>根据《环境影响评价技术导则 生态影响》（HJ19-20</w:t>
      </w:r>
      <w:r>
        <w:rPr>
          <w:rFonts w:hint="eastAsia"/>
          <w:color w:val="auto"/>
          <w:sz w:val="24"/>
          <w:highlight w:val="none"/>
          <w:lang w:val="en-GB"/>
        </w:rPr>
        <w:t>22</w:t>
      </w:r>
      <w:r>
        <w:rPr>
          <w:color w:val="auto"/>
          <w:sz w:val="24"/>
          <w:highlight w:val="none"/>
          <w:lang w:val="en-GB"/>
        </w:rPr>
        <w:t>）规定，本项目生态影响评价等级为三级。</w:t>
      </w:r>
    </w:p>
    <w:p w14:paraId="5CC87EAA">
      <w:pPr>
        <w:pStyle w:val="7"/>
        <w:ind w:firstLine="480"/>
        <w:rPr>
          <w:rFonts w:ascii="Times New Roman" w:hAnsi="Times New Roman"/>
          <w:highlight w:val="none"/>
        </w:rPr>
      </w:pPr>
      <w:r>
        <w:rPr>
          <w:rFonts w:ascii="Times New Roman" w:hAnsi="Times New Roman"/>
          <w:highlight w:val="none"/>
        </w:rPr>
        <w:t>（2）评价范围</w:t>
      </w:r>
    </w:p>
    <w:p w14:paraId="271E337A">
      <w:pPr>
        <w:rPr>
          <w:rFonts w:hint="eastAsia"/>
          <w:highlight w:val="none"/>
        </w:rPr>
      </w:pPr>
      <w:r>
        <w:rPr>
          <w:rFonts w:hint="eastAsia"/>
          <w:highlight w:val="none"/>
        </w:rPr>
        <w:t>根据评价工作等级，并结合环境技术导则要求及建设项目在施工期、运行期对环境影响的特点，本次评价范围为项目区域范围。</w:t>
      </w:r>
    </w:p>
    <w:p w14:paraId="452F6FE8">
      <w:pPr>
        <w:pStyle w:val="5"/>
        <w:bidi w:val="0"/>
        <w:ind w:left="0" w:leftChars="0" w:firstLine="0" w:firstLineChars="0"/>
        <w:rPr>
          <w:rFonts w:hint="eastAsia"/>
          <w:sz w:val="30"/>
          <w:szCs w:val="30"/>
          <w:highlight w:val="none"/>
          <w:lang w:val="en-US" w:eastAsia="zh-CN"/>
        </w:rPr>
      </w:pPr>
      <w:bookmarkStart w:id="52" w:name="_Toc12755"/>
      <w:r>
        <w:rPr>
          <w:rFonts w:hint="default" w:ascii="Times New Roman" w:hAnsi="Times New Roman" w:cs="Times New Roman"/>
          <w:sz w:val="30"/>
          <w:szCs w:val="30"/>
          <w:highlight w:val="none"/>
          <w:lang w:val="en-US" w:eastAsia="zh-CN"/>
        </w:rPr>
        <w:t>2.4.7</w:t>
      </w:r>
      <w:r>
        <w:rPr>
          <w:rFonts w:hint="eastAsia"/>
          <w:sz w:val="30"/>
          <w:szCs w:val="30"/>
          <w:highlight w:val="none"/>
          <w:lang w:val="en-US" w:eastAsia="zh-CN"/>
        </w:rPr>
        <w:t>环境风险</w:t>
      </w:r>
      <w:bookmarkEnd w:id="52"/>
    </w:p>
    <w:p w14:paraId="743A05CF">
      <w:pPr>
        <w:ind w:firstLine="480"/>
        <w:rPr>
          <w:rFonts w:ascii="Times New Roman" w:hAnsi="Times New Roman"/>
          <w:highlight w:val="none"/>
        </w:rPr>
      </w:pPr>
      <w:r>
        <w:rPr>
          <w:rFonts w:ascii="Times New Roman" w:hAnsi="Times New Roman"/>
          <w:highlight w:val="none"/>
        </w:rPr>
        <w:t>根据《建设项目环境风险评价技术导则》（HJ169-2018）的规定，建设项目环境风险评价工作等级分为一级、二级和三级。根据建设项目涉及的物质及工艺系统危险性和所在地的环境敏感性确定环境风险潜势，按照下表确定评价工作等级。风险潜势为</w:t>
      </w:r>
      <w:r>
        <w:rPr>
          <w:rFonts w:hint="eastAsia" w:ascii="宋体" w:hAnsi="宋体" w:cs="宋体"/>
          <w:highlight w:val="none"/>
        </w:rPr>
        <w:t>Ⅳ</w:t>
      </w:r>
      <w:r>
        <w:rPr>
          <w:rFonts w:ascii="Times New Roman" w:hAnsi="Times New Roman"/>
          <w:highlight w:val="none"/>
        </w:rPr>
        <w:t>及以上，进行一级评价；风险潜势为</w:t>
      </w:r>
      <w:r>
        <w:rPr>
          <w:rFonts w:hint="eastAsia" w:ascii="宋体" w:hAnsi="宋体" w:cs="宋体"/>
          <w:highlight w:val="none"/>
        </w:rPr>
        <w:t>Ⅲ</w:t>
      </w:r>
      <w:r>
        <w:rPr>
          <w:rFonts w:ascii="Times New Roman" w:hAnsi="Times New Roman"/>
          <w:highlight w:val="none"/>
        </w:rPr>
        <w:t>，进行二级评价；风险潜势为</w:t>
      </w:r>
      <w:r>
        <w:rPr>
          <w:rFonts w:hint="eastAsia" w:ascii="宋体" w:hAnsi="宋体" w:cs="宋体"/>
          <w:highlight w:val="none"/>
        </w:rPr>
        <w:t>Ⅱ</w:t>
      </w:r>
      <w:r>
        <w:rPr>
          <w:rFonts w:ascii="Times New Roman" w:hAnsi="Times New Roman"/>
          <w:highlight w:val="none"/>
        </w:rPr>
        <w:t>，进行三级评价；风险潜势为</w:t>
      </w:r>
      <w:r>
        <w:rPr>
          <w:rFonts w:hint="eastAsia" w:ascii="宋体" w:hAnsi="宋体" w:cs="宋体"/>
          <w:highlight w:val="none"/>
        </w:rPr>
        <w:t>Ⅰ</w:t>
      </w:r>
      <w:r>
        <w:rPr>
          <w:rFonts w:ascii="Times New Roman" w:hAnsi="Times New Roman"/>
          <w:highlight w:val="none"/>
        </w:rPr>
        <w:t>，可开展简单分析。</w:t>
      </w:r>
    </w:p>
    <w:p w14:paraId="51C934BB">
      <w:pPr>
        <w:ind w:firstLine="0" w:firstLineChars="0"/>
        <w:jc w:val="center"/>
        <w:rPr>
          <w:rFonts w:hint="eastAsia" w:ascii="黑体" w:hAnsi="黑体" w:eastAsia="黑体" w:cs="黑体"/>
          <w:highlight w:val="none"/>
        </w:rPr>
      </w:pPr>
    </w:p>
    <w:p w14:paraId="27AF798A">
      <w:pPr>
        <w:ind w:firstLine="0" w:firstLineChars="0"/>
        <w:jc w:val="center"/>
        <w:rPr>
          <w:rFonts w:hint="default" w:ascii="Times New Roman" w:hAnsi="Times New Roman" w:cs="Times New Roman"/>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2.4-10</w:t>
      </w:r>
      <w:r>
        <w:rPr>
          <w:rFonts w:hint="eastAsia" w:ascii="黑体" w:hAnsi="黑体" w:eastAsia="黑体" w:cs="黑体"/>
          <w:highlight w:val="none"/>
        </w:rPr>
        <w:t xml:space="preserve"> 建设项目环境风险评价工作等级划分一览表</w:t>
      </w:r>
      <w:r>
        <w:rPr>
          <w:rFonts w:hint="default" w:ascii="Times New Roman" w:hAnsi="Times New Roman" w:eastAsia="黑体" w:cs="Times New Roman"/>
          <w:highlight w:val="none"/>
        </w:rPr>
        <w:t>（HJ169-2018）</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25"/>
        <w:gridCol w:w="1449"/>
        <w:gridCol w:w="1785"/>
        <w:gridCol w:w="2178"/>
        <w:gridCol w:w="1585"/>
      </w:tblGrid>
      <w:tr w14:paraId="34FD5F4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895" w:type="pct"/>
            <w:noWrap w:val="0"/>
            <w:vAlign w:val="center"/>
          </w:tcPr>
          <w:p w14:paraId="3CA82F5C">
            <w:pPr>
              <w:pStyle w:val="27"/>
              <w:rPr>
                <w:rFonts w:ascii="Times New Roman" w:hAnsi="Times New Roman"/>
                <w:highlight w:val="none"/>
              </w:rPr>
            </w:pPr>
            <w:r>
              <w:rPr>
                <w:rFonts w:ascii="Times New Roman" w:hAnsi="Times New Roman"/>
                <w:highlight w:val="none"/>
              </w:rPr>
              <w:t>环境风险潜势</w:t>
            </w:r>
          </w:p>
        </w:tc>
        <w:tc>
          <w:tcPr>
            <w:tcW w:w="850" w:type="pct"/>
            <w:noWrap w:val="0"/>
            <w:vAlign w:val="center"/>
          </w:tcPr>
          <w:p w14:paraId="1EFAFEF1">
            <w:pPr>
              <w:pStyle w:val="27"/>
              <w:rPr>
                <w:rFonts w:ascii="Times New Roman" w:hAnsi="Times New Roman"/>
                <w:highlight w:val="none"/>
              </w:rPr>
            </w:pPr>
            <w:r>
              <w:rPr>
                <w:rFonts w:hint="eastAsia" w:ascii="宋体" w:hAnsi="宋体" w:eastAsia="宋体" w:cs="宋体"/>
                <w:highlight w:val="none"/>
              </w:rPr>
              <w:t>Ⅳ</w:t>
            </w:r>
            <w:r>
              <w:rPr>
                <w:rFonts w:ascii="Times New Roman" w:hAnsi="Times New Roman"/>
                <w:highlight w:val="none"/>
              </w:rPr>
              <w:t>、</w:t>
            </w:r>
            <w:r>
              <w:rPr>
                <w:rFonts w:hint="eastAsia" w:ascii="宋体" w:hAnsi="宋体" w:eastAsia="宋体" w:cs="宋体"/>
                <w:highlight w:val="none"/>
              </w:rPr>
              <w:t>Ⅳ</w:t>
            </w:r>
            <w:r>
              <w:rPr>
                <w:rFonts w:ascii="Times New Roman" w:hAnsi="Times New Roman"/>
                <w:highlight w:val="none"/>
                <w:vertAlign w:val="superscript"/>
              </w:rPr>
              <w:t>+</w:t>
            </w:r>
          </w:p>
        </w:tc>
        <w:tc>
          <w:tcPr>
            <w:tcW w:w="1047" w:type="pct"/>
            <w:noWrap w:val="0"/>
            <w:vAlign w:val="center"/>
          </w:tcPr>
          <w:p w14:paraId="24980EDF">
            <w:pPr>
              <w:pStyle w:val="27"/>
              <w:rPr>
                <w:rFonts w:ascii="Times New Roman" w:hAnsi="Times New Roman"/>
                <w:highlight w:val="none"/>
              </w:rPr>
            </w:pPr>
            <w:r>
              <w:rPr>
                <w:rFonts w:hint="eastAsia" w:ascii="宋体" w:hAnsi="宋体" w:eastAsia="宋体" w:cs="宋体"/>
                <w:highlight w:val="none"/>
              </w:rPr>
              <w:t>Ⅲ</w:t>
            </w:r>
          </w:p>
        </w:tc>
        <w:tc>
          <w:tcPr>
            <w:tcW w:w="1278" w:type="pct"/>
            <w:noWrap w:val="0"/>
            <w:vAlign w:val="center"/>
          </w:tcPr>
          <w:p w14:paraId="705BDBFF">
            <w:pPr>
              <w:pStyle w:val="27"/>
              <w:rPr>
                <w:rFonts w:ascii="Times New Roman" w:hAnsi="Times New Roman"/>
                <w:highlight w:val="none"/>
              </w:rPr>
            </w:pPr>
            <w:r>
              <w:rPr>
                <w:rFonts w:hint="eastAsia" w:ascii="宋体" w:hAnsi="宋体" w:eastAsia="宋体" w:cs="宋体"/>
                <w:highlight w:val="none"/>
              </w:rPr>
              <w:t>Ⅱ</w:t>
            </w:r>
          </w:p>
        </w:tc>
        <w:tc>
          <w:tcPr>
            <w:tcW w:w="930" w:type="pct"/>
            <w:noWrap w:val="0"/>
            <w:vAlign w:val="center"/>
          </w:tcPr>
          <w:p w14:paraId="28686907">
            <w:pPr>
              <w:pStyle w:val="27"/>
              <w:rPr>
                <w:rFonts w:ascii="Times New Roman" w:hAnsi="Times New Roman"/>
                <w:highlight w:val="none"/>
              </w:rPr>
            </w:pPr>
            <w:r>
              <w:rPr>
                <w:rFonts w:hint="eastAsia" w:ascii="宋体" w:hAnsi="宋体" w:eastAsia="宋体" w:cs="宋体"/>
                <w:highlight w:val="none"/>
              </w:rPr>
              <w:t>Ⅰ</w:t>
            </w:r>
          </w:p>
        </w:tc>
      </w:tr>
      <w:tr w14:paraId="0C93A4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895" w:type="pct"/>
            <w:noWrap w:val="0"/>
            <w:vAlign w:val="center"/>
          </w:tcPr>
          <w:p w14:paraId="5C3F7B73">
            <w:pPr>
              <w:pStyle w:val="27"/>
              <w:rPr>
                <w:rFonts w:ascii="Times New Roman" w:hAnsi="Times New Roman"/>
                <w:highlight w:val="none"/>
              </w:rPr>
            </w:pPr>
            <w:r>
              <w:rPr>
                <w:rFonts w:ascii="Times New Roman" w:hAnsi="Times New Roman"/>
                <w:highlight w:val="none"/>
              </w:rPr>
              <w:t>评价工作等级</w:t>
            </w:r>
          </w:p>
        </w:tc>
        <w:tc>
          <w:tcPr>
            <w:tcW w:w="850" w:type="pct"/>
            <w:noWrap w:val="0"/>
            <w:vAlign w:val="center"/>
          </w:tcPr>
          <w:p w14:paraId="0E4EEBC6">
            <w:pPr>
              <w:pStyle w:val="27"/>
              <w:rPr>
                <w:rFonts w:ascii="Times New Roman" w:hAnsi="Times New Roman"/>
                <w:highlight w:val="none"/>
              </w:rPr>
            </w:pPr>
            <w:r>
              <w:rPr>
                <w:rFonts w:ascii="Times New Roman" w:hAnsi="Times New Roman"/>
                <w:highlight w:val="none"/>
              </w:rPr>
              <w:t>一</w:t>
            </w:r>
          </w:p>
        </w:tc>
        <w:tc>
          <w:tcPr>
            <w:tcW w:w="1047" w:type="pct"/>
            <w:noWrap w:val="0"/>
            <w:vAlign w:val="center"/>
          </w:tcPr>
          <w:p w14:paraId="4680F622">
            <w:pPr>
              <w:pStyle w:val="27"/>
              <w:rPr>
                <w:rFonts w:ascii="Times New Roman" w:hAnsi="Times New Roman"/>
                <w:highlight w:val="none"/>
              </w:rPr>
            </w:pPr>
            <w:r>
              <w:rPr>
                <w:rFonts w:ascii="Times New Roman" w:hAnsi="Times New Roman"/>
                <w:highlight w:val="none"/>
              </w:rPr>
              <w:t>二</w:t>
            </w:r>
          </w:p>
        </w:tc>
        <w:tc>
          <w:tcPr>
            <w:tcW w:w="1278" w:type="pct"/>
            <w:noWrap w:val="0"/>
            <w:vAlign w:val="center"/>
          </w:tcPr>
          <w:p w14:paraId="062E1CFD">
            <w:pPr>
              <w:pStyle w:val="27"/>
              <w:rPr>
                <w:rFonts w:ascii="Times New Roman" w:hAnsi="Times New Roman"/>
                <w:highlight w:val="none"/>
              </w:rPr>
            </w:pPr>
            <w:r>
              <w:rPr>
                <w:rFonts w:ascii="Times New Roman" w:hAnsi="Times New Roman"/>
                <w:highlight w:val="none"/>
              </w:rPr>
              <w:t>三</w:t>
            </w:r>
          </w:p>
        </w:tc>
        <w:tc>
          <w:tcPr>
            <w:tcW w:w="930" w:type="pct"/>
            <w:noWrap w:val="0"/>
            <w:vAlign w:val="center"/>
          </w:tcPr>
          <w:p w14:paraId="3517BE11">
            <w:pPr>
              <w:pStyle w:val="27"/>
              <w:rPr>
                <w:rFonts w:ascii="Times New Roman" w:hAnsi="Times New Roman"/>
                <w:highlight w:val="none"/>
                <w:vertAlign w:val="superscript"/>
              </w:rPr>
            </w:pPr>
            <w:r>
              <w:rPr>
                <w:rFonts w:ascii="Times New Roman" w:hAnsi="Times New Roman"/>
                <w:highlight w:val="none"/>
              </w:rPr>
              <w:t>简单分析</w:t>
            </w:r>
            <w:r>
              <w:rPr>
                <w:rFonts w:ascii="Times New Roman" w:hAnsi="Times New Roman"/>
                <w:highlight w:val="none"/>
                <w:vertAlign w:val="superscript"/>
              </w:rPr>
              <w:t>a</w:t>
            </w:r>
          </w:p>
        </w:tc>
      </w:tr>
      <w:tr w14:paraId="0F82A9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48" w:hRule="atLeast"/>
          <w:jc w:val="center"/>
        </w:trPr>
        <w:tc>
          <w:tcPr>
            <w:tcW w:w="5000" w:type="pct"/>
            <w:gridSpan w:val="5"/>
            <w:noWrap w:val="0"/>
            <w:vAlign w:val="center"/>
          </w:tcPr>
          <w:p w14:paraId="04C9EF5C">
            <w:pPr>
              <w:pStyle w:val="27"/>
              <w:jc w:val="both"/>
              <w:rPr>
                <w:rFonts w:ascii="Times New Roman" w:hAnsi="Times New Roman"/>
                <w:highlight w:val="none"/>
              </w:rPr>
            </w:pPr>
            <w:r>
              <w:rPr>
                <w:rFonts w:ascii="Times New Roman" w:hAnsi="Times New Roman"/>
                <w:highlight w:val="none"/>
              </w:rPr>
              <w:t>a：是相对于详细评价工作内容而言，在描述危险物质、环境影响用途、环境危害后果、风险防范措施等方面给出定性的说明。</w:t>
            </w:r>
          </w:p>
        </w:tc>
      </w:tr>
    </w:tbl>
    <w:p w14:paraId="65945A37">
      <w:pPr>
        <w:ind w:firstLine="480"/>
        <w:rPr>
          <w:rFonts w:ascii="Times New Roman" w:hAnsi="Times New Roman"/>
          <w:highlight w:val="none"/>
        </w:rPr>
      </w:pPr>
      <w:r>
        <w:rPr>
          <w:rFonts w:hint="eastAsia" w:cs="Times New Roman"/>
          <w:highlight w:val="none"/>
        </w:rPr>
        <w:t>本项目厂区不设油区及油罐，拟采用油罐车运油，通过点火油泵给燃烧器供油，厂区内不贮存柴油。拟采用油罐车运油，通过点火油泵给燃烧器供油。</w:t>
      </w:r>
    </w:p>
    <w:p w14:paraId="272FE3BF">
      <w:pPr>
        <w:rPr>
          <w:rFonts w:ascii="Times New Roman" w:hAnsi="Times New Roman"/>
          <w:highlight w:val="none"/>
        </w:rPr>
      </w:pPr>
      <w:r>
        <w:rPr>
          <w:rFonts w:ascii="Times New Roman" w:hAnsi="Times New Roman"/>
          <w:highlight w:val="none"/>
        </w:rPr>
        <w:t>因此本项目不涉及危险物质储存，根据《建设项目环境风险评价技术导则》（HJ169-2018）中关于风险评价工作等级划分原则，因此可不开展环境风险评价。</w:t>
      </w:r>
    </w:p>
    <w:p w14:paraId="470AFBEA">
      <w:pPr>
        <w:pStyle w:val="4"/>
        <w:bidi w:val="0"/>
        <w:ind w:left="0" w:leftChars="0" w:firstLine="0" w:firstLineChars="0"/>
        <w:rPr>
          <w:rFonts w:hint="eastAsia"/>
          <w:highlight w:val="none"/>
          <w:lang w:val="en-US" w:eastAsia="zh-CN"/>
        </w:rPr>
      </w:pPr>
      <w:bookmarkStart w:id="53" w:name="_Toc26040"/>
      <w:r>
        <w:rPr>
          <w:rFonts w:hint="default" w:ascii="Times New Roman" w:hAnsi="Times New Roman" w:cs="Times New Roman"/>
          <w:highlight w:val="none"/>
          <w:lang w:val="en-US" w:eastAsia="zh-CN"/>
        </w:rPr>
        <w:t>2.5</w:t>
      </w:r>
      <w:r>
        <w:rPr>
          <w:rFonts w:hint="eastAsia"/>
          <w:highlight w:val="none"/>
          <w:lang w:val="en-US" w:eastAsia="zh-CN"/>
        </w:rPr>
        <w:t>环境保护目标</w:t>
      </w:r>
      <w:bookmarkEnd w:id="53"/>
    </w:p>
    <w:p w14:paraId="49153180">
      <w:pPr>
        <w:ind w:firstLine="480"/>
        <w:rPr>
          <w:rFonts w:hint="eastAsia" w:cs="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s="Times New Roman"/>
          <w:highlight w:val="none"/>
        </w:rPr>
        <w:t>本项目厂址不在国家公园、自然保护区、风景名胜区、世界文化和自然遗产地、海洋特别保护区、饮用水水源保护区；基本农田保护区、基本草原、森林公园、地质公园、重要湿地、天然林、野生动物重要栖息地、重点保护野生植物生长繁殖地、重要水生生物的自然产卵场、索饵场、越冬场和洄游通道、天然渔场、水土流失重点防治区、沙化土地封禁保护区、封闭及半封闭海域；以居住、医疗卫生、文化教育、科研、行政办公等为主要功能的区域，以及文物保护单位范围内。</w:t>
      </w:r>
    </w:p>
    <w:p w14:paraId="319C4785">
      <w:pPr>
        <w:ind w:firstLine="0" w:firstLineChars="0"/>
        <w:jc w:val="center"/>
        <w:rPr>
          <w:rFonts w:hint="eastAsia" w:ascii="黑体" w:hAnsi="黑体" w:eastAsia="黑体" w:cs="黑体"/>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2.</w:t>
      </w:r>
      <w:r>
        <w:rPr>
          <w:rFonts w:hint="eastAsia" w:ascii="Times New Roman" w:hAnsi="Times New Roman" w:eastAsia="黑体" w:cs="Times New Roman"/>
          <w:highlight w:val="none"/>
          <w:lang w:val="en-US" w:eastAsia="zh-CN"/>
        </w:rPr>
        <w:t>5</w:t>
      </w:r>
      <w:r>
        <w:rPr>
          <w:rFonts w:hint="default" w:ascii="Times New Roman" w:hAnsi="Times New Roman" w:eastAsia="黑体" w:cs="Times New Roman"/>
          <w:highlight w:val="none"/>
        </w:rPr>
        <w:t>-1</w:t>
      </w:r>
      <w:r>
        <w:rPr>
          <w:rFonts w:hint="eastAsia" w:ascii="黑体" w:hAnsi="黑体" w:eastAsia="黑体" w:cs="黑体"/>
          <w:highlight w:val="none"/>
        </w:rPr>
        <w:t xml:space="preserve"> 环境保护目标</w:t>
      </w:r>
    </w:p>
    <w:tbl>
      <w:tblPr>
        <w:tblStyle w:val="18"/>
        <w:tblW w:w="4996" w:type="pct"/>
        <w:tblInd w:w="0" w:type="dxa"/>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05"/>
        <w:gridCol w:w="1105"/>
        <w:gridCol w:w="1772"/>
        <w:gridCol w:w="1695"/>
        <w:gridCol w:w="1275"/>
        <w:gridCol w:w="1350"/>
        <w:gridCol w:w="2977"/>
        <w:gridCol w:w="1259"/>
        <w:gridCol w:w="1627"/>
      </w:tblGrid>
      <w:tr w14:paraId="055BF8C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tcBorders>
              <w:tl2br w:val="nil"/>
              <w:tr2bl w:val="nil"/>
            </w:tcBorders>
            <w:vAlign w:val="center"/>
          </w:tcPr>
          <w:p w14:paraId="3A9CDEFE">
            <w:pPr>
              <w:ind w:left="0" w:leftChars="0" w:firstLine="0" w:firstLineChars="0"/>
              <w:jc w:val="center"/>
              <w:rPr>
                <w:sz w:val="21"/>
                <w:szCs w:val="21"/>
                <w:highlight w:val="none"/>
              </w:rPr>
            </w:pPr>
          </w:p>
        </w:tc>
        <w:tc>
          <w:tcPr>
            <w:tcW w:w="390" w:type="pct"/>
            <w:tcBorders>
              <w:tl2br w:val="nil"/>
              <w:tr2bl w:val="nil"/>
            </w:tcBorders>
            <w:vAlign w:val="center"/>
          </w:tcPr>
          <w:p w14:paraId="7EFAE3EF">
            <w:pPr>
              <w:ind w:left="0" w:leftChars="0" w:firstLine="0" w:firstLineChars="0"/>
              <w:jc w:val="center"/>
              <w:rPr>
                <w:sz w:val="21"/>
                <w:szCs w:val="21"/>
                <w:highlight w:val="none"/>
              </w:rPr>
            </w:pPr>
            <w:r>
              <w:rPr>
                <w:rFonts w:hint="eastAsia"/>
                <w:sz w:val="21"/>
                <w:szCs w:val="21"/>
                <w:highlight w:val="none"/>
              </w:rPr>
              <w:t>名称</w:t>
            </w:r>
          </w:p>
        </w:tc>
        <w:tc>
          <w:tcPr>
            <w:tcW w:w="625" w:type="pct"/>
            <w:tcBorders>
              <w:tl2br w:val="nil"/>
              <w:tr2bl w:val="nil"/>
            </w:tcBorders>
            <w:vAlign w:val="center"/>
          </w:tcPr>
          <w:p w14:paraId="4E565A49">
            <w:pPr>
              <w:ind w:left="0" w:leftChars="0" w:firstLine="0" w:firstLineChars="0"/>
              <w:jc w:val="center"/>
              <w:rPr>
                <w:sz w:val="21"/>
                <w:szCs w:val="21"/>
                <w:highlight w:val="none"/>
              </w:rPr>
            </w:pPr>
            <w:r>
              <w:rPr>
                <w:rFonts w:hint="eastAsia"/>
                <w:sz w:val="21"/>
                <w:szCs w:val="21"/>
                <w:highlight w:val="none"/>
              </w:rPr>
              <w:t>经度</w:t>
            </w:r>
          </w:p>
        </w:tc>
        <w:tc>
          <w:tcPr>
            <w:tcW w:w="598" w:type="pct"/>
            <w:tcBorders>
              <w:tl2br w:val="nil"/>
              <w:tr2bl w:val="nil"/>
            </w:tcBorders>
            <w:vAlign w:val="center"/>
          </w:tcPr>
          <w:p w14:paraId="0F097AEA">
            <w:pPr>
              <w:ind w:left="0" w:leftChars="0" w:firstLine="0" w:firstLineChars="0"/>
              <w:jc w:val="center"/>
              <w:rPr>
                <w:sz w:val="21"/>
                <w:szCs w:val="21"/>
                <w:highlight w:val="none"/>
              </w:rPr>
            </w:pPr>
            <w:r>
              <w:rPr>
                <w:rFonts w:hint="eastAsia"/>
                <w:sz w:val="21"/>
                <w:szCs w:val="21"/>
                <w:highlight w:val="none"/>
              </w:rPr>
              <w:t>纬度</w:t>
            </w:r>
          </w:p>
        </w:tc>
        <w:tc>
          <w:tcPr>
            <w:tcW w:w="450" w:type="pct"/>
            <w:tcBorders>
              <w:tl2br w:val="nil"/>
              <w:tr2bl w:val="nil"/>
            </w:tcBorders>
            <w:vAlign w:val="center"/>
          </w:tcPr>
          <w:p w14:paraId="656EABD9">
            <w:pPr>
              <w:ind w:left="0" w:leftChars="0" w:firstLine="0" w:firstLineChars="0"/>
              <w:jc w:val="center"/>
              <w:rPr>
                <w:rFonts w:hint="eastAsia" w:eastAsia="宋体"/>
                <w:sz w:val="21"/>
                <w:szCs w:val="21"/>
                <w:highlight w:val="none"/>
                <w:lang w:eastAsia="zh-CN"/>
              </w:rPr>
            </w:pPr>
            <w:r>
              <w:rPr>
                <w:rFonts w:hint="eastAsia"/>
                <w:sz w:val="21"/>
                <w:szCs w:val="21"/>
                <w:highlight w:val="none"/>
              </w:rPr>
              <w:t>保护</w:t>
            </w:r>
            <w:r>
              <w:rPr>
                <w:rFonts w:hint="eastAsia"/>
                <w:sz w:val="21"/>
                <w:szCs w:val="21"/>
                <w:highlight w:val="none"/>
                <w:lang w:val="en-US" w:eastAsia="zh-CN"/>
              </w:rPr>
              <w:t>对象</w:t>
            </w:r>
          </w:p>
        </w:tc>
        <w:tc>
          <w:tcPr>
            <w:tcW w:w="476" w:type="pct"/>
            <w:tcBorders>
              <w:tl2br w:val="nil"/>
              <w:tr2bl w:val="nil"/>
            </w:tcBorders>
            <w:vAlign w:val="center"/>
          </w:tcPr>
          <w:p w14:paraId="052DDB45">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保护内容</w:t>
            </w:r>
          </w:p>
        </w:tc>
        <w:tc>
          <w:tcPr>
            <w:tcW w:w="1050" w:type="pct"/>
            <w:tcBorders>
              <w:tl2br w:val="nil"/>
              <w:tr2bl w:val="nil"/>
            </w:tcBorders>
            <w:vAlign w:val="center"/>
          </w:tcPr>
          <w:p w14:paraId="55F8D3C3">
            <w:pPr>
              <w:ind w:left="0" w:leftChars="0" w:firstLine="0" w:firstLineChars="0"/>
              <w:jc w:val="center"/>
              <w:rPr>
                <w:sz w:val="21"/>
                <w:szCs w:val="21"/>
                <w:highlight w:val="none"/>
              </w:rPr>
            </w:pPr>
            <w:r>
              <w:rPr>
                <w:rFonts w:hint="eastAsia"/>
                <w:sz w:val="21"/>
                <w:szCs w:val="21"/>
                <w:highlight w:val="none"/>
              </w:rPr>
              <w:t>环境功能区</w:t>
            </w:r>
          </w:p>
        </w:tc>
        <w:tc>
          <w:tcPr>
            <w:tcW w:w="444" w:type="pct"/>
            <w:tcBorders>
              <w:tl2br w:val="nil"/>
              <w:tr2bl w:val="nil"/>
            </w:tcBorders>
            <w:vAlign w:val="center"/>
          </w:tcPr>
          <w:p w14:paraId="306838EA">
            <w:pPr>
              <w:ind w:left="0" w:leftChars="0" w:firstLine="0" w:firstLineChars="0"/>
              <w:jc w:val="center"/>
              <w:rPr>
                <w:sz w:val="21"/>
                <w:szCs w:val="21"/>
                <w:highlight w:val="none"/>
              </w:rPr>
            </w:pPr>
            <w:r>
              <w:rPr>
                <w:rFonts w:hint="eastAsia"/>
                <w:sz w:val="21"/>
                <w:szCs w:val="21"/>
                <w:highlight w:val="none"/>
              </w:rPr>
              <w:t>相对厂址方位</w:t>
            </w:r>
          </w:p>
        </w:tc>
        <w:tc>
          <w:tcPr>
            <w:tcW w:w="574" w:type="pct"/>
            <w:tcBorders>
              <w:tl2br w:val="nil"/>
              <w:tr2bl w:val="nil"/>
            </w:tcBorders>
            <w:vAlign w:val="center"/>
          </w:tcPr>
          <w:p w14:paraId="4F6D6396">
            <w:pPr>
              <w:ind w:left="0" w:leftChars="0" w:firstLine="0" w:firstLineChars="0"/>
              <w:jc w:val="center"/>
              <w:rPr>
                <w:sz w:val="21"/>
                <w:szCs w:val="21"/>
                <w:highlight w:val="none"/>
              </w:rPr>
            </w:pPr>
            <w:r>
              <w:rPr>
                <w:rFonts w:hint="eastAsia"/>
                <w:sz w:val="21"/>
                <w:szCs w:val="21"/>
                <w:highlight w:val="none"/>
              </w:rPr>
              <w:t>相对厂界距离</w:t>
            </w:r>
          </w:p>
        </w:tc>
      </w:tr>
      <w:tr w14:paraId="63A4C21A">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90" w:type="pct"/>
            <w:vMerge w:val="restart"/>
            <w:tcBorders>
              <w:tl2br w:val="nil"/>
              <w:tr2bl w:val="nil"/>
            </w:tcBorders>
            <w:vAlign w:val="center"/>
          </w:tcPr>
          <w:p w14:paraId="1B754E82">
            <w:pPr>
              <w:ind w:left="0" w:leftChars="0" w:firstLine="0" w:firstLineChars="0"/>
              <w:jc w:val="center"/>
              <w:rPr>
                <w:sz w:val="21"/>
                <w:szCs w:val="21"/>
                <w:highlight w:val="none"/>
              </w:rPr>
            </w:pPr>
            <w:r>
              <w:rPr>
                <w:rFonts w:hint="eastAsia"/>
                <w:sz w:val="21"/>
                <w:szCs w:val="21"/>
                <w:highlight w:val="none"/>
              </w:rPr>
              <w:t>环境空气</w:t>
            </w:r>
          </w:p>
        </w:tc>
        <w:tc>
          <w:tcPr>
            <w:tcW w:w="390" w:type="pct"/>
            <w:tcBorders>
              <w:tl2br w:val="nil"/>
              <w:tr2bl w:val="nil"/>
            </w:tcBorders>
            <w:vAlign w:val="center"/>
          </w:tcPr>
          <w:p w14:paraId="1BA1AF06">
            <w:pPr>
              <w:pStyle w:val="32"/>
              <w:widowControl w:val="0"/>
              <w:adjustRightInd w:val="0"/>
              <w:snapToGrid w:val="0"/>
              <w:jc w:val="center"/>
              <w:rPr>
                <w:rFonts w:hint="default" w:eastAsia="宋体"/>
                <w:sz w:val="21"/>
                <w:szCs w:val="21"/>
                <w:highlight w:val="none"/>
                <w:lang w:val="en-US" w:eastAsia="zh-CN"/>
              </w:rPr>
            </w:pPr>
            <w:r>
              <w:rPr>
                <w:rFonts w:hint="eastAsia" w:ascii="Times New Roman" w:hAnsi="Times New Roman"/>
                <w:sz w:val="21"/>
                <w:szCs w:val="21"/>
                <w:highlight w:val="none"/>
                <w:lang w:val="en-US" w:eastAsia="zh-CN"/>
              </w:rPr>
              <w:t>绥芬河市政府</w:t>
            </w:r>
          </w:p>
        </w:tc>
        <w:tc>
          <w:tcPr>
            <w:tcW w:w="625" w:type="pct"/>
            <w:tcBorders>
              <w:tl2br w:val="nil"/>
              <w:tr2bl w:val="nil"/>
            </w:tcBorders>
            <w:vAlign w:val="center"/>
          </w:tcPr>
          <w:p w14:paraId="73AE80E1">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131.144357</w:t>
            </w:r>
          </w:p>
        </w:tc>
        <w:tc>
          <w:tcPr>
            <w:tcW w:w="598" w:type="pct"/>
            <w:tcBorders>
              <w:tl2br w:val="nil"/>
              <w:tr2bl w:val="nil"/>
            </w:tcBorders>
            <w:vAlign w:val="center"/>
          </w:tcPr>
          <w:p w14:paraId="018D8C24">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44.410102</w:t>
            </w:r>
          </w:p>
        </w:tc>
        <w:tc>
          <w:tcPr>
            <w:tcW w:w="450" w:type="pct"/>
            <w:vMerge w:val="restart"/>
            <w:tcBorders>
              <w:tl2br w:val="nil"/>
              <w:tr2bl w:val="nil"/>
            </w:tcBorders>
            <w:vAlign w:val="center"/>
          </w:tcPr>
          <w:p w14:paraId="7FB89CD1">
            <w:pPr>
              <w:ind w:left="0" w:leftChars="0" w:firstLine="0" w:firstLineChars="0"/>
              <w:jc w:val="center"/>
              <w:rPr>
                <w:rFonts w:hint="eastAsia" w:eastAsia="宋体"/>
                <w:sz w:val="21"/>
                <w:szCs w:val="21"/>
                <w:highlight w:val="none"/>
                <w:lang w:eastAsia="zh-CN"/>
              </w:rPr>
            </w:pPr>
            <w:r>
              <w:rPr>
                <w:rFonts w:hint="eastAsia"/>
                <w:sz w:val="21"/>
                <w:szCs w:val="21"/>
                <w:highlight w:val="none"/>
                <w:lang w:val="en-US" w:eastAsia="zh-CN"/>
              </w:rPr>
              <w:t>行政区</w:t>
            </w:r>
          </w:p>
        </w:tc>
        <w:tc>
          <w:tcPr>
            <w:tcW w:w="476" w:type="pct"/>
            <w:vMerge w:val="restart"/>
            <w:tcBorders>
              <w:tl2br w:val="nil"/>
              <w:tr2bl w:val="nil"/>
            </w:tcBorders>
            <w:vAlign w:val="center"/>
          </w:tcPr>
          <w:p w14:paraId="3EE2BA3F">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人群</w:t>
            </w:r>
          </w:p>
        </w:tc>
        <w:tc>
          <w:tcPr>
            <w:tcW w:w="1050" w:type="pct"/>
            <w:vMerge w:val="restart"/>
            <w:tcBorders>
              <w:tl2br w:val="nil"/>
              <w:tr2bl w:val="nil"/>
            </w:tcBorders>
            <w:vAlign w:val="center"/>
          </w:tcPr>
          <w:p w14:paraId="524957B1">
            <w:pPr>
              <w:ind w:left="0" w:leftChars="0" w:firstLine="0" w:firstLineChars="0"/>
              <w:jc w:val="center"/>
              <w:rPr>
                <w:sz w:val="21"/>
                <w:szCs w:val="21"/>
                <w:highlight w:val="none"/>
              </w:rPr>
            </w:pPr>
            <w:r>
              <w:rPr>
                <w:rFonts w:hint="eastAsia"/>
                <w:sz w:val="21"/>
                <w:szCs w:val="21"/>
                <w:highlight w:val="none"/>
              </w:rPr>
              <w:t>二类区</w:t>
            </w:r>
          </w:p>
        </w:tc>
        <w:tc>
          <w:tcPr>
            <w:tcW w:w="444" w:type="pct"/>
            <w:tcBorders>
              <w:tl2br w:val="nil"/>
              <w:tr2bl w:val="nil"/>
            </w:tcBorders>
            <w:vAlign w:val="center"/>
          </w:tcPr>
          <w:p w14:paraId="17EAF4CE">
            <w:pPr>
              <w:ind w:left="0" w:leftChars="0" w:firstLine="0" w:firstLineChars="0"/>
              <w:jc w:val="center"/>
              <w:rPr>
                <w:rFonts w:hint="eastAsia" w:eastAsia="宋体"/>
                <w:sz w:val="21"/>
                <w:szCs w:val="21"/>
                <w:highlight w:val="none"/>
                <w:lang w:eastAsia="zh-CN"/>
              </w:rPr>
            </w:pPr>
            <w:r>
              <w:rPr>
                <w:rFonts w:hint="eastAsia"/>
                <w:sz w:val="21"/>
                <w:szCs w:val="21"/>
                <w:highlight w:val="none"/>
                <w:lang w:val="en-US" w:eastAsia="zh-CN"/>
              </w:rPr>
              <w:t>W</w:t>
            </w:r>
          </w:p>
        </w:tc>
        <w:tc>
          <w:tcPr>
            <w:tcW w:w="574" w:type="pct"/>
            <w:tcBorders>
              <w:tl2br w:val="nil"/>
              <w:tr2bl w:val="nil"/>
            </w:tcBorders>
            <w:vAlign w:val="center"/>
          </w:tcPr>
          <w:p w14:paraId="49127B59">
            <w:pPr>
              <w:ind w:left="0" w:leftChars="0" w:firstLine="0" w:firstLineChars="0"/>
              <w:jc w:val="center"/>
              <w:rPr>
                <w:sz w:val="21"/>
                <w:szCs w:val="21"/>
                <w:highlight w:val="none"/>
              </w:rPr>
            </w:pPr>
            <w:r>
              <w:rPr>
                <w:rFonts w:hint="eastAsia"/>
                <w:sz w:val="21"/>
                <w:szCs w:val="21"/>
                <w:highlight w:val="none"/>
                <w:lang w:val="en-US" w:eastAsia="zh-CN"/>
              </w:rPr>
              <w:t>210</w:t>
            </w:r>
            <w:r>
              <w:rPr>
                <w:rFonts w:hint="eastAsia"/>
                <w:sz w:val="21"/>
                <w:szCs w:val="21"/>
                <w:highlight w:val="none"/>
              </w:rPr>
              <w:t>m</w:t>
            </w:r>
          </w:p>
        </w:tc>
      </w:tr>
      <w:tr w14:paraId="487D04C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7F0DB39">
            <w:pPr>
              <w:jc w:val="center"/>
              <w:rPr>
                <w:sz w:val="21"/>
                <w:szCs w:val="21"/>
                <w:highlight w:val="none"/>
              </w:rPr>
            </w:pPr>
          </w:p>
        </w:tc>
        <w:tc>
          <w:tcPr>
            <w:tcW w:w="390" w:type="pct"/>
            <w:tcBorders>
              <w:tl2br w:val="nil"/>
              <w:tr2bl w:val="nil"/>
            </w:tcBorders>
            <w:vAlign w:val="center"/>
          </w:tcPr>
          <w:p w14:paraId="26A23CD0">
            <w:pPr>
              <w:pStyle w:val="32"/>
              <w:widowControl w:val="0"/>
              <w:adjustRightInd w:val="0"/>
              <w:snapToGrid w:val="0"/>
              <w:jc w:val="center"/>
              <w:rPr>
                <w:rFonts w:hint="default" w:eastAsia="宋体"/>
                <w:sz w:val="21"/>
                <w:szCs w:val="21"/>
                <w:highlight w:val="none"/>
                <w:lang w:val="en-US" w:eastAsia="zh-CN"/>
              </w:rPr>
            </w:pPr>
            <w:r>
              <w:rPr>
                <w:rFonts w:hint="eastAsia" w:ascii="Times New Roman" w:hAnsi="Times New Roman"/>
                <w:sz w:val="21"/>
                <w:szCs w:val="21"/>
                <w:highlight w:val="none"/>
                <w:lang w:val="en-US" w:eastAsia="zh-CN"/>
              </w:rPr>
              <w:t>绥芬河市人大</w:t>
            </w:r>
          </w:p>
        </w:tc>
        <w:tc>
          <w:tcPr>
            <w:tcW w:w="625" w:type="pct"/>
            <w:tcBorders>
              <w:tl2br w:val="nil"/>
              <w:tr2bl w:val="nil"/>
            </w:tcBorders>
            <w:vAlign w:val="center"/>
          </w:tcPr>
          <w:p w14:paraId="4EE7C0E1">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131.145290</w:t>
            </w:r>
          </w:p>
        </w:tc>
        <w:tc>
          <w:tcPr>
            <w:tcW w:w="598" w:type="pct"/>
            <w:tcBorders>
              <w:tl2br w:val="nil"/>
              <w:tr2bl w:val="nil"/>
            </w:tcBorders>
            <w:vAlign w:val="center"/>
          </w:tcPr>
          <w:p w14:paraId="0FCE8682">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44.409091</w:t>
            </w:r>
          </w:p>
        </w:tc>
        <w:tc>
          <w:tcPr>
            <w:tcW w:w="450" w:type="pct"/>
            <w:vMerge w:val="continue"/>
            <w:tcBorders>
              <w:tl2br w:val="nil"/>
              <w:tr2bl w:val="nil"/>
            </w:tcBorders>
            <w:vAlign w:val="center"/>
          </w:tcPr>
          <w:p w14:paraId="7CBD32DB">
            <w:pPr>
              <w:jc w:val="center"/>
              <w:rPr>
                <w:sz w:val="21"/>
                <w:szCs w:val="21"/>
                <w:highlight w:val="none"/>
              </w:rPr>
            </w:pPr>
          </w:p>
        </w:tc>
        <w:tc>
          <w:tcPr>
            <w:tcW w:w="476" w:type="pct"/>
            <w:vMerge w:val="continue"/>
            <w:tcBorders>
              <w:tl2br w:val="nil"/>
              <w:tr2bl w:val="nil"/>
            </w:tcBorders>
            <w:vAlign w:val="center"/>
          </w:tcPr>
          <w:p w14:paraId="08D9C3EF">
            <w:pPr>
              <w:jc w:val="center"/>
              <w:rPr>
                <w:sz w:val="21"/>
                <w:szCs w:val="21"/>
                <w:highlight w:val="none"/>
              </w:rPr>
            </w:pPr>
          </w:p>
        </w:tc>
        <w:tc>
          <w:tcPr>
            <w:tcW w:w="1050" w:type="pct"/>
            <w:vMerge w:val="continue"/>
            <w:tcBorders>
              <w:tl2br w:val="nil"/>
              <w:tr2bl w:val="nil"/>
            </w:tcBorders>
            <w:vAlign w:val="center"/>
          </w:tcPr>
          <w:p w14:paraId="67A4913C">
            <w:pPr>
              <w:jc w:val="center"/>
              <w:rPr>
                <w:sz w:val="21"/>
                <w:szCs w:val="21"/>
                <w:highlight w:val="none"/>
              </w:rPr>
            </w:pPr>
          </w:p>
        </w:tc>
        <w:tc>
          <w:tcPr>
            <w:tcW w:w="444" w:type="pct"/>
            <w:tcBorders>
              <w:tl2br w:val="nil"/>
              <w:tr2bl w:val="nil"/>
            </w:tcBorders>
            <w:vAlign w:val="center"/>
          </w:tcPr>
          <w:p w14:paraId="0B2C026C">
            <w:pPr>
              <w:ind w:left="0" w:leftChars="0" w:firstLine="0" w:firstLineChars="0"/>
              <w:jc w:val="center"/>
              <w:rPr>
                <w:sz w:val="21"/>
                <w:szCs w:val="21"/>
                <w:highlight w:val="none"/>
              </w:rPr>
            </w:pPr>
            <w:r>
              <w:rPr>
                <w:rFonts w:hint="eastAsia"/>
                <w:sz w:val="21"/>
                <w:szCs w:val="21"/>
                <w:highlight w:val="none"/>
              </w:rPr>
              <w:t>W</w:t>
            </w:r>
          </w:p>
        </w:tc>
        <w:tc>
          <w:tcPr>
            <w:tcW w:w="574" w:type="pct"/>
            <w:tcBorders>
              <w:tl2br w:val="nil"/>
              <w:tr2bl w:val="nil"/>
            </w:tcBorders>
            <w:vAlign w:val="center"/>
          </w:tcPr>
          <w:p w14:paraId="2B28121E">
            <w:pPr>
              <w:ind w:left="0" w:leftChars="0" w:firstLine="0" w:firstLineChars="0"/>
              <w:jc w:val="center"/>
              <w:rPr>
                <w:sz w:val="21"/>
                <w:szCs w:val="21"/>
                <w:highlight w:val="none"/>
              </w:rPr>
            </w:pPr>
            <w:r>
              <w:rPr>
                <w:rFonts w:hint="eastAsia"/>
                <w:sz w:val="21"/>
                <w:szCs w:val="21"/>
                <w:highlight w:val="none"/>
                <w:lang w:val="en-US" w:eastAsia="zh-CN"/>
              </w:rPr>
              <w:t>150</w:t>
            </w:r>
            <w:r>
              <w:rPr>
                <w:rFonts w:hint="eastAsia"/>
                <w:sz w:val="21"/>
                <w:szCs w:val="21"/>
                <w:highlight w:val="none"/>
              </w:rPr>
              <w:t>m</w:t>
            </w:r>
          </w:p>
        </w:tc>
      </w:tr>
      <w:tr w14:paraId="76A2344A">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DA79DD8">
            <w:pPr>
              <w:jc w:val="center"/>
              <w:rPr>
                <w:sz w:val="21"/>
                <w:szCs w:val="21"/>
                <w:highlight w:val="none"/>
              </w:rPr>
            </w:pPr>
          </w:p>
        </w:tc>
        <w:tc>
          <w:tcPr>
            <w:tcW w:w="390" w:type="pct"/>
            <w:tcBorders>
              <w:tl2br w:val="nil"/>
              <w:tr2bl w:val="nil"/>
            </w:tcBorders>
            <w:vAlign w:val="center"/>
          </w:tcPr>
          <w:p w14:paraId="3794DD87">
            <w:pPr>
              <w:pStyle w:val="32"/>
              <w:widowControl w:val="0"/>
              <w:adjustRightInd w:val="0"/>
              <w:snapToGrid w:val="0"/>
              <w:jc w:val="center"/>
              <w:rPr>
                <w:rFonts w:hint="default" w:eastAsia="宋体"/>
                <w:sz w:val="21"/>
                <w:szCs w:val="21"/>
                <w:highlight w:val="none"/>
                <w:lang w:val="en-US" w:eastAsia="zh-CN"/>
              </w:rPr>
            </w:pPr>
            <w:r>
              <w:rPr>
                <w:rFonts w:hint="eastAsia" w:ascii="Times New Roman" w:hAnsi="Times New Roman"/>
                <w:sz w:val="21"/>
                <w:szCs w:val="21"/>
                <w:highlight w:val="none"/>
                <w:lang w:val="en-US" w:eastAsia="zh-CN"/>
              </w:rPr>
              <w:t>绥芬河市住房公积金中心</w:t>
            </w:r>
          </w:p>
        </w:tc>
        <w:tc>
          <w:tcPr>
            <w:tcW w:w="625" w:type="pct"/>
            <w:tcBorders>
              <w:tl2br w:val="nil"/>
              <w:tr2bl w:val="nil"/>
            </w:tcBorders>
            <w:vAlign w:val="center"/>
          </w:tcPr>
          <w:p w14:paraId="6E9422A4">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131.142372</w:t>
            </w:r>
          </w:p>
        </w:tc>
        <w:tc>
          <w:tcPr>
            <w:tcW w:w="598" w:type="pct"/>
            <w:tcBorders>
              <w:tl2br w:val="nil"/>
              <w:tr2bl w:val="nil"/>
            </w:tcBorders>
            <w:vAlign w:val="center"/>
          </w:tcPr>
          <w:p w14:paraId="6D1F7B6F">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44.409727</w:t>
            </w:r>
          </w:p>
        </w:tc>
        <w:tc>
          <w:tcPr>
            <w:tcW w:w="450" w:type="pct"/>
            <w:vMerge w:val="continue"/>
            <w:tcBorders>
              <w:tl2br w:val="nil"/>
              <w:tr2bl w:val="nil"/>
            </w:tcBorders>
            <w:vAlign w:val="center"/>
          </w:tcPr>
          <w:p w14:paraId="102DCFB4">
            <w:pPr>
              <w:jc w:val="center"/>
              <w:rPr>
                <w:sz w:val="21"/>
                <w:szCs w:val="21"/>
                <w:highlight w:val="none"/>
              </w:rPr>
            </w:pPr>
          </w:p>
        </w:tc>
        <w:tc>
          <w:tcPr>
            <w:tcW w:w="476" w:type="pct"/>
            <w:vMerge w:val="continue"/>
            <w:tcBorders>
              <w:tl2br w:val="nil"/>
              <w:tr2bl w:val="nil"/>
            </w:tcBorders>
            <w:vAlign w:val="center"/>
          </w:tcPr>
          <w:p w14:paraId="5FE2F023">
            <w:pPr>
              <w:jc w:val="center"/>
              <w:rPr>
                <w:sz w:val="21"/>
                <w:szCs w:val="21"/>
                <w:highlight w:val="none"/>
              </w:rPr>
            </w:pPr>
          </w:p>
        </w:tc>
        <w:tc>
          <w:tcPr>
            <w:tcW w:w="1050" w:type="pct"/>
            <w:vMerge w:val="continue"/>
            <w:tcBorders>
              <w:tl2br w:val="nil"/>
              <w:tr2bl w:val="nil"/>
            </w:tcBorders>
            <w:vAlign w:val="center"/>
          </w:tcPr>
          <w:p w14:paraId="27C43DA0">
            <w:pPr>
              <w:jc w:val="center"/>
              <w:rPr>
                <w:sz w:val="21"/>
                <w:szCs w:val="21"/>
                <w:highlight w:val="none"/>
              </w:rPr>
            </w:pPr>
          </w:p>
        </w:tc>
        <w:tc>
          <w:tcPr>
            <w:tcW w:w="444" w:type="pct"/>
            <w:tcBorders>
              <w:tl2br w:val="nil"/>
              <w:tr2bl w:val="nil"/>
            </w:tcBorders>
            <w:vAlign w:val="center"/>
          </w:tcPr>
          <w:p w14:paraId="1C7255BB">
            <w:pPr>
              <w:ind w:left="0" w:leftChars="0" w:firstLine="0" w:firstLineChars="0"/>
              <w:jc w:val="center"/>
              <w:rPr>
                <w:sz w:val="21"/>
                <w:szCs w:val="21"/>
                <w:highlight w:val="none"/>
              </w:rPr>
            </w:pPr>
            <w:r>
              <w:rPr>
                <w:rFonts w:hint="eastAsia"/>
                <w:sz w:val="21"/>
                <w:szCs w:val="21"/>
                <w:highlight w:val="none"/>
              </w:rPr>
              <w:t>W</w:t>
            </w:r>
          </w:p>
        </w:tc>
        <w:tc>
          <w:tcPr>
            <w:tcW w:w="574" w:type="pct"/>
            <w:tcBorders>
              <w:tl2br w:val="nil"/>
              <w:tr2bl w:val="nil"/>
            </w:tcBorders>
            <w:vAlign w:val="center"/>
          </w:tcPr>
          <w:p w14:paraId="278A9BD7">
            <w:pPr>
              <w:ind w:left="0" w:leftChars="0" w:firstLine="0" w:firstLineChars="0"/>
              <w:jc w:val="center"/>
              <w:rPr>
                <w:sz w:val="21"/>
                <w:szCs w:val="21"/>
                <w:highlight w:val="none"/>
              </w:rPr>
            </w:pPr>
            <w:r>
              <w:rPr>
                <w:rFonts w:hint="eastAsia"/>
                <w:sz w:val="21"/>
                <w:szCs w:val="21"/>
                <w:highlight w:val="none"/>
                <w:lang w:val="en-US" w:eastAsia="zh-CN"/>
              </w:rPr>
              <w:t>350</w:t>
            </w:r>
            <w:r>
              <w:rPr>
                <w:rFonts w:hint="eastAsia"/>
                <w:sz w:val="21"/>
                <w:szCs w:val="21"/>
                <w:highlight w:val="none"/>
              </w:rPr>
              <w:t>m</w:t>
            </w:r>
          </w:p>
        </w:tc>
      </w:tr>
      <w:tr w14:paraId="70534AF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E88F76B">
            <w:pPr>
              <w:jc w:val="center"/>
              <w:rPr>
                <w:sz w:val="21"/>
                <w:szCs w:val="21"/>
                <w:highlight w:val="none"/>
              </w:rPr>
            </w:pPr>
          </w:p>
        </w:tc>
        <w:tc>
          <w:tcPr>
            <w:tcW w:w="390" w:type="pct"/>
            <w:tcBorders>
              <w:tl2br w:val="nil"/>
              <w:tr2bl w:val="nil"/>
            </w:tcBorders>
            <w:vAlign w:val="center"/>
          </w:tcPr>
          <w:p w14:paraId="437189EE">
            <w:pPr>
              <w:pStyle w:val="32"/>
              <w:widowControl w:val="0"/>
              <w:adjustRightInd w:val="0"/>
              <w:snapToGrid w:val="0"/>
              <w:jc w:val="center"/>
              <w:rPr>
                <w:rFonts w:hint="default" w:eastAsia="宋体"/>
                <w:sz w:val="21"/>
                <w:szCs w:val="21"/>
                <w:highlight w:val="none"/>
                <w:lang w:val="en-US" w:eastAsia="zh-CN"/>
              </w:rPr>
            </w:pPr>
            <w:r>
              <w:rPr>
                <w:rFonts w:hint="eastAsia" w:ascii="Times New Roman" w:hAnsi="Times New Roman"/>
                <w:sz w:val="21"/>
                <w:szCs w:val="21"/>
                <w:highlight w:val="none"/>
                <w:lang w:val="en-US" w:eastAsia="zh-CN"/>
              </w:rPr>
              <w:t>绥芬河市应急管理局</w:t>
            </w:r>
          </w:p>
        </w:tc>
        <w:tc>
          <w:tcPr>
            <w:tcW w:w="625" w:type="pct"/>
            <w:tcBorders>
              <w:tl2br w:val="nil"/>
              <w:tr2bl w:val="nil"/>
            </w:tcBorders>
            <w:vAlign w:val="center"/>
          </w:tcPr>
          <w:p w14:paraId="187588ED">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131.141438</w:t>
            </w:r>
          </w:p>
        </w:tc>
        <w:tc>
          <w:tcPr>
            <w:tcW w:w="598" w:type="pct"/>
            <w:tcBorders>
              <w:tl2br w:val="nil"/>
              <w:tr2bl w:val="nil"/>
            </w:tcBorders>
            <w:vAlign w:val="center"/>
          </w:tcPr>
          <w:p w14:paraId="7921FEC1">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44.410555</w:t>
            </w:r>
          </w:p>
        </w:tc>
        <w:tc>
          <w:tcPr>
            <w:tcW w:w="450" w:type="pct"/>
            <w:vMerge w:val="continue"/>
            <w:tcBorders>
              <w:tl2br w:val="nil"/>
              <w:tr2bl w:val="nil"/>
            </w:tcBorders>
            <w:vAlign w:val="center"/>
          </w:tcPr>
          <w:p w14:paraId="19EAD357">
            <w:pPr>
              <w:jc w:val="center"/>
              <w:rPr>
                <w:sz w:val="21"/>
                <w:szCs w:val="21"/>
                <w:highlight w:val="none"/>
              </w:rPr>
            </w:pPr>
          </w:p>
        </w:tc>
        <w:tc>
          <w:tcPr>
            <w:tcW w:w="476" w:type="pct"/>
            <w:vMerge w:val="continue"/>
            <w:tcBorders>
              <w:tl2br w:val="nil"/>
              <w:tr2bl w:val="nil"/>
            </w:tcBorders>
            <w:vAlign w:val="center"/>
          </w:tcPr>
          <w:p w14:paraId="13B786F7">
            <w:pPr>
              <w:jc w:val="center"/>
              <w:rPr>
                <w:sz w:val="21"/>
                <w:szCs w:val="21"/>
                <w:highlight w:val="none"/>
              </w:rPr>
            </w:pPr>
          </w:p>
        </w:tc>
        <w:tc>
          <w:tcPr>
            <w:tcW w:w="1050" w:type="pct"/>
            <w:vMerge w:val="continue"/>
            <w:tcBorders>
              <w:tl2br w:val="nil"/>
              <w:tr2bl w:val="nil"/>
            </w:tcBorders>
            <w:vAlign w:val="center"/>
          </w:tcPr>
          <w:p w14:paraId="36291053">
            <w:pPr>
              <w:jc w:val="center"/>
              <w:rPr>
                <w:sz w:val="21"/>
                <w:szCs w:val="21"/>
                <w:highlight w:val="none"/>
              </w:rPr>
            </w:pPr>
          </w:p>
        </w:tc>
        <w:tc>
          <w:tcPr>
            <w:tcW w:w="444" w:type="pct"/>
            <w:tcBorders>
              <w:tl2br w:val="nil"/>
              <w:tr2bl w:val="nil"/>
            </w:tcBorders>
            <w:vAlign w:val="center"/>
          </w:tcPr>
          <w:p w14:paraId="740E84E7">
            <w:pPr>
              <w:ind w:left="0" w:leftChars="0" w:firstLine="0" w:firstLineChars="0"/>
              <w:jc w:val="center"/>
              <w:rPr>
                <w:sz w:val="21"/>
                <w:szCs w:val="21"/>
                <w:highlight w:val="none"/>
              </w:rPr>
            </w:pPr>
            <w:r>
              <w:rPr>
                <w:rFonts w:hint="eastAsia"/>
                <w:sz w:val="21"/>
                <w:szCs w:val="21"/>
                <w:highlight w:val="none"/>
              </w:rPr>
              <w:t>NW</w:t>
            </w:r>
          </w:p>
        </w:tc>
        <w:tc>
          <w:tcPr>
            <w:tcW w:w="574" w:type="pct"/>
            <w:tcBorders>
              <w:tl2br w:val="nil"/>
              <w:tr2bl w:val="nil"/>
            </w:tcBorders>
            <w:vAlign w:val="center"/>
          </w:tcPr>
          <w:p w14:paraId="3A4DBD71">
            <w:pPr>
              <w:ind w:left="0" w:leftChars="0" w:firstLine="0" w:firstLineChars="0"/>
              <w:jc w:val="center"/>
              <w:rPr>
                <w:sz w:val="21"/>
                <w:szCs w:val="21"/>
                <w:highlight w:val="none"/>
              </w:rPr>
            </w:pPr>
            <w:r>
              <w:rPr>
                <w:rFonts w:hint="eastAsia"/>
                <w:sz w:val="21"/>
                <w:szCs w:val="21"/>
                <w:highlight w:val="none"/>
                <w:lang w:val="en-US" w:eastAsia="zh-CN"/>
              </w:rPr>
              <w:t>500</w:t>
            </w:r>
            <w:r>
              <w:rPr>
                <w:rFonts w:hint="eastAsia"/>
                <w:sz w:val="21"/>
                <w:szCs w:val="21"/>
                <w:highlight w:val="none"/>
              </w:rPr>
              <w:t>m</w:t>
            </w:r>
          </w:p>
        </w:tc>
      </w:tr>
      <w:tr w14:paraId="236128CD">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A2AD3C9">
            <w:pPr>
              <w:jc w:val="center"/>
              <w:rPr>
                <w:sz w:val="21"/>
                <w:szCs w:val="21"/>
                <w:highlight w:val="none"/>
              </w:rPr>
            </w:pPr>
          </w:p>
        </w:tc>
        <w:tc>
          <w:tcPr>
            <w:tcW w:w="390" w:type="pct"/>
            <w:tcBorders>
              <w:tl2br w:val="nil"/>
              <w:tr2bl w:val="nil"/>
            </w:tcBorders>
            <w:vAlign w:val="center"/>
          </w:tcPr>
          <w:p w14:paraId="69DE1FD1">
            <w:pPr>
              <w:pStyle w:val="32"/>
              <w:widowControl w:val="0"/>
              <w:adjustRightInd w:val="0"/>
              <w:snapToGrid w:val="0"/>
              <w:jc w:val="center"/>
              <w:rPr>
                <w:rFonts w:hint="default" w:ascii="Times New Roman" w:hAnsi="Times New Roman"/>
                <w:sz w:val="21"/>
                <w:szCs w:val="21"/>
                <w:highlight w:val="none"/>
                <w:lang w:val="en-US"/>
              </w:rPr>
            </w:pPr>
            <w:r>
              <w:rPr>
                <w:rFonts w:hint="eastAsia" w:ascii="Times New Roman" w:hAnsi="Times New Roman"/>
                <w:sz w:val="21"/>
                <w:szCs w:val="21"/>
                <w:highlight w:val="none"/>
                <w:lang w:val="en-US" w:eastAsia="zh-CN"/>
              </w:rPr>
              <w:t>绥芬河市房屋征收办公室</w:t>
            </w:r>
          </w:p>
        </w:tc>
        <w:tc>
          <w:tcPr>
            <w:tcW w:w="625" w:type="pct"/>
            <w:tcBorders>
              <w:tl2br w:val="nil"/>
              <w:tr2bl w:val="nil"/>
            </w:tcBorders>
            <w:vAlign w:val="center"/>
          </w:tcPr>
          <w:p w14:paraId="624308EC">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131.142522</w:t>
            </w:r>
          </w:p>
        </w:tc>
        <w:tc>
          <w:tcPr>
            <w:tcW w:w="598" w:type="pct"/>
            <w:tcBorders>
              <w:tl2br w:val="nil"/>
              <w:tr2bl w:val="nil"/>
            </w:tcBorders>
            <w:vAlign w:val="center"/>
          </w:tcPr>
          <w:p w14:paraId="172FA14F">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44.407826</w:t>
            </w:r>
          </w:p>
        </w:tc>
        <w:tc>
          <w:tcPr>
            <w:tcW w:w="450" w:type="pct"/>
            <w:vMerge w:val="continue"/>
            <w:tcBorders>
              <w:tl2br w:val="nil"/>
              <w:tr2bl w:val="nil"/>
            </w:tcBorders>
            <w:vAlign w:val="center"/>
          </w:tcPr>
          <w:p w14:paraId="7C816A6B">
            <w:pPr>
              <w:jc w:val="center"/>
              <w:rPr>
                <w:sz w:val="21"/>
                <w:szCs w:val="21"/>
                <w:highlight w:val="none"/>
              </w:rPr>
            </w:pPr>
          </w:p>
        </w:tc>
        <w:tc>
          <w:tcPr>
            <w:tcW w:w="476" w:type="pct"/>
            <w:vMerge w:val="continue"/>
            <w:tcBorders>
              <w:tl2br w:val="nil"/>
              <w:tr2bl w:val="nil"/>
            </w:tcBorders>
            <w:vAlign w:val="center"/>
          </w:tcPr>
          <w:p w14:paraId="19A8620A">
            <w:pPr>
              <w:jc w:val="center"/>
              <w:rPr>
                <w:sz w:val="21"/>
                <w:szCs w:val="21"/>
                <w:highlight w:val="none"/>
              </w:rPr>
            </w:pPr>
          </w:p>
        </w:tc>
        <w:tc>
          <w:tcPr>
            <w:tcW w:w="1050" w:type="pct"/>
            <w:vMerge w:val="continue"/>
            <w:tcBorders>
              <w:tl2br w:val="nil"/>
              <w:tr2bl w:val="nil"/>
            </w:tcBorders>
            <w:vAlign w:val="center"/>
          </w:tcPr>
          <w:p w14:paraId="7636DDE9">
            <w:pPr>
              <w:jc w:val="center"/>
              <w:rPr>
                <w:sz w:val="21"/>
                <w:szCs w:val="21"/>
                <w:highlight w:val="none"/>
              </w:rPr>
            </w:pPr>
          </w:p>
        </w:tc>
        <w:tc>
          <w:tcPr>
            <w:tcW w:w="444" w:type="pct"/>
            <w:tcBorders>
              <w:tl2br w:val="nil"/>
              <w:tr2bl w:val="nil"/>
            </w:tcBorders>
            <w:vAlign w:val="center"/>
          </w:tcPr>
          <w:p w14:paraId="1113BAFD">
            <w:pPr>
              <w:ind w:left="0" w:leftChars="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24F7699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400m</w:t>
            </w:r>
          </w:p>
        </w:tc>
      </w:tr>
      <w:tr w14:paraId="44F8A3C9">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E089B24">
            <w:pPr>
              <w:jc w:val="center"/>
              <w:rPr>
                <w:sz w:val="21"/>
                <w:szCs w:val="21"/>
                <w:highlight w:val="none"/>
              </w:rPr>
            </w:pPr>
          </w:p>
        </w:tc>
        <w:tc>
          <w:tcPr>
            <w:tcW w:w="390" w:type="pct"/>
            <w:tcBorders>
              <w:tl2br w:val="nil"/>
              <w:tr2bl w:val="nil"/>
            </w:tcBorders>
            <w:vAlign w:val="center"/>
          </w:tcPr>
          <w:p w14:paraId="1A234D99">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绥芬河镇人民政府</w:t>
            </w:r>
          </w:p>
        </w:tc>
        <w:tc>
          <w:tcPr>
            <w:tcW w:w="625" w:type="pct"/>
            <w:tcBorders>
              <w:tl2br w:val="nil"/>
              <w:tr2bl w:val="nil"/>
            </w:tcBorders>
            <w:vAlign w:val="center"/>
          </w:tcPr>
          <w:p w14:paraId="599B7F9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131.142780</w:t>
            </w:r>
          </w:p>
        </w:tc>
        <w:tc>
          <w:tcPr>
            <w:tcW w:w="598" w:type="pct"/>
            <w:tcBorders>
              <w:tl2br w:val="nil"/>
              <w:tr2bl w:val="nil"/>
            </w:tcBorders>
            <w:vAlign w:val="center"/>
          </w:tcPr>
          <w:p w14:paraId="0BAD3D6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44.403887</w:t>
            </w:r>
          </w:p>
        </w:tc>
        <w:tc>
          <w:tcPr>
            <w:tcW w:w="450" w:type="pct"/>
            <w:vMerge w:val="continue"/>
            <w:tcBorders>
              <w:tl2br w:val="nil"/>
              <w:tr2bl w:val="nil"/>
            </w:tcBorders>
            <w:vAlign w:val="center"/>
          </w:tcPr>
          <w:p w14:paraId="38300A2A">
            <w:pPr>
              <w:jc w:val="center"/>
              <w:rPr>
                <w:sz w:val="21"/>
                <w:szCs w:val="21"/>
                <w:highlight w:val="none"/>
              </w:rPr>
            </w:pPr>
          </w:p>
        </w:tc>
        <w:tc>
          <w:tcPr>
            <w:tcW w:w="476" w:type="pct"/>
            <w:vMerge w:val="continue"/>
            <w:tcBorders>
              <w:tl2br w:val="nil"/>
              <w:tr2bl w:val="nil"/>
            </w:tcBorders>
            <w:vAlign w:val="center"/>
          </w:tcPr>
          <w:p w14:paraId="32898F14">
            <w:pPr>
              <w:jc w:val="center"/>
              <w:rPr>
                <w:sz w:val="21"/>
                <w:szCs w:val="21"/>
                <w:highlight w:val="none"/>
              </w:rPr>
            </w:pPr>
          </w:p>
        </w:tc>
        <w:tc>
          <w:tcPr>
            <w:tcW w:w="1050" w:type="pct"/>
            <w:vMerge w:val="continue"/>
            <w:tcBorders>
              <w:tl2br w:val="nil"/>
              <w:tr2bl w:val="nil"/>
            </w:tcBorders>
            <w:vAlign w:val="center"/>
          </w:tcPr>
          <w:p w14:paraId="1D8701FC">
            <w:pPr>
              <w:jc w:val="center"/>
              <w:rPr>
                <w:sz w:val="21"/>
                <w:szCs w:val="21"/>
                <w:highlight w:val="none"/>
              </w:rPr>
            </w:pPr>
          </w:p>
        </w:tc>
        <w:tc>
          <w:tcPr>
            <w:tcW w:w="444" w:type="pct"/>
            <w:tcBorders>
              <w:tl2br w:val="nil"/>
              <w:tr2bl w:val="nil"/>
            </w:tcBorders>
            <w:vAlign w:val="center"/>
          </w:tcPr>
          <w:p w14:paraId="08CAB33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73CA13F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650m</w:t>
            </w:r>
          </w:p>
        </w:tc>
      </w:tr>
      <w:tr w14:paraId="24708EA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790A833B">
            <w:pPr>
              <w:jc w:val="center"/>
              <w:rPr>
                <w:sz w:val="21"/>
                <w:szCs w:val="21"/>
                <w:highlight w:val="none"/>
              </w:rPr>
            </w:pPr>
          </w:p>
        </w:tc>
        <w:tc>
          <w:tcPr>
            <w:tcW w:w="390" w:type="pct"/>
            <w:tcBorders>
              <w:tl2br w:val="nil"/>
              <w:tr2bl w:val="nil"/>
            </w:tcBorders>
            <w:vAlign w:val="center"/>
          </w:tcPr>
          <w:p w14:paraId="4DE382A2">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绥芬河邮政管理局</w:t>
            </w:r>
          </w:p>
        </w:tc>
        <w:tc>
          <w:tcPr>
            <w:tcW w:w="625" w:type="pct"/>
            <w:tcBorders>
              <w:tl2br w:val="nil"/>
              <w:tr2bl w:val="nil"/>
            </w:tcBorders>
            <w:vAlign w:val="center"/>
          </w:tcPr>
          <w:p w14:paraId="41364F6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131.144335</w:t>
            </w:r>
          </w:p>
        </w:tc>
        <w:tc>
          <w:tcPr>
            <w:tcW w:w="598" w:type="pct"/>
            <w:tcBorders>
              <w:tl2br w:val="nil"/>
              <w:tr2bl w:val="nil"/>
            </w:tcBorders>
            <w:vAlign w:val="center"/>
          </w:tcPr>
          <w:p w14:paraId="177B379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44.404668</w:t>
            </w:r>
          </w:p>
        </w:tc>
        <w:tc>
          <w:tcPr>
            <w:tcW w:w="450" w:type="pct"/>
            <w:vMerge w:val="continue"/>
            <w:tcBorders>
              <w:tl2br w:val="nil"/>
              <w:tr2bl w:val="nil"/>
            </w:tcBorders>
            <w:vAlign w:val="center"/>
          </w:tcPr>
          <w:p w14:paraId="6B536314">
            <w:pPr>
              <w:jc w:val="center"/>
              <w:rPr>
                <w:sz w:val="21"/>
                <w:szCs w:val="21"/>
                <w:highlight w:val="none"/>
              </w:rPr>
            </w:pPr>
          </w:p>
        </w:tc>
        <w:tc>
          <w:tcPr>
            <w:tcW w:w="476" w:type="pct"/>
            <w:vMerge w:val="continue"/>
            <w:tcBorders>
              <w:tl2br w:val="nil"/>
              <w:tr2bl w:val="nil"/>
            </w:tcBorders>
            <w:vAlign w:val="center"/>
          </w:tcPr>
          <w:p w14:paraId="4C4CC53C">
            <w:pPr>
              <w:jc w:val="center"/>
              <w:rPr>
                <w:sz w:val="21"/>
                <w:szCs w:val="21"/>
                <w:highlight w:val="none"/>
              </w:rPr>
            </w:pPr>
          </w:p>
        </w:tc>
        <w:tc>
          <w:tcPr>
            <w:tcW w:w="1050" w:type="pct"/>
            <w:vMerge w:val="continue"/>
            <w:tcBorders>
              <w:tl2br w:val="nil"/>
              <w:tr2bl w:val="nil"/>
            </w:tcBorders>
            <w:vAlign w:val="center"/>
          </w:tcPr>
          <w:p w14:paraId="32C587A1">
            <w:pPr>
              <w:jc w:val="center"/>
              <w:rPr>
                <w:sz w:val="21"/>
                <w:szCs w:val="21"/>
                <w:highlight w:val="none"/>
              </w:rPr>
            </w:pPr>
          </w:p>
        </w:tc>
        <w:tc>
          <w:tcPr>
            <w:tcW w:w="444" w:type="pct"/>
            <w:tcBorders>
              <w:tl2br w:val="nil"/>
              <w:tr2bl w:val="nil"/>
            </w:tcBorders>
            <w:vAlign w:val="center"/>
          </w:tcPr>
          <w:p w14:paraId="055F5DA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72C7A324">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520m</w:t>
            </w:r>
          </w:p>
        </w:tc>
      </w:tr>
      <w:tr w14:paraId="054CC1D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6018AD1">
            <w:pPr>
              <w:jc w:val="center"/>
              <w:rPr>
                <w:sz w:val="21"/>
                <w:szCs w:val="21"/>
                <w:highlight w:val="none"/>
              </w:rPr>
            </w:pPr>
          </w:p>
        </w:tc>
        <w:tc>
          <w:tcPr>
            <w:tcW w:w="390" w:type="pct"/>
            <w:tcBorders>
              <w:tl2br w:val="nil"/>
              <w:tr2bl w:val="nil"/>
            </w:tcBorders>
            <w:vAlign w:val="center"/>
          </w:tcPr>
          <w:p w14:paraId="2CF540C4">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绥芬河市教育局</w:t>
            </w:r>
          </w:p>
        </w:tc>
        <w:tc>
          <w:tcPr>
            <w:tcW w:w="625" w:type="pct"/>
            <w:tcBorders>
              <w:tl2br w:val="nil"/>
              <w:tr2bl w:val="nil"/>
            </w:tcBorders>
            <w:vAlign w:val="center"/>
          </w:tcPr>
          <w:p w14:paraId="770C286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131.144485</w:t>
            </w:r>
          </w:p>
        </w:tc>
        <w:tc>
          <w:tcPr>
            <w:tcW w:w="598" w:type="pct"/>
            <w:tcBorders>
              <w:tl2br w:val="nil"/>
              <w:tr2bl w:val="nil"/>
            </w:tcBorders>
            <w:vAlign w:val="center"/>
          </w:tcPr>
          <w:p w14:paraId="28EB226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44.404216</w:t>
            </w:r>
          </w:p>
        </w:tc>
        <w:tc>
          <w:tcPr>
            <w:tcW w:w="450" w:type="pct"/>
            <w:vMerge w:val="continue"/>
            <w:tcBorders>
              <w:tl2br w:val="nil"/>
              <w:tr2bl w:val="nil"/>
            </w:tcBorders>
            <w:vAlign w:val="center"/>
          </w:tcPr>
          <w:p w14:paraId="7139942B">
            <w:pPr>
              <w:jc w:val="center"/>
              <w:rPr>
                <w:sz w:val="21"/>
                <w:szCs w:val="21"/>
                <w:highlight w:val="none"/>
              </w:rPr>
            </w:pPr>
          </w:p>
        </w:tc>
        <w:tc>
          <w:tcPr>
            <w:tcW w:w="476" w:type="pct"/>
            <w:vMerge w:val="continue"/>
            <w:tcBorders>
              <w:tl2br w:val="nil"/>
              <w:tr2bl w:val="nil"/>
            </w:tcBorders>
            <w:vAlign w:val="center"/>
          </w:tcPr>
          <w:p w14:paraId="748F4FBC">
            <w:pPr>
              <w:jc w:val="center"/>
              <w:rPr>
                <w:sz w:val="21"/>
                <w:szCs w:val="21"/>
                <w:highlight w:val="none"/>
              </w:rPr>
            </w:pPr>
          </w:p>
        </w:tc>
        <w:tc>
          <w:tcPr>
            <w:tcW w:w="1050" w:type="pct"/>
            <w:vMerge w:val="continue"/>
            <w:tcBorders>
              <w:tl2br w:val="nil"/>
              <w:tr2bl w:val="nil"/>
            </w:tcBorders>
            <w:vAlign w:val="center"/>
          </w:tcPr>
          <w:p w14:paraId="41D0F875">
            <w:pPr>
              <w:jc w:val="center"/>
              <w:rPr>
                <w:sz w:val="21"/>
                <w:szCs w:val="21"/>
                <w:highlight w:val="none"/>
              </w:rPr>
            </w:pPr>
          </w:p>
        </w:tc>
        <w:tc>
          <w:tcPr>
            <w:tcW w:w="444" w:type="pct"/>
            <w:tcBorders>
              <w:tl2br w:val="nil"/>
              <w:tr2bl w:val="nil"/>
            </w:tcBorders>
            <w:vAlign w:val="center"/>
          </w:tcPr>
          <w:p w14:paraId="1880303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73BD1B9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550m</w:t>
            </w:r>
          </w:p>
        </w:tc>
      </w:tr>
      <w:tr w14:paraId="1E22C538">
        <w:tblPrEx>
          <w:tblCellMar>
            <w:top w:w="0" w:type="dxa"/>
            <w:left w:w="108" w:type="dxa"/>
            <w:bottom w:w="0" w:type="dxa"/>
            <w:right w:w="108" w:type="dxa"/>
          </w:tblCellMar>
        </w:tblPrEx>
        <w:tc>
          <w:tcPr>
            <w:tcW w:w="390" w:type="pct"/>
            <w:vMerge w:val="continue"/>
            <w:tcBorders>
              <w:tl2br w:val="nil"/>
              <w:tr2bl w:val="nil"/>
            </w:tcBorders>
            <w:vAlign w:val="center"/>
          </w:tcPr>
          <w:p w14:paraId="1CCD2077">
            <w:pPr>
              <w:jc w:val="center"/>
              <w:rPr>
                <w:sz w:val="21"/>
                <w:szCs w:val="21"/>
                <w:highlight w:val="none"/>
              </w:rPr>
            </w:pPr>
          </w:p>
        </w:tc>
        <w:tc>
          <w:tcPr>
            <w:tcW w:w="390" w:type="pct"/>
            <w:tcBorders>
              <w:tl2br w:val="nil"/>
              <w:tr2bl w:val="nil"/>
            </w:tcBorders>
            <w:vAlign w:val="center"/>
          </w:tcPr>
          <w:p w14:paraId="27E2B43A">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绥芬河市自然资源局</w:t>
            </w:r>
          </w:p>
        </w:tc>
        <w:tc>
          <w:tcPr>
            <w:tcW w:w="625" w:type="pct"/>
            <w:tcBorders>
              <w:tl2br w:val="nil"/>
              <w:tr2bl w:val="nil"/>
            </w:tcBorders>
            <w:vAlign w:val="center"/>
          </w:tcPr>
          <w:p w14:paraId="5F50B40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131.144968</w:t>
            </w:r>
          </w:p>
        </w:tc>
        <w:tc>
          <w:tcPr>
            <w:tcW w:w="598" w:type="pct"/>
            <w:tcBorders>
              <w:tl2br w:val="nil"/>
              <w:tr2bl w:val="nil"/>
            </w:tcBorders>
            <w:vAlign w:val="center"/>
          </w:tcPr>
          <w:p w14:paraId="123CE17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44.406240</w:t>
            </w:r>
          </w:p>
        </w:tc>
        <w:tc>
          <w:tcPr>
            <w:tcW w:w="450" w:type="pct"/>
            <w:vMerge w:val="continue"/>
            <w:tcBorders>
              <w:tl2br w:val="nil"/>
              <w:tr2bl w:val="nil"/>
            </w:tcBorders>
            <w:vAlign w:val="center"/>
          </w:tcPr>
          <w:p w14:paraId="627ED56A">
            <w:pPr>
              <w:jc w:val="center"/>
              <w:rPr>
                <w:sz w:val="21"/>
                <w:szCs w:val="21"/>
                <w:highlight w:val="none"/>
              </w:rPr>
            </w:pPr>
          </w:p>
        </w:tc>
        <w:tc>
          <w:tcPr>
            <w:tcW w:w="476" w:type="pct"/>
            <w:vMerge w:val="continue"/>
            <w:tcBorders>
              <w:tl2br w:val="nil"/>
              <w:tr2bl w:val="nil"/>
            </w:tcBorders>
            <w:vAlign w:val="center"/>
          </w:tcPr>
          <w:p w14:paraId="6C2B6537">
            <w:pPr>
              <w:jc w:val="center"/>
              <w:rPr>
                <w:sz w:val="21"/>
                <w:szCs w:val="21"/>
                <w:highlight w:val="none"/>
              </w:rPr>
            </w:pPr>
          </w:p>
        </w:tc>
        <w:tc>
          <w:tcPr>
            <w:tcW w:w="1050" w:type="pct"/>
            <w:vMerge w:val="continue"/>
            <w:tcBorders>
              <w:tl2br w:val="nil"/>
              <w:tr2bl w:val="nil"/>
            </w:tcBorders>
            <w:vAlign w:val="center"/>
          </w:tcPr>
          <w:p w14:paraId="43DF3338">
            <w:pPr>
              <w:jc w:val="center"/>
              <w:rPr>
                <w:sz w:val="21"/>
                <w:szCs w:val="21"/>
                <w:highlight w:val="none"/>
              </w:rPr>
            </w:pPr>
          </w:p>
        </w:tc>
        <w:tc>
          <w:tcPr>
            <w:tcW w:w="444" w:type="pct"/>
            <w:tcBorders>
              <w:tl2br w:val="nil"/>
              <w:tr2bl w:val="nil"/>
            </w:tcBorders>
            <w:vAlign w:val="center"/>
          </w:tcPr>
          <w:p w14:paraId="5FAEEED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471C729B">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350m</w:t>
            </w:r>
          </w:p>
        </w:tc>
      </w:tr>
      <w:tr w14:paraId="5C93D14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35DB2DD">
            <w:pPr>
              <w:jc w:val="center"/>
              <w:rPr>
                <w:sz w:val="21"/>
                <w:szCs w:val="21"/>
                <w:highlight w:val="none"/>
              </w:rPr>
            </w:pPr>
          </w:p>
        </w:tc>
        <w:tc>
          <w:tcPr>
            <w:tcW w:w="390" w:type="pct"/>
            <w:tcBorders>
              <w:tl2br w:val="nil"/>
              <w:tr2bl w:val="nil"/>
            </w:tcBorders>
            <w:vAlign w:val="center"/>
          </w:tcPr>
          <w:p w14:paraId="6DC4AE57">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绥芬河海关</w:t>
            </w:r>
          </w:p>
        </w:tc>
        <w:tc>
          <w:tcPr>
            <w:tcW w:w="625" w:type="pct"/>
            <w:tcBorders>
              <w:tl2br w:val="nil"/>
              <w:tr2bl w:val="nil"/>
            </w:tcBorders>
            <w:vAlign w:val="center"/>
          </w:tcPr>
          <w:p w14:paraId="1046A96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131.147039</w:t>
            </w:r>
          </w:p>
        </w:tc>
        <w:tc>
          <w:tcPr>
            <w:tcW w:w="598" w:type="pct"/>
            <w:tcBorders>
              <w:tl2br w:val="nil"/>
              <w:tr2bl w:val="nil"/>
            </w:tcBorders>
            <w:vAlign w:val="center"/>
          </w:tcPr>
          <w:p w14:paraId="67D9750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44.405642</w:t>
            </w:r>
          </w:p>
        </w:tc>
        <w:tc>
          <w:tcPr>
            <w:tcW w:w="450" w:type="pct"/>
            <w:vMerge w:val="continue"/>
            <w:tcBorders>
              <w:tl2br w:val="nil"/>
              <w:tr2bl w:val="nil"/>
            </w:tcBorders>
            <w:vAlign w:val="center"/>
          </w:tcPr>
          <w:p w14:paraId="087563A6">
            <w:pPr>
              <w:jc w:val="center"/>
              <w:rPr>
                <w:sz w:val="21"/>
                <w:szCs w:val="21"/>
                <w:highlight w:val="none"/>
              </w:rPr>
            </w:pPr>
          </w:p>
        </w:tc>
        <w:tc>
          <w:tcPr>
            <w:tcW w:w="476" w:type="pct"/>
            <w:vMerge w:val="continue"/>
            <w:tcBorders>
              <w:tl2br w:val="nil"/>
              <w:tr2bl w:val="nil"/>
            </w:tcBorders>
            <w:vAlign w:val="center"/>
          </w:tcPr>
          <w:p w14:paraId="7CDF1C8A">
            <w:pPr>
              <w:jc w:val="center"/>
              <w:rPr>
                <w:sz w:val="21"/>
                <w:szCs w:val="21"/>
                <w:highlight w:val="none"/>
              </w:rPr>
            </w:pPr>
          </w:p>
        </w:tc>
        <w:tc>
          <w:tcPr>
            <w:tcW w:w="1050" w:type="pct"/>
            <w:vMerge w:val="continue"/>
            <w:tcBorders>
              <w:tl2br w:val="nil"/>
              <w:tr2bl w:val="nil"/>
            </w:tcBorders>
            <w:vAlign w:val="center"/>
          </w:tcPr>
          <w:p w14:paraId="020D50E3">
            <w:pPr>
              <w:jc w:val="center"/>
              <w:rPr>
                <w:sz w:val="21"/>
                <w:szCs w:val="21"/>
                <w:highlight w:val="none"/>
              </w:rPr>
            </w:pPr>
          </w:p>
        </w:tc>
        <w:tc>
          <w:tcPr>
            <w:tcW w:w="444" w:type="pct"/>
            <w:tcBorders>
              <w:tl2br w:val="nil"/>
              <w:tr2bl w:val="nil"/>
            </w:tcBorders>
            <w:vAlign w:val="center"/>
          </w:tcPr>
          <w:p w14:paraId="2EFA0371">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6B43562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400m</w:t>
            </w:r>
          </w:p>
        </w:tc>
      </w:tr>
      <w:tr w14:paraId="72B6BBB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24A49BB">
            <w:pPr>
              <w:jc w:val="center"/>
              <w:rPr>
                <w:sz w:val="21"/>
                <w:szCs w:val="21"/>
                <w:highlight w:val="none"/>
              </w:rPr>
            </w:pPr>
          </w:p>
        </w:tc>
        <w:tc>
          <w:tcPr>
            <w:tcW w:w="390" w:type="pct"/>
            <w:tcBorders>
              <w:tl2br w:val="nil"/>
              <w:tr2bl w:val="nil"/>
            </w:tcBorders>
            <w:vAlign w:val="center"/>
          </w:tcPr>
          <w:p w14:paraId="7078A20D">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国家外汇管理局绥芬河分局</w:t>
            </w:r>
          </w:p>
        </w:tc>
        <w:tc>
          <w:tcPr>
            <w:tcW w:w="625" w:type="pct"/>
            <w:tcBorders>
              <w:tl2br w:val="nil"/>
              <w:tr2bl w:val="nil"/>
            </w:tcBorders>
            <w:vAlign w:val="center"/>
          </w:tcPr>
          <w:p w14:paraId="5D6443F7">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131.151588</w:t>
            </w:r>
          </w:p>
        </w:tc>
        <w:tc>
          <w:tcPr>
            <w:tcW w:w="598" w:type="pct"/>
            <w:tcBorders>
              <w:tl2br w:val="nil"/>
              <w:tr2bl w:val="nil"/>
            </w:tcBorders>
            <w:vAlign w:val="center"/>
          </w:tcPr>
          <w:p w14:paraId="2A8B0EE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44.406868</w:t>
            </w:r>
          </w:p>
        </w:tc>
        <w:tc>
          <w:tcPr>
            <w:tcW w:w="450" w:type="pct"/>
            <w:vMerge w:val="continue"/>
            <w:tcBorders>
              <w:tl2br w:val="nil"/>
              <w:tr2bl w:val="nil"/>
            </w:tcBorders>
            <w:vAlign w:val="center"/>
          </w:tcPr>
          <w:p w14:paraId="20A25DC1">
            <w:pPr>
              <w:jc w:val="center"/>
              <w:rPr>
                <w:sz w:val="21"/>
                <w:szCs w:val="21"/>
                <w:highlight w:val="none"/>
              </w:rPr>
            </w:pPr>
          </w:p>
        </w:tc>
        <w:tc>
          <w:tcPr>
            <w:tcW w:w="476" w:type="pct"/>
            <w:vMerge w:val="continue"/>
            <w:tcBorders>
              <w:tl2br w:val="nil"/>
              <w:tr2bl w:val="nil"/>
            </w:tcBorders>
            <w:vAlign w:val="center"/>
          </w:tcPr>
          <w:p w14:paraId="4FB63002">
            <w:pPr>
              <w:jc w:val="center"/>
              <w:rPr>
                <w:sz w:val="21"/>
                <w:szCs w:val="21"/>
                <w:highlight w:val="none"/>
              </w:rPr>
            </w:pPr>
          </w:p>
        </w:tc>
        <w:tc>
          <w:tcPr>
            <w:tcW w:w="1050" w:type="pct"/>
            <w:vMerge w:val="continue"/>
            <w:tcBorders>
              <w:tl2br w:val="nil"/>
              <w:tr2bl w:val="nil"/>
            </w:tcBorders>
            <w:vAlign w:val="center"/>
          </w:tcPr>
          <w:p w14:paraId="6C897DA1">
            <w:pPr>
              <w:jc w:val="center"/>
              <w:rPr>
                <w:sz w:val="21"/>
                <w:szCs w:val="21"/>
                <w:highlight w:val="none"/>
              </w:rPr>
            </w:pPr>
          </w:p>
        </w:tc>
        <w:tc>
          <w:tcPr>
            <w:tcW w:w="444" w:type="pct"/>
            <w:tcBorders>
              <w:tl2br w:val="nil"/>
              <w:tr2bl w:val="nil"/>
            </w:tcBorders>
            <w:vAlign w:val="center"/>
          </w:tcPr>
          <w:p w14:paraId="1E548BE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3D524743">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330m</w:t>
            </w:r>
          </w:p>
        </w:tc>
      </w:tr>
      <w:tr w14:paraId="4E9E88D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FF383D4">
            <w:pPr>
              <w:jc w:val="center"/>
              <w:rPr>
                <w:sz w:val="21"/>
                <w:szCs w:val="21"/>
                <w:highlight w:val="none"/>
              </w:rPr>
            </w:pPr>
          </w:p>
        </w:tc>
        <w:tc>
          <w:tcPr>
            <w:tcW w:w="390" w:type="pct"/>
            <w:tcBorders>
              <w:tl2br w:val="nil"/>
              <w:tr2bl w:val="nil"/>
            </w:tcBorders>
            <w:vAlign w:val="center"/>
          </w:tcPr>
          <w:p w14:paraId="5D92642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绥芬河市生态环境局</w:t>
            </w:r>
          </w:p>
        </w:tc>
        <w:tc>
          <w:tcPr>
            <w:tcW w:w="625" w:type="pct"/>
            <w:tcBorders>
              <w:tl2br w:val="nil"/>
              <w:tr2bl w:val="nil"/>
            </w:tcBorders>
            <w:vAlign w:val="center"/>
          </w:tcPr>
          <w:p w14:paraId="52A72DB7">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131.150258</w:t>
            </w:r>
          </w:p>
        </w:tc>
        <w:tc>
          <w:tcPr>
            <w:tcW w:w="598" w:type="pct"/>
            <w:tcBorders>
              <w:tl2br w:val="nil"/>
              <w:tr2bl w:val="nil"/>
            </w:tcBorders>
            <w:vAlign w:val="center"/>
          </w:tcPr>
          <w:p w14:paraId="45AE0446">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44.401503</w:t>
            </w:r>
          </w:p>
        </w:tc>
        <w:tc>
          <w:tcPr>
            <w:tcW w:w="450" w:type="pct"/>
            <w:vMerge w:val="continue"/>
            <w:tcBorders>
              <w:tl2br w:val="nil"/>
              <w:tr2bl w:val="nil"/>
            </w:tcBorders>
            <w:vAlign w:val="center"/>
          </w:tcPr>
          <w:p w14:paraId="6A284465">
            <w:pPr>
              <w:jc w:val="center"/>
              <w:rPr>
                <w:sz w:val="21"/>
                <w:szCs w:val="21"/>
                <w:highlight w:val="none"/>
              </w:rPr>
            </w:pPr>
          </w:p>
        </w:tc>
        <w:tc>
          <w:tcPr>
            <w:tcW w:w="476" w:type="pct"/>
            <w:vMerge w:val="continue"/>
            <w:tcBorders>
              <w:tl2br w:val="nil"/>
              <w:tr2bl w:val="nil"/>
            </w:tcBorders>
            <w:vAlign w:val="center"/>
          </w:tcPr>
          <w:p w14:paraId="0D638AA5">
            <w:pPr>
              <w:jc w:val="center"/>
              <w:rPr>
                <w:sz w:val="21"/>
                <w:szCs w:val="21"/>
                <w:highlight w:val="none"/>
              </w:rPr>
            </w:pPr>
          </w:p>
        </w:tc>
        <w:tc>
          <w:tcPr>
            <w:tcW w:w="1050" w:type="pct"/>
            <w:vMerge w:val="continue"/>
            <w:tcBorders>
              <w:tl2br w:val="nil"/>
              <w:tr2bl w:val="nil"/>
            </w:tcBorders>
            <w:vAlign w:val="center"/>
          </w:tcPr>
          <w:p w14:paraId="3E3F1415">
            <w:pPr>
              <w:jc w:val="center"/>
              <w:rPr>
                <w:sz w:val="21"/>
                <w:szCs w:val="21"/>
                <w:highlight w:val="none"/>
              </w:rPr>
            </w:pPr>
          </w:p>
        </w:tc>
        <w:tc>
          <w:tcPr>
            <w:tcW w:w="444" w:type="pct"/>
            <w:tcBorders>
              <w:tl2br w:val="nil"/>
              <w:tr2bl w:val="nil"/>
            </w:tcBorders>
            <w:vAlign w:val="center"/>
          </w:tcPr>
          <w:p w14:paraId="14E21072">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38F0AC2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850m</w:t>
            </w:r>
          </w:p>
        </w:tc>
      </w:tr>
      <w:tr w14:paraId="0D419581">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8FEAF45">
            <w:pPr>
              <w:jc w:val="center"/>
              <w:rPr>
                <w:sz w:val="21"/>
                <w:szCs w:val="21"/>
                <w:highlight w:val="none"/>
              </w:rPr>
            </w:pPr>
          </w:p>
        </w:tc>
        <w:tc>
          <w:tcPr>
            <w:tcW w:w="390" w:type="pct"/>
            <w:tcBorders>
              <w:tl2br w:val="nil"/>
              <w:tr2bl w:val="nil"/>
            </w:tcBorders>
            <w:vAlign w:val="center"/>
          </w:tcPr>
          <w:p w14:paraId="22A16A86">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绥芬河市民政局</w:t>
            </w:r>
          </w:p>
        </w:tc>
        <w:tc>
          <w:tcPr>
            <w:tcW w:w="625" w:type="pct"/>
            <w:tcBorders>
              <w:tl2br w:val="nil"/>
              <w:tr2bl w:val="nil"/>
            </w:tcBorders>
            <w:vAlign w:val="center"/>
          </w:tcPr>
          <w:p w14:paraId="32C989F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131.123114</w:t>
            </w:r>
          </w:p>
        </w:tc>
        <w:tc>
          <w:tcPr>
            <w:tcW w:w="598" w:type="pct"/>
            <w:tcBorders>
              <w:tl2br w:val="nil"/>
              <w:tr2bl w:val="nil"/>
            </w:tcBorders>
            <w:vAlign w:val="center"/>
          </w:tcPr>
          <w:p w14:paraId="7CE1E91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44.397087</w:t>
            </w:r>
          </w:p>
        </w:tc>
        <w:tc>
          <w:tcPr>
            <w:tcW w:w="450" w:type="pct"/>
            <w:vMerge w:val="continue"/>
            <w:tcBorders>
              <w:tl2br w:val="nil"/>
              <w:tr2bl w:val="nil"/>
            </w:tcBorders>
            <w:vAlign w:val="center"/>
          </w:tcPr>
          <w:p w14:paraId="34901287">
            <w:pPr>
              <w:jc w:val="center"/>
              <w:rPr>
                <w:sz w:val="21"/>
                <w:szCs w:val="21"/>
                <w:highlight w:val="none"/>
              </w:rPr>
            </w:pPr>
          </w:p>
        </w:tc>
        <w:tc>
          <w:tcPr>
            <w:tcW w:w="476" w:type="pct"/>
            <w:vMerge w:val="continue"/>
            <w:tcBorders>
              <w:tl2br w:val="nil"/>
              <w:tr2bl w:val="nil"/>
            </w:tcBorders>
            <w:vAlign w:val="center"/>
          </w:tcPr>
          <w:p w14:paraId="70381AE0">
            <w:pPr>
              <w:jc w:val="center"/>
              <w:rPr>
                <w:sz w:val="21"/>
                <w:szCs w:val="21"/>
                <w:highlight w:val="none"/>
              </w:rPr>
            </w:pPr>
          </w:p>
        </w:tc>
        <w:tc>
          <w:tcPr>
            <w:tcW w:w="1050" w:type="pct"/>
            <w:vMerge w:val="continue"/>
            <w:tcBorders>
              <w:tl2br w:val="nil"/>
              <w:tr2bl w:val="nil"/>
            </w:tcBorders>
            <w:vAlign w:val="center"/>
          </w:tcPr>
          <w:p w14:paraId="12E42409">
            <w:pPr>
              <w:jc w:val="center"/>
              <w:rPr>
                <w:sz w:val="21"/>
                <w:szCs w:val="21"/>
                <w:highlight w:val="none"/>
              </w:rPr>
            </w:pPr>
          </w:p>
        </w:tc>
        <w:tc>
          <w:tcPr>
            <w:tcW w:w="444" w:type="pct"/>
            <w:tcBorders>
              <w:tl2br w:val="nil"/>
              <w:tr2bl w:val="nil"/>
            </w:tcBorders>
            <w:vAlign w:val="center"/>
          </w:tcPr>
          <w:p w14:paraId="303D0E5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38854EE0">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2300m</w:t>
            </w:r>
          </w:p>
        </w:tc>
      </w:tr>
      <w:tr w14:paraId="0B093E0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E93FAF8">
            <w:pPr>
              <w:jc w:val="center"/>
              <w:rPr>
                <w:sz w:val="21"/>
                <w:szCs w:val="21"/>
                <w:highlight w:val="none"/>
              </w:rPr>
            </w:pPr>
          </w:p>
        </w:tc>
        <w:tc>
          <w:tcPr>
            <w:tcW w:w="390" w:type="pct"/>
            <w:tcBorders>
              <w:tl2br w:val="nil"/>
              <w:tr2bl w:val="nil"/>
            </w:tcBorders>
            <w:vAlign w:val="center"/>
          </w:tcPr>
          <w:p w14:paraId="3F6BD1BB">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绥芬河市公安局</w:t>
            </w:r>
          </w:p>
        </w:tc>
        <w:tc>
          <w:tcPr>
            <w:tcW w:w="625" w:type="pct"/>
            <w:tcBorders>
              <w:tl2br w:val="nil"/>
              <w:tr2bl w:val="nil"/>
            </w:tcBorders>
            <w:vAlign w:val="center"/>
          </w:tcPr>
          <w:p w14:paraId="73C06C6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131.117020</w:t>
            </w:r>
          </w:p>
        </w:tc>
        <w:tc>
          <w:tcPr>
            <w:tcW w:w="598" w:type="pct"/>
            <w:tcBorders>
              <w:tl2br w:val="nil"/>
              <w:tr2bl w:val="nil"/>
            </w:tcBorders>
            <w:vAlign w:val="center"/>
          </w:tcPr>
          <w:p w14:paraId="1E934CD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44.396443</w:t>
            </w:r>
          </w:p>
        </w:tc>
        <w:tc>
          <w:tcPr>
            <w:tcW w:w="450" w:type="pct"/>
            <w:vMerge w:val="continue"/>
            <w:tcBorders>
              <w:tl2br w:val="nil"/>
              <w:tr2bl w:val="nil"/>
            </w:tcBorders>
            <w:vAlign w:val="center"/>
          </w:tcPr>
          <w:p w14:paraId="66D0D3D2">
            <w:pPr>
              <w:jc w:val="center"/>
              <w:rPr>
                <w:sz w:val="21"/>
                <w:szCs w:val="21"/>
                <w:highlight w:val="none"/>
              </w:rPr>
            </w:pPr>
          </w:p>
        </w:tc>
        <w:tc>
          <w:tcPr>
            <w:tcW w:w="476" w:type="pct"/>
            <w:vMerge w:val="continue"/>
            <w:tcBorders>
              <w:tl2br w:val="nil"/>
              <w:tr2bl w:val="nil"/>
            </w:tcBorders>
            <w:vAlign w:val="center"/>
          </w:tcPr>
          <w:p w14:paraId="5C9170B1">
            <w:pPr>
              <w:jc w:val="center"/>
              <w:rPr>
                <w:sz w:val="21"/>
                <w:szCs w:val="21"/>
                <w:highlight w:val="none"/>
              </w:rPr>
            </w:pPr>
          </w:p>
        </w:tc>
        <w:tc>
          <w:tcPr>
            <w:tcW w:w="1050" w:type="pct"/>
            <w:vMerge w:val="continue"/>
            <w:tcBorders>
              <w:tl2br w:val="nil"/>
              <w:tr2bl w:val="nil"/>
            </w:tcBorders>
            <w:vAlign w:val="center"/>
          </w:tcPr>
          <w:p w14:paraId="776580B2">
            <w:pPr>
              <w:jc w:val="center"/>
              <w:rPr>
                <w:sz w:val="21"/>
                <w:szCs w:val="21"/>
                <w:highlight w:val="none"/>
              </w:rPr>
            </w:pPr>
          </w:p>
        </w:tc>
        <w:tc>
          <w:tcPr>
            <w:tcW w:w="444" w:type="pct"/>
            <w:tcBorders>
              <w:tl2br w:val="nil"/>
              <w:tr2bl w:val="nil"/>
            </w:tcBorders>
            <w:vAlign w:val="center"/>
          </w:tcPr>
          <w:p w14:paraId="37DA2DD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2C67BB6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2600m</w:t>
            </w:r>
          </w:p>
        </w:tc>
      </w:tr>
      <w:tr w14:paraId="1F36109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8723A5A">
            <w:pPr>
              <w:jc w:val="center"/>
              <w:rPr>
                <w:sz w:val="21"/>
                <w:szCs w:val="21"/>
                <w:highlight w:val="none"/>
              </w:rPr>
            </w:pPr>
          </w:p>
        </w:tc>
        <w:tc>
          <w:tcPr>
            <w:tcW w:w="390" w:type="pct"/>
            <w:tcBorders>
              <w:tl2br w:val="nil"/>
              <w:tr2bl w:val="nil"/>
            </w:tcBorders>
            <w:vAlign w:val="center"/>
          </w:tcPr>
          <w:p w14:paraId="343BCEB4">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阜宁镇人民政府</w:t>
            </w:r>
          </w:p>
        </w:tc>
        <w:tc>
          <w:tcPr>
            <w:tcW w:w="625" w:type="pct"/>
            <w:tcBorders>
              <w:tl2br w:val="nil"/>
              <w:tr2bl w:val="nil"/>
            </w:tcBorders>
            <w:vAlign w:val="center"/>
          </w:tcPr>
          <w:p w14:paraId="321F48A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131.125045</w:t>
            </w:r>
          </w:p>
        </w:tc>
        <w:tc>
          <w:tcPr>
            <w:tcW w:w="598" w:type="pct"/>
            <w:tcBorders>
              <w:tl2br w:val="nil"/>
              <w:tr2bl w:val="nil"/>
            </w:tcBorders>
            <w:vAlign w:val="center"/>
          </w:tcPr>
          <w:p w14:paraId="47D0092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44.394144</w:t>
            </w:r>
          </w:p>
        </w:tc>
        <w:tc>
          <w:tcPr>
            <w:tcW w:w="450" w:type="pct"/>
            <w:vMerge w:val="continue"/>
            <w:tcBorders>
              <w:tl2br w:val="nil"/>
              <w:tr2bl w:val="nil"/>
            </w:tcBorders>
            <w:vAlign w:val="center"/>
          </w:tcPr>
          <w:p w14:paraId="5F7161AB">
            <w:pPr>
              <w:jc w:val="center"/>
              <w:rPr>
                <w:sz w:val="21"/>
                <w:szCs w:val="21"/>
                <w:highlight w:val="none"/>
              </w:rPr>
            </w:pPr>
          </w:p>
        </w:tc>
        <w:tc>
          <w:tcPr>
            <w:tcW w:w="476" w:type="pct"/>
            <w:vMerge w:val="continue"/>
            <w:tcBorders>
              <w:tl2br w:val="nil"/>
              <w:tr2bl w:val="nil"/>
            </w:tcBorders>
            <w:vAlign w:val="center"/>
          </w:tcPr>
          <w:p w14:paraId="55C10BD6">
            <w:pPr>
              <w:jc w:val="center"/>
              <w:rPr>
                <w:sz w:val="21"/>
                <w:szCs w:val="21"/>
                <w:highlight w:val="none"/>
              </w:rPr>
            </w:pPr>
          </w:p>
        </w:tc>
        <w:tc>
          <w:tcPr>
            <w:tcW w:w="1050" w:type="pct"/>
            <w:vMerge w:val="continue"/>
            <w:tcBorders>
              <w:tl2br w:val="nil"/>
              <w:tr2bl w:val="nil"/>
            </w:tcBorders>
            <w:vAlign w:val="center"/>
          </w:tcPr>
          <w:p w14:paraId="15936CFC">
            <w:pPr>
              <w:jc w:val="center"/>
              <w:rPr>
                <w:sz w:val="21"/>
                <w:szCs w:val="21"/>
                <w:highlight w:val="none"/>
              </w:rPr>
            </w:pPr>
          </w:p>
        </w:tc>
        <w:tc>
          <w:tcPr>
            <w:tcW w:w="444" w:type="pct"/>
            <w:tcBorders>
              <w:tl2br w:val="nil"/>
              <w:tr2bl w:val="nil"/>
            </w:tcBorders>
            <w:vAlign w:val="center"/>
          </w:tcPr>
          <w:p w14:paraId="1D6A6714">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771264B1">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2400m</w:t>
            </w:r>
          </w:p>
        </w:tc>
      </w:tr>
      <w:tr w14:paraId="0C1ECD6D">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73D8D14E">
            <w:pPr>
              <w:jc w:val="center"/>
              <w:rPr>
                <w:sz w:val="21"/>
                <w:szCs w:val="21"/>
                <w:highlight w:val="none"/>
              </w:rPr>
            </w:pPr>
          </w:p>
        </w:tc>
        <w:tc>
          <w:tcPr>
            <w:tcW w:w="390" w:type="pct"/>
            <w:tcBorders>
              <w:tl2br w:val="nil"/>
              <w:tr2bl w:val="nil"/>
            </w:tcBorders>
            <w:vAlign w:val="center"/>
          </w:tcPr>
          <w:p w14:paraId="5ABB53A4">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绥芬河市广播电视局</w:t>
            </w:r>
          </w:p>
        </w:tc>
        <w:tc>
          <w:tcPr>
            <w:tcW w:w="625" w:type="pct"/>
            <w:tcBorders>
              <w:tl2br w:val="nil"/>
              <w:tr2bl w:val="nil"/>
            </w:tcBorders>
            <w:vAlign w:val="center"/>
          </w:tcPr>
          <w:p w14:paraId="48A1A22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131.157918</w:t>
            </w:r>
          </w:p>
        </w:tc>
        <w:tc>
          <w:tcPr>
            <w:tcW w:w="598" w:type="pct"/>
            <w:tcBorders>
              <w:bottom w:val="single" w:color="auto" w:sz="4" w:space="0"/>
              <w:tl2br w:val="nil"/>
              <w:tr2bl w:val="nil"/>
            </w:tcBorders>
            <w:vAlign w:val="center"/>
          </w:tcPr>
          <w:p w14:paraId="7D7B3E3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44.389053</w:t>
            </w:r>
          </w:p>
        </w:tc>
        <w:tc>
          <w:tcPr>
            <w:tcW w:w="450" w:type="pct"/>
            <w:vMerge w:val="continue"/>
            <w:tcBorders>
              <w:bottom w:val="single" w:color="auto" w:sz="4" w:space="0"/>
              <w:tl2br w:val="nil"/>
              <w:tr2bl w:val="nil"/>
            </w:tcBorders>
            <w:vAlign w:val="center"/>
          </w:tcPr>
          <w:p w14:paraId="04172D03">
            <w:pPr>
              <w:jc w:val="center"/>
              <w:rPr>
                <w:sz w:val="21"/>
                <w:szCs w:val="21"/>
                <w:highlight w:val="none"/>
              </w:rPr>
            </w:pPr>
          </w:p>
        </w:tc>
        <w:tc>
          <w:tcPr>
            <w:tcW w:w="476" w:type="pct"/>
            <w:vMerge w:val="continue"/>
            <w:tcBorders>
              <w:tl2br w:val="nil"/>
              <w:tr2bl w:val="nil"/>
            </w:tcBorders>
            <w:vAlign w:val="center"/>
          </w:tcPr>
          <w:p w14:paraId="12E68A24">
            <w:pPr>
              <w:jc w:val="center"/>
              <w:rPr>
                <w:sz w:val="21"/>
                <w:szCs w:val="21"/>
                <w:highlight w:val="none"/>
              </w:rPr>
            </w:pPr>
          </w:p>
        </w:tc>
        <w:tc>
          <w:tcPr>
            <w:tcW w:w="1050" w:type="pct"/>
            <w:vMerge w:val="continue"/>
            <w:tcBorders>
              <w:tl2br w:val="nil"/>
              <w:tr2bl w:val="nil"/>
            </w:tcBorders>
            <w:vAlign w:val="center"/>
          </w:tcPr>
          <w:p w14:paraId="5C1F9DAF">
            <w:pPr>
              <w:jc w:val="center"/>
              <w:rPr>
                <w:sz w:val="21"/>
                <w:szCs w:val="21"/>
                <w:highlight w:val="none"/>
              </w:rPr>
            </w:pPr>
          </w:p>
        </w:tc>
        <w:tc>
          <w:tcPr>
            <w:tcW w:w="444" w:type="pct"/>
            <w:tcBorders>
              <w:tl2br w:val="nil"/>
              <w:tr2bl w:val="nil"/>
            </w:tcBorders>
            <w:vAlign w:val="center"/>
          </w:tcPr>
          <w:p w14:paraId="7ECA6E54">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1FC7D011">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2300m</w:t>
            </w:r>
          </w:p>
        </w:tc>
      </w:tr>
      <w:tr w14:paraId="1CB8577D">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AD63677">
            <w:pPr>
              <w:jc w:val="center"/>
              <w:rPr>
                <w:sz w:val="21"/>
                <w:szCs w:val="21"/>
                <w:highlight w:val="none"/>
              </w:rPr>
            </w:pPr>
          </w:p>
        </w:tc>
        <w:tc>
          <w:tcPr>
            <w:tcW w:w="390" w:type="pct"/>
            <w:tcBorders>
              <w:tl2br w:val="nil"/>
              <w:tr2bl w:val="nil"/>
            </w:tcBorders>
            <w:vAlign w:val="center"/>
          </w:tcPr>
          <w:p w14:paraId="4AB289F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红太阳未来星幼儿园</w:t>
            </w:r>
          </w:p>
        </w:tc>
        <w:tc>
          <w:tcPr>
            <w:tcW w:w="625" w:type="pct"/>
            <w:tcBorders>
              <w:tl2br w:val="nil"/>
              <w:tr2bl w:val="nil"/>
            </w:tcBorders>
            <w:vAlign w:val="center"/>
          </w:tcPr>
          <w:p w14:paraId="6DC8C55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131.139143</w:t>
            </w:r>
          </w:p>
        </w:tc>
        <w:tc>
          <w:tcPr>
            <w:tcW w:w="598" w:type="pct"/>
            <w:tcBorders>
              <w:bottom w:val="single" w:color="auto" w:sz="4" w:space="0"/>
              <w:tl2br w:val="nil"/>
              <w:tr2bl w:val="nil"/>
            </w:tcBorders>
            <w:vAlign w:val="center"/>
          </w:tcPr>
          <w:p w14:paraId="31C1BF6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44.407190</w:t>
            </w:r>
          </w:p>
        </w:tc>
        <w:tc>
          <w:tcPr>
            <w:tcW w:w="450" w:type="pct"/>
            <w:vMerge w:val="restart"/>
            <w:tcBorders>
              <w:tl2br w:val="nil"/>
              <w:tr2bl w:val="nil"/>
            </w:tcBorders>
            <w:vAlign w:val="center"/>
          </w:tcPr>
          <w:p w14:paraId="68CE34DC">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文化区</w:t>
            </w:r>
          </w:p>
        </w:tc>
        <w:tc>
          <w:tcPr>
            <w:tcW w:w="476" w:type="pct"/>
            <w:vMerge w:val="continue"/>
            <w:tcBorders>
              <w:tl2br w:val="nil"/>
              <w:tr2bl w:val="nil"/>
            </w:tcBorders>
            <w:vAlign w:val="center"/>
          </w:tcPr>
          <w:p w14:paraId="37156668">
            <w:pPr>
              <w:jc w:val="center"/>
              <w:rPr>
                <w:sz w:val="21"/>
                <w:szCs w:val="21"/>
                <w:highlight w:val="none"/>
              </w:rPr>
            </w:pPr>
          </w:p>
        </w:tc>
        <w:tc>
          <w:tcPr>
            <w:tcW w:w="1050" w:type="pct"/>
            <w:vMerge w:val="continue"/>
            <w:tcBorders>
              <w:tl2br w:val="nil"/>
              <w:tr2bl w:val="nil"/>
            </w:tcBorders>
            <w:vAlign w:val="center"/>
          </w:tcPr>
          <w:p w14:paraId="580159EC">
            <w:pPr>
              <w:jc w:val="center"/>
              <w:rPr>
                <w:sz w:val="21"/>
                <w:szCs w:val="21"/>
                <w:highlight w:val="none"/>
              </w:rPr>
            </w:pPr>
          </w:p>
        </w:tc>
        <w:tc>
          <w:tcPr>
            <w:tcW w:w="444" w:type="pct"/>
            <w:tcBorders>
              <w:tl2br w:val="nil"/>
              <w:tr2bl w:val="nil"/>
            </w:tcBorders>
            <w:vAlign w:val="center"/>
          </w:tcPr>
          <w:p w14:paraId="4D5F122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D63846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650m</w:t>
            </w:r>
          </w:p>
        </w:tc>
      </w:tr>
      <w:tr w14:paraId="7FC1AE3F">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036E5A5">
            <w:pPr>
              <w:jc w:val="center"/>
              <w:rPr>
                <w:sz w:val="21"/>
                <w:szCs w:val="21"/>
                <w:highlight w:val="none"/>
              </w:rPr>
            </w:pPr>
          </w:p>
        </w:tc>
        <w:tc>
          <w:tcPr>
            <w:tcW w:w="390" w:type="pct"/>
            <w:tcBorders>
              <w:tl2br w:val="nil"/>
              <w:tr2bl w:val="nil"/>
            </w:tcBorders>
            <w:vAlign w:val="center"/>
          </w:tcPr>
          <w:p w14:paraId="3CD1800A">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金恒基小学</w:t>
            </w:r>
          </w:p>
        </w:tc>
        <w:tc>
          <w:tcPr>
            <w:tcW w:w="625" w:type="pct"/>
            <w:tcBorders>
              <w:tl2br w:val="nil"/>
              <w:tr2bl w:val="nil"/>
            </w:tcBorders>
            <w:vAlign w:val="center"/>
          </w:tcPr>
          <w:p w14:paraId="627DAE2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131.142769</w:t>
            </w:r>
          </w:p>
        </w:tc>
        <w:tc>
          <w:tcPr>
            <w:tcW w:w="598" w:type="pct"/>
            <w:tcBorders>
              <w:bottom w:val="single" w:color="auto" w:sz="4" w:space="0"/>
              <w:tl2br w:val="nil"/>
              <w:tr2bl w:val="nil"/>
            </w:tcBorders>
            <w:vAlign w:val="center"/>
          </w:tcPr>
          <w:p w14:paraId="5CF553C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44.405703</w:t>
            </w:r>
          </w:p>
        </w:tc>
        <w:tc>
          <w:tcPr>
            <w:tcW w:w="450" w:type="pct"/>
            <w:vMerge w:val="continue"/>
            <w:tcBorders>
              <w:tl2br w:val="nil"/>
              <w:tr2bl w:val="nil"/>
            </w:tcBorders>
            <w:vAlign w:val="center"/>
          </w:tcPr>
          <w:p w14:paraId="3D9621E3">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1C50A1C4">
            <w:pPr>
              <w:jc w:val="center"/>
              <w:rPr>
                <w:sz w:val="21"/>
                <w:szCs w:val="21"/>
                <w:highlight w:val="none"/>
              </w:rPr>
            </w:pPr>
          </w:p>
        </w:tc>
        <w:tc>
          <w:tcPr>
            <w:tcW w:w="1050" w:type="pct"/>
            <w:vMerge w:val="continue"/>
            <w:tcBorders>
              <w:tl2br w:val="nil"/>
              <w:tr2bl w:val="nil"/>
            </w:tcBorders>
            <w:vAlign w:val="center"/>
          </w:tcPr>
          <w:p w14:paraId="1318DDF5">
            <w:pPr>
              <w:jc w:val="center"/>
              <w:rPr>
                <w:sz w:val="21"/>
                <w:szCs w:val="21"/>
                <w:highlight w:val="none"/>
              </w:rPr>
            </w:pPr>
          </w:p>
        </w:tc>
        <w:tc>
          <w:tcPr>
            <w:tcW w:w="444" w:type="pct"/>
            <w:tcBorders>
              <w:tl2br w:val="nil"/>
              <w:tr2bl w:val="nil"/>
            </w:tcBorders>
            <w:vAlign w:val="center"/>
          </w:tcPr>
          <w:p w14:paraId="46977D8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2B185D5D">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500m</w:t>
            </w:r>
          </w:p>
        </w:tc>
      </w:tr>
      <w:tr w14:paraId="6EAE630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E5FCE5A">
            <w:pPr>
              <w:jc w:val="center"/>
              <w:rPr>
                <w:sz w:val="21"/>
                <w:szCs w:val="21"/>
                <w:highlight w:val="none"/>
              </w:rPr>
            </w:pPr>
          </w:p>
        </w:tc>
        <w:tc>
          <w:tcPr>
            <w:tcW w:w="390" w:type="pct"/>
            <w:tcBorders>
              <w:tl2br w:val="nil"/>
              <w:tr2bl w:val="nil"/>
            </w:tcBorders>
            <w:vAlign w:val="center"/>
          </w:tcPr>
          <w:p w14:paraId="6D2544F9">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弘孟幼儿园</w:t>
            </w:r>
          </w:p>
        </w:tc>
        <w:tc>
          <w:tcPr>
            <w:tcW w:w="625" w:type="pct"/>
            <w:tcBorders>
              <w:tl2br w:val="nil"/>
              <w:tr2bl w:val="nil"/>
            </w:tcBorders>
            <w:vAlign w:val="center"/>
          </w:tcPr>
          <w:p w14:paraId="38C173A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131.140280</w:t>
            </w:r>
          </w:p>
        </w:tc>
        <w:tc>
          <w:tcPr>
            <w:tcW w:w="598" w:type="pct"/>
            <w:tcBorders>
              <w:bottom w:val="single" w:color="auto" w:sz="4" w:space="0"/>
              <w:tl2br w:val="nil"/>
              <w:tr2bl w:val="nil"/>
            </w:tcBorders>
            <w:vAlign w:val="center"/>
          </w:tcPr>
          <w:p w14:paraId="7146C46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44.405703</w:t>
            </w:r>
          </w:p>
        </w:tc>
        <w:tc>
          <w:tcPr>
            <w:tcW w:w="450" w:type="pct"/>
            <w:vMerge w:val="continue"/>
            <w:tcBorders>
              <w:tl2br w:val="nil"/>
              <w:tr2bl w:val="nil"/>
            </w:tcBorders>
            <w:vAlign w:val="center"/>
          </w:tcPr>
          <w:p w14:paraId="7FE9C8F0">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77F44345">
            <w:pPr>
              <w:jc w:val="center"/>
              <w:rPr>
                <w:sz w:val="21"/>
                <w:szCs w:val="21"/>
                <w:highlight w:val="none"/>
              </w:rPr>
            </w:pPr>
          </w:p>
        </w:tc>
        <w:tc>
          <w:tcPr>
            <w:tcW w:w="1050" w:type="pct"/>
            <w:vMerge w:val="continue"/>
            <w:tcBorders>
              <w:tl2br w:val="nil"/>
              <w:tr2bl w:val="nil"/>
            </w:tcBorders>
            <w:vAlign w:val="center"/>
          </w:tcPr>
          <w:p w14:paraId="64444FE2">
            <w:pPr>
              <w:jc w:val="center"/>
              <w:rPr>
                <w:sz w:val="21"/>
                <w:szCs w:val="21"/>
                <w:highlight w:val="none"/>
              </w:rPr>
            </w:pPr>
          </w:p>
        </w:tc>
        <w:tc>
          <w:tcPr>
            <w:tcW w:w="444" w:type="pct"/>
            <w:tcBorders>
              <w:tl2br w:val="nil"/>
              <w:tr2bl w:val="nil"/>
            </w:tcBorders>
            <w:vAlign w:val="center"/>
          </w:tcPr>
          <w:p w14:paraId="54E8ACB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0CC94999">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650m</w:t>
            </w:r>
          </w:p>
        </w:tc>
      </w:tr>
      <w:tr w14:paraId="65DA527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9FBAC7C">
            <w:pPr>
              <w:jc w:val="center"/>
              <w:rPr>
                <w:sz w:val="21"/>
                <w:szCs w:val="21"/>
                <w:highlight w:val="none"/>
              </w:rPr>
            </w:pPr>
          </w:p>
        </w:tc>
        <w:tc>
          <w:tcPr>
            <w:tcW w:w="390" w:type="pct"/>
            <w:tcBorders>
              <w:tl2br w:val="nil"/>
              <w:tr2bl w:val="nil"/>
            </w:tcBorders>
            <w:vAlign w:val="center"/>
          </w:tcPr>
          <w:p w14:paraId="00B2F0D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红太阳幼儿园</w:t>
            </w:r>
          </w:p>
        </w:tc>
        <w:tc>
          <w:tcPr>
            <w:tcW w:w="625" w:type="pct"/>
            <w:tcBorders>
              <w:tl2br w:val="nil"/>
              <w:tr2bl w:val="nil"/>
            </w:tcBorders>
            <w:vAlign w:val="center"/>
          </w:tcPr>
          <w:p w14:paraId="4E8DB426">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131.152275</w:t>
            </w:r>
          </w:p>
        </w:tc>
        <w:tc>
          <w:tcPr>
            <w:tcW w:w="598" w:type="pct"/>
            <w:tcBorders>
              <w:bottom w:val="single" w:color="auto" w:sz="4" w:space="0"/>
              <w:tl2br w:val="nil"/>
              <w:tr2bl w:val="nil"/>
            </w:tcBorders>
            <w:vAlign w:val="center"/>
          </w:tcPr>
          <w:p w14:paraId="5A0342D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44.402085</w:t>
            </w:r>
          </w:p>
        </w:tc>
        <w:tc>
          <w:tcPr>
            <w:tcW w:w="450" w:type="pct"/>
            <w:vMerge w:val="continue"/>
            <w:tcBorders>
              <w:tl2br w:val="nil"/>
              <w:tr2bl w:val="nil"/>
            </w:tcBorders>
            <w:vAlign w:val="center"/>
          </w:tcPr>
          <w:p w14:paraId="7DB6E8BA">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253B27CB">
            <w:pPr>
              <w:jc w:val="center"/>
              <w:rPr>
                <w:sz w:val="21"/>
                <w:szCs w:val="21"/>
                <w:highlight w:val="none"/>
              </w:rPr>
            </w:pPr>
          </w:p>
        </w:tc>
        <w:tc>
          <w:tcPr>
            <w:tcW w:w="1050" w:type="pct"/>
            <w:vMerge w:val="continue"/>
            <w:tcBorders>
              <w:tl2br w:val="nil"/>
              <w:tr2bl w:val="nil"/>
            </w:tcBorders>
            <w:vAlign w:val="center"/>
          </w:tcPr>
          <w:p w14:paraId="51CBA068">
            <w:pPr>
              <w:jc w:val="center"/>
              <w:rPr>
                <w:sz w:val="21"/>
                <w:szCs w:val="21"/>
                <w:highlight w:val="none"/>
              </w:rPr>
            </w:pPr>
          </w:p>
        </w:tc>
        <w:tc>
          <w:tcPr>
            <w:tcW w:w="444" w:type="pct"/>
            <w:tcBorders>
              <w:tl2br w:val="nil"/>
              <w:tr2bl w:val="nil"/>
            </w:tcBorders>
            <w:vAlign w:val="center"/>
          </w:tcPr>
          <w:p w14:paraId="32FD7E1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179E2873">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800m</w:t>
            </w:r>
          </w:p>
        </w:tc>
      </w:tr>
      <w:tr w14:paraId="776C342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2ADEDFA">
            <w:pPr>
              <w:jc w:val="center"/>
              <w:rPr>
                <w:sz w:val="21"/>
                <w:szCs w:val="21"/>
                <w:highlight w:val="none"/>
              </w:rPr>
            </w:pPr>
          </w:p>
        </w:tc>
        <w:tc>
          <w:tcPr>
            <w:tcW w:w="390" w:type="pct"/>
            <w:tcBorders>
              <w:tl2br w:val="nil"/>
              <w:tr2bl w:val="nil"/>
            </w:tcBorders>
            <w:vAlign w:val="center"/>
          </w:tcPr>
          <w:p w14:paraId="55B3FF9E">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千里幼稚园</w:t>
            </w:r>
          </w:p>
        </w:tc>
        <w:tc>
          <w:tcPr>
            <w:tcW w:w="625" w:type="pct"/>
            <w:tcBorders>
              <w:tl2br w:val="nil"/>
              <w:tr2bl w:val="nil"/>
            </w:tcBorders>
            <w:vAlign w:val="center"/>
          </w:tcPr>
          <w:p w14:paraId="6181B40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131.156266</w:t>
            </w:r>
          </w:p>
        </w:tc>
        <w:tc>
          <w:tcPr>
            <w:tcW w:w="598" w:type="pct"/>
            <w:tcBorders>
              <w:bottom w:val="single" w:color="auto" w:sz="4" w:space="0"/>
              <w:tl2br w:val="nil"/>
              <w:tr2bl w:val="nil"/>
            </w:tcBorders>
            <w:vAlign w:val="center"/>
          </w:tcPr>
          <w:p w14:paraId="26117423">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44.400000</w:t>
            </w:r>
          </w:p>
        </w:tc>
        <w:tc>
          <w:tcPr>
            <w:tcW w:w="450" w:type="pct"/>
            <w:vMerge w:val="continue"/>
            <w:tcBorders>
              <w:tl2br w:val="nil"/>
              <w:tr2bl w:val="nil"/>
            </w:tcBorders>
            <w:vAlign w:val="center"/>
          </w:tcPr>
          <w:p w14:paraId="56951F0D">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2D18535D">
            <w:pPr>
              <w:jc w:val="center"/>
              <w:rPr>
                <w:sz w:val="21"/>
                <w:szCs w:val="21"/>
                <w:highlight w:val="none"/>
              </w:rPr>
            </w:pPr>
          </w:p>
        </w:tc>
        <w:tc>
          <w:tcPr>
            <w:tcW w:w="1050" w:type="pct"/>
            <w:vMerge w:val="continue"/>
            <w:tcBorders>
              <w:tl2br w:val="nil"/>
              <w:tr2bl w:val="nil"/>
            </w:tcBorders>
            <w:vAlign w:val="center"/>
          </w:tcPr>
          <w:p w14:paraId="721BE85F">
            <w:pPr>
              <w:jc w:val="center"/>
              <w:rPr>
                <w:sz w:val="21"/>
                <w:szCs w:val="21"/>
                <w:highlight w:val="none"/>
              </w:rPr>
            </w:pPr>
          </w:p>
        </w:tc>
        <w:tc>
          <w:tcPr>
            <w:tcW w:w="444" w:type="pct"/>
            <w:tcBorders>
              <w:tl2br w:val="nil"/>
              <w:tr2bl w:val="nil"/>
            </w:tcBorders>
            <w:vAlign w:val="center"/>
          </w:tcPr>
          <w:p w14:paraId="51D1761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729FEA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1200m</w:t>
            </w:r>
          </w:p>
        </w:tc>
      </w:tr>
      <w:tr w14:paraId="6212231A">
        <w:tblPrEx>
          <w:tblCellMar>
            <w:top w:w="0" w:type="dxa"/>
            <w:left w:w="108" w:type="dxa"/>
            <w:bottom w:w="0" w:type="dxa"/>
            <w:right w:w="108" w:type="dxa"/>
          </w:tblCellMar>
        </w:tblPrEx>
        <w:tc>
          <w:tcPr>
            <w:tcW w:w="390" w:type="pct"/>
            <w:vMerge w:val="continue"/>
            <w:tcBorders>
              <w:tl2br w:val="nil"/>
              <w:tr2bl w:val="nil"/>
            </w:tcBorders>
            <w:vAlign w:val="center"/>
          </w:tcPr>
          <w:p w14:paraId="5948272B">
            <w:pPr>
              <w:jc w:val="center"/>
              <w:rPr>
                <w:sz w:val="21"/>
                <w:szCs w:val="21"/>
                <w:highlight w:val="none"/>
              </w:rPr>
            </w:pPr>
          </w:p>
        </w:tc>
        <w:tc>
          <w:tcPr>
            <w:tcW w:w="390" w:type="pct"/>
            <w:tcBorders>
              <w:tl2br w:val="nil"/>
              <w:tr2bl w:val="nil"/>
            </w:tcBorders>
            <w:vAlign w:val="center"/>
          </w:tcPr>
          <w:p w14:paraId="319CA33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绥芬河市第一中学</w:t>
            </w:r>
          </w:p>
        </w:tc>
        <w:tc>
          <w:tcPr>
            <w:tcW w:w="625" w:type="pct"/>
            <w:tcBorders>
              <w:tl2br w:val="nil"/>
              <w:tr2bl w:val="nil"/>
            </w:tcBorders>
            <w:vAlign w:val="center"/>
          </w:tcPr>
          <w:p w14:paraId="11BADAF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131.157618</w:t>
            </w:r>
          </w:p>
        </w:tc>
        <w:tc>
          <w:tcPr>
            <w:tcW w:w="598" w:type="pct"/>
            <w:tcBorders>
              <w:bottom w:val="single" w:color="auto" w:sz="4" w:space="0"/>
              <w:tl2br w:val="nil"/>
              <w:tr2bl w:val="nil"/>
            </w:tcBorders>
            <w:vAlign w:val="center"/>
          </w:tcPr>
          <w:p w14:paraId="3CCF334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44.400491</w:t>
            </w:r>
          </w:p>
        </w:tc>
        <w:tc>
          <w:tcPr>
            <w:tcW w:w="450" w:type="pct"/>
            <w:vMerge w:val="continue"/>
            <w:tcBorders>
              <w:tl2br w:val="nil"/>
              <w:tr2bl w:val="nil"/>
            </w:tcBorders>
            <w:vAlign w:val="center"/>
          </w:tcPr>
          <w:p w14:paraId="7B697F3E">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6A5E634F">
            <w:pPr>
              <w:jc w:val="center"/>
              <w:rPr>
                <w:sz w:val="21"/>
                <w:szCs w:val="21"/>
                <w:highlight w:val="none"/>
              </w:rPr>
            </w:pPr>
          </w:p>
        </w:tc>
        <w:tc>
          <w:tcPr>
            <w:tcW w:w="1050" w:type="pct"/>
            <w:vMerge w:val="continue"/>
            <w:tcBorders>
              <w:tl2br w:val="nil"/>
              <w:tr2bl w:val="nil"/>
            </w:tcBorders>
            <w:vAlign w:val="center"/>
          </w:tcPr>
          <w:p w14:paraId="5E326BEA">
            <w:pPr>
              <w:jc w:val="center"/>
              <w:rPr>
                <w:sz w:val="21"/>
                <w:szCs w:val="21"/>
                <w:highlight w:val="none"/>
              </w:rPr>
            </w:pPr>
          </w:p>
        </w:tc>
        <w:tc>
          <w:tcPr>
            <w:tcW w:w="444" w:type="pct"/>
            <w:tcBorders>
              <w:tl2br w:val="nil"/>
              <w:tr2bl w:val="nil"/>
            </w:tcBorders>
            <w:vAlign w:val="center"/>
          </w:tcPr>
          <w:p w14:paraId="59EA60F3">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0B1F7CB3">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1200m</w:t>
            </w:r>
          </w:p>
        </w:tc>
      </w:tr>
      <w:tr w14:paraId="1A15BEE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6400FE0">
            <w:pPr>
              <w:jc w:val="center"/>
              <w:rPr>
                <w:sz w:val="21"/>
                <w:szCs w:val="21"/>
                <w:highlight w:val="none"/>
              </w:rPr>
            </w:pPr>
          </w:p>
        </w:tc>
        <w:tc>
          <w:tcPr>
            <w:tcW w:w="390" w:type="pct"/>
            <w:tcBorders>
              <w:tl2br w:val="nil"/>
              <w:tr2bl w:val="nil"/>
            </w:tcBorders>
            <w:vAlign w:val="center"/>
          </w:tcPr>
          <w:p w14:paraId="4F098F9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育都幼儿园</w:t>
            </w:r>
          </w:p>
        </w:tc>
        <w:tc>
          <w:tcPr>
            <w:tcW w:w="625" w:type="pct"/>
            <w:tcBorders>
              <w:tl2br w:val="nil"/>
              <w:tr2bl w:val="nil"/>
            </w:tcBorders>
            <w:vAlign w:val="center"/>
          </w:tcPr>
          <w:p w14:paraId="488B7BC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131.160536</w:t>
            </w:r>
          </w:p>
        </w:tc>
        <w:tc>
          <w:tcPr>
            <w:tcW w:w="598" w:type="pct"/>
            <w:tcBorders>
              <w:bottom w:val="single" w:color="auto" w:sz="4" w:space="0"/>
              <w:tl2br w:val="nil"/>
              <w:tr2bl w:val="nil"/>
            </w:tcBorders>
            <w:vAlign w:val="center"/>
          </w:tcPr>
          <w:p w14:paraId="51B4BF8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44.399694</w:t>
            </w:r>
          </w:p>
        </w:tc>
        <w:tc>
          <w:tcPr>
            <w:tcW w:w="450" w:type="pct"/>
            <w:vMerge w:val="continue"/>
            <w:tcBorders>
              <w:tl2br w:val="nil"/>
              <w:tr2bl w:val="nil"/>
            </w:tcBorders>
            <w:vAlign w:val="center"/>
          </w:tcPr>
          <w:p w14:paraId="5366E967">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0BFFFB11">
            <w:pPr>
              <w:jc w:val="center"/>
              <w:rPr>
                <w:sz w:val="21"/>
                <w:szCs w:val="21"/>
                <w:highlight w:val="none"/>
              </w:rPr>
            </w:pPr>
          </w:p>
        </w:tc>
        <w:tc>
          <w:tcPr>
            <w:tcW w:w="1050" w:type="pct"/>
            <w:vMerge w:val="continue"/>
            <w:tcBorders>
              <w:tl2br w:val="nil"/>
              <w:tr2bl w:val="nil"/>
            </w:tcBorders>
            <w:vAlign w:val="center"/>
          </w:tcPr>
          <w:p w14:paraId="1D20C94E">
            <w:pPr>
              <w:jc w:val="center"/>
              <w:rPr>
                <w:sz w:val="21"/>
                <w:szCs w:val="21"/>
                <w:highlight w:val="none"/>
              </w:rPr>
            </w:pPr>
          </w:p>
        </w:tc>
        <w:tc>
          <w:tcPr>
            <w:tcW w:w="444" w:type="pct"/>
            <w:tcBorders>
              <w:tl2br w:val="nil"/>
              <w:tr2bl w:val="nil"/>
            </w:tcBorders>
            <w:vAlign w:val="center"/>
          </w:tcPr>
          <w:p w14:paraId="04A475CD">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72663F19">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1250m</w:t>
            </w:r>
          </w:p>
        </w:tc>
      </w:tr>
      <w:tr w14:paraId="5E737058">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02C1B19">
            <w:pPr>
              <w:jc w:val="center"/>
              <w:rPr>
                <w:sz w:val="21"/>
                <w:szCs w:val="21"/>
                <w:highlight w:val="none"/>
              </w:rPr>
            </w:pPr>
          </w:p>
        </w:tc>
        <w:tc>
          <w:tcPr>
            <w:tcW w:w="390" w:type="pct"/>
            <w:tcBorders>
              <w:tl2br w:val="nil"/>
              <w:tr2bl w:val="nil"/>
            </w:tcBorders>
            <w:vAlign w:val="center"/>
          </w:tcPr>
          <w:p w14:paraId="295303CA">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绥芬河市少年儿童业余体校</w:t>
            </w:r>
          </w:p>
        </w:tc>
        <w:tc>
          <w:tcPr>
            <w:tcW w:w="625" w:type="pct"/>
            <w:tcBorders>
              <w:tl2br w:val="nil"/>
              <w:tr2bl w:val="nil"/>
            </w:tcBorders>
            <w:vAlign w:val="center"/>
          </w:tcPr>
          <w:p w14:paraId="14144A4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131.133499</w:t>
            </w:r>
          </w:p>
        </w:tc>
        <w:tc>
          <w:tcPr>
            <w:tcW w:w="598" w:type="pct"/>
            <w:tcBorders>
              <w:bottom w:val="single" w:color="auto" w:sz="4" w:space="0"/>
              <w:tl2br w:val="nil"/>
              <w:tr2bl w:val="nil"/>
            </w:tcBorders>
            <w:vAlign w:val="center"/>
          </w:tcPr>
          <w:p w14:paraId="056DF6B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44.396597</w:t>
            </w:r>
          </w:p>
        </w:tc>
        <w:tc>
          <w:tcPr>
            <w:tcW w:w="450" w:type="pct"/>
            <w:vMerge w:val="continue"/>
            <w:tcBorders>
              <w:tl2br w:val="nil"/>
              <w:tr2bl w:val="nil"/>
            </w:tcBorders>
            <w:vAlign w:val="center"/>
          </w:tcPr>
          <w:p w14:paraId="7B2CE17B">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09772547">
            <w:pPr>
              <w:jc w:val="center"/>
              <w:rPr>
                <w:sz w:val="21"/>
                <w:szCs w:val="21"/>
                <w:highlight w:val="none"/>
              </w:rPr>
            </w:pPr>
          </w:p>
        </w:tc>
        <w:tc>
          <w:tcPr>
            <w:tcW w:w="1050" w:type="pct"/>
            <w:vMerge w:val="continue"/>
            <w:tcBorders>
              <w:tl2br w:val="nil"/>
              <w:tr2bl w:val="nil"/>
            </w:tcBorders>
            <w:vAlign w:val="center"/>
          </w:tcPr>
          <w:p w14:paraId="2E8E3DFC">
            <w:pPr>
              <w:jc w:val="center"/>
              <w:rPr>
                <w:sz w:val="21"/>
                <w:szCs w:val="21"/>
                <w:highlight w:val="none"/>
              </w:rPr>
            </w:pPr>
          </w:p>
        </w:tc>
        <w:tc>
          <w:tcPr>
            <w:tcW w:w="444" w:type="pct"/>
            <w:tcBorders>
              <w:tl2br w:val="nil"/>
              <w:tr2bl w:val="nil"/>
            </w:tcBorders>
            <w:vAlign w:val="center"/>
          </w:tcPr>
          <w:p w14:paraId="582AF810">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0E77BD51">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1700m</w:t>
            </w:r>
          </w:p>
        </w:tc>
      </w:tr>
      <w:tr w14:paraId="22E501F7">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609C2A8">
            <w:pPr>
              <w:jc w:val="center"/>
              <w:rPr>
                <w:sz w:val="21"/>
                <w:szCs w:val="21"/>
                <w:highlight w:val="none"/>
              </w:rPr>
            </w:pPr>
          </w:p>
        </w:tc>
        <w:tc>
          <w:tcPr>
            <w:tcW w:w="390" w:type="pct"/>
            <w:tcBorders>
              <w:tl2br w:val="nil"/>
              <w:tr2bl w:val="nil"/>
            </w:tcBorders>
            <w:vAlign w:val="center"/>
          </w:tcPr>
          <w:p w14:paraId="5B20BB38">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绥芬河市第三中学</w:t>
            </w:r>
          </w:p>
        </w:tc>
        <w:tc>
          <w:tcPr>
            <w:tcW w:w="625" w:type="pct"/>
            <w:tcBorders>
              <w:tl2br w:val="nil"/>
              <w:tr2bl w:val="nil"/>
            </w:tcBorders>
            <w:vAlign w:val="center"/>
          </w:tcPr>
          <w:p w14:paraId="4968228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131.160707</w:t>
            </w:r>
          </w:p>
        </w:tc>
        <w:tc>
          <w:tcPr>
            <w:tcW w:w="598" w:type="pct"/>
            <w:tcBorders>
              <w:bottom w:val="single" w:color="auto" w:sz="4" w:space="0"/>
              <w:tl2br w:val="nil"/>
              <w:tr2bl w:val="nil"/>
            </w:tcBorders>
            <w:vAlign w:val="center"/>
          </w:tcPr>
          <w:p w14:paraId="0D3C867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44.390004</w:t>
            </w:r>
          </w:p>
        </w:tc>
        <w:tc>
          <w:tcPr>
            <w:tcW w:w="450" w:type="pct"/>
            <w:vMerge w:val="continue"/>
            <w:tcBorders>
              <w:bottom w:val="single" w:color="auto" w:sz="4" w:space="0"/>
              <w:tl2br w:val="nil"/>
              <w:tr2bl w:val="nil"/>
            </w:tcBorders>
            <w:vAlign w:val="center"/>
          </w:tcPr>
          <w:p w14:paraId="10C5DB37">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2DDED386">
            <w:pPr>
              <w:jc w:val="center"/>
              <w:rPr>
                <w:sz w:val="21"/>
                <w:szCs w:val="21"/>
                <w:highlight w:val="none"/>
              </w:rPr>
            </w:pPr>
          </w:p>
        </w:tc>
        <w:tc>
          <w:tcPr>
            <w:tcW w:w="1050" w:type="pct"/>
            <w:vMerge w:val="continue"/>
            <w:tcBorders>
              <w:tl2br w:val="nil"/>
              <w:tr2bl w:val="nil"/>
            </w:tcBorders>
            <w:vAlign w:val="center"/>
          </w:tcPr>
          <w:p w14:paraId="45CC6FCB">
            <w:pPr>
              <w:jc w:val="center"/>
              <w:rPr>
                <w:sz w:val="21"/>
                <w:szCs w:val="21"/>
                <w:highlight w:val="none"/>
              </w:rPr>
            </w:pPr>
          </w:p>
        </w:tc>
        <w:tc>
          <w:tcPr>
            <w:tcW w:w="444" w:type="pct"/>
            <w:tcBorders>
              <w:tl2br w:val="nil"/>
              <w:tr2bl w:val="nil"/>
            </w:tcBorders>
            <w:vAlign w:val="center"/>
          </w:tcPr>
          <w:p w14:paraId="134AFF0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5C1DA43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2200m</w:t>
            </w:r>
          </w:p>
        </w:tc>
      </w:tr>
      <w:tr w14:paraId="6219300D">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2504B29">
            <w:pPr>
              <w:jc w:val="center"/>
              <w:rPr>
                <w:sz w:val="21"/>
                <w:szCs w:val="21"/>
                <w:highlight w:val="none"/>
              </w:rPr>
            </w:pPr>
          </w:p>
        </w:tc>
        <w:tc>
          <w:tcPr>
            <w:tcW w:w="390" w:type="pct"/>
            <w:tcBorders>
              <w:tl2br w:val="nil"/>
              <w:tr2bl w:val="nil"/>
            </w:tcBorders>
            <w:vAlign w:val="center"/>
          </w:tcPr>
          <w:p w14:paraId="6FAE964B">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旅游局家属楼（5层）</w:t>
            </w:r>
          </w:p>
        </w:tc>
        <w:tc>
          <w:tcPr>
            <w:tcW w:w="625" w:type="pct"/>
            <w:tcBorders>
              <w:tl2br w:val="nil"/>
              <w:tr2bl w:val="nil"/>
            </w:tcBorders>
            <w:vAlign w:val="center"/>
          </w:tcPr>
          <w:p w14:paraId="765BA30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131.148648</w:t>
            </w:r>
          </w:p>
        </w:tc>
        <w:tc>
          <w:tcPr>
            <w:tcW w:w="598" w:type="pct"/>
            <w:tcBorders>
              <w:bottom w:val="single" w:color="auto" w:sz="4" w:space="0"/>
              <w:tl2br w:val="nil"/>
              <w:tr2bl w:val="nil"/>
            </w:tcBorders>
            <w:vAlign w:val="center"/>
          </w:tcPr>
          <w:p w14:paraId="19C8EDB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44.408892</w:t>
            </w:r>
          </w:p>
        </w:tc>
        <w:tc>
          <w:tcPr>
            <w:tcW w:w="450" w:type="pct"/>
            <w:vMerge w:val="restart"/>
            <w:tcBorders>
              <w:tl2br w:val="nil"/>
              <w:tr2bl w:val="nil"/>
            </w:tcBorders>
            <w:vAlign w:val="center"/>
          </w:tcPr>
          <w:p w14:paraId="48879E26">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居住区</w:t>
            </w:r>
          </w:p>
        </w:tc>
        <w:tc>
          <w:tcPr>
            <w:tcW w:w="476" w:type="pct"/>
            <w:vMerge w:val="continue"/>
            <w:tcBorders>
              <w:tl2br w:val="nil"/>
              <w:tr2bl w:val="nil"/>
            </w:tcBorders>
            <w:vAlign w:val="center"/>
          </w:tcPr>
          <w:p w14:paraId="4DCCBFDC">
            <w:pPr>
              <w:jc w:val="center"/>
              <w:rPr>
                <w:sz w:val="21"/>
                <w:szCs w:val="21"/>
                <w:highlight w:val="none"/>
              </w:rPr>
            </w:pPr>
          </w:p>
        </w:tc>
        <w:tc>
          <w:tcPr>
            <w:tcW w:w="1050" w:type="pct"/>
            <w:vMerge w:val="continue"/>
            <w:tcBorders>
              <w:tl2br w:val="nil"/>
              <w:tr2bl w:val="nil"/>
            </w:tcBorders>
            <w:vAlign w:val="center"/>
          </w:tcPr>
          <w:p w14:paraId="057C2146">
            <w:pPr>
              <w:jc w:val="center"/>
              <w:rPr>
                <w:sz w:val="21"/>
                <w:szCs w:val="21"/>
                <w:highlight w:val="none"/>
              </w:rPr>
            </w:pPr>
          </w:p>
        </w:tc>
        <w:tc>
          <w:tcPr>
            <w:tcW w:w="444" w:type="pct"/>
            <w:tcBorders>
              <w:tl2br w:val="nil"/>
              <w:tr2bl w:val="nil"/>
            </w:tcBorders>
            <w:vAlign w:val="center"/>
          </w:tcPr>
          <w:p w14:paraId="157C1BF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W</w:t>
            </w:r>
          </w:p>
        </w:tc>
        <w:tc>
          <w:tcPr>
            <w:tcW w:w="574" w:type="pct"/>
            <w:tcBorders>
              <w:tl2br w:val="nil"/>
              <w:tr2bl w:val="nil"/>
            </w:tcBorders>
            <w:vAlign w:val="center"/>
          </w:tcPr>
          <w:p w14:paraId="0400E29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20m</w:t>
            </w:r>
          </w:p>
        </w:tc>
      </w:tr>
      <w:tr w14:paraId="0F576437">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C15F66E">
            <w:pPr>
              <w:jc w:val="center"/>
              <w:rPr>
                <w:sz w:val="21"/>
                <w:szCs w:val="21"/>
                <w:highlight w:val="none"/>
              </w:rPr>
            </w:pPr>
          </w:p>
        </w:tc>
        <w:tc>
          <w:tcPr>
            <w:tcW w:w="390" w:type="pct"/>
            <w:tcBorders>
              <w:tl2br w:val="nil"/>
              <w:tr2bl w:val="nil"/>
            </w:tcBorders>
            <w:vAlign w:val="center"/>
          </w:tcPr>
          <w:p w14:paraId="7AD97B5E">
            <w:pPr>
              <w:pStyle w:val="32"/>
              <w:widowControl w:val="0"/>
              <w:adjustRightInd w:val="0"/>
              <w:snapToGrid w:val="0"/>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新安幸福嘉园（11层）</w:t>
            </w:r>
          </w:p>
        </w:tc>
        <w:tc>
          <w:tcPr>
            <w:tcW w:w="625" w:type="pct"/>
            <w:tcBorders>
              <w:tl2br w:val="nil"/>
              <w:tr2bl w:val="nil"/>
            </w:tcBorders>
            <w:vAlign w:val="center"/>
          </w:tcPr>
          <w:p w14:paraId="57E2F77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131.146009</w:t>
            </w:r>
          </w:p>
        </w:tc>
        <w:tc>
          <w:tcPr>
            <w:tcW w:w="598" w:type="pct"/>
            <w:tcBorders>
              <w:bottom w:val="single" w:color="auto" w:sz="4" w:space="0"/>
              <w:tl2br w:val="nil"/>
              <w:tr2bl w:val="nil"/>
            </w:tcBorders>
            <w:vAlign w:val="center"/>
          </w:tcPr>
          <w:p w14:paraId="27AFB91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44.409068</w:t>
            </w:r>
          </w:p>
        </w:tc>
        <w:tc>
          <w:tcPr>
            <w:tcW w:w="450" w:type="pct"/>
            <w:vMerge w:val="continue"/>
            <w:tcBorders>
              <w:tl2br w:val="nil"/>
              <w:tr2bl w:val="nil"/>
            </w:tcBorders>
            <w:vAlign w:val="center"/>
          </w:tcPr>
          <w:p w14:paraId="2A3ACE1B">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3CA47A89">
            <w:pPr>
              <w:jc w:val="center"/>
              <w:rPr>
                <w:sz w:val="21"/>
                <w:szCs w:val="21"/>
                <w:highlight w:val="none"/>
              </w:rPr>
            </w:pPr>
          </w:p>
        </w:tc>
        <w:tc>
          <w:tcPr>
            <w:tcW w:w="1050" w:type="pct"/>
            <w:vMerge w:val="continue"/>
            <w:tcBorders>
              <w:tl2br w:val="nil"/>
              <w:tr2bl w:val="nil"/>
            </w:tcBorders>
            <w:vAlign w:val="center"/>
          </w:tcPr>
          <w:p w14:paraId="2A5DDF71">
            <w:pPr>
              <w:jc w:val="center"/>
              <w:rPr>
                <w:sz w:val="21"/>
                <w:szCs w:val="21"/>
                <w:highlight w:val="none"/>
              </w:rPr>
            </w:pPr>
          </w:p>
        </w:tc>
        <w:tc>
          <w:tcPr>
            <w:tcW w:w="444" w:type="pct"/>
            <w:tcBorders>
              <w:tl2br w:val="nil"/>
              <w:tr2bl w:val="nil"/>
            </w:tcBorders>
            <w:vAlign w:val="center"/>
          </w:tcPr>
          <w:p w14:paraId="20272981">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W</w:t>
            </w:r>
          </w:p>
        </w:tc>
        <w:tc>
          <w:tcPr>
            <w:tcW w:w="574" w:type="pct"/>
            <w:tcBorders>
              <w:tl2br w:val="nil"/>
              <w:tr2bl w:val="nil"/>
            </w:tcBorders>
            <w:vAlign w:val="center"/>
          </w:tcPr>
          <w:p w14:paraId="7B048F35">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20</w:t>
            </w:r>
            <w:r>
              <w:rPr>
                <w:rFonts w:hint="eastAsia"/>
                <w:sz w:val="21"/>
                <w:szCs w:val="21"/>
                <w:highlight w:val="none"/>
              </w:rPr>
              <w:t>m</w:t>
            </w:r>
          </w:p>
        </w:tc>
      </w:tr>
      <w:tr w14:paraId="6B7488F0">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7C7B79AE">
            <w:pPr>
              <w:jc w:val="center"/>
              <w:rPr>
                <w:sz w:val="21"/>
                <w:szCs w:val="21"/>
                <w:highlight w:val="none"/>
              </w:rPr>
            </w:pPr>
          </w:p>
        </w:tc>
        <w:tc>
          <w:tcPr>
            <w:tcW w:w="390" w:type="pct"/>
            <w:tcBorders>
              <w:tl2br w:val="nil"/>
              <w:tr2bl w:val="nil"/>
            </w:tcBorders>
            <w:vAlign w:val="center"/>
          </w:tcPr>
          <w:p w14:paraId="346A25DE">
            <w:pPr>
              <w:pStyle w:val="32"/>
              <w:widowControl w:val="0"/>
              <w:adjustRightInd w:val="0"/>
              <w:snapToGrid w:val="0"/>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中兴小区</w:t>
            </w:r>
          </w:p>
        </w:tc>
        <w:tc>
          <w:tcPr>
            <w:tcW w:w="625" w:type="pct"/>
            <w:tcBorders>
              <w:tl2br w:val="nil"/>
              <w:tr2bl w:val="nil"/>
            </w:tcBorders>
            <w:vAlign w:val="center"/>
          </w:tcPr>
          <w:p w14:paraId="1AEC840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131.145344</w:t>
            </w:r>
          </w:p>
        </w:tc>
        <w:tc>
          <w:tcPr>
            <w:tcW w:w="598" w:type="pct"/>
            <w:tcBorders>
              <w:bottom w:val="single" w:color="auto" w:sz="4" w:space="0"/>
              <w:tl2br w:val="nil"/>
              <w:tr2bl w:val="nil"/>
            </w:tcBorders>
            <w:vAlign w:val="center"/>
          </w:tcPr>
          <w:p w14:paraId="699BFA6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44.407964</w:t>
            </w:r>
          </w:p>
        </w:tc>
        <w:tc>
          <w:tcPr>
            <w:tcW w:w="450" w:type="pct"/>
            <w:vMerge w:val="continue"/>
            <w:tcBorders>
              <w:tl2br w:val="nil"/>
              <w:tr2bl w:val="nil"/>
            </w:tcBorders>
            <w:vAlign w:val="center"/>
          </w:tcPr>
          <w:p w14:paraId="5A3AE32E">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3754946F">
            <w:pPr>
              <w:jc w:val="center"/>
              <w:rPr>
                <w:sz w:val="21"/>
                <w:szCs w:val="21"/>
                <w:highlight w:val="none"/>
              </w:rPr>
            </w:pPr>
          </w:p>
        </w:tc>
        <w:tc>
          <w:tcPr>
            <w:tcW w:w="1050" w:type="pct"/>
            <w:vMerge w:val="continue"/>
            <w:tcBorders>
              <w:tl2br w:val="nil"/>
              <w:tr2bl w:val="nil"/>
            </w:tcBorders>
            <w:vAlign w:val="center"/>
          </w:tcPr>
          <w:p w14:paraId="194F013A">
            <w:pPr>
              <w:jc w:val="center"/>
              <w:rPr>
                <w:sz w:val="21"/>
                <w:szCs w:val="21"/>
                <w:highlight w:val="none"/>
              </w:rPr>
            </w:pPr>
          </w:p>
        </w:tc>
        <w:tc>
          <w:tcPr>
            <w:tcW w:w="444" w:type="pct"/>
            <w:tcBorders>
              <w:tl2br w:val="nil"/>
              <w:tr2bl w:val="nil"/>
            </w:tcBorders>
            <w:vAlign w:val="center"/>
          </w:tcPr>
          <w:p w14:paraId="39552409">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33176DC9">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180m</w:t>
            </w:r>
          </w:p>
        </w:tc>
      </w:tr>
      <w:tr w14:paraId="699EE165">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4F495EF">
            <w:pPr>
              <w:jc w:val="center"/>
              <w:rPr>
                <w:sz w:val="21"/>
                <w:szCs w:val="21"/>
                <w:highlight w:val="none"/>
              </w:rPr>
            </w:pPr>
          </w:p>
        </w:tc>
        <w:tc>
          <w:tcPr>
            <w:tcW w:w="390" w:type="pct"/>
            <w:tcBorders>
              <w:tl2br w:val="nil"/>
              <w:tr2bl w:val="nil"/>
            </w:tcBorders>
            <w:vAlign w:val="center"/>
          </w:tcPr>
          <w:p w14:paraId="0BFE1EC9">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绥兴社区</w:t>
            </w:r>
          </w:p>
        </w:tc>
        <w:tc>
          <w:tcPr>
            <w:tcW w:w="625" w:type="pct"/>
            <w:tcBorders>
              <w:tl2br w:val="nil"/>
              <w:tr2bl w:val="nil"/>
            </w:tcBorders>
            <w:vAlign w:val="center"/>
          </w:tcPr>
          <w:p w14:paraId="5CF91D4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131.140505</w:t>
            </w:r>
          </w:p>
        </w:tc>
        <w:tc>
          <w:tcPr>
            <w:tcW w:w="598" w:type="pct"/>
            <w:tcBorders>
              <w:bottom w:val="single" w:color="auto" w:sz="4" w:space="0"/>
              <w:tl2br w:val="nil"/>
              <w:tr2bl w:val="nil"/>
            </w:tcBorders>
            <w:vAlign w:val="center"/>
          </w:tcPr>
          <w:p w14:paraId="68FDE8B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44.408079</w:t>
            </w:r>
          </w:p>
        </w:tc>
        <w:tc>
          <w:tcPr>
            <w:tcW w:w="450" w:type="pct"/>
            <w:vMerge w:val="continue"/>
            <w:tcBorders>
              <w:tl2br w:val="nil"/>
              <w:tr2bl w:val="nil"/>
            </w:tcBorders>
            <w:vAlign w:val="center"/>
          </w:tcPr>
          <w:p w14:paraId="577C4749">
            <w:pPr>
              <w:ind w:left="0" w:leftChars="0" w:firstLine="0" w:firstLineChars="0"/>
              <w:jc w:val="center"/>
              <w:rPr>
                <w:rFonts w:hint="default"/>
                <w:sz w:val="21"/>
                <w:szCs w:val="21"/>
                <w:highlight w:val="none"/>
                <w:lang w:val="en-US" w:eastAsia="zh-CN"/>
              </w:rPr>
            </w:pPr>
          </w:p>
        </w:tc>
        <w:tc>
          <w:tcPr>
            <w:tcW w:w="476" w:type="pct"/>
            <w:vMerge w:val="continue"/>
            <w:tcBorders>
              <w:tl2br w:val="nil"/>
              <w:tr2bl w:val="nil"/>
            </w:tcBorders>
            <w:vAlign w:val="center"/>
          </w:tcPr>
          <w:p w14:paraId="4B20361B">
            <w:pPr>
              <w:jc w:val="center"/>
              <w:rPr>
                <w:sz w:val="21"/>
                <w:szCs w:val="21"/>
                <w:highlight w:val="none"/>
              </w:rPr>
            </w:pPr>
          </w:p>
        </w:tc>
        <w:tc>
          <w:tcPr>
            <w:tcW w:w="1050" w:type="pct"/>
            <w:vMerge w:val="continue"/>
            <w:tcBorders>
              <w:tl2br w:val="nil"/>
              <w:tr2bl w:val="nil"/>
            </w:tcBorders>
            <w:vAlign w:val="center"/>
          </w:tcPr>
          <w:p w14:paraId="17D2CBB7">
            <w:pPr>
              <w:jc w:val="center"/>
              <w:rPr>
                <w:sz w:val="21"/>
                <w:szCs w:val="21"/>
                <w:highlight w:val="none"/>
              </w:rPr>
            </w:pPr>
          </w:p>
        </w:tc>
        <w:tc>
          <w:tcPr>
            <w:tcW w:w="444" w:type="pct"/>
            <w:tcBorders>
              <w:tl2br w:val="nil"/>
              <w:tr2bl w:val="nil"/>
            </w:tcBorders>
            <w:vAlign w:val="center"/>
          </w:tcPr>
          <w:p w14:paraId="7240BA10">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22081469">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550m</w:t>
            </w:r>
          </w:p>
        </w:tc>
      </w:tr>
      <w:tr w14:paraId="4258544D">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1340397">
            <w:pPr>
              <w:jc w:val="center"/>
              <w:rPr>
                <w:sz w:val="21"/>
                <w:szCs w:val="21"/>
                <w:highlight w:val="none"/>
              </w:rPr>
            </w:pPr>
          </w:p>
        </w:tc>
        <w:tc>
          <w:tcPr>
            <w:tcW w:w="390" w:type="pct"/>
            <w:tcBorders>
              <w:tl2br w:val="nil"/>
              <w:tr2bl w:val="nil"/>
            </w:tcBorders>
            <w:vAlign w:val="center"/>
          </w:tcPr>
          <w:p w14:paraId="48CD9A5C">
            <w:pPr>
              <w:pStyle w:val="32"/>
              <w:widowControl w:val="0"/>
              <w:adjustRightInd w:val="0"/>
              <w:snapToGrid w:val="0"/>
              <w:jc w:val="center"/>
              <w:rPr>
                <w:rFonts w:hint="default" w:ascii="Times New Roman" w:hAnsi="Times New Roman"/>
                <w:sz w:val="21"/>
                <w:szCs w:val="21"/>
                <w:highlight w:val="none"/>
                <w:lang w:val="en-US"/>
              </w:rPr>
            </w:pPr>
            <w:r>
              <w:rPr>
                <w:rFonts w:hint="eastAsia" w:ascii="Times New Roman" w:hAnsi="Times New Roman"/>
                <w:sz w:val="21"/>
                <w:szCs w:val="21"/>
                <w:highlight w:val="none"/>
                <w:lang w:val="en-US" w:eastAsia="zh-CN"/>
              </w:rPr>
              <w:t>凯丰小区</w:t>
            </w:r>
          </w:p>
        </w:tc>
        <w:tc>
          <w:tcPr>
            <w:tcW w:w="625" w:type="pct"/>
            <w:tcBorders>
              <w:tl2br w:val="nil"/>
              <w:tr2bl w:val="nil"/>
            </w:tcBorders>
            <w:vAlign w:val="center"/>
          </w:tcPr>
          <w:p w14:paraId="1B45478D">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131.141943</w:t>
            </w:r>
          </w:p>
        </w:tc>
        <w:tc>
          <w:tcPr>
            <w:tcW w:w="598" w:type="pct"/>
            <w:tcBorders>
              <w:top w:val="single" w:color="auto" w:sz="4" w:space="0"/>
              <w:tl2br w:val="nil"/>
              <w:tr2bl w:val="nil"/>
            </w:tcBorders>
            <w:vAlign w:val="center"/>
          </w:tcPr>
          <w:p w14:paraId="4AB15C45">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44.408562</w:t>
            </w:r>
          </w:p>
        </w:tc>
        <w:tc>
          <w:tcPr>
            <w:tcW w:w="450" w:type="pct"/>
            <w:vMerge w:val="continue"/>
            <w:tcBorders>
              <w:tl2br w:val="nil"/>
              <w:tr2bl w:val="nil"/>
            </w:tcBorders>
            <w:vAlign w:val="center"/>
          </w:tcPr>
          <w:p w14:paraId="5D6D59BB">
            <w:pPr>
              <w:jc w:val="center"/>
              <w:rPr>
                <w:sz w:val="21"/>
                <w:szCs w:val="21"/>
                <w:highlight w:val="none"/>
              </w:rPr>
            </w:pPr>
          </w:p>
        </w:tc>
        <w:tc>
          <w:tcPr>
            <w:tcW w:w="476" w:type="pct"/>
            <w:vMerge w:val="continue"/>
            <w:tcBorders>
              <w:tl2br w:val="nil"/>
              <w:tr2bl w:val="nil"/>
            </w:tcBorders>
            <w:vAlign w:val="center"/>
          </w:tcPr>
          <w:p w14:paraId="4FF60628">
            <w:pPr>
              <w:jc w:val="center"/>
              <w:rPr>
                <w:sz w:val="21"/>
                <w:szCs w:val="21"/>
                <w:highlight w:val="none"/>
              </w:rPr>
            </w:pPr>
          </w:p>
        </w:tc>
        <w:tc>
          <w:tcPr>
            <w:tcW w:w="1050" w:type="pct"/>
            <w:vMerge w:val="continue"/>
            <w:tcBorders>
              <w:tl2br w:val="nil"/>
              <w:tr2bl w:val="nil"/>
            </w:tcBorders>
            <w:vAlign w:val="center"/>
          </w:tcPr>
          <w:p w14:paraId="12575026">
            <w:pPr>
              <w:jc w:val="center"/>
              <w:rPr>
                <w:sz w:val="21"/>
                <w:szCs w:val="21"/>
                <w:highlight w:val="none"/>
              </w:rPr>
            </w:pPr>
          </w:p>
        </w:tc>
        <w:tc>
          <w:tcPr>
            <w:tcW w:w="444" w:type="pct"/>
            <w:tcBorders>
              <w:tl2br w:val="nil"/>
              <w:tr2bl w:val="nil"/>
            </w:tcBorders>
            <w:vAlign w:val="center"/>
          </w:tcPr>
          <w:p w14:paraId="65CDA2C4">
            <w:pPr>
              <w:ind w:left="0" w:leftChars="0" w:firstLine="0" w:firstLineChars="0"/>
              <w:jc w:val="center"/>
              <w:rPr>
                <w:sz w:val="21"/>
                <w:szCs w:val="21"/>
                <w:highlight w:val="none"/>
              </w:rPr>
            </w:pPr>
            <w:r>
              <w:rPr>
                <w:rFonts w:hint="eastAsia"/>
                <w:sz w:val="21"/>
                <w:szCs w:val="21"/>
                <w:highlight w:val="none"/>
                <w:lang w:val="en-US" w:eastAsia="zh-CN"/>
              </w:rPr>
              <w:t>SW</w:t>
            </w:r>
          </w:p>
        </w:tc>
        <w:tc>
          <w:tcPr>
            <w:tcW w:w="574" w:type="pct"/>
            <w:tcBorders>
              <w:tl2br w:val="nil"/>
              <w:tr2bl w:val="nil"/>
            </w:tcBorders>
            <w:vAlign w:val="center"/>
          </w:tcPr>
          <w:p w14:paraId="3E5AC46C">
            <w:pPr>
              <w:ind w:left="0" w:leftChars="0" w:firstLine="0" w:firstLineChars="0"/>
              <w:jc w:val="center"/>
              <w:rPr>
                <w:sz w:val="21"/>
                <w:szCs w:val="21"/>
                <w:highlight w:val="none"/>
              </w:rPr>
            </w:pPr>
            <w:r>
              <w:rPr>
                <w:rFonts w:hint="eastAsia"/>
                <w:sz w:val="21"/>
                <w:szCs w:val="21"/>
                <w:highlight w:val="none"/>
                <w:lang w:val="en-US" w:eastAsia="zh-CN"/>
              </w:rPr>
              <w:t>400</w:t>
            </w:r>
            <w:r>
              <w:rPr>
                <w:rFonts w:hint="eastAsia"/>
                <w:sz w:val="21"/>
                <w:szCs w:val="21"/>
                <w:highlight w:val="none"/>
              </w:rPr>
              <w:t>m</w:t>
            </w:r>
          </w:p>
        </w:tc>
      </w:tr>
      <w:tr w14:paraId="05715ED7">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E560397">
            <w:pPr>
              <w:jc w:val="center"/>
              <w:rPr>
                <w:sz w:val="21"/>
                <w:szCs w:val="21"/>
                <w:highlight w:val="none"/>
              </w:rPr>
            </w:pPr>
          </w:p>
        </w:tc>
        <w:tc>
          <w:tcPr>
            <w:tcW w:w="390" w:type="pct"/>
            <w:tcBorders>
              <w:tl2br w:val="nil"/>
              <w:tr2bl w:val="nil"/>
            </w:tcBorders>
            <w:vAlign w:val="center"/>
          </w:tcPr>
          <w:p w14:paraId="3152D5EE">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澳运阳光花园</w:t>
            </w:r>
          </w:p>
        </w:tc>
        <w:tc>
          <w:tcPr>
            <w:tcW w:w="625" w:type="pct"/>
            <w:tcBorders>
              <w:tl2br w:val="nil"/>
              <w:tr2bl w:val="nil"/>
            </w:tcBorders>
            <w:vAlign w:val="center"/>
          </w:tcPr>
          <w:p w14:paraId="6A52E2B7">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131.133789</w:t>
            </w:r>
          </w:p>
        </w:tc>
        <w:tc>
          <w:tcPr>
            <w:tcW w:w="598" w:type="pct"/>
            <w:tcBorders>
              <w:top w:val="single" w:color="auto" w:sz="4" w:space="0"/>
              <w:tl2br w:val="nil"/>
              <w:tr2bl w:val="nil"/>
            </w:tcBorders>
            <w:vAlign w:val="center"/>
          </w:tcPr>
          <w:p w14:paraId="6319ABD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44.408754</w:t>
            </w:r>
          </w:p>
        </w:tc>
        <w:tc>
          <w:tcPr>
            <w:tcW w:w="450" w:type="pct"/>
            <w:vMerge w:val="continue"/>
            <w:tcBorders>
              <w:tl2br w:val="nil"/>
              <w:tr2bl w:val="nil"/>
            </w:tcBorders>
            <w:vAlign w:val="center"/>
          </w:tcPr>
          <w:p w14:paraId="16A0D3F5">
            <w:pPr>
              <w:jc w:val="center"/>
              <w:rPr>
                <w:sz w:val="21"/>
                <w:szCs w:val="21"/>
                <w:highlight w:val="none"/>
              </w:rPr>
            </w:pPr>
          </w:p>
        </w:tc>
        <w:tc>
          <w:tcPr>
            <w:tcW w:w="476" w:type="pct"/>
            <w:vMerge w:val="continue"/>
            <w:tcBorders>
              <w:tl2br w:val="nil"/>
              <w:tr2bl w:val="nil"/>
            </w:tcBorders>
            <w:vAlign w:val="center"/>
          </w:tcPr>
          <w:p w14:paraId="44BEC574">
            <w:pPr>
              <w:jc w:val="center"/>
              <w:rPr>
                <w:sz w:val="21"/>
                <w:szCs w:val="21"/>
                <w:highlight w:val="none"/>
              </w:rPr>
            </w:pPr>
          </w:p>
        </w:tc>
        <w:tc>
          <w:tcPr>
            <w:tcW w:w="1050" w:type="pct"/>
            <w:vMerge w:val="continue"/>
            <w:tcBorders>
              <w:tl2br w:val="nil"/>
              <w:tr2bl w:val="nil"/>
            </w:tcBorders>
            <w:vAlign w:val="center"/>
          </w:tcPr>
          <w:p w14:paraId="1D03E0DC">
            <w:pPr>
              <w:jc w:val="center"/>
              <w:rPr>
                <w:sz w:val="21"/>
                <w:szCs w:val="21"/>
                <w:highlight w:val="none"/>
              </w:rPr>
            </w:pPr>
          </w:p>
        </w:tc>
        <w:tc>
          <w:tcPr>
            <w:tcW w:w="444" w:type="pct"/>
            <w:tcBorders>
              <w:tl2br w:val="nil"/>
              <w:tr2bl w:val="nil"/>
            </w:tcBorders>
            <w:vAlign w:val="center"/>
          </w:tcPr>
          <w:p w14:paraId="075DAA8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W</w:t>
            </w:r>
          </w:p>
        </w:tc>
        <w:tc>
          <w:tcPr>
            <w:tcW w:w="574" w:type="pct"/>
            <w:tcBorders>
              <w:tl2br w:val="nil"/>
              <w:tr2bl w:val="nil"/>
            </w:tcBorders>
            <w:vAlign w:val="center"/>
          </w:tcPr>
          <w:p w14:paraId="1775D0E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1000m</w:t>
            </w:r>
          </w:p>
        </w:tc>
      </w:tr>
      <w:tr w14:paraId="62B55C8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1CBE6B6">
            <w:pPr>
              <w:jc w:val="center"/>
              <w:rPr>
                <w:sz w:val="21"/>
                <w:szCs w:val="21"/>
                <w:highlight w:val="none"/>
              </w:rPr>
            </w:pPr>
          </w:p>
        </w:tc>
        <w:tc>
          <w:tcPr>
            <w:tcW w:w="390" w:type="pct"/>
            <w:tcBorders>
              <w:tl2br w:val="nil"/>
              <w:tr2bl w:val="nil"/>
            </w:tcBorders>
            <w:vAlign w:val="center"/>
          </w:tcPr>
          <w:p w14:paraId="70150C69">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朝阳村</w:t>
            </w:r>
          </w:p>
        </w:tc>
        <w:tc>
          <w:tcPr>
            <w:tcW w:w="625" w:type="pct"/>
            <w:tcBorders>
              <w:tl2br w:val="nil"/>
              <w:tr2bl w:val="nil"/>
            </w:tcBorders>
            <w:vAlign w:val="center"/>
          </w:tcPr>
          <w:p w14:paraId="5B6A13F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131.138649</w:t>
            </w:r>
          </w:p>
        </w:tc>
        <w:tc>
          <w:tcPr>
            <w:tcW w:w="598" w:type="pct"/>
            <w:tcBorders>
              <w:tl2br w:val="nil"/>
              <w:tr2bl w:val="nil"/>
            </w:tcBorders>
            <w:vAlign w:val="center"/>
          </w:tcPr>
          <w:p w14:paraId="19387BA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44.418609</w:t>
            </w:r>
          </w:p>
        </w:tc>
        <w:tc>
          <w:tcPr>
            <w:tcW w:w="450" w:type="pct"/>
            <w:vMerge w:val="continue"/>
            <w:tcBorders>
              <w:tl2br w:val="nil"/>
              <w:tr2bl w:val="nil"/>
            </w:tcBorders>
            <w:vAlign w:val="center"/>
          </w:tcPr>
          <w:p w14:paraId="6A01D15D">
            <w:pPr>
              <w:jc w:val="center"/>
              <w:rPr>
                <w:sz w:val="21"/>
                <w:szCs w:val="21"/>
                <w:highlight w:val="none"/>
              </w:rPr>
            </w:pPr>
          </w:p>
        </w:tc>
        <w:tc>
          <w:tcPr>
            <w:tcW w:w="476" w:type="pct"/>
            <w:vMerge w:val="continue"/>
            <w:tcBorders>
              <w:tl2br w:val="nil"/>
              <w:tr2bl w:val="nil"/>
            </w:tcBorders>
            <w:vAlign w:val="center"/>
          </w:tcPr>
          <w:p w14:paraId="622E156A">
            <w:pPr>
              <w:jc w:val="center"/>
              <w:rPr>
                <w:sz w:val="21"/>
                <w:szCs w:val="21"/>
                <w:highlight w:val="none"/>
              </w:rPr>
            </w:pPr>
          </w:p>
        </w:tc>
        <w:tc>
          <w:tcPr>
            <w:tcW w:w="1050" w:type="pct"/>
            <w:vMerge w:val="continue"/>
            <w:tcBorders>
              <w:tl2br w:val="nil"/>
              <w:tr2bl w:val="nil"/>
            </w:tcBorders>
            <w:vAlign w:val="center"/>
          </w:tcPr>
          <w:p w14:paraId="7BA4A5BB">
            <w:pPr>
              <w:jc w:val="center"/>
              <w:rPr>
                <w:sz w:val="21"/>
                <w:szCs w:val="21"/>
                <w:highlight w:val="none"/>
              </w:rPr>
            </w:pPr>
          </w:p>
        </w:tc>
        <w:tc>
          <w:tcPr>
            <w:tcW w:w="444" w:type="pct"/>
            <w:tcBorders>
              <w:tl2br w:val="nil"/>
              <w:tr2bl w:val="nil"/>
            </w:tcBorders>
            <w:vAlign w:val="center"/>
          </w:tcPr>
          <w:p w14:paraId="56274A24">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NW</w:t>
            </w:r>
          </w:p>
        </w:tc>
        <w:tc>
          <w:tcPr>
            <w:tcW w:w="574" w:type="pct"/>
            <w:tcBorders>
              <w:tl2br w:val="nil"/>
              <w:tr2bl w:val="nil"/>
            </w:tcBorders>
            <w:vAlign w:val="center"/>
          </w:tcPr>
          <w:p w14:paraId="72F75CC3">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1050m</w:t>
            </w:r>
          </w:p>
        </w:tc>
      </w:tr>
      <w:tr w14:paraId="5314983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29D311E">
            <w:pPr>
              <w:jc w:val="center"/>
              <w:rPr>
                <w:rFonts w:hint="eastAsia" w:eastAsia="宋体"/>
                <w:sz w:val="21"/>
                <w:szCs w:val="21"/>
                <w:highlight w:val="none"/>
                <w:lang w:val="en-US" w:eastAsia="zh-CN"/>
              </w:rPr>
            </w:pPr>
          </w:p>
        </w:tc>
        <w:tc>
          <w:tcPr>
            <w:tcW w:w="390" w:type="pct"/>
            <w:tcBorders>
              <w:tl2br w:val="nil"/>
              <w:tr2bl w:val="nil"/>
            </w:tcBorders>
            <w:vAlign w:val="center"/>
          </w:tcPr>
          <w:p w14:paraId="5D4F5D8E">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宏隆花园</w:t>
            </w:r>
          </w:p>
        </w:tc>
        <w:tc>
          <w:tcPr>
            <w:tcW w:w="625" w:type="pct"/>
            <w:tcBorders>
              <w:tl2br w:val="nil"/>
              <w:tr2bl w:val="nil"/>
            </w:tcBorders>
            <w:vAlign w:val="center"/>
          </w:tcPr>
          <w:p w14:paraId="4BCCD2A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131.140194</w:t>
            </w:r>
          </w:p>
        </w:tc>
        <w:tc>
          <w:tcPr>
            <w:tcW w:w="598" w:type="pct"/>
            <w:tcBorders>
              <w:tl2br w:val="nil"/>
              <w:tr2bl w:val="nil"/>
            </w:tcBorders>
            <w:vAlign w:val="center"/>
          </w:tcPr>
          <w:p w14:paraId="04D796A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44.406393</w:t>
            </w:r>
          </w:p>
        </w:tc>
        <w:tc>
          <w:tcPr>
            <w:tcW w:w="450" w:type="pct"/>
            <w:vMerge w:val="continue"/>
            <w:tcBorders>
              <w:tl2br w:val="nil"/>
              <w:tr2bl w:val="nil"/>
            </w:tcBorders>
            <w:vAlign w:val="center"/>
          </w:tcPr>
          <w:p w14:paraId="3FB31D07">
            <w:pPr>
              <w:jc w:val="center"/>
              <w:rPr>
                <w:sz w:val="21"/>
                <w:szCs w:val="21"/>
                <w:highlight w:val="none"/>
              </w:rPr>
            </w:pPr>
          </w:p>
        </w:tc>
        <w:tc>
          <w:tcPr>
            <w:tcW w:w="476" w:type="pct"/>
            <w:vMerge w:val="continue"/>
            <w:tcBorders>
              <w:tl2br w:val="nil"/>
              <w:tr2bl w:val="nil"/>
            </w:tcBorders>
            <w:vAlign w:val="center"/>
          </w:tcPr>
          <w:p w14:paraId="0695A36F">
            <w:pPr>
              <w:jc w:val="center"/>
              <w:rPr>
                <w:sz w:val="21"/>
                <w:szCs w:val="21"/>
                <w:highlight w:val="none"/>
              </w:rPr>
            </w:pPr>
          </w:p>
        </w:tc>
        <w:tc>
          <w:tcPr>
            <w:tcW w:w="1050" w:type="pct"/>
            <w:vMerge w:val="continue"/>
            <w:tcBorders>
              <w:tl2br w:val="nil"/>
              <w:tr2bl w:val="nil"/>
            </w:tcBorders>
            <w:vAlign w:val="center"/>
          </w:tcPr>
          <w:p w14:paraId="3E4FFE9A">
            <w:pPr>
              <w:jc w:val="center"/>
              <w:rPr>
                <w:sz w:val="21"/>
                <w:szCs w:val="21"/>
                <w:highlight w:val="none"/>
              </w:rPr>
            </w:pPr>
          </w:p>
        </w:tc>
        <w:tc>
          <w:tcPr>
            <w:tcW w:w="444" w:type="pct"/>
            <w:tcBorders>
              <w:tl2br w:val="nil"/>
              <w:tr2bl w:val="nil"/>
            </w:tcBorders>
            <w:vAlign w:val="center"/>
          </w:tcPr>
          <w:p w14:paraId="3AF70A1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5619C23">
            <w:pPr>
              <w:jc w:val="both"/>
              <w:rPr>
                <w:rFonts w:hint="default"/>
                <w:sz w:val="21"/>
                <w:szCs w:val="21"/>
                <w:highlight w:val="none"/>
                <w:lang w:val="en-US" w:eastAsia="zh-CN"/>
              </w:rPr>
            </w:pPr>
            <w:r>
              <w:rPr>
                <w:rFonts w:hint="eastAsia"/>
                <w:sz w:val="21"/>
                <w:szCs w:val="21"/>
                <w:highlight w:val="none"/>
                <w:lang w:val="en-US" w:eastAsia="zh-CN"/>
              </w:rPr>
              <w:t>600m</w:t>
            </w:r>
          </w:p>
        </w:tc>
      </w:tr>
      <w:tr w14:paraId="283E2F1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080A52B">
            <w:pPr>
              <w:jc w:val="center"/>
              <w:rPr>
                <w:rFonts w:hint="eastAsia" w:eastAsia="宋体"/>
                <w:sz w:val="21"/>
                <w:szCs w:val="21"/>
                <w:highlight w:val="none"/>
                <w:lang w:val="en-US" w:eastAsia="zh-CN"/>
              </w:rPr>
            </w:pPr>
          </w:p>
        </w:tc>
        <w:tc>
          <w:tcPr>
            <w:tcW w:w="390" w:type="pct"/>
            <w:tcBorders>
              <w:tl2br w:val="nil"/>
              <w:tr2bl w:val="nil"/>
            </w:tcBorders>
            <w:vAlign w:val="center"/>
          </w:tcPr>
          <w:p w14:paraId="062AB26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中福名都花园</w:t>
            </w:r>
          </w:p>
        </w:tc>
        <w:tc>
          <w:tcPr>
            <w:tcW w:w="625" w:type="pct"/>
            <w:tcBorders>
              <w:tl2br w:val="nil"/>
              <w:tr2bl w:val="nil"/>
            </w:tcBorders>
            <w:vAlign w:val="center"/>
          </w:tcPr>
          <w:p w14:paraId="3359BD3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131.143262</w:t>
            </w:r>
          </w:p>
        </w:tc>
        <w:tc>
          <w:tcPr>
            <w:tcW w:w="598" w:type="pct"/>
            <w:tcBorders>
              <w:tl2br w:val="nil"/>
              <w:tr2bl w:val="nil"/>
            </w:tcBorders>
            <w:vAlign w:val="center"/>
          </w:tcPr>
          <w:p w14:paraId="5F373BC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44.406209</w:t>
            </w:r>
          </w:p>
        </w:tc>
        <w:tc>
          <w:tcPr>
            <w:tcW w:w="450" w:type="pct"/>
            <w:vMerge w:val="continue"/>
            <w:tcBorders>
              <w:tl2br w:val="nil"/>
              <w:tr2bl w:val="nil"/>
            </w:tcBorders>
            <w:vAlign w:val="center"/>
          </w:tcPr>
          <w:p w14:paraId="5F7BD8EA">
            <w:pPr>
              <w:jc w:val="center"/>
              <w:rPr>
                <w:sz w:val="21"/>
                <w:szCs w:val="21"/>
                <w:highlight w:val="none"/>
              </w:rPr>
            </w:pPr>
          </w:p>
        </w:tc>
        <w:tc>
          <w:tcPr>
            <w:tcW w:w="476" w:type="pct"/>
            <w:vMerge w:val="continue"/>
            <w:tcBorders>
              <w:tl2br w:val="nil"/>
              <w:tr2bl w:val="nil"/>
            </w:tcBorders>
            <w:vAlign w:val="center"/>
          </w:tcPr>
          <w:p w14:paraId="4A4CE2F7">
            <w:pPr>
              <w:jc w:val="center"/>
              <w:rPr>
                <w:sz w:val="21"/>
                <w:szCs w:val="21"/>
                <w:highlight w:val="none"/>
              </w:rPr>
            </w:pPr>
          </w:p>
        </w:tc>
        <w:tc>
          <w:tcPr>
            <w:tcW w:w="1050" w:type="pct"/>
            <w:vMerge w:val="continue"/>
            <w:tcBorders>
              <w:tl2br w:val="nil"/>
              <w:tr2bl w:val="nil"/>
            </w:tcBorders>
            <w:vAlign w:val="center"/>
          </w:tcPr>
          <w:p w14:paraId="730E2FBA">
            <w:pPr>
              <w:jc w:val="center"/>
              <w:rPr>
                <w:sz w:val="21"/>
                <w:szCs w:val="21"/>
                <w:highlight w:val="none"/>
              </w:rPr>
            </w:pPr>
          </w:p>
        </w:tc>
        <w:tc>
          <w:tcPr>
            <w:tcW w:w="444" w:type="pct"/>
            <w:tcBorders>
              <w:tl2br w:val="nil"/>
              <w:tr2bl w:val="nil"/>
            </w:tcBorders>
            <w:vAlign w:val="center"/>
          </w:tcPr>
          <w:p w14:paraId="7917263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0F6CBB03">
            <w:pPr>
              <w:jc w:val="both"/>
              <w:rPr>
                <w:rFonts w:hint="default"/>
                <w:sz w:val="21"/>
                <w:szCs w:val="21"/>
                <w:highlight w:val="none"/>
                <w:lang w:val="en-US" w:eastAsia="zh-CN"/>
              </w:rPr>
            </w:pPr>
            <w:r>
              <w:rPr>
                <w:rFonts w:hint="eastAsia"/>
                <w:sz w:val="21"/>
                <w:szCs w:val="21"/>
                <w:highlight w:val="none"/>
                <w:lang w:val="en-US" w:eastAsia="zh-CN"/>
              </w:rPr>
              <w:t>400m</w:t>
            </w:r>
          </w:p>
        </w:tc>
      </w:tr>
      <w:tr w14:paraId="52D3748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A6AC4E1">
            <w:pPr>
              <w:jc w:val="center"/>
              <w:rPr>
                <w:rFonts w:hint="eastAsia" w:eastAsia="宋体"/>
                <w:sz w:val="21"/>
                <w:szCs w:val="21"/>
                <w:highlight w:val="none"/>
                <w:lang w:val="en-US" w:eastAsia="zh-CN"/>
              </w:rPr>
            </w:pPr>
          </w:p>
        </w:tc>
        <w:tc>
          <w:tcPr>
            <w:tcW w:w="390" w:type="pct"/>
            <w:tcBorders>
              <w:tl2br w:val="nil"/>
              <w:tr2bl w:val="nil"/>
            </w:tcBorders>
            <w:vAlign w:val="center"/>
          </w:tcPr>
          <w:p w14:paraId="6B28FBC8">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康健花园</w:t>
            </w:r>
          </w:p>
        </w:tc>
        <w:tc>
          <w:tcPr>
            <w:tcW w:w="625" w:type="pct"/>
            <w:tcBorders>
              <w:tl2br w:val="nil"/>
              <w:tr2bl w:val="nil"/>
            </w:tcBorders>
            <w:vAlign w:val="center"/>
          </w:tcPr>
          <w:p w14:paraId="61FAC43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131.161931</w:t>
            </w:r>
          </w:p>
        </w:tc>
        <w:tc>
          <w:tcPr>
            <w:tcW w:w="598" w:type="pct"/>
            <w:tcBorders>
              <w:tl2br w:val="nil"/>
              <w:tr2bl w:val="nil"/>
            </w:tcBorders>
            <w:vAlign w:val="center"/>
          </w:tcPr>
          <w:p w14:paraId="7A289EA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44.398912</w:t>
            </w:r>
          </w:p>
        </w:tc>
        <w:tc>
          <w:tcPr>
            <w:tcW w:w="450" w:type="pct"/>
            <w:vMerge w:val="continue"/>
            <w:tcBorders>
              <w:tl2br w:val="nil"/>
              <w:tr2bl w:val="nil"/>
            </w:tcBorders>
            <w:vAlign w:val="center"/>
          </w:tcPr>
          <w:p w14:paraId="1B6DE1E5">
            <w:pPr>
              <w:jc w:val="center"/>
              <w:rPr>
                <w:sz w:val="21"/>
                <w:szCs w:val="21"/>
                <w:highlight w:val="none"/>
              </w:rPr>
            </w:pPr>
          </w:p>
        </w:tc>
        <w:tc>
          <w:tcPr>
            <w:tcW w:w="476" w:type="pct"/>
            <w:vMerge w:val="continue"/>
            <w:tcBorders>
              <w:tl2br w:val="nil"/>
              <w:tr2bl w:val="nil"/>
            </w:tcBorders>
            <w:vAlign w:val="center"/>
          </w:tcPr>
          <w:p w14:paraId="46153A73">
            <w:pPr>
              <w:jc w:val="center"/>
              <w:rPr>
                <w:sz w:val="21"/>
                <w:szCs w:val="21"/>
                <w:highlight w:val="none"/>
              </w:rPr>
            </w:pPr>
          </w:p>
        </w:tc>
        <w:tc>
          <w:tcPr>
            <w:tcW w:w="1050" w:type="pct"/>
            <w:vMerge w:val="continue"/>
            <w:tcBorders>
              <w:tl2br w:val="nil"/>
              <w:tr2bl w:val="nil"/>
            </w:tcBorders>
            <w:vAlign w:val="center"/>
          </w:tcPr>
          <w:p w14:paraId="3CBC537F">
            <w:pPr>
              <w:jc w:val="center"/>
              <w:rPr>
                <w:sz w:val="21"/>
                <w:szCs w:val="21"/>
                <w:highlight w:val="none"/>
              </w:rPr>
            </w:pPr>
          </w:p>
        </w:tc>
        <w:tc>
          <w:tcPr>
            <w:tcW w:w="444" w:type="pct"/>
            <w:tcBorders>
              <w:tl2br w:val="nil"/>
              <w:tr2bl w:val="nil"/>
            </w:tcBorders>
            <w:vAlign w:val="center"/>
          </w:tcPr>
          <w:p w14:paraId="0E92B9D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6C7B7465">
            <w:pPr>
              <w:jc w:val="both"/>
              <w:rPr>
                <w:rFonts w:hint="default"/>
                <w:sz w:val="21"/>
                <w:szCs w:val="21"/>
                <w:highlight w:val="none"/>
                <w:lang w:val="en-US" w:eastAsia="zh-CN"/>
              </w:rPr>
            </w:pPr>
            <w:r>
              <w:rPr>
                <w:rFonts w:hint="eastAsia"/>
                <w:sz w:val="21"/>
                <w:szCs w:val="21"/>
                <w:highlight w:val="none"/>
                <w:lang w:val="en-US" w:eastAsia="zh-CN"/>
              </w:rPr>
              <w:t>1500m</w:t>
            </w:r>
          </w:p>
        </w:tc>
      </w:tr>
      <w:tr w14:paraId="153DD906">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3694902">
            <w:pPr>
              <w:jc w:val="center"/>
              <w:rPr>
                <w:rFonts w:hint="eastAsia" w:eastAsia="宋体"/>
                <w:sz w:val="21"/>
                <w:szCs w:val="21"/>
                <w:highlight w:val="none"/>
                <w:lang w:val="en-US" w:eastAsia="zh-CN"/>
              </w:rPr>
            </w:pPr>
          </w:p>
        </w:tc>
        <w:tc>
          <w:tcPr>
            <w:tcW w:w="390" w:type="pct"/>
            <w:tcBorders>
              <w:tl2br w:val="nil"/>
              <w:tr2bl w:val="nil"/>
            </w:tcBorders>
            <w:vAlign w:val="center"/>
          </w:tcPr>
          <w:p w14:paraId="753F7F7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海融安居里</w:t>
            </w:r>
          </w:p>
        </w:tc>
        <w:tc>
          <w:tcPr>
            <w:tcW w:w="625" w:type="pct"/>
            <w:tcBorders>
              <w:tl2br w:val="nil"/>
              <w:tr2bl w:val="nil"/>
            </w:tcBorders>
            <w:vAlign w:val="center"/>
          </w:tcPr>
          <w:p w14:paraId="1AA812E6">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131.164892</w:t>
            </w:r>
          </w:p>
        </w:tc>
        <w:tc>
          <w:tcPr>
            <w:tcW w:w="598" w:type="pct"/>
            <w:tcBorders>
              <w:tl2br w:val="nil"/>
              <w:tr2bl w:val="nil"/>
            </w:tcBorders>
            <w:vAlign w:val="center"/>
          </w:tcPr>
          <w:p w14:paraId="60701AA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44.399648</w:t>
            </w:r>
          </w:p>
        </w:tc>
        <w:tc>
          <w:tcPr>
            <w:tcW w:w="450" w:type="pct"/>
            <w:vMerge w:val="continue"/>
            <w:tcBorders>
              <w:tl2br w:val="nil"/>
              <w:tr2bl w:val="nil"/>
            </w:tcBorders>
            <w:vAlign w:val="center"/>
          </w:tcPr>
          <w:p w14:paraId="04F4981D">
            <w:pPr>
              <w:jc w:val="center"/>
              <w:rPr>
                <w:sz w:val="21"/>
                <w:szCs w:val="21"/>
                <w:highlight w:val="none"/>
              </w:rPr>
            </w:pPr>
          </w:p>
        </w:tc>
        <w:tc>
          <w:tcPr>
            <w:tcW w:w="476" w:type="pct"/>
            <w:vMerge w:val="continue"/>
            <w:tcBorders>
              <w:tl2br w:val="nil"/>
              <w:tr2bl w:val="nil"/>
            </w:tcBorders>
            <w:vAlign w:val="center"/>
          </w:tcPr>
          <w:p w14:paraId="235C3CB4">
            <w:pPr>
              <w:jc w:val="center"/>
              <w:rPr>
                <w:sz w:val="21"/>
                <w:szCs w:val="21"/>
                <w:highlight w:val="none"/>
              </w:rPr>
            </w:pPr>
          </w:p>
        </w:tc>
        <w:tc>
          <w:tcPr>
            <w:tcW w:w="1050" w:type="pct"/>
            <w:vMerge w:val="continue"/>
            <w:tcBorders>
              <w:tl2br w:val="nil"/>
              <w:tr2bl w:val="nil"/>
            </w:tcBorders>
            <w:vAlign w:val="center"/>
          </w:tcPr>
          <w:p w14:paraId="4FE1AF94">
            <w:pPr>
              <w:jc w:val="center"/>
              <w:rPr>
                <w:sz w:val="21"/>
                <w:szCs w:val="21"/>
                <w:highlight w:val="none"/>
              </w:rPr>
            </w:pPr>
          </w:p>
        </w:tc>
        <w:tc>
          <w:tcPr>
            <w:tcW w:w="444" w:type="pct"/>
            <w:tcBorders>
              <w:tl2br w:val="nil"/>
              <w:tr2bl w:val="nil"/>
            </w:tcBorders>
            <w:vAlign w:val="center"/>
          </w:tcPr>
          <w:p w14:paraId="5F80B85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5FC5076F">
            <w:pPr>
              <w:jc w:val="both"/>
              <w:rPr>
                <w:rFonts w:hint="default"/>
                <w:sz w:val="21"/>
                <w:szCs w:val="21"/>
                <w:highlight w:val="none"/>
                <w:lang w:val="en-US" w:eastAsia="zh-CN"/>
              </w:rPr>
            </w:pPr>
            <w:r>
              <w:rPr>
                <w:rFonts w:hint="eastAsia"/>
                <w:sz w:val="21"/>
                <w:szCs w:val="21"/>
                <w:highlight w:val="none"/>
                <w:lang w:val="en-US" w:eastAsia="zh-CN"/>
              </w:rPr>
              <w:t>1600m</w:t>
            </w:r>
          </w:p>
        </w:tc>
      </w:tr>
      <w:tr w14:paraId="65F95A3F">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7CD2200">
            <w:pPr>
              <w:jc w:val="center"/>
              <w:rPr>
                <w:rFonts w:hint="eastAsia" w:eastAsia="宋体"/>
                <w:sz w:val="21"/>
                <w:szCs w:val="21"/>
                <w:highlight w:val="none"/>
                <w:lang w:val="en-US" w:eastAsia="zh-CN"/>
              </w:rPr>
            </w:pPr>
          </w:p>
        </w:tc>
        <w:tc>
          <w:tcPr>
            <w:tcW w:w="390" w:type="pct"/>
            <w:tcBorders>
              <w:tl2br w:val="nil"/>
              <w:tr2bl w:val="nil"/>
            </w:tcBorders>
            <w:vAlign w:val="center"/>
          </w:tcPr>
          <w:p w14:paraId="58AC6318">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海融富华苑</w:t>
            </w:r>
          </w:p>
        </w:tc>
        <w:tc>
          <w:tcPr>
            <w:tcW w:w="625" w:type="pct"/>
            <w:tcBorders>
              <w:tl2br w:val="nil"/>
              <w:tr2bl w:val="nil"/>
            </w:tcBorders>
            <w:vAlign w:val="center"/>
          </w:tcPr>
          <w:p w14:paraId="0544D9A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131.123457</w:t>
            </w:r>
          </w:p>
        </w:tc>
        <w:tc>
          <w:tcPr>
            <w:tcW w:w="598" w:type="pct"/>
            <w:tcBorders>
              <w:tl2br w:val="nil"/>
              <w:tr2bl w:val="nil"/>
            </w:tcBorders>
            <w:vAlign w:val="center"/>
          </w:tcPr>
          <w:p w14:paraId="190D47B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44.395554</w:t>
            </w:r>
          </w:p>
        </w:tc>
        <w:tc>
          <w:tcPr>
            <w:tcW w:w="450" w:type="pct"/>
            <w:vMerge w:val="continue"/>
            <w:tcBorders>
              <w:tl2br w:val="nil"/>
              <w:tr2bl w:val="nil"/>
            </w:tcBorders>
            <w:vAlign w:val="center"/>
          </w:tcPr>
          <w:p w14:paraId="1A3E05F5">
            <w:pPr>
              <w:jc w:val="center"/>
              <w:rPr>
                <w:sz w:val="21"/>
                <w:szCs w:val="21"/>
                <w:highlight w:val="none"/>
              </w:rPr>
            </w:pPr>
          </w:p>
        </w:tc>
        <w:tc>
          <w:tcPr>
            <w:tcW w:w="476" w:type="pct"/>
            <w:vMerge w:val="continue"/>
            <w:tcBorders>
              <w:tl2br w:val="nil"/>
              <w:tr2bl w:val="nil"/>
            </w:tcBorders>
            <w:vAlign w:val="center"/>
          </w:tcPr>
          <w:p w14:paraId="4A6A6D67">
            <w:pPr>
              <w:jc w:val="center"/>
              <w:rPr>
                <w:sz w:val="21"/>
                <w:szCs w:val="21"/>
                <w:highlight w:val="none"/>
              </w:rPr>
            </w:pPr>
          </w:p>
        </w:tc>
        <w:tc>
          <w:tcPr>
            <w:tcW w:w="1050" w:type="pct"/>
            <w:vMerge w:val="continue"/>
            <w:tcBorders>
              <w:tl2br w:val="nil"/>
              <w:tr2bl w:val="nil"/>
            </w:tcBorders>
            <w:vAlign w:val="center"/>
          </w:tcPr>
          <w:p w14:paraId="09C1DE8D">
            <w:pPr>
              <w:jc w:val="center"/>
              <w:rPr>
                <w:sz w:val="21"/>
                <w:szCs w:val="21"/>
                <w:highlight w:val="none"/>
              </w:rPr>
            </w:pPr>
          </w:p>
        </w:tc>
        <w:tc>
          <w:tcPr>
            <w:tcW w:w="444" w:type="pct"/>
            <w:tcBorders>
              <w:tl2br w:val="nil"/>
              <w:tr2bl w:val="nil"/>
            </w:tcBorders>
            <w:vAlign w:val="center"/>
          </w:tcPr>
          <w:p w14:paraId="70F23440">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F5B01F3">
            <w:pPr>
              <w:jc w:val="both"/>
              <w:rPr>
                <w:rFonts w:hint="default"/>
                <w:sz w:val="21"/>
                <w:szCs w:val="21"/>
                <w:highlight w:val="none"/>
                <w:lang w:val="en-US" w:eastAsia="zh-CN"/>
              </w:rPr>
            </w:pPr>
            <w:r>
              <w:rPr>
                <w:rFonts w:hint="eastAsia"/>
                <w:sz w:val="21"/>
                <w:szCs w:val="21"/>
                <w:highlight w:val="none"/>
                <w:lang w:val="en-US" w:eastAsia="zh-CN"/>
              </w:rPr>
              <w:t>2100m</w:t>
            </w:r>
          </w:p>
        </w:tc>
      </w:tr>
      <w:tr w14:paraId="3A0579C7">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7C5AD98">
            <w:pPr>
              <w:jc w:val="center"/>
              <w:rPr>
                <w:rFonts w:hint="eastAsia" w:eastAsia="宋体"/>
                <w:sz w:val="21"/>
                <w:szCs w:val="21"/>
                <w:highlight w:val="none"/>
                <w:lang w:val="en-US" w:eastAsia="zh-CN"/>
              </w:rPr>
            </w:pPr>
          </w:p>
        </w:tc>
        <w:tc>
          <w:tcPr>
            <w:tcW w:w="390" w:type="pct"/>
            <w:tcBorders>
              <w:tl2br w:val="nil"/>
              <w:tr2bl w:val="nil"/>
            </w:tcBorders>
            <w:vAlign w:val="center"/>
          </w:tcPr>
          <w:p w14:paraId="3190B7D9">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好景园小区</w:t>
            </w:r>
          </w:p>
        </w:tc>
        <w:tc>
          <w:tcPr>
            <w:tcW w:w="625" w:type="pct"/>
            <w:tcBorders>
              <w:tl2br w:val="nil"/>
              <w:tr2bl w:val="nil"/>
            </w:tcBorders>
            <w:vAlign w:val="center"/>
          </w:tcPr>
          <w:p w14:paraId="3FF9A73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131.131010</w:t>
            </w:r>
          </w:p>
        </w:tc>
        <w:tc>
          <w:tcPr>
            <w:tcW w:w="598" w:type="pct"/>
            <w:tcBorders>
              <w:tl2br w:val="nil"/>
              <w:tr2bl w:val="nil"/>
            </w:tcBorders>
            <w:vAlign w:val="center"/>
          </w:tcPr>
          <w:p w14:paraId="2496A38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44.395339</w:t>
            </w:r>
          </w:p>
        </w:tc>
        <w:tc>
          <w:tcPr>
            <w:tcW w:w="450" w:type="pct"/>
            <w:vMerge w:val="continue"/>
            <w:tcBorders>
              <w:tl2br w:val="nil"/>
              <w:tr2bl w:val="nil"/>
            </w:tcBorders>
            <w:vAlign w:val="center"/>
          </w:tcPr>
          <w:p w14:paraId="2976FB55">
            <w:pPr>
              <w:jc w:val="center"/>
              <w:rPr>
                <w:sz w:val="21"/>
                <w:szCs w:val="21"/>
                <w:highlight w:val="none"/>
              </w:rPr>
            </w:pPr>
          </w:p>
        </w:tc>
        <w:tc>
          <w:tcPr>
            <w:tcW w:w="476" w:type="pct"/>
            <w:vMerge w:val="continue"/>
            <w:tcBorders>
              <w:tl2br w:val="nil"/>
              <w:tr2bl w:val="nil"/>
            </w:tcBorders>
            <w:vAlign w:val="center"/>
          </w:tcPr>
          <w:p w14:paraId="49945D10">
            <w:pPr>
              <w:jc w:val="center"/>
              <w:rPr>
                <w:sz w:val="21"/>
                <w:szCs w:val="21"/>
                <w:highlight w:val="none"/>
              </w:rPr>
            </w:pPr>
          </w:p>
        </w:tc>
        <w:tc>
          <w:tcPr>
            <w:tcW w:w="1050" w:type="pct"/>
            <w:vMerge w:val="continue"/>
            <w:tcBorders>
              <w:tl2br w:val="nil"/>
              <w:tr2bl w:val="nil"/>
            </w:tcBorders>
            <w:vAlign w:val="center"/>
          </w:tcPr>
          <w:p w14:paraId="132FFF50">
            <w:pPr>
              <w:jc w:val="center"/>
              <w:rPr>
                <w:sz w:val="21"/>
                <w:szCs w:val="21"/>
                <w:highlight w:val="none"/>
              </w:rPr>
            </w:pPr>
          </w:p>
        </w:tc>
        <w:tc>
          <w:tcPr>
            <w:tcW w:w="444" w:type="pct"/>
            <w:tcBorders>
              <w:tl2br w:val="nil"/>
              <w:tr2bl w:val="nil"/>
            </w:tcBorders>
            <w:vAlign w:val="center"/>
          </w:tcPr>
          <w:p w14:paraId="3733402D">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5ACFF3F0">
            <w:pPr>
              <w:jc w:val="both"/>
              <w:rPr>
                <w:rFonts w:hint="default"/>
                <w:sz w:val="21"/>
                <w:szCs w:val="21"/>
                <w:highlight w:val="none"/>
                <w:lang w:val="en-US" w:eastAsia="zh-CN"/>
              </w:rPr>
            </w:pPr>
            <w:r>
              <w:rPr>
                <w:rFonts w:hint="eastAsia"/>
                <w:sz w:val="21"/>
                <w:szCs w:val="21"/>
                <w:highlight w:val="none"/>
                <w:lang w:val="en-US" w:eastAsia="zh-CN"/>
              </w:rPr>
              <w:t>2000m</w:t>
            </w:r>
          </w:p>
        </w:tc>
      </w:tr>
      <w:tr w14:paraId="5CDF6051">
        <w:tblPrEx>
          <w:tblCellMar>
            <w:top w:w="0" w:type="dxa"/>
            <w:left w:w="108" w:type="dxa"/>
            <w:bottom w:w="0" w:type="dxa"/>
            <w:right w:w="108" w:type="dxa"/>
          </w:tblCellMar>
        </w:tblPrEx>
        <w:tc>
          <w:tcPr>
            <w:tcW w:w="390" w:type="pct"/>
            <w:vMerge w:val="continue"/>
            <w:tcBorders>
              <w:tl2br w:val="nil"/>
              <w:tr2bl w:val="nil"/>
            </w:tcBorders>
            <w:vAlign w:val="center"/>
          </w:tcPr>
          <w:p w14:paraId="48C13AA1">
            <w:pPr>
              <w:jc w:val="center"/>
              <w:rPr>
                <w:rFonts w:hint="eastAsia" w:eastAsia="宋体"/>
                <w:sz w:val="21"/>
                <w:szCs w:val="21"/>
                <w:highlight w:val="none"/>
                <w:lang w:val="en-US" w:eastAsia="zh-CN"/>
              </w:rPr>
            </w:pPr>
          </w:p>
        </w:tc>
        <w:tc>
          <w:tcPr>
            <w:tcW w:w="390" w:type="pct"/>
            <w:tcBorders>
              <w:tl2br w:val="nil"/>
              <w:tr2bl w:val="nil"/>
            </w:tcBorders>
            <w:vAlign w:val="center"/>
          </w:tcPr>
          <w:p w14:paraId="63A6C74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旗苑家园</w:t>
            </w:r>
          </w:p>
        </w:tc>
        <w:tc>
          <w:tcPr>
            <w:tcW w:w="625" w:type="pct"/>
            <w:tcBorders>
              <w:tl2br w:val="nil"/>
              <w:tr2bl w:val="nil"/>
            </w:tcBorders>
            <w:vAlign w:val="center"/>
          </w:tcPr>
          <w:p w14:paraId="1984B716">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131.136246</w:t>
            </w:r>
          </w:p>
        </w:tc>
        <w:tc>
          <w:tcPr>
            <w:tcW w:w="598" w:type="pct"/>
            <w:tcBorders>
              <w:tl2br w:val="nil"/>
              <w:tr2bl w:val="nil"/>
            </w:tcBorders>
            <w:vAlign w:val="center"/>
          </w:tcPr>
          <w:p w14:paraId="561741B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44.394297</w:t>
            </w:r>
          </w:p>
        </w:tc>
        <w:tc>
          <w:tcPr>
            <w:tcW w:w="450" w:type="pct"/>
            <w:vMerge w:val="continue"/>
            <w:tcBorders>
              <w:tl2br w:val="nil"/>
              <w:tr2bl w:val="nil"/>
            </w:tcBorders>
            <w:vAlign w:val="center"/>
          </w:tcPr>
          <w:p w14:paraId="7B596062">
            <w:pPr>
              <w:jc w:val="center"/>
              <w:rPr>
                <w:sz w:val="21"/>
                <w:szCs w:val="21"/>
                <w:highlight w:val="none"/>
              </w:rPr>
            </w:pPr>
          </w:p>
        </w:tc>
        <w:tc>
          <w:tcPr>
            <w:tcW w:w="476" w:type="pct"/>
            <w:vMerge w:val="continue"/>
            <w:tcBorders>
              <w:tl2br w:val="nil"/>
              <w:tr2bl w:val="nil"/>
            </w:tcBorders>
            <w:vAlign w:val="center"/>
          </w:tcPr>
          <w:p w14:paraId="3B25AD1E">
            <w:pPr>
              <w:jc w:val="center"/>
              <w:rPr>
                <w:sz w:val="21"/>
                <w:szCs w:val="21"/>
                <w:highlight w:val="none"/>
              </w:rPr>
            </w:pPr>
          </w:p>
        </w:tc>
        <w:tc>
          <w:tcPr>
            <w:tcW w:w="1050" w:type="pct"/>
            <w:vMerge w:val="continue"/>
            <w:tcBorders>
              <w:tl2br w:val="nil"/>
              <w:tr2bl w:val="nil"/>
            </w:tcBorders>
            <w:vAlign w:val="center"/>
          </w:tcPr>
          <w:p w14:paraId="4F88316B">
            <w:pPr>
              <w:jc w:val="center"/>
              <w:rPr>
                <w:sz w:val="21"/>
                <w:szCs w:val="21"/>
                <w:highlight w:val="none"/>
              </w:rPr>
            </w:pPr>
          </w:p>
        </w:tc>
        <w:tc>
          <w:tcPr>
            <w:tcW w:w="444" w:type="pct"/>
            <w:tcBorders>
              <w:tl2br w:val="nil"/>
              <w:tr2bl w:val="nil"/>
            </w:tcBorders>
            <w:vAlign w:val="center"/>
          </w:tcPr>
          <w:p w14:paraId="1C3BE2B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40B52E8">
            <w:pPr>
              <w:jc w:val="both"/>
              <w:rPr>
                <w:rFonts w:hint="default"/>
                <w:sz w:val="21"/>
                <w:szCs w:val="21"/>
                <w:highlight w:val="none"/>
                <w:lang w:val="en-US" w:eastAsia="zh-CN"/>
              </w:rPr>
            </w:pPr>
            <w:r>
              <w:rPr>
                <w:rFonts w:hint="eastAsia"/>
                <w:sz w:val="21"/>
                <w:szCs w:val="21"/>
                <w:highlight w:val="none"/>
                <w:lang w:val="en-US" w:eastAsia="zh-CN"/>
              </w:rPr>
              <w:t>1900m</w:t>
            </w:r>
          </w:p>
        </w:tc>
      </w:tr>
      <w:tr w14:paraId="3FBD310C">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002B860">
            <w:pPr>
              <w:jc w:val="center"/>
              <w:rPr>
                <w:rFonts w:hint="eastAsia" w:eastAsia="宋体"/>
                <w:sz w:val="21"/>
                <w:szCs w:val="21"/>
                <w:highlight w:val="none"/>
                <w:lang w:val="en-US" w:eastAsia="zh-CN"/>
              </w:rPr>
            </w:pPr>
          </w:p>
        </w:tc>
        <w:tc>
          <w:tcPr>
            <w:tcW w:w="390" w:type="pct"/>
            <w:tcBorders>
              <w:tl2br w:val="nil"/>
              <w:tr2bl w:val="nil"/>
            </w:tcBorders>
            <w:vAlign w:val="center"/>
          </w:tcPr>
          <w:p w14:paraId="15D08C77">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兴达家园</w:t>
            </w:r>
          </w:p>
        </w:tc>
        <w:tc>
          <w:tcPr>
            <w:tcW w:w="625" w:type="pct"/>
            <w:tcBorders>
              <w:tl2br w:val="nil"/>
              <w:tr2bl w:val="nil"/>
            </w:tcBorders>
            <w:vAlign w:val="center"/>
          </w:tcPr>
          <w:p w14:paraId="540CCFF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131.145215</w:t>
            </w:r>
          </w:p>
        </w:tc>
        <w:tc>
          <w:tcPr>
            <w:tcW w:w="598" w:type="pct"/>
            <w:tcBorders>
              <w:tl2br w:val="nil"/>
              <w:tr2bl w:val="nil"/>
            </w:tcBorders>
            <w:vAlign w:val="center"/>
          </w:tcPr>
          <w:p w14:paraId="4F0D0CF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44.392089</w:t>
            </w:r>
          </w:p>
        </w:tc>
        <w:tc>
          <w:tcPr>
            <w:tcW w:w="450" w:type="pct"/>
            <w:vMerge w:val="continue"/>
            <w:tcBorders>
              <w:tl2br w:val="nil"/>
              <w:tr2bl w:val="nil"/>
            </w:tcBorders>
            <w:vAlign w:val="center"/>
          </w:tcPr>
          <w:p w14:paraId="4BC0E747">
            <w:pPr>
              <w:jc w:val="center"/>
              <w:rPr>
                <w:sz w:val="21"/>
                <w:szCs w:val="21"/>
                <w:highlight w:val="none"/>
              </w:rPr>
            </w:pPr>
          </w:p>
        </w:tc>
        <w:tc>
          <w:tcPr>
            <w:tcW w:w="476" w:type="pct"/>
            <w:vMerge w:val="continue"/>
            <w:tcBorders>
              <w:tl2br w:val="nil"/>
              <w:tr2bl w:val="nil"/>
            </w:tcBorders>
            <w:vAlign w:val="center"/>
          </w:tcPr>
          <w:p w14:paraId="21E13FDD">
            <w:pPr>
              <w:jc w:val="center"/>
              <w:rPr>
                <w:sz w:val="21"/>
                <w:szCs w:val="21"/>
                <w:highlight w:val="none"/>
              </w:rPr>
            </w:pPr>
          </w:p>
        </w:tc>
        <w:tc>
          <w:tcPr>
            <w:tcW w:w="1050" w:type="pct"/>
            <w:vMerge w:val="continue"/>
            <w:tcBorders>
              <w:tl2br w:val="nil"/>
              <w:tr2bl w:val="nil"/>
            </w:tcBorders>
            <w:vAlign w:val="center"/>
          </w:tcPr>
          <w:p w14:paraId="66DB26A6">
            <w:pPr>
              <w:jc w:val="center"/>
              <w:rPr>
                <w:sz w:val="21"/>
                <w:szCs w:val="21"/>
                <w:highlight w:val="none"/>
              </w:rPr>
            </w:pPr>
          </w:p>
        </w:tc>
        <w:tc>
          <w:tcPr>
            <w:tcW w:w="444" w:type="pct"/>
            <w:tcBorders>
              <w:tl2br w:val="nil"/>
              <w:tr2bl w:val="nil"/>
            </w:tcBorders>
            <w:vAlign w:val="center"/>
          </w:tcPr>
          <w:p w14:paraId="7F3A8CF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52292284">
            <w:pPr>
              <w:jc w:val="both"/>
              <w:rPr>
                <w:rFonts w:hint="default"/>
                <w:sz w:val="21"/>
                <w:szCs w:val="21"/>
                <w:highlight w:val="none"/>
                <w:lang w:val="en-US" w:eastAsia="zh-CN"/>
              </w:rPr>
            </w:pPr>
            <w:r>
              <w:rPr>
                <w:rFonts w:hint="eastAsia"/>
                <w:sz w:val="21"/>
                <w:szCs w:val="21"/>
                <w:highlight w:val="none"/>
                <w:lang w:val="en-US" w:eastAsia="zh-CN"/>
              </w:rPr>
              <w:t>1700m</w:t>
            </w:r>
          </w:p>
        </w:tc>
      </w:tr>
      <w:tr w14:paraId="66961759">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7C1A04ED">
            <w:pPr>
              <w:jc w:val="center"/>
              <w:rPr>
                <w:rFonts w:hint="eastAsia" w:eastAsia="宋体"/>
                <w:sz w:val="21"/>
                <w:szCs w:val="21"/>
                <w:highlight w:val="none"/>
                <w:lang w:val="en-US" w:eastAsia="zh-CN"/>
              </w:rPr>
            </w:pPr>
          </w:p>
        </w:tc>
        <w:tc>
          <w:tcPr>
            <w:tcW w:w="390" w:type="pct"/>
            <w:tcBorders>
              <w:tl2br w:val="nil"/>
              <w:tr2bl w:val="nil"/>
            </w:tcBorders>
            <w:vAlign w:val="center"/>
          </w:tcPr>
          <w:p w14:paraId="46FB33D2">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协会大厦</w:t>
            </w:r>
          </w:p>
        </w:tc>
        <w:tc>
          <w:tcPr>
            <w:tcW w:w="625" w:type="pct"/>
            <w:tcBorders>
              <w:tl2br w:val="nil"/>
              <w:tr2bl w:val="nil"/>
            </w:tcBorders>
            <w:vAlign w:val="center"/>
          </w:tcPr>
          <w:p w14:paraId="6AC39CD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131.147854</w:t>
            </w:r>
          </w:p>
        </w:tc>
        <w:tc>
          <w:tcPr>
            <w:tcW w:w="598" w:type="pct"/>
            <w:tcBorders>
              <w:tl2br w:val="nil"/>
              <w:tr2bl w:val="nil"/>
            </w:tcBorders>
            <w:vAlign w:val="center"/>
          </w:tcPr>
          <w:p w14:paraId="44A9BE0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44.407642</w:t>
            </w:r>
          </w:p>
        </w:tc>
        <w:tc>
          <w:tcPr>
            <w:tcW w:w="450" w:type="pct"/>
            <w:vMerge w:val="continue"/>
            <w:tcBorders>
              <w:tl2br w:val="nil"/>
              <w:tr2bl w:val="nil"/>
            </w:tcBorders>
            <w:vAlign w:val="center"/>
          </w:tcPr>
          <w:p w14:paraId="6D8F22E4">
            <w:pPr>
              <w:jc w:val="center"/>
              <w:rPr>
                <w:sz w:val="21"/>
                <w:szCs w:val="21"/>
                <w:highlight w:val="none"/>
              </w:rPr>
            </w:pPr>
          </w:p>
        </w:tc>
        <w:tc>
          <w:tcPr>
            <w:tcW w:w="476" w:type="pct"/>
            <w:vMerge w:val="continue"/>
            <w:tcBorders>
              <w:tl2br w:val="nil"/>
              <w:tr2bl w:val="nil"/>
            </w:tcBorders>
            <w:vAlign w:val="center"/>
          </w:tcPr>
          <w:p w14:paraId="4B7DB021">
            <w:pPr>
              <w:jc w:val="center"/>
              <w:rPr>
                <w:sz w:val="21"/>
                <w:szCs w:val="21"/>
                <w:highlight w:val="none"/>
              </w:rPr>
            </w:pPr>
          </w:p>
        </w:tc>
        <w:tc>
          <w:tcPr>
            <w:tcW w:w="1050" w:type="pct"/>
            <w:vMerge w:val="continue"/>
            <w:tcBorders>
              <w:tl2br w:val="nil"/>
              <w:tr2bl w:val="nil"/>
            </w:tcBorders>
            <w:vAlign w:val="center"/>
          </w:tcPr>
          <w:p w14:paraId="63ECD7B4">
            <w:pPr>
              <w:jc w:val="center"/>
              <w:rPr>
                <w:sz w:val="21"/>
                <w:szCs w:val="21"/>
                <w:highlight w:val="none"/>
              </w:rPr>
            </w:pPr>
          </w:p>
        </w:tc>
        <w:tc>
          <w:tcPr>
            <w:tcW w:w="444" w:type="pct"/>
            <w:tcBorders>
              <w:tl2br w:val="nil"/>
              <w:tr2bl w:val="nil"/>
            </w:tcBorders>
            <w:vAlign w:val="center"/>
          </w:tcPr>
          <w:p w14:paraId="0797338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21C67472">
            <w:pPr>
              <w:jc w:val="both"/>
              <w:rPr>
                <w:rFonts w:hint="default"/>
                <w:sz w:val="21"/>
                <w:szCs w:val="21"/>
                <w:highlight w:val="none"/>
                <w:lang w:val="en-US" w:eastAsia="zh-CN"/>
              </w:rPr>
            </w:pPr>
            <w:r>
              <w:rPr>
                <w:rFonts w:hint="eastAsia"/>
                <w:sz w:val="21"/>
                <w:szCs w:val="21"/>
                <w:highlight w:val="none"/>
                <w:lang w:val="en-US" w:eastAsia="zh-CN"/>
              </w:rPr>
              <w:t>120m</w:t>
            </w:r>
          </w:p>
        </w:tc>
      </w:tr>
      <w:tr w14:paraId="3FE9C8FF">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5AA4153">
            <w:pPr>
              <w:jc w:val="center"/>
              <w:rPr>
                <w:rFonts w:hint="eastAsia" w:eastAsia="宋体"/>
                <w:sz w:val="21"/>
                <w:szCs w:val="21"/>
                <w:highlight w:val="none"/>
                <w:lang w:val="en-US" w:eastAsia="zh-CN"/>
              </w:rPr>
            </w:pPr>
          </w:p>
        </w:tc>
        <w:tc>
          <w:tcPr>
            <w:tcW w:w="390" w:type="pct"/>
            <w:tcBorders>
              <w:tl2br w:val="nil"/>
              <w:tr2bl w:val="nil"/>
            </w:tcBorders>
            <w:vAlign w:val="center"/>
          </w:tcPr>
          <w:p w14:paraId="08FAC7D8">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数码港宾馆</w:t>
            </w:r>
          </w:p>
        </w:tc>
        <w:tc>
          <w:tcPr>
            <w:tcW w:w="625" w:type="pct"/>
            <w:tcBorders>
              <w:tl2br w:val="nil"/>
              <w:tr2bl w:val="nil"/>
            </w:tcBorders>
            <w:vAlign w:val="center"/>
          </w:tcPr>
          <w:p w14:paraId="44C24D4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131.149635</w:t>
            </w:r>
          </w:p>
        </w:tc>
        <w:tc>
          <w:tcPr>
            <w:tcW w:w="598" w:type="pct"/>
            <w:tcBorders>
              <w:tl2br w:val="nil"/>
              <w:tr2bl w:val="nil"/>
            </w:tcBorders>
            <w:vAlign w:val="center"/>
          </w:tcPr>
          <w:p w14:paraId="1074E93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44.407175</w:t>
            </w:r>
          </w:p>
        </w:tc>
        <w:tc>
          <w:tcPr>
            <w:tcW w:w="450" w:type="pct"/>
            <w:vMerge w:val="continue"/>
            <w:tcBorders>
              <w:tl2br w:val="nil"/>
              <w:tr2bl w:val="nil"/>
            </w:tcBorders>
            <w:vAlign w:val="center"/>
          </w:tcPr>
          <w:p w14:paraId="0B1DC032">
            <w:pPr>
              <w:jc w:val="center"/>
              <w:rPr>
                <w:sz w:val="21"/>
                <w:szCs w:val="21"/>
                <w:highlight w:val="none"/>
              </w:rPr>
            </w:pPr>
          </w:p>
        </w:tc>
        <w:tc>
          <w:tcPr>
            <w:tcW w:w="476" w:type="pct"/>
            <w:vMerge w:val="continue"/>
            <w:tcBorders>
              <w:tl2br w:val="nil"/>
              <w:tr2bl w:val="nil"/>
            </w:tcBorders>
            <w:vAlign w:val="center"/>
          </w:tcPr>
          <w:p w14:paraId="4DAAA551">
            <w:pPr>
              <w:jc w:val="center"/>
              <w:rPr>
                <w:sz w:val="21"/>
                <w:szCs w:val="21"/>
                <w:highlight w:val="none"/>
              </w:rPr>
            </w:pPr>
          </w:p>
        </w:tc>
        <w:tc>
          <w:tcPr>
            <w:tcW w:w="1050" w:type="pct"/>
            <w:vMerge w:val="continue"/>
            <w:tcBorders>
              <w:tl2br w:val="nil"/>
              <w:tr2bl w:val="nil"/>
            </w:tcBorders>
            <w:vAlign w:val="center"/>
          </w:tcPr>
          <w:p w14:paraId="477BA1FD">
            <w:pPr>
              <w:jc w:val="center"/>
              <w:rPr>
                <w:sz w:val="21"/>
                <w:szCs w:val="21"/>
                <w:highlight w:val="none"/>
              </w:rPr>
            </w:pPr>
          </w:p>
        </w:tc>
        <w:tc>
          <w:tcPr>
            <w:tcW w:w="444" w:type="pct"/>
            <w:tcBorders>
              <w:tl2br w:val="nil"/>
              <w:tr2bl w:val="nil"/>
            </w:tcBorders>
            <w:vAlign w:val="center"/>
          </w:tcPr>
          <w:p w14:paraId="3400E6B2">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43EC9438">
            <w:pPr>
              <w:jc w:val="both"/>
              <w:rPr>
                <w:rFonts w:hint="default"/>
                <w:sz w:val="21"/>
                <w:szCs w:val="21"/>
                <w:highlight w:val="none"/>
                <w:lang w:val="en-US" w:eastAsia="zh-CN"/>
              </w:rPr>
            </w:pPr>
            <w:r>
              <w:rPr>
                <w:rFonts w:hint="eastAsia"/>
                <w:sz w:val="21"/>
                <w:szCs w:val="21"/>
                <w:highlight w:val="none"/>
                <w:lang w:val="en-US" w:eastAsia="zh-CN"/>
              </w:rPr>
              <w:t>190m</w:t>
            </w:r>
          </w:p>
        </w:tc>
      </w:tr>
      <w:tr w14:paraId="3E77D87A">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8DFC2D2">
            <w:pPr>
              <w:jc w:val="center"/>
              <w:rPr>
                <w:rFonts w:hint="eastAsia" w:eastAsia="宋体"/>
                <w:sz w:val="21"/>
                <w:szCs w:val="21"/>
                <w:highlight w:val="none"/>
                <w:lang w:val="en-US" w:eastAsia="zh-CN"/>
              </w:rPr>
            </w:pPr>
          </w:p>
        </w:tc>
        <w:tc>
          <w:tcPr>
            <w:tcW w:w="390" w:type="pct"/>
            <w:tcBorders>
              <w:tl2br w:val="nil"/>
              <w:tr2bl w:val="nil"/>
            </w:tcBorders>
            <w:vAlign w:val="center"/>
          </w:tcPr>
          <w:p w14:paraId="30BBE6B6">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山水国际</w:t>
            </w:r>
          </w:p>
        </w:tc>
        <w:tc>
          <w:tcPr>
            <w:tcW w:w="625" w:type="pct"/>
            <w:tcBorders>
              <w:tl2br w:val="nil"/>
              <w:tr2bl w:val="nil"/>
            </w:tcBorders>
            <w:vAlign w:val="center"/>
          </w:tcPr>
          <w:p w14:paraId="23380A0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131.152377</w:t>
            </w:r>
          </w:p>
        </w:tc>
        <w:tc>
          <w:tcPr>
            <w:tcW w:w="598" w:type="pct"/>
            <w:tcBorders>
              <w:tl2br w:val="nil"/>
              <w:tr2bl w:val="nil"/>
            </w:tcBorders>
            <w:vAlign w:val="center"/>
          </w:tcPr>
          <w:p w14:paraId="4A6162B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44.407090</w:t>
            </w:r>
          </w:p>
        </w:tc>
        <w:tc>
          <w:tcPr>
            <w:tcW w:w="450" w:type="pct"/>
            <w:vMerge w:val="continue"/>
            <w:tcBorders>
              <w:tl2br w:val="nil"/>
              <w:tr2bl w:val="nil"/>
            </w:tcBorders>
            <w:vAlign w:val="center"/>
          </w:tcPr>
          <w:p w14:paraId="53288C47">
            <w:pPr>
              <w:jc w:val="center"/>
              <w:rPr>
                <w:sz w:val="21"/>
                <w:szCs w:val="21"/>
                <w:highlight w:val="none"/>
              </w:rPr>
            </w:pPr>
          </w:p>
        </w:tc>
        <w:tc>
          <w:tcPr>
            <w:tcW w:w="476" w:type="pct"/>
            <w:vMerge w:val="continue"/>
            <w:tcBorders>
              <w:tl2br w:val="nil"/>
              <w:tr2bl w:val="nil"/>
            </w:tcBorders>
            <w:vAlign w:val="center"/>
          </w:tcPr>
          <w:p w14:paraId="211261CD">
            <w:pPr>
              <w:jc w:val="center"/>
              <w:rPr>
                <w:sz w:val="21"/>
                <w:szCs w:val="21"/>
                <w:highlight w:val="none"/>
              </w:rPr>
            </w:pPr>
          </w:p>
        </w:tc>
        <w:tc>
          <w:tcPr>
            <w:tcW w:w="1050" w:type="pct"/>
            <w:vMerge w:val="continue"/>
            <w:tcBorders>
              <w:tl2br w:val="nil"/>
              <w:tr2bl w:val="nil"/>
            </w:tcBorders>
            <w:vAlign w:val="center"/>
          </w:tcPr>
          <w:p w14:paraId="65E8055D">
            <w:pPr>
              <w:jc w:val="center"/>
              <w:rPr>
                <w:sz w:val="21"/>
                <w:szCs w:val="21"/>
                <w:highlight w:val="none"/>
              </w:rPr>
            </w:pPr>
          </w:p>
        </w:tc>
        <w:tc>
          <w:tcPr>
            <w:tcW w:w="444" w:type="pct"/>
            <w:tcBorders>
              <w:tl2br w:val="nil"/>
              <w:tr2bl w:val="nil"/>
            </w:tcBorders>
            <w:vAlign w:val="center"/>
          </w:tcPr>
          <w:p w14:paraId="27182754">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7148F0D6">
            <w:pPr>
              <w:jc w:val="both"/>
              <w:rPr>
                <w:rFonts w:hint="default"/>
                <w:sz w:val="21"/>
                <w:szCs w:val="21"/>
                <w:highlight w:val="none"/>
                <w:lang w:val="en-US" w:eastAsia="zh-CN"/>
              </w:rPr>
            </w:pPr>
            <w:r>
              <w:rPr>
                <w:rFonts w:hint="eastAsia"/>
                <w:sz w:val="21"/>
                <w:szCs w:val="21"/>
                <w:highlight w:val="none"/>
                <w:lang w:val="en-US" w:eastAsia="zh-CN"/>
              </w:rPr>
              <w:t>380m</w:t>
            </w:r>
          </w:p>
        </w:tc>
      </w:tr>
      <w:tr w14:paraId="75D85516">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6F5D01B">
            <w:pPr>
              <w:jc w:val="center"/>
              <w:rPr>
                <w:rFonts w:hint="eastAsia" w:eastAsia="宋体"/>
                <w:sz w:val="21"/>
                <w:szCs w:val="21"/>
                <w:highlight w:val="none"/>
                <w:lang w:val="en-US" w:eastAsia="zh-CN"/>
              </w:rPr>
            </w:pPr>
          </w:p>
        </w:tc>
        <w:tc>
          <w:tcPr>
            <w:tcW w:w="390" w:type="pct"/>
            <w:tcBorders>
              <w:tl2br w:val="nil"/>
              <w:tr2bl w:val="nil"/>
            </w:tcBorders>
            <w:vAlign w:val="center"/>
          </w:tcPr>
          <w:p w14:paraId="3A65FBD5">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湖畔花园小区</w:t>
            </w:r>
          </w:p>
        </w:tc>
        <w:tc>
          <w:tcPr>
            <w:tcW w:w="625" w:type="pct"/>
            <w:tcBorders>
              <w:tl2br w:val="nil"/>
              <w:tr2bl w:val="nil"/>
            </w:tcBorders>
            <w:vAlign w:val="center"/>
          </w:tcPr>
          <w:p w14:paraId="62ACDD6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131.152167</w:t>
            </w:r>
          </w:p>
        </w:tc>
        <w:tc>
          <w:tcPr>
            <w:tcW w:w="598" w:type="pct"/>
            <w:tcBorders>
              <w:tl2br w:val="nil"/>
              <w:tr2bl w:val="nil"/>
            </w:tcBorders>
            <w:vAlign w:val="center"/>
          </w:tcPr>
          <w:p w14:paraId="79F3DF07">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44.402790</w:t>
            </w:r>
          </w:p>
        </w:tc>
        <w:tc>
          <w:tcPr>
            <w:tcW w:w="450" w:type="pct"/>
            <w:vMerge w:val="continue"/>
            <w:tcBorders>
              <w:tl2br w:val="nil"/>
              <w:tr2bl w:val="nil"/>
            </w:tcBorders>
            <w:vAlign w:val="center"/>
          </w:tcPr>
          <w:p w14:paraId="78604CA1">
            <w:pPr>
              <w:jc w:val="center"/>
              <w:rPr>
                <w:sz w:val="21"/>
                <w:szCs w:val="21"/>
                <w:highlight w:val="none"/>
              </w:rPr>
            </w:pPr>
          </w:p>
        </w:tc>
        <w:tc>
          <w:tcPr>
            <w:tcW w:w="476" w:type="pct"/>
            <w:vMerge w:val="continue"/>
            <w:tcBorders>
              <w:tl2br w:val="nil"/>
              <w:tr2bl w:val="nil"/>
            </w:tcBorders>
            <w:vAlign w:val="center"/>
          </w:tcPr>
          <w:p w14:paraId="7D233A5B">
            <w:pPr>
              <w:jc w:val="center"/>
              <w:rPr>
                <w:sz w:val="21"/>
                <w:szCs w:val="21"/>
                <w:highlight w:val="none"/>
              </w:rPr>
            </w:pPr>
          </w:p>
        </w:tc>
        <w:tc>
          <w:tcPr>
            <w:tcW w:w="1050" w:type="pct"/>
            <w:vMerge w:val="continue"/>
            <w:tcBorders>
              <w:tl2br w:val="nil"/>
              <w:tr2bl w:val="nil"/>
            </w:tcBorders>
            <w:vAlign w:val="center"/>
          </w:tcPr>
          <w:p w14:paraId="5A00C2B9">
            <w:pPr>
              <w:jc w:val="center"/>
              <w:rPr>
                <w:sz w:val="21"/>
                <w:szCs w:val="21"/>
                <w:highlight w:val="none"/>
              </w:rPr>
            </w:pPr>
          </w:p>
        </w:tc>
        <w:tc>
          <w:tcPr>
            <w:tcW w:w="444" w:type="pct"/>
            <w:tcBorders>
              <w:tl2br w:val="nil"/>
              <w:tr2bl w:val="nil"/>
            </w:tcBorders>
            <w:vAlign w:val="center"/>
          </w:tcPr>
          <w:p w14:paraId="155DB509">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2D81565">
            <w:pPr>
              <w:jc w:val="both"/>
              <w:rPr>
                <w:rFonts w:hint="default"/>
                <w:sz w:val="21"/>
                <w:szCs w:val="21"/>
                <w:highlight w:val="none"/>
                <w:lang w:val="en-US" w:eastAsia="zh-CN"/>
              </w:rPr>
            </w:pPr>
            <w:r>
              <w:rPr>
                <w:rFonts w:hint="eastAsia"/>
                <w:sz w:val="21"/>
                <w:szCs w:val="21"/>
                <w:highlight w:val="none"/>
                <w:lang w:val="en-US" w:eastAsia="zh-CN"/>
              </w:rPr>
              <w:t>720m</w:t>
            </w:r>
          </w:p>
        </w:tc>
      </w:tr>
      <w:tr w14:paraId="2D0193F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9430D40">
            <w:pPr>
              <w:jc w:val="center"/>
              <w:rPr>
                <w:rFonts w:hint="eastAsia" w:eastAsia="宋体"/>
                <w:sz w:val="21"/>
                <w:szCs w:val="21"/>
                <w:highlight w:val="none"/>
                <w:lang w:val="en-US" w:eastAsia="zh-CN"/>
              </w:rPr>
            </w:pPr>
          </w:p>
        </w:tc>
        <w:tc>
          <w:tcPr>
            <w:tcW w:w="390" w:type="pct"/>
            <w:tcBorders>
              <w:tl2br w:val="nil"/>
              <w:tr2bl w:val="nil"/>
            </w:tcBorders>
            <w:vAlign w:val="center"/>
          </w:tcPr>
          <w:p w14:paraId="4FC23612">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湖滨小区</w:t>
            </w:r>
          </w:p>
        </w:tc>
        <w:tc>
          <w:tcPr>
            <w:tcW w:w="625" w:type="pct"/>
            <w:tcBorders>
              <w:tl2br w:val="nil"/>
              <w:tr2bl w:val="nil"/>
            </w:tcBorders>
            <w:vAlign w:val="center"/>
          </w:tcPr>
          <w:p w14:paraId="51AB4E1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131.151438</w:t>
            </w:r>
          </w:p>
        </w:tc>
        <w:tc>
          <w:tcPr>
            <w:tcW w:w="598" w:type="pct"/>
            <w:tcBorders>
              <w:tl2br w:val="nil"/>
              <w:tr2bl w:val="nil"/>
            </w:tcBorders>
            <w:vAlign w:val="center"/>
          </w:tcPr>
          <w:p w14:paraId="2B4E58E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44.401763</w:t>
            </w:r>
          </w:p>
        </w:tc>
        <w:tc>
          <w:tcPr>
            <w:tcW w:w="450" w:type="pct"/>
            <w:vMerge w:val="continue"/>
            <w:tcBorders>
              <w:tl2br w:val="nil"/>
              <w:tr2bl w:val="nil"/>
            </w:tcBorders>
            <w:vAlign w:val="center"/>
          </w:tcPr>
          <w:p w14:paraId="01A4B797">
            <w:pPr>
              <w:jc w:val="center"/>
              <w:rPr>
                <w:sz w:val="21"/>
                <w:szCs w:val="21"/>
                <w:highlight w:val="none"/>
              </w:rPr>
            </w:pPr>
          </w:p>
        </w:tc>
        <w:tc>
          <w:tcPr>
            <w:tcW w:w="476" w:type="pct"/>
            <w:vMerge w:val="continue"/>
            <w:tcBorders>
              <w:tl2br w:val="nil"/>
              <w:tr2bl w:val="nil"/>
            </w:tcBorders>
            <w:vAlign w:val="center"/>
          </w:tcPr>
          <w:p w14:paraId="0A314BF6">
            <w:pPr>
              <w:jc w:val="center"/>
              <w:rPr>
                <w:sz w:val="21"/>
                <w:szCs w:val="21"/>
                <w:highlight w:val="none"/>
              </w:rPr>
            </w:pPr>
          </w:p>
        </w:tc>
        <w:tc>
          <w:tcPr>
            <w:tcW w:w="1050" w:type="pct"/>
            <w:vMerge w:val="continue"/>
            <w:tcBorders>
              <w:tl2br w:val="nil"/>
              <w:tr2bl w:val="nil"/>
            </w:tcBorders>
            <w:vAlign w:val="center"/>
          </w:tcPr>
          <w:p w14:paraId="0D0488A8">
            <w:pPr>
              <w:jc w:val="center"/>
              <w:rPr>
                <w:sz w:val="21"/>
                <w:szCs w:val="21"/>
                <w:highlight w:val="none"/>
              </w:rPr>
            </w:pPr>
          </w:p>
        </w:tc>
        <w:tc>
          <w:tcPr>
            <w:tcW w:w="444" w:type="pct"/>
            <w:tcBorders>
              <w:tl2br w:val="nil"/>
              <w:tr2bl w:val="nil"/>
            </w:tcBorders>
            <w:vAlign w:val="center"/>
          </w:tcPr>
          <w:p w14:paraId="72FAC40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CA32BF5">
            <w:pPr>
              <w:jc w:val="both"/>
              <w:rPr>
                <w:rFonts w:hint="default"/>
                <w:sz w:val="21"/>
                <w:szCs w:val="21"/>
                <w:highlight w:val="none"/>
                <w:lang w:val="en-US" w:eastAsia="zh-CN"/>
              </w:rPr>
            </w:pPr>
            <w:r>
              <w:rPr>
                <w:rFonts w:hint="eastAsia"/>
                <w:sz w:val="21"/>
                <w:szCs w:val="21"/>
                <w:highlight w:val="none"/>
                <w:lang w:val="en-US" w:eastAsia="zh-CN"/>
              </w:rPr>
              <w:t>810m</w:t>
            </w:r>
          </w:p>
        </w:tc>
      </w:tr>
      <w:tr w14:paraId="68A5849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1BAC9BD">
            <w:pPr>
              <w:jc w:val="center"/>
              <w:rPr>
                <w:rFonts w:hint="eastAsia" w:eastAsia="宋体"/>
                <w:sz w:val="21"/>
                <w:szCs w:val="21"/>
                <w:highlight w:val="none"/>
                <w:lang w:val="en-US" w:eastAsia="zh-CN"/>
              </w:rPr>
            </w:pPr>
          </w:p>
        </w:tc>
        <w:tc>
          <w:tcPr>
            <w:tcW w:w="390" w:type="pct"/>
            <w:tcBorders>
              <w:tl2br w:val="nil"/>
              <w:tr2bl w:val="nil"/>
            </w:tcBorders>
            <w:vAlign w:val="center"/>
          </w:tcPr>
          <w:p w14:paraId="3A600FE3">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吉祥小区</w:t>
            </w:r>
          </w:p>
        </w:tc>
        <w:tc>
          <w:tcPr>
            <w:tcW w:w="625" w:type="pct"/>
            <w:tcBorders>
              <w:tl2br w:val="nil"/>
              <w:tr2bl w:val="nil"/>
            </w:tcBorders>
            <w:vAlign w:val="center"/>
          </w:tcPr>
          <w:p w14:paraId="4CAE8E73">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131.153347</w:t>
            </w:r>
          </w:p>
        </w:tc>
        <w:tc>
          <w:tcPr>
            <w:tcW w:w="598" w:type="pct"/>
            <w:tcBorders>
              <w:tl2br w:val="nil"/>
              <w:tr2bl w:val="nil"/>
            </w:tcBorders>
            <w:vAlign w:val="center"/>
          </w:tcPr>
          <w:p w14:paraId="077D146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44.400046</w:t>
            </w:r>
          </w:p>
        </w:tc>
        <w:tc>
          <w:tcPr>
            <w:tcW w:w="450" w:type="pct"/>
            <w:vMerge w:val="continue"/>
            <w:tcBorders>
              <w:tl2br w:val="nil"/>
              <w:tr2bl w:val="nil"/>
            </w:tcBorders>
            <w:vAlign w:val="center"/>
          </w:tcPr>
          <w:p w14:paraId="49474241">
            <w:pPr>
              <w:jc w:val="center"/>
              <w:rPr>
                <w:sz w:val="21"/>
                <w:szCs w:val="21"/>
                <w:highlight w:val="none"/>
              </w:rPr>
            </w:pPr>
          </w:p>
        </w:tc>
        <w:tc>
          <w:tcPr>
            <w:tcW w:w="476" w:type="pct"/>
            <w:vMerge w:val="continue"/>
            <w:tcBorders>
              <w:tl2br w:val="nil"/>
              <w:tr2bl w:val="nil"/>
            </w:tcBorders>
            <w:vAlign w:val="center"/>
          </w:tcPr>
          <w:p w14:paraId="5CC55811">
            <w:pPr>
              <w:jc w:val="center"/>
              <w:rPr>
                <w:sz w:val="21"/>
                <w:szCs w:val="21"/>
                <w:highlight w:val="none"/>
              </w:rPr>
            </w:pPr>
          </w:p>
        </w:tc>
        <w:tc>
          <w:tcPr>
            <w:tcW w:w="1050" w:type="pct"/>
            <w:vMerge w:val="continue"/>
            <w:tcBorders>
              <w:tl2br w:val="nil"/>
              <w:tr2bl w:val="nil"/>
            </w:tcBorders>
            <w:vAlign w:val="center"/>
          </w:tcPr>
          <w:p w14:paraId="2B006763">
            <w:pPr>
              <w:jc w:val="center"/>
              <w:rPr>
                <w:sz w:val="21"/>
                <w:szCs w:val="21"/>
                <w:highlight w:val="none"/>
              </w:rPr>
            </w:pPr>
          </w:p>
        </w:tc>
        <w:tc>
          <w:tcPr>
            <w:tcW w:w="444" w:type="pct"/>
            <w:tcBorders>
              <w:tl2br w:val="nil"/>
              <w:tr2bl w:val="nil"/>
            </w:tcBorders>
            <w:vAlign w:val="center"/>
          </w:tcPr>
          <w:p w14:paraId="2B9CF40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4F613150">
            <w:pPr>
              <w:jc w:val="both"/>
              <w:rPr>
                <w:rFonts w:hint="default"/>
                <w:sz w:val="21"/>
                <w:szCs w:val="21"/>
                <w:highlight w:val="none"/>
                <w:lang w:val="en-US" w:eastAsia="zh-CN"/>
              </w:rPr>
            </w:pPr>
            <w:r>
              <w:rPr>
                <w:rFonts w:hint="eastAsia"/>
                <w:sz w:val="21"/>
                <w:szCs w:val="21"/>
                <w:highlight w:val="none"/>
                <w:lang w:val="en-US" w:eastAsia="zh-CN"/>
              </w:rPr>
              <w:t>950m</w:t>
            </w:r>
          </w:p>
        </w:tc>
      </w:tr>
      <w:tr w14:paraId="6B932F9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456863C">
            <w:pPr>
              <w:jc w:val="center"/>
              <w:rPr>
                <w:rFonts w:hint="eastAsia" w:eastAsia="宋体"/>
                <w:sz w:val="21"/>
                <w:szCs w:val="21"/>
                <w:highlight w:val="none"/>
                <w:lang w:val="en-US" w:eastAsia="zh-CN"/>
              </w:rPr>
            </w:pPr>
          </w:p>
        </w:tc>
        <w:tc>
          <w:tcPr>
            <w:tcW w:w="390" w:type="pct"/>
            <w:tcBorders>
              <w:tl2br w:val="nil"/>
              <w:tr2bl w:val="nil"/>
            </w:tcBorders>
            <w:vAlign w:val="center"/>
          </w:tcPr>
          <w:p w14:paraId="4CE1C97D">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天佑国际</w:t>
            </w:r>
          </w:p>
        </w:tc>
        <w:tc>
          <w:tcPr>
            <w:tcW w:w="625" w:type="pct"/>
            <w:tcBorders>
              <w:tl2br w:val="nil"/>
              <w:tr2bl w:val="nil"/>
            </w:tcBorders>
            <w:vAlign w:val="center"/>
          </w:tcPr>
          <w:p w14:paraId="6E7E3DE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131.156867</w:t>
            </w:r>
          </w:p>
        </w:tc>
        <w:tc>
          <w:tcPr>
            <w:tcW w:w="598" w:type="pct"/>
            <w:tcBorders>
              <w:tl2br w:val="nil"/>
              <w:tr2bl w:val="nil"/>
            </w:tcBorders>
            <w:vAlign w:val="center"/>
          </w:tcPr>
          <w:p w14:paraId="7822EA5A">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44.401533</w:t>
            </w:r>
          </w:p>
        </w:tc>
        <w:tc>
          <w:tcPr>
            <w:tcW w:w="450" w:type="pct"/>
            <w:vMerge w:val="continue"/>
            <w:tcBorders>
              <w:tl2br w:val="nil"/>
              <w:tr2bl w:val="nil"/>
            </w:tcBorders>
            <w:vAlign w:val="center"/>
          </w:tcPr>
          <w:p w14:paraId="545FDBA4">
            <w:pPr>
              <w:jc w:val="center"/>
              <w:rPr>
                <w:sz w:val="21"/>
                <w:szCs w:val="21"/>
                <w:highlight w:val="none"/>
              </w:rPr>
            </w:pPr>
          </w:p>
        </w:tc>
        <w:tc>
          <w:tcPr>
            <w:tcW w:w="476" w:type="pct"/>
            <w:vMerge w:val="continue"/>
            <w:tcBorders>
              <w:tl2br w:val="nil"/>
              <w:tr2bl w:val="nil"/>
            </w:tcBorders>
            <w:vAlign w:val="center"/>
          </w:tcPr>
          <w:p w14:paraId="0A4FB153">
            <w:pPr>
              <w:jc w:val="center"/>
              <w:rPr>
                <w:sz w:val="21"/>
                <w:szCs w:val="21"/>
                <w:highlight w:val="none"/>
              </w:rPr>
            </w:pPr>
          </w:p>
        </w:tc>
        <w:tc>
          <w:tcPr>
            <w:tcW w:w="1050" w:type="pct"/>
            <w:vMerge w:val="continue"/>
            <w:tcBorders>
              <w:tl2br w:val="nil"/>
              <w:tr2bl w:val="nil"/>
            </w:tcBorders>
            <w:vAlign w:val="center"/>
          </w:tcPr>
          <w:p w14:paraId="3A90FB23">
            <w:pPr>
              <w:jc w:val="center"/>
              <w:rPr>
                <w:sz w:val="21"/>
                <w:szCs w:val="21"/>
                <w:highlight w:val="none"/>
              </w:rPr>
            </w:pPr>
          </w:p>
        </w:tc>
        <w:tc>
          <w:tcPr>
            <w:tcW w:w="444" w:type="pct"/>
            <w:tcBorders>
              <w:tl2br w:val="nil"/>
              <w:tr2bl w:val="nil"/>
            </w:tcBorders>
            <w:vAlign w:val="center"/>
          </w:tcPr>
          <w:p w14:paraId="465525D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464E1B8D">
            <w:pPr>
              <w:jc w:val="both"/>
              <w:rPr>
                <w:rFonts w:hint="default"/>
                <w:sz w:val="21"/>
                <w:szCs w:val="21"/>
                <w:highlight w:val="none"/>
                <w:lang w:val="en-US" w:eastAsia="zh-CN"/>
              </w:rPr>
            </w:pPr>
            <w:r>
              <w:rPr>
                <w:rFonts w:hint="eastAsia"/>
                <w:sz w:val="21"/>
                <w:szCs w:val="21"/>
                <w:highlight w:val="none"/>
                <w:lang w:val="en-US" w:eastAsia="zh-CN"/>
              </w:rPr>
              <w:t>1050m</w:t>
            </w:r>
          </w:p>
        </w:tc>
      </w:tr>
      <w:tr w14:paraId="4D7DA7A6">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9F9E770">
            <w:pPr>
              <w:jc w:val="center"/>
              <w:rPr>
                <w:rFonts w:hint="eastAsia" w:eastAsia="宋体"/>
                <w:sz w:val="21"/>
                <w:szCs w:val="21"/>
                <w:highlight w:val="none"/>
                <w:lang w:val="en-US" w:eastAsia="zh-CN"/>
              </w:rPr>
            </w:pPr>
          </w:p>
        </w:tc>
        <w:tc>
          <w:tcPr>
            <w:tcW w:w="390" w:type="pct"/>
            <w:tcBorders>
              <w:tl2br w:val="nil"/>
              <w:tr2bl w:val="nil"/>
            </w:tcBorders>
            <w:vAlign w:val="center"/>
          </w:tcPr>
          <w:p w14:paraId="04787E25">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前进社区</w:t>
            </w:r>
          </w:p>
        </w:tc>
        <w:tc>
          <w:tcPr>
            <w:tcW w:w="625" w:type="pct"/>
            <w:tcBorders>
              <w:tl2br w:val="nil"/>
              <w:tr2bl w:val="nil"/>
            </w:tcBorders>
            <w:vAlign w:val="center"/>
          </w:tcPr>
          <w:p w14:paraId="00E6378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131.158025</w:t>
            </w:r>
          </w:p>
        </w:tc>
        <w:tc>
          <w:tcPr>
            <w:tcW w:w="598" w:type="pct"/>
            <w:tcBorders>
              <w:tl2br w:val="nil"/>
              <w:tr2bl w:val="nil"/>
            </w:tcBorders>
            <w:vAlign w:val="center"/>
          </w:tcPr>
          <w:p w14:paraId="520F6A5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44.401886</w:t>
            </w:r>
          </w:p>
        </w:tc>
        <w:tc>
          <w:tcPr>
            <w:tcW w:w="450" w:type="pct"/>
            <w:vMerge w:val="continue"/>
            <w:tcBorders>
              <w:tl2br w:val="nil"/>
              <w:tr2bl w:val="nil"/>
            </w:tcBorders>
            <w:vAlign w:val="center"/>
          </w:tcPr>
          <w:p w14:paraId="40C30F67">
            <w:pPr>
              <w:jc w:val="center"/>
              <w:rPr>
                <w:sz w:val="21"/>
                <w:szCs w:val="21"/>
                <w:highlight w:val="none"/>
              </w:rPr>
            </w:pPr>
          </w:p>
        </w:tc>
        <w:tc>
          <w:tcPr>
            <w:tcW w:w="476" w:type="pct"/>
            <w:vMerge w:val="continue"/>
            <w:tcBorders>
              <w:tl2br w:val="nil"/>
              <w:tr2bl w:val="nil"/>
            </w:tcBorders>
            <w:vAlign w:val="center"/>
          </w:tcPr>
          <w:p w14:paraId="0A8BD82D">
            <w:pPr>
              <w:jc w:val="center"/>
              <w:rPr>
                <w:sz w:val="21"/>
                <w:szCs w:val="21"/>
                <w:highlight w:val="none"/>
              </w:rPr>
            </w:pPr>
          </w:p>
        </w:tc>
        <w:tc>
          <w:tcPr>
            <w:tcW w:w="1050" w:type="pct"/>
            <w:vMerge w:val="continue"/>
            <w:tcBorders>
              <w:tl2br w:val="nil"/>
              <w:tr2bl w:val="nil"/>
            </w:tcBorders>
            <w:vAlign w:val="center"/>
          </w:tcPr>
          <w:p w14:paraId="4D939D2C">
            <w:pPr>
              <w:jc w:val="center"/>
              <w:rPr>
                <w:sz w:val="21"/>
                <w:szCs w:val="21"/>
                <w:highlight w:val="none"/>
              </w:rPr>
            </w:pPr>
          </w:p>
        </w:tc>
        <w:tc>
          <w:tcPr>
            <w:tcW w:w="444" w:type="pct"/>
            <w:tcBorders>
              <w:tl2br w:val="nil"/>
              <w:tr2bl w:val="nil"/>
            </w:tcBorders>
            <w:vAlign w:val="center"/>
          </w:tcPr>
          <w:p w14:paraId="2D493E8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731D409">
            <w:pPr>
              <w:jc w:val="both"/>
              <w:rPr>
                <w:rFonts w:hint="default"/>
                <w:sz w:val="21"/>
                <w:szCs w:val="21"/>
                <w:highlight w:val="none"/>
                <w:lang w:val="en-US" w:eastAsia="zh-CN"/>
              </w:rPr>
            </w:pPr>
            <w:r>
              <w:rPr>
                <w:rFonts w:hint="eastAsia"/>
                <w:sz w:val="21"/>
                <w:szCs w:val="21"/>
                <w:highlight w:val="none"/>
                <w:lang w:val="en-US" w:eastAsia="zh-CN"/>
              </w:rPr>
              <w:t>1020m</w:t>
            </w:r>
          </w:p>
        </w:tc>
      </w:tr>
      <w:tr w14:paraId="2DB9B9E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4BF833E">
            <w:pPr>
              <w:jc w:val="center"/>
              <w:rPr>
                <w:rFonts w:hint="eastAsia" w:eastAsia="宋体"/>
                <w:sz w:val="21"/>
                <w:szCs w:val="21"/>
                <w:highlight w:val="none"/>
                <w:lang w:val="en-US" w:eastAsia="zh-CN"/>
              </w:rPr>
            </w:pPr>
          </w:p>
        </w:tc>
        <w:tc>
          <w:tcPr>
            <w:tcW w:w="390" w:type="pct"/>
            <w:tcBorders>
              <w:tl2br w:val="nil"/>
              <w:tr2bl w:val="nil"/>
            </w:tcBorders>
            <w:vAlign w:val="center"/>
          </w:tcPr>
          <w:p w14:paraId="0F6B5898">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远东新天地</w:t>
            </w:r>
          </w:p>
        </w:tc>
        <w:tc>
          <w:tcPr>
            <w:tcW w:w="625" w:type="pct"/>
            <w:tcBorders>
              <w:tl2br w:val="nil"/>
              <w:tr2bl w:val="nil"/>
            </w:tcBorders>
            <w:vAlign w:val="center"/>
          </w:tcPr>
          <w:p w14:paraId="7F39417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131.162875</w:t>
            </w:r>
          </w:p>
        </w:tc>
        <w:tc>
          <w:tcPr>
            <w:tcW w:w="598" w:type="pct"/>
            <w:tcBorders>
              <w:tl2br w:val="nil"/>
              <w:tr2bl w:val="nil"/>
            </w:tcBorders>
            <w:vAlign w:val="center"/>
          </w:tcPr>
          <w:p w14:paraId="0EC35F8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44.407159</w:t>
            </w:r>
          </w:p>
        </w:tc>
        <w:tc>
          <w:tcPr>
            <w:tcW w:w="450" w:type="pct"/>
            <w:vMerge w:val="continue"/>
            <w:tcBorders>
              <w:tl2br w:val="nil"/>
              <w:tr2bl w:val="nil"/>
            </w:tcBorders>
            <w:vAlign w:val="center"/>
          </w:tcPr>
          <w:p w14:paraId="4703EFF5">
            <w:pPr>
              <w:jc w:val="center"/>
              <w:rPr>
                <w:sz w:val="21"/>
                <w:szCs w:val="21"/>
                <w:highlight w:val="none"/>
              </w:rPr>
            </w:pPr>
          </w:p>
        </w:tc>
        <w:tc>
          <w:tcPr>
            <w:tcW w:w="476" w:type="pct"/>
            <w:vMerge w:val="continue"/>
            <w:tcBorders>
              <w:tl2br w:val="nil"/>
              <w:tr2bl w:val="nil"/>
            </w:tcBorders>
            <w:vAlign w:val="center"/>
          </w:tcPr>
          <w:p w14:paraId="2325CBC9">
            <w:pPr>
              <w:jc w:val="center"/>
              <w:rPr>
                <w:sz w:val="21"/>
                <w:szCs w:val="21"/>
                <w:highlight w:val="none"/>
              </w:rPr>
            </w:pPr>
          </w:p>
        </w:tc>
        <w:tc>
          <w:tcPr>
            <w:tcW w:w="1050" w:type="pct"/>
            <w:vMerge w:val="continue"/>
            <w:tcBorders>
              <w:tl2br w:val="nil"/>
              <w:tr2bl w:val="nil"/>
            </w:tcBorders>
            <w:vAlign w:val="center"/>
          </w:tcPr>
          <w:p w14:paraId="37EC0F14">
            <w:pPr>
              <w:jc w:val="center"/>
              <w:rPr>
                <w:sz w:val="21"/>
                <w:szCs w:val="21"/>
                <w:highlight w:val="none"/>
              </w:rPr>
            </w:pPr>
          </w:p>
        </w:tc>
        <w:tc>
          <w:tcPr>
            <w:tcW w:w="444" w:type="pct"/>
            <w:tcBorders>
              <w:tl2br w:val="nil"/>
              <w:tr2bl w:val="nil"/>
            </w:tcBorders>
            <w:vAlign w:val="center"/>
          </w:tcPr>
          <w:p w14:paraId="33EE700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E</w:t>
            </w:r>
          </w:p>
        </w:tc>
        <w:tc>
          <w:tcPr>
            <w:tcW w:w="574" w:type="pct"/>
            <w:tcBorders>
              <w:tl2br w:val="nil"/>
              <w:tr2bl w:val="nil"/>
            </w:tcBorders>
            <w:vAlign w:val="center"/>
          </w:tcPr>
          <w:p w14:paraId="2F3F4E6A">
            <w:pPr>
              <w:jc w:val="both"/>
              <w:rPr>
                <w:rFonts w:hint="default"/>
                <w:sz w:val="21"/>
                <w:szCs w:val="21"/>
                <w:highlight w:val="none"/>
                <w:lang w:val="en-US" w:eastAsia="zh-CN"/>
              </w:rPr>
            </w:pPr>
            <w:r>
              <w:rPr>
                <w:rFonts w:hint="eastAsia"/>
                <w:sz w:val="21"/>
                <w:szCs w:val="21"/>
                <w:highlight w:val="none"/>
                <w:lang w:val="en-US" w:eastAsia="zh-CN"/>
              </w:rPr>
              <w:t>1100m</w:t>
            </w:r>
          </w:p>
        </w:tc>
      </w:tr>
      <w:tr w14:paraId="56FE13D2">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F1D3A4B">
            <w:pPr>
              <w:jc w:val="center"/>
              <w:rPr>
                <w:rFonts w:hint="eastAsia" w:eastAsia="宋体"/>
                <w:sz w:val="21"/>
                <w:szCs w:val="21"/>
                <w:highlight w:val="none"/>
                <w:lang w:val="en-US" w:eastAsia="zh-CN"/>
              </w:rPr>
            </w:pPr>
          </w:p>
        </w:tc>
        <w:tc>
          <w:tcPr>
            <w:tcW w:w="390" w:type="pct"/>
            <w:tcBorders>
              <w:tl2br w:val="nil"/>
              <w:tr2bl w:val="nil"/>
            </w:tcBorders>
            <w:vAlign w:val="center"/>
          </w:tcPr>
          <w:p w14:paraId="3754B610">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幸福家园</w:t>
            </w:r>
          </w:p>
        </w:tc>
        <w:tc>
          <w:tcPr>
            <w:tcW w:w="625" w:type="pct"/>
            <w:tcBorders>
              <w:tl2br w:val="nil"/>
              <w:tr2bl w:val="nil"/>
            </w:tcBorders>
            <w:vAlign w:val="center"/>
          </w:tcPr>
          <w:p w14:paraId="417C9FE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131.162059</w:t>
            </w:r>
          </w:p>
        </w:tc>
        <w:tc>
          <w:tcPr>
            <w:tcW w:w="598" w:type="pct"/>
            <w:tcBorders>
              <w:tl2br w:val="nil"/>
              <w:tr2bl w:val="nil"/>
            </w:tcBorders>
            <w:vAlign w:val="center"/>
          </w:tcPr>
          <w:p w14:paraId="17712B9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44.401932</w:t>
            </w:r>
          </w:p>
        </w:tc>
        <w:tc>
          <w:tcPr>
            <w:tcW w:w="450" w:type="pct"/>
            <w:vMerge w:val="continue"/>
            <w:tcBorders>
              <w:tl2br w:val="nil"/>
              <w:tr2bl w:val="nil"/>
            </w:tcBorders>
            <w:vAlign w:val="center"/>
          </w:tcPr>
          <w:p w14:paraId="6BAC1F45">
            <w:pPr>
              <w:jc w:val="center"/>
              <w:rPr>
                <w:sz w:val="21"/>
                <w:szCs w:val="21"/>
                <w:highlight w:val="none"/>
              </w:rPr>
            </w:pPr>
          </w:p>
        </w:tc>
        <w:tc>
          <w:tcPr>
            <w:tcW w:w="476" w:type="pct"/>
            <w:vMerge w:val="continue"/>
            <w:tcBorders>
              <w:tl2br w:val="nil"/>
              <w:tr2bl w:val="nil"/>
            </w:tcBorders>
            <w:vAlign w:val="center"/>
          </w:tcPr>
          <w:p w14:paraId="655324E2">
            <w:pPr>
              <w:jc w:val="center"/>
              <w:rPr>
                <w:sz w:val="21"/>
                <w:szCs w:val="21"/>
                <w:highlight w:val="none"/>
              </w:rPr>
            </w:pPr>
          </w:p>
        </w:tc>
        <w:tc>
          <w:tcPr>
            <w:tcW w:w="1050" w:type="pct"/>
            <w:vMerge w:val="continue"/>
            <w:tcBorders>
              <w:tl2br w:val="nil"/>
              <w:tr2bl w:val="nil"/>
            </w:tcBorders>
            <w:vAlign w:val="center"/>
          </w:tcPr>
          <w:p w14:paraId="077E5748">
            <w:pPr>
              <w:jc w:val="center"/>
              <w:rPr>
                <w:sz w:val="21"/>
                <w:szCs w:val="21"/>
                <w:highlight w:val="none"/>
              </w:rPr>
            </w:pPr>
          </w:p>
        </w:tc>
        <w:tc>
          <w:tcPr>
            <w:tcW w:w="444" w:type="pct"/>
            <w:tcBorders>
              <w:tl2br w:val="nil"/>
              <w:tr2bl w:val="nil"/>
            </w:tcBorders>
            <w:vAlign w:val="center"/>
          </w:tcPr>
          <w:p w14:paraId="21FCD03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31153759">
            <w:pPr>
              <w:jc w:val="both"/>
              <w:rPr>
                <w:rFonts w:hint="default"/>
                <w:sz w:val="21"/>
                <w:szCs w:val="21"/>
                <w:highlight w:val="none"/>
                <w:lang w:val="en-US" w:eastAsia="zh-CN"/>
              </w:rPr>
            </w:pPr>
            <w:r>
              <w:rPr>
                <w:rFonts w:hint="eastAsia"/>
                <w:sz w:val="21"/>
                <w:szCs w:val="21"/>
                <w:highlight w:val="none"/>
                <w:lang w:val="en-US" w:eastAsia="zh-CN"/>
              </w:rPr>
              <w:t>1200m</w:t>
            </w:r>
          </w:p>
        </w:tc>
      </w:tr>
      <w:tr w14:paraId="484E2C13">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B8DF580">
            <w:pPr>
              <w:jc w:val="center"/>
              <w:rPr>
                <w:rFonts w:hint="eastAsia" w:eastAsia="宋体"/>
                <w:sz w:val="21"/>
                <w:szCs w:val="21"/>
                <w:highlight w:val="none"/>
                <w:lang w:val="en-US" w:eastAsia="zh-CN"/>
              </w:rPr>
            </w:pPr>
          </w:p>
        </w:tc>
        <w:tc>
          <w:tcPr>
            <w:tcW w:w="390" w:type="pct"/>
            <w:tcBorders>
              <w:tl2br w:val="nil"/>
              <w:tr2bl w:val="nil"/>
            </w:tcBorders>
            <w:vAlign w:val="center"/>
          </w:tcPr>
          <w:p w14:paraId="46EF49D6">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盛世嘉园</w:t>
            </w:r>
          </w:p>
        </w:tc>
        <w:tc>
          <w:tcPr>
            <w:tcW w:w="625" w:type="pct"/>
            <w:tcBorders>
              <w:tl2br w:val="nil"/>
              <w:tr2bl w:val="nil"/>
            </w:tcBorders>
            <w:vAlign w:val="center"/>
          </w:tcPr>
          <w:p w14:paraId="74024FF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131.139507</w:t>
            </w:r>
          </w:p>
        </w:tc>
        <w:tc>
          <w:tcPr>
            <w:tcW w:w="598" w:type="pct"/>
            <w:tcBorders>
              <w:tl2br w:val="nil"/>
              <w:tr2bl w:val="nil"/>
            </w:tcBorders>
            <w:vAlign w:val="center"/>
          </w:tcPr>
          <w:p w14:paraId="5BB9223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44.405764</w:t>
            </w:r>
          </w:p>
        </w:tc>
        <w:tc>
          <w:tcPr>
            <w:tcW w:w="450" w:type="pct"/>
            <w:vMerge w:val="continue"/>
            <w:tcBorders>
              <w:tl2br w:val="nil"/>
              <w:tr2bl w:val="nil"/>
            </w:tcBorders>
            <w:vAlign w:val="center"/>
          </w:tcPr>
          <w:p w14:paraId="6792E737">
            <w:pPr>
              <w:jc w:val="center"/>
              <w:rPr>
                <w:sz w:val="21"/>
                <w:szCs w:val="21"/>
                <w:highlight w:val="none"/>
              </w:rPr>
            </w:pPr>
          </w:p>
        </w:tc>
        <w:tc>
          <w:tcPr>
            <w:tcW w:w="476" w:type="pct"/>
            <w:vMerge w:val="continue"/>
            <w:tcBorders>
              <w:tl2br w:val="nil"/>
              <w:tr2bl w:val="nil"/>
            </w:tcBorders>
            <w:vAlign w:val="center"/>
          </w:tcPr>
          <w:p w14:paraId="5F7D017E">
            <w:pPr>
              <w:jc w:val="center"/>
              <w:rPr>
                <w:sz w:val="21"/>
                <w:szCs w:val="21"/>
                <w:highlight w:val="none"/>
              </w:rPr>
            </w:pPr>
          </w:p>
        </w:tc>
        <w:tc>
          <w:tcPr>
            <w:tcW w:w="1050" w:type="pct"/>
            <w:vMerge w:val="continue"/>
            <w:tcBorders>
              <w:tl2br w:val="nil"/>
              <w:tr2bl w:val="nil"/>
            </w:tcBorders>
            <w:vAlign w:val="center"/>
          </w:tcPr>
          <w:p w14:paraId="41100D88">
            <w:pPr>
              <w:jc w:val="center"/>
              <w:rPr>
                <w:sz w:val="21"/>
                <w:szCs w:val="21"/>
                <w:highlight w:val="none"/>
              </w:rPr>
            </w:pPr>
          </w:p>
        </w:tc>
        <w:tc>
          <w:tcPr>
            <w:tcW w:w="444" w:type="pct"/>
            <w:tcBorders>
              <w:tl2br w:val="nil"/>
              <w:tr2bl w:val="nil"/>
            </w:tcBorders>
            <w:vAlign w:val="center"/>
          </w:tcPr>
          <w:p w14:paraId="0501D9E1">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64DA777B">
            <w:pPr>
              <w:jc w:val="both"/>
              <w:rPr>
                <w:rFonts w:hint="default"/>
                <w:sz w:val="21"/>
                <w:szCs w:val="21"/>
                <w:highlight w:val="none"/>
                <w:lang w:val="en-US" w:eastAsia="zh-CN"/>
              </w:rPr>
            </w:pPr>
            <w:r>
              <w:rPr>
                <w:rFonts w:hint="eastAsia"/>
                <w:sz w:val="21"/>
                <w:szCs w:val="21"/>
                <w:highlight w:val="none"/>
                <w:lang w:val="en-US" w:eastAsia="zh-CN"/>
              </w:rPr>
              <w:t>700m</w:t>
            </w:r>
          </w:p>
        </w:tc>
      </w:tr>
      <w:tr w14:paraId="597FF093">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295D10F">
            <w:pPr>
              <w:jc w:val="center"/>
              <w:rPr>
                <w:rFonts w:hint="eastAsia" w:eastAsia="宋体"/>
                <w:sz w:val="21"/>
                <w:szCs w:val="21"/>
                <w:highlight w:val="none"/>
                <w:lang w:val="en-US" w:eastAsia="zh-CN"/>
              </w:rPr>
            </w:pPr>
          </w:p>
        </w:tc>
        <w:tc>
          <w:tcPr>
            <w:tcW w:w="390" w:type="pct"/>
            <w:tcBorders>
              <w:tl2br w:val="nil"/>
              <w:tr2bl w:val="nil"/>
            </w:tcBorders>
            <w:vAlign w:val="center"/>
          </w:tcPr>
          <w:p w14:paraId="30BE6E40">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兄弟花园</w:t>
            </w:r>
          </w:p>
        </w:tc>
        <w:tc>
          <w:tcPr>
            <w:tcW w:w="625" w:type="pct"/>
            <w:tcBorders>
              <w:tl2br w:val="nil"/>
              <w:tr2bl w:val="nil"/>
            </w:tcBorders>
            <w:vAlign w:val="center"/>
          </w:tcPr>
          <w:p w14:paraId="583A26C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131.140387</w:t>
            </w:r>
          </w:p>
        </w:tc>
        <w:tc>
          <w:tcPr>
            <w:tcW w:w="598" w:type="pct"/>
            <w:tcBorders>
              <w:tl2br w:val="nil"/>
              <w:tr2bl w:val="nil"/>
            </w:tcBorders>
            <w:vAlign w:val="center"/>
          </w:tcPr>
          <w:p w14:paraId="0153FE1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44.404584</w:t>
            </w:r>
          </w:p>
        </w:tc>
        <w:tc>
          <w:tcPr>
            <w:tcW w:w="450" w:type="pct"/>
            <w:vMerge w:val="continue"/>
            <w:tcBorders>
              <w:tl2br w:val="nil"/>
              <w:tr2bl w:val="nil"/>
            </w:tcBorders>
            <w:vAlign w:val="center"/>
          </w:tcPr>
          <w:p w14:paraId="00B35731">
            <w:pPr>
              <w:jc w:val="center"/>
              <w:rPr>
                <w:sz w:val="21"/>
                <w:szCs w:val="21"/>
                <w:highlight w:val="none"/>
              </w:rPr>
            </w:pPr>
          </w:p>
        </w:tc>
        <w:tc>
          <w:tcPr>
            <w:tcW w:w="476" w:type="pct"/>
            <w:vMerge w:val="continue"/>
            <w:tcBorders>
              <w:tl2br w:val="nil"/>
              <w:tr2bl w:val="nil"/>
            </w:tcBorders>
            <w:vAlign w:val="center"/>
          </w:tcPr>
          <w:p w14:paraId="50A7785B">
            <w:pPr>
              <w:jc w:val="center"/>
              <w:rPr>
                <w:sz w:val="21"/>
                <w:szCs w:val="21"/>
                <w:highlight w:val="none"/>
              </w:rPr>
            </w:pPr>
          </w:p>
        </w:tc>
        <w:tc>
          <w:tcPr>
            <w:tcW w:w="1050" w:type="pct"/>
            <w:vMerge w:val="continue"/>
            <w:tcBorders>
              <w:tl2br w:val="nil"/>
              <w:tr2bl w:val="nil"/>
            </w:tcBorders>
            <w:vAlign w:val="center"/>
          </w:tcPr>
          <w:p w14:paraId="32681CE4">
            <w:pPr>
              <w:jc w:val="center"/>
              <w:rPr>
                <w:sz w:val="21"/>
                <w:szCs w:val="21"/>
                <w:highlight w:val="none"/>
              </w:rPr>
            </w:pPr>
          </w:p>
        </w:tc>
        <w:tc>
          <w:tcPr>
            <w:tcW w:w="444" w:type="pct"/>
            <w:tcBorders>
              <w:tl2br w:val="nil"/>
              <w:tr2bl w:val="nil"/>
            </w:tcBorders>
            <w:vAlign w:val="center"/>
          </w:tcPr>
          <w:p w14:paraId="7687DD42">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FA56CF8">
            <w:pPr>
              <w:jc w:val="both"/>
              <w:rPr>
                <w:rFonts w:hint="default"/>
                <w:sz w:val="21"/>
                <w:szCs w:val="21"/>
                <w:highlight w:val="none"/>
                <w:lang w:val="en-US" w:eastAsia="zh-CN"/>
              </w:rPr>
            </w:pPr>
            <w:r>
              <w:rPr>
                <w:rFonts w:hint="eastAsia"/>
                <w:sz w:val="21"/>
                <w:szCs w:val="21"/>
                <w:highlight w:val="none"/>
                <w:lang w:val="en-US" w:eastAsia="zh-CN"/>
              </w:rPr>
              <w:t>720m</w:t>
            </w:r>
          </w:p>
        </w:tc>
      </w:tr>
      <w:tr w14:paraId="4865D313">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DB35D42">
            <w:pPr>
              <w:jc w:val="center"/>
              <w:rPr>
                <w:rFonts w:hint="eastAsia" w:eastAsia="宋体"/>
                <w:sz w:val="21"/>
                <w:szCs w:val="21"/>
                <w:highlight w:val="none"/>
                <w:lang w:val="en-US" w:eastAsia="zh-CN"/>
              </w:rPr>
            </w:pPr>
          </w:p>
        </w:tc>
        <w:tc>
          <w:tcPr>
            <w:tcW w:w="390" w:type="pct"/>
            <w:tcBorders>
              <w:tl2br w:val="nil"/>
              <w:tr2bl w:val="nil"/>
            </w:tcBorders>
            <w:vAlign w:val="center"/>
          </w:tcPr>
          <w:p w14:paraId="28BBD1AC">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同福嘉园</w:t>
            </w:r>
          </w:p>
        </w:tc>
        <w:tc>
          <w:tcPr>
            <w:tcW w:w="625" w:type="pct"/>
            <w:tcBorders>
              <w:tl2br w:val="nil"/>
              <w:tr2bl w:val="nil"/>
            </w:tcBorders>
            <w:vAlign w:val="center"/>
          </w:tcPr>
          <w:p w14:paraId="1F5F41CF">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131.141481</w:t>
            </w:r>
          </w:p>
        </w:tc>
        <w:tc>
          <w:tcPr>
            <w:tcW w:w="598" w:type="pct"/>
            <w:tcBorders>
              <w:tl2br w:val="nil"/>
              <w:tr2bl w:val="nil"/>
            </w:tcBorders>
            <w:vAlign w:val="center"/>
          </w:tcPr>
          <w:p w14:paraId="242B72E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44.404323</w:t>
            </w:r>
          </w:p>
        </w:tc>
        <w:tc>
          <w:tcPr>
            <w:tcW w:w="450" w:type="pct"/>
            <w:vMerge w:val="continue"/>
            <w:tcBorders>
              <w:tl2br w:val="nil"/>
              <w:tr2bl w:val="nil"/>
            </w:tcBorders>
            <w:vAlign w:val="center"/>
          </w:tcPr>
          <w:p w14:paraId="6E0A70AD">
            <w:pPr>
              <w:jc w:val="center"/>
              <w:rPr>
                <w:sz w:val="21"/>
                <w:szCs w:val="21"/>
                <w:highlight w:val="none"/>
              </w:rPr>
            </w:pPr>
          </w:p>
        </w:tc>
        <w:tc>
          <w:tcPr>
            <w:tcW w:w="476" w:type="pct"/>
            <w:vMerge w:val="continue"/>
            <w:tcBorders>
              <w:tl2br w:val="nil"/>
              <w:tr2bl w:val="nil"/>
            </w:tcBorders>
            <w:vAlign w:val="center"/>
          </w:tcPr>
          <w:p w14:paraId="0B4D6B5D">
            <w:pPr>
              <w:jc w:val="center"/>
              <w:rPr>
                <w:sz w:val="21"/>
                <w:szCs w:val="21"/>
                <w:highlight w:val="none"/>
              </w:rPr>
            </w:pPr>
          </w:p>
        </w:tc>
        <w:tc>
          <w:tcPr>
            <w:tcW w:w="1050" w:type="pct"/>
            <w:vMerge w:val="continue"/>
            <w:tcBorders>
              <w:tl2br w:val="nil"/>
              <w:tr2bl w:val="nil"/>
            </w:tcBorders>
            <w:vAlign w:val="center"/>
          </w:tcPr>
          <w:p w14:paraId="6A03140F">
            <w:pPr>
              <w:jc w:val="center"/>
              <w:rPr>
                <w:sz w:val="21"/>
                <w:szCs w:val="21"/>
                <w:highlight w:val="none"/>
              </w:rPr>
            </w:pPr>
          </w:p>
        </w:tc>
        <w:tc>
          <w:tcPr>
            <w:tcW w:w="444" w:type="pct"/>
            <w:tcBorders>
              <w:tl2br w:val="nil"/>
              <w:tr2bl w:val="nil"/>
            </w:tcBorders>
            <w:vAlign w:val="center"/>
          </w:tcPr>
          <w:p w14:paraId="50AC2DE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132158EE">
            <w:pPr>
              <w:jc w:val="both"/>
              <w:rPr>
                <w:rFonts w:hint="default"/>
                <w:sz w:val="21"/>
                <w:szCs w:val="21"/>
                <w:highlight w:val="none"/>
                <w:lang w:val="en-US" w:eastAsia="zh-CN"/>
              </w:rPr>
            </w:pPr>
            <w:r>
              <w:rPr>
                <w:rFonts w:hint="eastAsia"/>
                <w:sz w:val="21"/>
                <w:szCs w:val="21"/>
                <w:highlight w:val="none"/>
                <w:lang w:val="en-US" w:eastAsia="zh-CN"/>
              </w:rPr>
              <w:t>670m</w:t>
            </w:r>
          </w:p>
        </w:tc>
      </w:tr>
      <w:tr w14:paraId="31BC2805">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7F3D9093">
            <w:pPr>
              <w:jc w:val="center"/>
              <w:rPr>
                <w:rFonts w:hint="eastAsia" w:eastAsia="宋体"/>
                <w:sz w:val="21"/>
                <w:szCs w:val="21"/>
                <w:highlight w:val="none"/>
                <w:lang w:val="en-US" w:eastAsia="zh-CN"/>
              </w:rPr>
            </w:pPr>
          </w:p>
        </w:tc>
        <w:tc>
          <w:tcPr>
            <w:tcW w:w="390" w:type="pct"/>
            <w:tcBorders>
              <w:tl2br w:val="nil"/>
              <w:tr2bl w:val="nil"/>
            </w:tcBorders>
            <w:vAlign w:val="center"/>
          </w:tcPr>
          <w:p w14:paraId="65A23A30">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富邦名苑</w:t>
            </w:r>
          </w:p>
        </w:tc>
        <w:tc>
          <w:tcPr>
            <w:tcW w:w="625" w:type="pct"/>
            <w:tcBorders>
              <w:tl2br w:val="nil"/>
              <w:tr2bl w:val="nil"/>
            </w:tcBorders>
            <w:vAlign w:val="center"/>
          </w:tcPr>
          <w:p w14:paraId="5C90E73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131.143563</w:t>
            </w:r>
          </w:p>
        </w:tc>
        <w:tc>
          <w:tcPr>
            <w:tcW w:w="598" w:type="pct"/>
            <w:tcBorders>
              <w:tl2br w:val="nil"/>
              <w:tr2bl w:val="nil"/>
            </w:tcBorders>
            <w:vAlign w:val="center"/>
          </w:tcPr>
          <w:p w14:paraId="79DCAE16">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44.403618</w:t>
            </w:r>
          </w:p>
        </w:tc>
        <w:tc>
          <w:tcPr>
            <w:tcW w:w="450" w:type="pct"/>
            <w:vMerge w:val="continue"/>
            <w:tcBorders>
              <w:tl2br w:val="nil"/>
              <w:tr2bl w:val="nil"/>
            </w:tcBorders>
            <w:vAlign w:val="center"/>
          </w:tcPr>
          <w:p w14:paraId="099DE8D0">
            <w:pPr>
              <w:jc w:val="center"/>
              <w:rPr>
                <w:sz w:val="21"/>
                <w:szCs w:val="21"/>
                <w:highlight w:val="none"/>
              </w:rPr>
            </w:pPr>
          </w:p>
        </w:tc>
        <w:tc>
          <w:tcPr>
            <w:tcW w:w="476" w:type="pct"/>
            <w:vMerge w:val="continue"/>
            <w:tcBorders>
              <w:tl2br w:val="nil"/>
              <w:tr2bl w:val="nil"/>
            </w:tcBorders>
            <w:vAlign w:val="center"/>
          </w:tcPr>
          <w:p w14:paraId="2746E265">
            <w:pPr>
              <w:jc w:val="center"/>
              <w:rPr>
                <w:sz w:val="21"/>
                <w:szCs w:val="21"/>
                <w:highlight w:val="none"/>
              </w:rPr>
            </w:pPr>
          </w:p>
        </w:tc>
        <w:tc>
          <w:tcPr>
            <w:tcW w:w="1050" w:type="pct"/>
            <w:vMerge w:val="continue"/>
            <w:tcBorders>
              <w:tl2br w:val="nil"/>
              <w:tr2bl w:val="nil"/>
            </w:tcBorders>
            <w:vAlign w:val="center"/>
          </w:tcPr>
          <w:p w14:paraId="1AA7AA87">
            <w:pPr>
              <w:jc w:val="center"/>
              <w:rPr>
                <w:sz w:val="21"/>
                <w:szCs w:val="21"/>
                <w:highlight w:val="none"/>
              </w:rPr>
            </w:pPr>
          </w:p>
        </w:tc>
        <w:tc>
          <w:tcPr>
            <w:tcW w:w="444" w:type="pct"/>
            <w:tcBorders>
              <w:tl2br w:val="nil"/>
              <w:tr2bl w:val="nil"/>
            </w:tcBorders>
            <w:vAlign w:val="center"/>
          </w:tcPr>
          <w:p w14:paraId="18D567D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469A52C3">
            <w:pPr>
              <w:jc w:val="both"/>
              <w:rPr>
                <w:rFonts w:hint="default"/>
                <w:sz w:val="21"/>
                <w:szCs w:val="21"/>
                <w:highlight w:val="none"/>
                <w:lang w:val="en-US" w:eastAsia="zh-CN"/>
              </w:rPr>
            </w:pPr>
            <w:r>
              <w:rPr>
                <w:rFonts w:hint="eastAsia"/>
                <w:sz w:val="21"/>
                <w:szCs w:val="21"/>
                <w:highlight w:val="none"/>
                <w:lang w:val="en-US" w:eastAsia="zh-CN"/>
              </w:rPr>
              <w:t>660m</w:t>
            </w:r>
          </w:p>
        </w:tc>
      </w:tr>
      <w:tr w14:paraId="5B66BBCF">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09DB593">
            <w:pPr>
              <w:jc w:val="center"/>
              <w:rPr>
                <w:rFonts w:hint="eastAsia" w:eastAsia="宋体"/>
                <w:sz w:val="21"/>
                <w:szCs w:val="21"/>
                <w:highlight w:val="none"/>
                <w:lang w:val="en-US" w:eastAsia="zh-CN"/>
              </w:rPr>
            </w:pPr>
          </w:p>
        </w:tc>
        <w:tc>
          <w:tcPr>
            <w:tcW w:w="390" w:type="pct"/>
            <w:tcBorders>
              <w:tl2br w:val="nil"/>
              <w:tr2bl w:val="nil"/>
            </w:tcBorders>
            <w:vAlign w:val="center"/>
          </w:tcPr>
          <w:p w14:paraId="62E051F4">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龙海世纪大酒店</w:t>
            </w:r>
          </w:p>
        </w:tc>
        <w:tc>
          <w:tcPr>
            <w:tcW w:w="625" w:type="pct"/>
            <w:tcBorders>
              <w:tl2br w:val="nil"/>
              <w:tr2bl w:val="nil"/>
            </w:tcBorders>
            <w:vAlign w:val="center"/>
          </w:tcPr>
          <w:p w14:paraId="470ECF6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131.146728</w:t>
            </w:r>
          </w:p>
        </w:tc>
        <w:tc>
          <w:tcPr>
            <w:tcW w:w="598" w:type="pct"/>
            <w:tcBorders>
              <w:tl2br w:val="nil"/>
              <w:tr2bl w:val="nil"/>
            </w:tcBorders>
            <w:vAlign w:val="center"/>
          </w:tcPr>
          <w:p w14:paraId="1922014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44.40677</w:t>
            </w:r>
          </w:p>
        </w:tc>
        <w:tc>
          <w:tcPr>
            <w:tcW w:w="450" w:type="pct"/>
            <w:vMerge w:val="continue"/>
            <w:tcBorders>
              <w:tl2br w:val="nil"/>
              <w:tr2bl w:val="nil"/>
            </w:tcBorders>
            <w:vAlign w:val="center"/>
          </w:tcPr>
          <w:p w14:paraId="14E7093A">
            <w:pPr>
              <w:jc w:val="center"/>
              <w:rPr>
                <w:sz w:val="21"/>
                <w:szCs w:val="21"/>
                <w:highlight w:val="none"/>
              </w:rPr>
            </w:pPr>
          </w:p>
        </w:tc>
        <w:tc>
          <w:tcPr>
            <w:tcW w:w="476" w:type="pct"/>
            <w:vMerge w:val="continue"/>
            <w:tcBorders>
              <w:tl2br w:val="nil"/>
              <w:tr2bl w:val="nil"/>
            </w:tcBorders>
            <w:vAlign w:val="center"/>
          </w:tcPr>
          <w:p w14:paraId="35A77784">
            <w:pPr>
              <w:jc w:val="center"/>
              <w:rPr>
                <w:sz w:val="21"/>
                <w:szCs w:val="21"/>
                <w:highlight w:val="none"/>
              </w:rPr>
            </w:pPr>
          </w:p>
        </w:tc>
        <w:tc>
          <w:tcPr>
            <w:tcW w:w="1050" w:type="pct"/>
            <w:vMerge w:val="continue"/>
            <w:tcBorders>
              <w:tl2br w:val="nil"/>
              <w:tr2bl w:val="nil"/>
            </w:tcBorders>
            <w:vAlign w:val="center"/>
          </w:tcPr>
          <w:p w14:paraId="65CC806E">
            <w:pPr>
              <w:jc w:val="center"/>
              <w:rPr>
                <w:sz w:val="21"/>
                <w:szCs w:val="21"/>
                <w:highlight w:val="none"/>
              </w:rPr>
            </w:pPr>
          </w:p>
        </w:tc>
        <w:tc>
          <w:tcPr>
            <w:tcW w:w="444" w:type="pct"/>
            <w:tcBorders>
              <w:tl2br w:val="nil"/>
              <w:tr2bl w:val="nil"/>
            </w:tcBorders>
            <w:vAlign w:val="center"/>
          </w:tcPr>
          <w:p w14:paraId="12EBE45A">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1DAD2761">
            <w:pPr>
              <w:jc w:val="both"/>
              <w:rPr>
                <w:rFonts w:hint="default"/>
                <w:sz w:val="21"/>
                <w:szCs w:val="21"/>
                <w:highlight w:val="none"/>
                <w:lang w:val="en-US" w:eastAsia="zh-CN"/>
              </w:rPr>
            </w:pPr>
            <w:r>
              <w:rPr>
                <w:rFonts w:hint="eastAsia"/>
                <w:sz w:val="21"/>
                <w:szCs w:val="21"/>
                <w:highlight w:val="none"/>
                <w:lang w:val="en-US" w:eastAsia="zh-CN"/>
              </w:rPr>
              <w:t>250m</w:t>
            </w:r>
          </w:p>
        </w:tc>
      </w:tr>
      <w:tr w14:paraId="4EC4B3A6">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2E49D79">
            <w:pPr>
              <w:jc w:val="center"/>
              <w:rPr>
                <w:rFonts w:hint="eastAsia" w:eastAsia="宋体"/>
                <w:sz w:val="21"/>
                <w:szCs w:val="21"/>
                <w:highlight w:val="none"/>
                <w:lang w:val="en-US" w:eastAsia="zh-CN"/>
              </w:rPr>
            </w:pPr>
          </w:p>
        </w:tc>
        <w:tc>
          <w:tcPr>
            <w:tcW w:w="390" w:type="pct"/>
            <w:tcBorders>
              <w:tl2br w:val="nil"/>
              <w:tr2bl w:val="nil"/>
            </w:tcBorders>
            <w:vAlign w:val="center"/>
          </w:tcPr>
          <w:p w14:paraId="58483D9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供电小区</w:t>
            </w:r>
          </w:p>
        </w:tc>
        <w:tc>
          <w:tcPr>
            <w:tcW w:w="625" w:type="pct"/>
            <w:tcBorders>
              <w:tl2br w:val="nil"/>
              <w:tr2bl w:val="nil"/>
            </w:tcBorders>
            <w:vAlign w:val="center"/>
          </w:tcPr>
          <w:p w14:paraId="12DF6C6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131.162210</w:t>
            </w:r>
          </w:p>
        </w:tc>
        <w:tc>
          <w:tcPr>
            <w:tcW w:w="598" w:type="pct"/>
            <w:tcBorders>
              <w:tl2br w:val="nil"/>
              <w:tr2bl w:val="nil"/>
            </w:tcBorders>
            <w:vAlign w:val="center"/>
          </w:tcPr>
          <w:p w14:paraId="30F6803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44.39936</w:t>
            </w:r>
          </w:p>
        </w:tc>
        <w:tc>
          <w:tcPr>
            <w:tcW w:w="450" w:type="pct"/>
            <w:vMerge w:val="continue"/>
            <w:tcBorders>
              <w:tl2br w:val="nil"/>
              <w:tr2bl w:val="nil"/>
            </w:tcBorders>
            <w:vAlign w:val="center"/>
          </w:tcPr>
          <w:p w14:paraId="5EF16136">
            <w:pPr>
              <w:jc w:val="center"/>
              <w:rPr>
                <w:sz w:val="21"/>
                <w:szCs w:val="21"/>
                <w:highlight w:val="none"/>
              </w:rPr>
            </w:pPr>
          </w:p>
        </w:tc>
        <w:tc>
          <w:tcPr>
            <w:tcW w:w="476" w:type="pct"/>
            <w:vMerge w:val="continue"/>
            <w:tcBorders>
              <w:tl2br w:val="nil"/>
              <w:tr2bl w:val="nil"/>
            </w:tcBorders>
            <w:vAlign w:val="center"/>
          </w:tcPr>
          <w:p w14:paraId="7E8C66D1">
            <w:pPr>
              <w:jc w:val="center"/>
              <w:rPr>
                <w:sz w:val="21"/>
                <w:szCs w:val="21"/>
                <w:highlight w:val="none"/>
              </w:rPr>
            </w:pPr>
          </w:p>
        </w:tc>
        <w:tc>
          <w:tcPr>
            <w:tcW w:w="1050" w:type="pct"/>
            <w:vMerge w:val="continue"/>
            <w:tcBorders>
              <w:tl2br w:val="nil"/>
              <w:tr2bl w:val="nil"/>
            </w:tcBorders>
            <w:vAlign w:val="center"/>
          </w:tcPr>
          <w:p w14:paraId="40C46655">
            <w:pPr>
              <w:jc w:val="center"/>
              <w:rPr>
                <w:sz w:val="21"/>
                <w:szCs w:val="21"/>
                <w:highlight w:val="none"/>
              </w:rPr>
            </w:pPr>
          </w:p>
        </w:tc>
        <w:tc>
          <w:tcPr>
            <w:tcW w:w="444" w:type="pct"/>
            <w:tcBorders>
              <w:tl2br w:val="nil"/>
              <w:tr2bl w:val="nil"/>
            </w:tcBorders>
            <w:vAlign w:val="center"/>
          </w:tcPr>
          <w:p w14:paraId="0A619572">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1987E66">
            <w:pPr>
              <w:jc w:val="both"/>
              <w:rPr>
                <w:rFonts w:hint="default"/>
                <w:sz w:val="21"/>
                <w:szCs w:val="21"/>
                <w:highlight w:val="none"/>
                <w:lang w:val="en-US" w:eastAsia="zh-CN"/>
              </w:rPr>
            </w:pPr>
            <w:r>
              <w:rPr>
                <w:rFonts w:hint="eastAsia"/>
                <w:sz w:val="21"/>
                <w:szCs w:val="21"/>
                <w:highlight w:val="none"/>
                <w:lang w:val="en-US" w:eastAsia="zh-CN"/>
              </w:rPr>
              <w:t>2200m</w:t>
            </w:r>
          </w:p>
        </w:tc>
      </w:tr>
      <w:tr w14:paraId="1468D6AF">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BE8A30A">
            <w:pPr>
              <w:jc w:val="center"/>
              <w:rPr>
                <w:rFonts w:hint="eastAsia" w:eastAsia="宋体"/>
                <w:sz w:val="21"/>
                <w:szCs w:val="21"/>
                <w:highlight w:val="none"/>
                <w:lang w:val="en-US" w:eastAsia="zh-CN"/>
              </w:rPr>
            </w:pPr>
          </w:p>
        </w:tc>
        <w:tc>
          <w:tcPr>
            <w:tcW w:w="390" w:type="pct"/>
            <w:tcBorders>
              <w:tl2br w:val="nil"/>
              <w:tr2bl w:val="nil"/>
            </w:tcBorders>
            <w:vAlign w:val="center"/>
          </w:tcPr>
          <w:p w14:paraId="782FB186">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九鹤堂医院</w:t>
            </w:r>
          </w:p>
        </w:tc>
        <w:tc>
          <w:tcPr>
            <w:tcW w:w="625" w:type="pct"/>
            <w:tcBorders>
              <w:tl2br w:val="nil"/>
              <w:tr2bl w:val="nil"/>
            </w:tcBorders>
            <w:vAlign w:val="center"/>
          </w:tcPr>
          <w:p w14:paraId="154DBE3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131.156266</w:t>
            </w:r>
          </w:p>
        </w:tc>
        <w:tc>
          <w:tcPr>
            <w:tcW w:w="598" w:type="pct"/>
            <w:tcBorders>
              <w:tl2br w:val="nil"/>
              <w:tr2bl w:val="nil"/>
            </w:tcBorders>
            <w:vAlign w:val="center"/>
          </w:tcPr>
          <w:p w14:paraId="21B69A6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44.400000</w:t>
            </w:r>
          </w:p>
        </w:tc>
        <w:tc>
          <w:tcPr>
            <w:tcW w:w="450" w:type="pct"/>
            <w:vMerge w:val="restart"/>
            <w:tcBorders>
              <w:tl2br w:val="nil"/>
              <w:tr2bl w:val="nil"/>
            </w:tcBorders>
            <w:vAlign w:val="center"/>
          </w:tcPr>
          <w:p w14:paraId="6B15BA4D">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医疗区</w:t>
            </w:r>
          </w:p>
        </w:tc>
        <w:tc>
          <w:tcPr>
            <w:tcW w:w="476" w:type="pct"/>
            <w:vMerge w:val="continue"/>
            <w:tcBorders>
              <w:tl2br w:val="nil"/>
              <w:tr2bl w:val="nil"/>
            </w:tcBorders>
            <w:vAlign w:val="center"/>
          </w:tcPr>
          <w:p w14:paraId="71783DE5">
            <w:pPr>
              <w:ind w:firstLine="420" w:firstLineChars="200"/>
              <w:jc w:val="center"/>
              <w:rPr>
                <w:sz w:val="21"/>
                <w:szCs w:val="21"/>
                <w:highlight w:val="none"/>
              </w:rPr>
            </w:pPr>
          </w:p>
        </w:tc>
        <w:tc>
          <w:tcPr>
            <w:tcW w:w="1050" w:type="pct"/>
            <w:vMerge w:val="continue"/>
            <w:tcBorders>
              <w:tl2br w:val="nil"/>
              <w:tr2bl w:val="nil"/>
            </w:tcBorders>
            <w:vAlign w:val="center"/>
          </w:tcPr>
          <w:p w14:paraId="56E33516">
            <w:pPr>
              <w:ind w:firstLine="420" w:firstLineChars="200"/>
              <w:jc w:val="center"/>
              <w:rPr>
                <w:sz w:val="21"/>
                <w:szCs w:val="21"/>
                <w:highlight w:val="none"/>
              </w:rPr>
            </w:pPr>
          </w:p>
        </w:tc>
        <w:tc>
          <w:tcPr>
            <w:tcW w:w="444" w:type="pct"/>
            <w:tcBorders>
              <w:tl2br w:val="nil"/>
              <w:tr2bl w:val="nil"/>
            </w:tcBorders>
            <w:vAlign w:val="center"/>
          </w:tcPr>
          <w:p w14:paraId="26FD9072">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39874686">
            <w:pPr>
              <w:ind w:firstLine="420" w:firstLineChars="200"/>
              <w:jc w:val="both"/>
              <w:rPr>
                <w:rFonts w:hint="eastAsia"/>
                <w:sz w:val="21"/>
                <w:szCs w:val="21"/>
                <w:highlight w:val="none"/>
                <w:lang w:val="en-US" w:eastAsia="zh-CN"/>
              </w:rPr>
            </w:pPr>
            <w:r>
              <w:rPr>
                <w:rFonts w:hint="eastAsia"/>
                <w:sz w:val="21"/>
                <w:szCs w:val="21"/>
                <w:highlight w:val="none"/>
                <w:lang w:val="en-US" w:eastAsia="zh-CN"/>
              </w:rPr>
              <w:t>1150m</w:t>
            </w:r>
          </w:p>
        </w:tc>
      </w:tr>
      <w:tr w14:paraId="12680707">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1F737AD2">
            <w:pPr>
              <w:jc w:val="center"/>
              <w:rPr>
                <w:rFonts w:hint="eastAsia" w:eastAsia="宋体"/>
                <w:sz w:val="21"/>
                <w:szCs w:val="21"/>
                <w:highlight w:val="none"/>
                <w:lang w:val="en-US" w:eastAsia="zh-CN"/>
              </w:rPr>
            </w:pPr>
          </w:p>
        </w:tc>
        <w:tc>
          <w:tcPr>
            <w:tcW w:w="390" w:type="pct"/>
            <w:tcBorders>
              <w:tl2br w:val="nil"/>
              <w:tr2bl w:val="nil"/>
            </w:tcBorders>
            <w:vAlign w:val="center"/>
          </w:tcPr>
          <w:p w14:paraId="29A5AB67">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颐民敬老院卫生所</w:t>
            </w:r>
          </w:p>
        </w:tc>
        <w:tc>
          <w:tcPr>
            <w:tcW w:w="625" w:type="pct"/>
            <w:tcBorders>
              <w:tl2br w:val="nil"/>
              <w:tr2bl w:val="nil"/>
            </w:tcBorders>
            <w:vAlign w:val="center"/>
          </w:tcPr>
          <w:p w14:paraId="3F020763">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131.150258</w:t>
            </w:r>
          </w:p>
        </w:tc>
        <w:tc>
          <w:tcPr>
            <w:tcW w:w="598" w:type="pct"/>
            <w:tcBorders>
              <w:tl2br w:val="nil"/>
              <w:tr2bl w:val="nil"/>
            </w:tcBorders>
            <w:vAlign w:val="center"/>
          </w:tcPr>
          <w:p w14:paraId="790EBDD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44.408110</w:t>
            </w:r>
          </w:p>
        </w:tc>
        <w:tc>
          <w:tcPr>
            <w:tcW w:w="450" w:type="pct"/>
            <w:vMerge w:val="continue"/>
            <w:tcBorders>
              <w:tl2br w:val="nil"/>
              <w:tr2bl w:val="nil"/>
            </w:tcBorders>
            <w:vAlign w:val="center"/>
          </w:tcPr>
          <w:p w14:paraId="62E1A58B">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4541591F">
            <w:pPr>
              <w:ind w:firstLine="420" w:firstLineChars="200"/>
              <w:jc w:val="center"/>
              <w:rPr>
                <w:sz w:val="21"/>
                <w:szCs w:val="21"/>
                <w:highlight w:val="none"/>
              </w:rPr>
            </w:pPr>
          </w:p>
        </w:tc>
        <w:tc>
          <w:tcPr>
            <w:tcW w:w="1050" w:type="pct"/>
            <w:vMerge w:val="continue"/>
            <w:tcBorders>
              <w:tl2br w:val="nil"/>
              <w:tr2bl w:val="nil"/>
            </w:tcBorders>
            <w:vAlign w:val="center"/>
          </w:tcPr>
          <w:p w14:paraId="046FFFFE">
            <w:pPr>
              <w:ind w:firstLine="420" w:firstLineChars="200"/>
              <w:jc w:val="center"/>
              <w:rPr>
                <w:sz w:val="21"/>
                <w:szCs w:val="21"/>
                <w:highlight w:val="none"/>
              </w:rPr>
            </w:pPr>
          </w:p>
        </w:tc>
        <w:tc>
          <w:tcPr>
            <w:tcW w:w="444" w:type="pct"/>
            <w:tcBorders>
              <w:tl2br w:val="nil"/>
              <w:tr2bl w:val="nil"/>
            </w:tcBorders>
            <w:vAlign w:val="center"/>
          </w:tcPr>
          <w:p w14:paraId="7E09AE2C">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2952D283">
            <w:pPr>
              <w:ind w:firstLine="420" w:firstLineChars="200"/>
              <w:jc w:val="both"/>
              <w:rPr>
                <w:rFonts w:hint="default"/>
                <w:sz w:val="21"/>
                <w:szCs w:val="21"/>
                <w:highlight w:val="none"/>
                <w:lang w:val="en-US" w:eastAsia="zh-CN"/>
              </w:rPr>
            </w:pPr>
            <w:r>
              <w:rPr>
                <w:rFonts w:hint="eastAsia"/>
                <w:sz w:val="21"/>
                <w:szCs w:val="21"/>
                <w:highlight w:val="none"/>
                <w:lang w:val="en-US" w:eastAsia="zh-CN"/>
              </w:rPr>
              <w:t>180m</w:t>
            </w:r>
          </w:p>
        </w:tc>
      </w:tr>
      <w:tr w14:paraId="4FD479DE">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B15EA29">
            <w:pPr>
              <w:jc w:val="center"/>
              <w:rPr>
                <w:rFonts w:hint="eastAsia" w:eastAsia="宋体"/>
                <w:sz w:val="21"/>
                <w:szCs w:val="21"/>
                <w:highlight w:val="none"/>
                <w:lang w:val="en-US" w:eastAsia="zh-CN"/>
              </w:rPr>
            </w:pPr>
          </w:p>
        </w:tc>
        <w:tc>
          <w:tcPr>
            <w:tcW w:w="390" w:type="pct"/>
            <w:tcBorders>
              <w:tl2br w:val="nil"/>
              <w:tr2bl w:val="nil"/>
            </w:tcBorders>
            <w:vAlign w:val="center"/>
          </w:tcPr>
          <w:p w14:paraId="3CB97E4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绥芬河市中医医院</w:t>
            </w:r>
          </w:p>
        </w:tc>
        <w:tc>
          <w:tcPr>
            <w:tcW w:w="625" w:type="pct"/>
            <w:tcBorders>
              <w:tl2br w:val="nil"/>
              <w:tr2bl w:val="nil"/>
            </w:tcBorders>
            <w:vAlign w:val="center"/>
          </w:tcPr>
          <w:p w14:paraId="2A356B7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131.152768</w:t>
            </w:r>
          </w:p>
        </w:tc>
        <w:tc>
          <w:tcPr>
            <w:tcW w:w="598" w:type="pct"/>
            <w:tcBorders>
              <w:tl2br w:val="nil"/>
              <w:tr2bl w:val="nil"/>
            </w:tcBorders>
            <w:vAlign w:val="center"/>
          </w:tcPr>
          <w:p w14:paraId="28361130">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44.389421</w:t>
            </w:r>
          </w:p>
        </w:tc>
        <w:tc>
          <w:tcPr>
            <w:tcW w:w="450" w:type="pct"/>
            <w:vMerge w:val="continue"/>
            <w:tcBorders>
              <w:tl2br w:val="nil"/>
              <w:tr2bl w:val="nil"/>
            </w:tcBorders>
            <w:vAlign w:val="center"/>
          </w:tcPr>
          <w:p w14:paraId="5ABBE056">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0074F73D">
            <w:pPr>
              <w:ind w:firstLine="420" w:firstLineChars="200"/>
              <w:jc w:val="center"/>
              <w:rPr>
                <w:sz w:val="21"/>
                <w:szCs w:val="21"/>
                <w:highlight w:val="none"/>
              </w:rPr>
            </w:pPr>
          </w:p>
        </w:tc>
        <w:tc>
          <w:tcPr>
            <w:tcW w:w="1050" w:type="pct"/>
            <w:vMerge w:val="continue"/>
            <w:tcBorders>
              <w:tl2br w:val="nil"/>
              <w:tr2bl w:val="nil"/>
            </w:tcBorders>
            <w:vAlign w:val="center"/>
          </w:tcPr>
          <w:p w14:paraId="538E34DA">
            <w:pPr>
              <w:ind w:firstLine="420" w:firstLineChars="200"/>
              <w:jc w:val="center"/>
              <w:rPr>
                <w:sz w:val="21"/>
                <w:szCs w:val="21"/>
                <w:highlight w:val="none"/>
              </w:rPr>
            </w:pPr>
          </w:p>
        </w:tc>
        <w:tc>
          <w:tcPr>
            <w:tcW w:w="444" w:type="pct"/>
            <w:tcBorders>
              <w:tl2br w:val="nil"/>
              <w:tr2bl w:val="nil"/>
            </w:tcBorders>
            <w:vAlign w:val="center"/>
          </w:tcPr>
          <w:p w14:paraId="081112E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t>
            </w:r>
          </w:p>
        </w:tc>
        <w:tc>
          <w:tcPr>
            <w:tcW w:w="574" w:type="pct"/>
            <w:tcBorders>
              <w:tl2br w:val="nil"/>
              <w:tr2bl w:val="nil"/>
            </w:tcBorders>
            <w:vAlign w:val="center"/>
          </w:tcPr>
          <w:p w14:paraId="31D47D0B">
            <w:pPr>
              <w:ind w:firstLine="420" w:firstLineChars="200"/>
              <w:jc w:val="both"/>
              <w:rPr>
                <w:rFonts w:hint="default"/>
                <w:sz w:val="21"/>
                <w:szCs w:val="21"/>
                <w:highlight w:val="none"/>
                <w:lang w:val="en-US" w:eastAsia="zh-CN"/>
              </w:rPr>
            </w:pPr>
            <w:r>
              <w:rPr>
                <w:rFonts w:hint="eastAsia"/>
                <w:sz w:val="21"/>
                <w:szCs w:val="21"/>
                <w:highlight w:val="none"/>
                <w:lang w:val="en-US" w:eastAsia="zh-CN"/>
              </w:rPr>
              <w:t>2200m</w:t>
            </w:r>
          </w:p>
        </w:tc>
      </w:tr>
      <w:tr w14:paraId="20C473FA">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A591DA3">
            <w:pPr>
              <w:jc w:val="center"/>
              <w:rPr>
                <w:rFonts w:hint="eastAsia" w:eastAsia="宋体"/>
                <w:sz w:val="21"/>
                <w:szCs w:val="21"/>
                <w:highlight w:val="none"/>
                <w:lang w:val="en-US" w:eastAsia="zh-CN"/>
              </w:rPr>
            </w:pPr>
          </w:p>
        </w:tc>
        <w:tc>
          <w:tcPr>
            <w:tcW w:w="390" w:type="pct"/>
            <w:tcBorders>
              <w:tl2br w:val="nil"/>
              <w:tr2bl w:val="nil"/>
            </w:tcBorders>
            <w:vAlign w:val="center"/>
          </w:tcPr>
          <w:p w14:paraId="15E21CA6">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绥芬河市传染病医院</w:t>
            </w:r>
          </w:p>
        </w:tc>
        <w:tc>
          <w:tcPr>
            <w:tcW w:w="625" w:type="pct"/>
            <w:tcBorders>
              <w:tl2br w:val="nil"/>
              <w:tr2bl w:val="nil"/>
            </w:tcBorders>
            <w:vAlign w:val="center"/>
          </w:tcPr>
          <w:p w14:paraId="1D4A60E5">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131.172295</w:t>
            </w:r>
          </w:p>
        </w:tc>
        <w:tc>
          <w:tcPr>
            <w:tcW w:w="598" w:type="pct"/>
            <w:tcBorders>
              <w:tl2br w:val="nil"/>
              <w:tr2bl w:val="nil"/>
            </w:tcBorders>
            <w:vAlign w:val="center"/>
          </w:tcPr>
          <w:p w14:paraId="037345B8">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44.395861</w:t>
            </w:r>
          </w:p>
        </w:tc>
        <w:tc>
          <w:tcPr>
            <w:tcW w:w="450" w:type="pct"/>
            <w:vMerge w:val="continue"/>
            <w:tcBorders>
              <w:tl2br w:val="nil"/>
              <w:tr2bl w:val="nil"/>
            </w:tcBorders>
            <w:vAlign w:val="center"/>
          </w:tcPr>
          <w:p w14:paraId="33FDDA27">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6FD9F87E">
            <w:pPr>
              <w:ind w:firstLine="420" w:firstLineChars="200"/>
              <w:jc w:val="center"/>
              <w:rPr>
                <w:sz w:val="21"/>
                <w:szCs w:val="21"/>
                <w:highlight w:val="none"/>
              </w:rPr>
            </w:pPr>
          </w:p>
        </w:tc>
        <w:tc>
          <w:tcPr>
            <w:tcW w:w="1050" w:type="pct"/>
            <w:vMerge w:val="continue"/>
            <w:tcBorders>
              <w:tl2br w:val="nil"/>
              <w:tr2bl w:val="nil"/>
            </w:tcBorders>
            <w:vAlign w:val="center"/>
          </w:tcPr>
          <w:p w14:paraId="3205C1B6">
            <w:pPr>
              <w:ind w:firstLine="420" w:firstLineChars="200"/>
              <w:jc w:val="center"/>
              <w:rPr>
                <w:sz w:val="21"/>
                <w:szCs w:val="21"/>
                <w:highlight w:val="none"/>
              </w:rPr>
            </w:pPr>
          </w:p>
        </w:tc>
        <w:tc>
          <w:tcPr>
            <w:tcW w:w="444" w:type="pct"/>
            <w:tcBorders>
              <w:tl2br w:val="nil"/>
              <w:tr2bl w:val="nil"/>
            </w:tcBorders>
            <w:vAlign w:val="center"/>
          </w:tcPr>
          <w:p w14:paraId="35F46C6F">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3C539C2F">
            <w:pPr>
              <w:ind w:firstLine="420" w:firstLineChars="200"/>
              <w:jc w:val="both"/>
              <w:rPr>
                <w:rFonts w:hint="default"/>
                <w:sz w:val="21"/>
                <w:szCs w:val="21"/>
                <w:highlight w:val="none"/>
                <w:lang w:val="en-US" w:eastAsia="zh-CN"/>
              </w:rPr>
            </w:pPr>
            <w:r>
              <w:rPr>
                <w:rFonts w:hint="eastAsia"/>
                <w:sz w:val="21"/>
                <w:szCs w:val="21"/>
                <w:highlight w:val="none"/>
                <w:lang w:val="en-US" w:eastAsia="zh-CN"/>
              </w:rPr>
              <w:t>2400m</w:t>
            </w:r>
          </w:p>
        </w:tc>
      </w:tr>
      <w:tr w14:paraId="559FF421">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4CA8481E">
            <w:pPr>
              <w:jc w:val="center"/>
              <w:rPr>
                <w:rFonts w:hint="eastAsia" w:eastAsia="宋体"/>
                <w:sz w:val="21"/>
                <w:szCs w:val="21"/>
                <w:highlight w:val="none"/>
                <w:lang w:val="en-US" w:eastAsia="zh-CN"/>
              </w:rPr>
            </w:pPr>
          </w:p>
        </w:tc>
        <w:tc>
          <w:tcPr>
            <w:tcW w:w="390" w:type="pct"/>
            <w:tcBorders>
              <w:tl2br w:val="nil"/>
              <w:tr2bl w:val="nil"/>
            </w:tcBorders>
            <w:vAlign w:val="center"/>
          </w:tcPr>
          <w:p w14:paraId="69BF0C0D">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立银医院</w:t>
            </w:r>
          </w:p>
        </w:tc>
        <w:tc>
          <w:tcPr>
            <w:tcW w:w="625" w:type="pct"/>
            <w:tcBorders>
              <w:tl2br w:val="nil"/>
              <w:tr2bl w:val="nil"/>
            </w:tcBorders>
            <w:vAlign w:val="center"/>
          </w:tcPr>
          <w:p w14:paraId="13AA8DDD">
            <w:pPr>
              <w:pStyle w:val="32"/>
              <w:widowControl w:val="0"/>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131.162896</w:t>
            </w:r>
          </w:p>
        </w:tc>
        <w:tc>
          <w:tcPr>
            <w:tcW w:w="598" w:type="pct"/>
            <w:tcBorders>
              <w:tl2br w:val="nil"/>
              <w:tr2bl w:val="nil"/>
            </w:tcBorders>
            <w:vAlign w:val="center"/>
          </w:tcPr>
          <w:p w14:paraId="68AB19F1">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44.395309</w:t>
            </w:r>
          </w:p>
        </w:tc>
        <w:tc>
          <w:tcPr>
            <w:tcW w:w="450" w:type="pct"/>
            <w:vMerge w:val="continue"/>
            <w:tcBorders>
              <w:tl2br w:val="nil"/>
              <w:tr2bl w:val="nil"/>
            </w:tcBorders>
            <w:vAlign w:val="center"/>
          </w:tcPr>
          <w:p w14:paraId="0F2C06A1">
            <w:pPr>
              <w:ind w:left="0" w:leftChars="0" w:firstLine="0" w:firstLineChars="0"/>
              <w:jc w:val="center"/>
              <w:rPr>
                <w:rFonts w:hint="eastAsia"/>
                <w:sz w:val="21"/>
                <w:szCs w:val="21"/>
                <w:highlight w:val="none"/>
                <w:lang w:val="en-US" w:eastAsia="zh-CN"/>
              </w:rPr>
            </w:pPr>
          </w:p>
        </w:tc>
        <w:tc>
          <w:tcPr>
            <w:tcW w:w="476" w:type="pct"/>
            <w:vMerge w:val="continue"/>
            <w:tcBorders>
              <w:tl2br w:val="nil"/>
              <w:tr2bl w:val="nil"/>
            </w:tcBorders>
            <w:vAlign w:val="center"/>
          </w:tcPr>
          <w:p w14:paraId="358C0B91">
            <w:pPr>
              <w:ind w:firstLine="420" w:firstLineChars="200"/>
              <w:jc w:val="center"/>
              <w:rPr>
                <w:sz w:val="21"/>
                <w:szCs w:val="21"/>
                <w:highlight w:val="none"/>
              </w:rPr>
            </w:pPr>
          </w:p>
        </w:tc>
        <w:tc>
          <w:tcPr>
            <w:tcW w:w="1050" w:type="pct"/>
            <w:vMerge w:val="continue"/>
            <w:tcBorders>
              <w:tl2br w:val="nil"/>
              <w:tr2bl w:val="nil"/>
            </w:tcBorders>
            <w:vAlign w:val="center"/>
          </w:tcPr>
          <w:p w14:paraId="68E8C635">
            <w:pPr>
              <w:ind w:firstLine="420" w:firstLineChars="200"/>
              <w:jc w:val="center"/>
              <w:rPr>
                <w:sz w:val="21"/>
                <w:szCs w:val="21"/>
                <w:highlight w:val="none"/>
              </w:rPr>
            </w:pPr>
          </w:p>
        </w:tc>
        <w:tc>
          <w:tcPr>
            <w:tcW w:w="444" w:type="pct"/>
            <w:tcBorders>
              <w:tl2br w:val="nil"/>
              <w:tr2bl w:val="nil"/>
            </w:tcBorders>
            <w:vAlign w:val="center"/>
          </w:tcPr>
          <w:p w14:paraId="70D452B8">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5566CF6B">
            <w:pPr>
              <w:ind w:firstLine="420" w:firstLineChars="200"/>
              <w:jc w:val="both"/>
              <w:rPr>
                <w:rFonts w:hint="default"/>
                <w:sz w:val="21"/>
                <w:szCs w:val="21"/>
                <w:highlight w:val="none"/>
                <w:lang w:val="en-US" w:eastAsia="zh-CN"/>
              </w:rPr>
            </w:pPr>
            <w:r>
              <w:rPr>
                <w:rFonts w:hint="eastAsia"/>
                <w:sz w:val="21"/>
                <w:szCs w:val="21"/>
                <w:highlight w:val="none"/>
                <w:lang w:val="en-US" w:eastAsia="zh-CN"/>
              </w:rPr>
              <w:t>1900m</w:t>
            </w:r>
          </w:p>
        </w:tc>
      </w:tr>
      <w:tr w14:paraId="5F0717BA">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restart"/>
            <w:tcBorders>
              <w:tl2br w:val="nil"/>
              <w:tr2bl w:val="nil"/>
            </w:tcBorders>
            <w:vAlign w:val="center"/>
          </w:tcPr>
          <w:p w14:paraId="42AC247B">
            <w:pPr>
              <w:ind w:left="0" w:leftChars="0" w:firstLine="0" w:firstLineChars="0"/>
              <w:jc w:val="center"/>
              <w:rPr>
                <w:sz w:val="21"/>
                <w:szCs w:val="21"/>
                <w:highlight w:val="none"/>
              </w:rPr>
            </w:pPr>
            <w:r>
              <w:rPr>
                <w:rFonts w:hint="eastAsia"/>
                <w:sz w:val="21"/>
                <w:szCs w:val="21"/>
                <w:highlight w:val="none"/>
              </w:rPr>
              <w:t>噪声</w:t>
            </w:r>
          </w:p>
        </w:tc>
        <w:tc>
          <w:tcPr>
            <w:tcW w:w="390" w:type="pct"/>
            <w:tcBorders>
              <w:tl2br w:val="nil"/>
              <w:tr2bl w:val="nil"/>
            </w:tcBorders>
            <w:vAlign w:val="center"/>
          </w:tcPr>
          <w:p w14:paraId="3DDC7FB6">
            <w:pPr>
              <w:pStyle w:val="32"/>
              <w:widowControl w:val="0"/>
              <w:adjustRightInd w:val="0"/>
              <w:snapToGrid w:val="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颐民敬老院卫生所</w:t>
            </w:r>
          </w:p>
        </w:tc>
        <w:tc>
          <w:tcPr>
            <w:tcW w:w="625" w:type="pct"/>
            <w:tcBorders>
              <w:tl2br w:val="nil"/>
              <w:tr2bl w:val="nil"/>
            </w:tcBorders>
            <w:vAlign w:val="center"/>
          </w:tcPr>
          <w:p w14:paraId="5858157A">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131.150258</w:t>
            </w:r>
          </w:p>
        </w:tc>
        <w:tc>
          <w:tcPr>
            <w:tcW w:w="598" w:type="pct"/>
            <w:tcBorders>
              <w:tl2br w:val="nil"/>
              <w:tr2bl w:val="nil"/>
            </w:tcBorders>
            <w:vAlign w:val="center"/>
          </w:tcPr>
          <w:p w14:paraId="604C435D">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44.408110</w:t>
            </w:r>
          </w:p>
        </w:tc>
        <w:tc>
          <w:tcPr>
            <w:tcW w:w="450" w:type="pct"/>
            <w:tcBorders>
              <w:tl2br w:val="nil"/>
              <w:tr2bl w:val="nil"/>
            </w:tcBorders>
            <w:vAlign w:val="center"/>
          </w:tcPr>
          <w:p w14:paraId="5FCC1CBF">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医疗区</w:t>
            </w:r>
          </w:p>
        </w:tc>
        <w:tc>
          <w:tcPr>
            <w:tcW w:w="476" w:type="pct"/>
            <w:vMerge w:val="restart"/>
            <w:tcBorders>
              <w:tl2br w:val="nil"/>
              <w:tr2bl w:val="nil"/>
            </w:tcBorders>
            <w:vAlign w:val="center"/>
          </w:tcPr>
          <w:p w14:paraId="0A43A89C">
            <w:pPr>
              <w:ind w:left="0" w:leftChars="0" w:firstLine="0" w:firstLineChars="0"/>
              <w:jc w:val="center"/>
              <w:rPr>
                <w:rFonts w:hint="eastAsia"/>
                <w:sz w:val="21"/>
                <w:szCs w:val="21"/>
                <w:highlight w:val="none"/>
              </w:rPr>
            </w:pPr>
            <w:r>
              <w:rPr>
                <w:rFonts w:hint="eastAsia"/>
                <w:sz w:val="21"/>
                <w:szCs w:val="21"/>
                <w:highlight w:val="none"/>
                <w:lang w:val="en-US" w:eastAsia="zh-CN"/>
              </w:rPr>
              <w:t>人群</w:t>
            </w:r>
          </w:p>
        </w:tc>
        <w:tc>
          <w:tcPr>
            <w:tcW w:w="1050" w:type="pct"/>
            <w:vMerge w:val="restart"/>
            <w:tcBorders>
              <w:tl2br w:val="nil"/>
              <w:tr2bl w:val="nil"/>
            </w:tcBorders>
            <w:vAlign w:val="center"/>
          </w:tcPr>
          <w:p w14:paraId="67CADF9D">
            <w:pPr>
              <w:ind w:left="0" w:leftChars="0" w:firstLine="0" w:firstLineChars="0"/>
              <w:jc w:val="center"/>
              <w:rPr>
                <w:sz w:val="21"/>
                <w:szCs w:val="21"/>
                <w:highlight w:val="none"/>
              </w:rPr>
            </w:pPr>
            <w:r>
              <w:rPr>
                <w:rFonts w:hint="eastAsia"/>
                <w:sz w:val="21"/>
                <w:szCs w:val="21"/>
                <w:highlight w:val="none"/>
                <w:lang w:val="en-US" w:eastAsia="zh-CN"/>
              </w:rPr>
              <w:t>《声环境质量标准》（GB3096-2008）2类</w:t>
            </w:r>
          </w:p>
        </w:tc>
        <w:tc>
          <w:tcPr>
            <w:tcW w:w="444" w:type="pct"/>
            <w:tcBorders>
              <w:tl2br w:val="nil"/>
              <w:tr2bl w:val="nil"/>
            </w:tcBorders>
            <w:vAlign w:val="center"/>
          </w:tcPr>
          <w:p w14:paraId="7E9A7695">
            <w:pPr>
              <w:ind w:left="0" w:leftChars="0" w:firstLine="0" w:firstLineChars="0"/>
              <w:jc w:val="center"/>
              <w:rPr>
                <w:sz w:val="21"/>
                <w:szCs w:val="21"/>
                <w:highlight w:val="none"/>
              </w:rPr>
            </w:pPr>
            <w:r>
              <w:rPr>
                <w:rFonts w:hint="eastAsia"/>
                <w:sz w:val="21"/>
                <w:szCs w:val="21"/>
                <w:highlight w:val="none"/>
                <w:lang w:val="en-US" w:eastAsia="zh-CN"/>
              </w:rPr>
              <w:t>SE</w:t>
            </w:r>
          </w:p>
        </w:tc>
        <w:tc>
          <w:tcPr>
            <w:tcW w:w="574" w:type="pct"/>
            <w:tcBorders>
              <w:tl2br w:val="nil"/>
              <w:tr2bl w:val="nil"/>
            </w:tcBorders>
            <w:vAlign w:val="center"/>
          </w:tcPr>
          <w:p w14:paraId="751CA427">
            <w:pPr>
              <w:ind w:firstLine="420" w:firstLineChars="200"/>
              <w:jc w:val="both"/>
              <w:rPr>
                <w:sz w:val="21"/>
                <w:szCs w:val="21"/>
                <w:highlight w:val="none"/>
              </w:rPr>
            </w:pPr>
            <w:r>
              <w:rPr>
                <w:rFonts w:hint="eastAsia"/>
                <w:sz w:val="21"/>
                <w:szCs w:val="21"/>
                <w:highlight w:val="none"/>
                <w:lang w:val="en-US" w:eastAsia="zh-CN"/>
              </w:rPr>
              <w:t>180m</w:t>
            </w:r>
          </w:p>
        </w:tc>
      </w:tr>
      <w:tr w14:paraId="30ECC186">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E48BC3F">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6D8FEB35">
            <w:pPr>
              <w:pStyle w:val="32"/>
              <w:widowControl w:val="0"/>
              <w:adjustRightInd w:val="0"/>
              <w:snapToGrid w:val="0"/>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新安幸福嘉园（5层）</w:t>
            </w:r>
          </w:p>
        </w:tc>
        <w:tc>
          <w:tcPr>
            <w:tcW w:w="625" w:type="pct"/>
            <w:tcBorders>
              <w:tl2br w:val="nil"/>
              <w:tr2bl w:val="nil"/>
            </w:tcBorders>
            <w:vAlign w:val="center"/>
          </w:tcPr>
          <w:p w14:paraId="73CFBCF8">
            <w:pPr>
              <w:pStyle w:val="32"/>
              <w:widowControl w:val="0"/>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131.146009</w:t>
            </w:r>
          </w:p>
        </w:tc>
        <w:tc>
          <w:tcPr>
            <w:tcW w:w="598" w:type="pct"/>
            <w:tcBorders>
              <w:tl2br w:val="nil"/>
              <w:tr2bl w:val="nil"/>
            </w:tcBorders>
            <w:vAlign w:val="center"/>
          </w:tcPr>
          <w:p w14:paraId="6E78467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44.409068</w:t>
            </w:r>
          </w:p>
        </w:tc>
        <w:tc>
          <w:tcPr>
            <w:tcW w:w="450" w:type="pct"/>
            <w:tcBorders>
              <w:bottom w:val="single" w:color="auto" w:sz="4" w:space="0"/>
              <w:tl2br w:val="nil"/>
              <w:tr2bl w:val="nil"/>
            </w:tcBorders>
            <w:vAlign w:val="center"/>
          </w:tcPr>
          <w:p w14:paraId="3239C476">
            <w:pPr>
              <w:ind w:left="0" w:leftChars="0" w:firstLine="0" w:firstLineChars="0"/>
              <w:jc w:val="center"/>
              <w:rPr>
                <w:sz w:val="21"/>
                <w:szCs w:val="21"/>
                <w:highlight w:val="none"/>
              </w:rPr>
            </w:pPr>
            <w:r>
              <w:rPr>
                <w:rFonts w:hint="eastAsia"/>
                <w:sz w:val="21"/>
                <w:szCs w:val="21"/>
                <w:highlight w:val="none"/>
                <w:lang w:val="en-US" w:eastAsia="zh-CN"/>
              </w:rPr>
              <w:t>居住区</w:t>
            </w:r>
          </w:p>
        </w:tc>
        <w:tc>
          <w:tcPr>
            <w:tcW w:w="476" w:type="pct"/>
            <w:vMerge w:val="continue"/>
            <w:tcBorders>
              <w:tl2br w:val="nil"/>
              <w:tr2bl w:val="nil"/>
            </w:tcBorders>
            <w:vAlign w:val="center"/>
          </w:tcPr>
          <w:p w14:paraId="54E66503">
            <w:pPr>
              <w:ind w:left="0" w:leftChars="0" w:firstLine="0" w:firstLineChars="0"/>
              <w:jc w:val="center"/>
              <w:rPr>
                <w:rFonts w:hint="eastAsia"/>
                <w:sz w:val="21"/>
                <w:szCs w:val="21"/>
                <w:highlight w:val="none"/>
              </w:rPr>
            </w:pPr>
          </w:p>
        </w:tc>
        <w:tc>
          <w:tcPr>
            <w:tcW w:w="1050" w:type="pct"/>
            <w:vMerge w:val="continue"/>
            <w:tcBorders>
              <w:tl2br w:val="nil"/>
              <w:tr2bl w:val="nil"/>
            </w:tcBorders>
            <w:vAlign w:val="center"/>
          </w:tcPr>
          <w:p w14:paraId="40BE55D2">
            <w:pPr>
              <w:ind w:left="0" w:leftChars="0" w:firstLine="0" w:firstLineChars="0"/>
              <w:jc w:val="center"/>
              <w:rPr>
                <w:sz w:val="21"/>
                <w:szCs w:val="21"/>
                <w:highlight w:val="none"/>
              </w:rPr>
            </w:pPr>
          </w:p>
        </w:tc>
        <w:tc>
          <w:tcPr>
            <w:tcW w:w="444" w:type="pct"/>
            <w:tcBorders>
              <w:tl2br w:val="nil"/>
              <w:tr2bl w:val="nil"/>
            </w:tcBorders>
            <w:vAlign w:val="center"/>
          </w:tcPr>
          <w:p w14:paraId="08FF05C0">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W</w:t>
            </w:r>
          </w:p>
        </w:tc>
        <w:tc>
          <w:tcPr>
            <w:tcW w:w="574" w:type="pct"/>
            <w:tcBorders>
              <w:tl2br w:val="nil"/>
              <w:tr2bl w:val="nil"/>
            </w:tcBorders>
            <w:vAlign w:val="center"/>
          </w:tcPr>
          <w:p w14:paraId="679DA0F0">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20</w:t>
            </w:r>
            <w:r>
              <w:rPr>
                <w:rFonts w:hint="eastAsia"/>
                <w:sz w:val="21"/>
                <w:szCs w:val="21"/>
                <w:highlight w:val="none"/>
              </w:rPr>
              <w:t>m</w:t>
            </w:r>
          </w:p>
        </w:tc>
      </w:tr>
      <w:tr w14:paraId="5EFE23B1">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20A381DE">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560613A5">
            <w:pPr>
              <w:pStyle w:val="32"/>
              <w:widowControl w:val="0"/>
              <w:adjustRightInd w:val="0"/>
              <w:snapToGrid w:val="0"/>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旅游局家属楼（11层）</w:t>
            </w:r>
          </w:p>
        </w:tc>
        <w:tc>
          <w:tcPr>
            <w:tcW w:w="625" w:type="pct"/>
            <w:tcBorders>
              <w:tl2br w:val="nil"/>
              <w:tr2bl w:val="nil"/>
            </w:tcBorders>
            <w:vAlign w:val="center"/>
          </w:tcPr>
          <w:p w14:paraId="5BA084D6">
            <w:pPr>
              <w:pStyle w:val="32"/>
              <w:widowControl w:val="0"/>
              <w:adjustRightInd w:val="0"/>
              <w:snapToGrid w:val="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131.148648</w:t>
            </w:r>
          </w:p>
        </w:tc>
        <w:tc>
          <w:tcPr>
            <w:tcW w:w="598" w:type="pct"/>
            <w:tcBorders>
              <w:tl2br w:val="nil"/>
              <w:tr2bl w:val="nil"/>
            </w:tcBorders>
            <w:vAlign w:val="center"/>
          </w:tcPr>
          <w:p w14:paraId="1AF3992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44.408892</w:t>
            </w:r>
          </w:p>
        </w:tc>
        <w:tc>
          <w:tcPr>
            <w:tcW w:w="450" w:type="pct"/>
            <w:tcBorders>
              <w:bottom w:val="single" w:color="auto" w:sz="4" w:space="0"/>
              <w:tl2br w:val="nil"/>
              <w:tr2bl w:val="nil"/>
            </w:tcBorders>
            <w:vAlign w:val="center"/>
          </w:tcPr>
          <w:p w14:paraId="6D8BB8B1">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居住区</w:t>
            </w:r>
          </w:p>
        </w:tc>
        <w:tc>
          <w:tcPr>
            <w:tcW w:w="476" w:type="pct"/>
            <w:vMerge w:val="continue"/>
            <w:tcBorders>
              <w:tl2br w:val="nil"/>
              <w:tr2bl w:val="nil"/>
            </w:tcBorders>
            <w:vAlign w:val="center"/>
          </w:tcPr>
          <w:p w14:paraId="6CF975B6">
            <w:pPr>
              <w:ind w:firstLine="420" w:firstLineChars="200"/>
              <w:jc w:val="center"/>
              <w:rPr>
                <w:rFonts w:hint="eastAsia"/>
                <w:sz w:val="21"/>
                <w:szCs w:val="21"/>
                <w:highlight w:val="none"/>
                <w:lang w:val="en-US" w:eastAsia="zh-CN"/>
              </w:rPr>
            </w:pPr>
          </w:p>
        </w:tc>
        <w:tc>
          <w:tcPr>
            <w:tcW w:w="1050" w:type="pct"/>
            <w:vMerge w:val="continue"/>
            <w:tcBorders>
              <w:tl2br w:val="nil"/>
              <w:tr2bl w:val="nil"/>
            </w:tcBorders>
            <w:vAlign w:val="center"/>
          </w:tcPr>
          <w:p w14:paraId="4B8127E1">
            <w:pPr>
              <w:ind w:firstLine="420" w:firstLineChars="200"/>
              <w:jc w:val="center"/>
              <w:rPr>
                <w:rFonts w:hint="eastAsia"/>
                <w:sz w:val="21"/>
                <w:szCs w:val="21"/>
                <w:highlight w:val="none"/>
                <w:lang w:val="en-US" w:eastAsia="zh-CN"/>
              </w:rPr>
            </w:pPr>
          </w:p>
        </w:tc>
        <w:tc>
          <w:tcPr>
            <w:tcW w:w="444" w:type="pct"/>
            <w:tcBorders>
              <w:tl2br w:val="nil"/>
              <w:tr2bl w:val="nil"/>
            </w:tcBorders>
            <w:vAlign w:val="center"/>
          </w:tcPr>
          <w:p w14:paraId="4DCAAC53">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E</w:t>
            </w:r>
          </w:p>
        </w:tc>
        <w:tc>
          <w:tcPr>
            <w:tcW w:w="574" w:type="pct"/>
            <w:tcBorders>
              <w:tl2br w:val="nil"/>
              <w:tr2bl w:val="nil"/>
            </w:tcBorders>
            <w:vAlign w:val="center"/>
          </w:tcPr>
          <w:p w14:paraId="21FEB793">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20m</w:t>
            </w:r>
          </w:p>
        </w:tc>
      </w:tr>
      <w:tr w14:paraId="785D9144">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6AC63BF4">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2DE7F074">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中兴小区</w:t>
            </w:r>
          </w:p>
        </w:tc>
        <w:tc>
          <w:tcPr>
            <w:tcW w:w="625" w:type="pct"/>
            <w:tcBorders>
              <w:tl2br w:val="nil"/>
              <w:tr2bl w:val="nil"/>
            </w:tcBorders>
            <w:vAlign w:val="center"/>
          </w:tcPr>
          <w:p w14:paraId="3BDE8CDD">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131.145344</w:t>
            </w:r>
          </w:p>
        </w:tc>
        <w:tc>
          <w:tcPr>
            <w:tcW w:w="598" w:type="pct"/>
            <w:tcBorders>
              <w:tl2br w:val="nil"/>
              <w:tr2bl w:val="nil"/>
            </w:tcBorders>
            <w:vAlign w:val="center"/>
          </w:tcPr>
          <w:p w14:paraId="325DDEC2">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44.407964</w:t>
            </w:r>
          </w:p>
        </w:tc>
        <w:tc>
          <w:tcPr>
            <w:tcW w:w="450" w:type="pct"/>
            <w:tcBorders>
              <w:bottom w:val="single" w:color="auto" w:sz="4" w:space="0"/>
              <w:tl2br w:val="nil"/>
              <w:tr2bl w:val="nil"/>
            </w:tcBorders>
            <w:vAlign w:val="center"/>
          </w:tcPr>
          <w:p w14:paraId="347978A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居住区</w:t>
            </w:r>
          </w:p>
        </w:tc>
        <w:tc>
          <w:tcPr>
            <w:tcW w:w="476" w:type="pct"/>
            <w:vMerge w:val="continue"/>
            <w:tcBorders>
              <w:tl2br w:val="nil"/>
              <w:tr2bl w:val="nil"/>
            </w:tcBorders>
            <w:vAlign w:val="center"/>
          </w:tcPr>
          <w:p w14:paraId="70262FC7">
            <w:pPr>
              <w:ind w:firstLine="420" w:firstLineChars="200"/>
              <w:jc w:val="center"/>
              <w:rPr>
                <w:rFonts w:hint="eastAsia"/>
                <w:sz w:val="21"/>
                <w:szCs w:val="21"/>
                <w:highlight w:val="none"/>
                <w:lang w:val="en-US" w:eastAsia="zh-CN"/>
              </w:rPr>
            </w:pPr>
          </w:p>
        </w:tc>
        <w:tc>
          <w:tcPr>
            <w:tcW w:w="1050" w:type="pct"/>
            <w:vMerge w:val="continue"/>
            <w:tcBorders>
              <w:tl2br w:val="nil"/>
              <w:tr2bl w:val="nil"/>
            </w:tcBorders>
            <w:vAlign w:val="center"/>
          </w:tcPr>
          <w:p w14:paraId="5D2ADE65">
            <w:pPr>
              <w:ind w:firstLine="420" w:firstLineChars="200"/>
              <w:jc w:val="center"/>
              <w:rPr>
                <w:rFonts w:hint="eastAsia"/>
                <w:sz w:val="21"/>
                <w:szCs w:val="21"/>
                <w:highlight w:val="none"/>
                <w:lang w:val="en-US" w:eastAsia="zh-CN"/>
              </w:rPr>
            </w:pPr>
          </w:p>
        </w:tc>
        <w:tc>
          <w:tcPr>
            <w:tcW w:w="444" w:type="pct"/>
            <w:tcBorders>
              <w:tl2br w:val="nil"/>
              <w:tr2bl w:val="nil"/>
            </w:tcBorders>
            <w:vAlign w:val="center"/>
          </w:tcPr>
          <w:p w14:paraId="5061CE37">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SW</w:t>
            </w:r>
          </w:p>
        </w:tc>
        <w:tc>
          <w:tcPr>
            <w:tcW w:w="574" w:type="pct"/>
            <w:tcBorders>
              <w:tl2br w:val="nil"/>
              <w:tr2bl w:val="nil"/>
            </w:tcBorders>
            <w:vAlign w:val="center"/>
          </w:tcPr>
          <w:p w14:paraId="48C0FB25">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180m</w:t>
            </w:r>
          </w:p>
        </w:tc>
      </w:tr>
      <w:tr w14:paraId="474313F0">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E75A681">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589567D7">
            <w:pPr>
              <w:pStyle w:val="32"/>
              <w:widowControl w:val="0"/>
              <w:adjustRightInd w:val="0"/>
              <w:snapToGrid w:val="0"/>
              <w:jc w:val="center"/>
              <w:rPr>
                <w:rFonts w:hint="eastAsia"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绥芬河市人大</w:t>
            </w:r>
          </w:p>
        </w:tc>
        <w:tc>
          <w:tcPr>
            <w:tcW w:w="625" w:type="pct"/>
            <w:tcBorders>
              <w:tl2br w:val="nil"/>
              <w:tr2bl w:val="nil"/>
            </w:tcBorders>
            <w:vAlign w:val="center"/>
          </w:tcPr>
          <w:p w14:paraId="2379AEF9">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131.145290</w:t>
            </w:r>
          </w:p>
        </w:tc>
        <w:tc>
          <w:tcPr>
            <w:tcW w:w="598" w:type="pct"/>
            <w:tcBorders>
              <w:tl2br w:val="nil"/>
              <w:tr2bl w:val="nil"/>
            </w:tcBorders>
            <w:vAlign w:val="center"/>
          </w:tcPr>
          <w:p w14:paraId="20FC4A5B">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44.409091</w:t>
            </w:r>
          </w:p>
        </w:tc>
        <w:tc>
          <w:tcPr>
            <w:tcW w:w="450" w:type="pct"/>
            <w:tcBorders>
              <w:top w:val="single" w:color="auto" w:sz="4" w:space="0"/>
              <w:tl2br w:val="nil"/>
              <w:tr2bl w:val="nil"/>
            </w:tcBorders>
            <w:vAlign w:val="center"/>
          </w:tcPr>
          <w:p w14:paraId="51229B3F">
            <w:pPr>
              <w:ind w:left="0" w:leftChars="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行政区</w:t>
            </w:r>
          </w:p>
        </w:tc>
        <w:tc>
          <w:tcPr>
            <w:tcW w:w="476" w:type="pct"/>
            <w:vMerge w:val="continue"/>
            <w:tcBorders>
              <w:tl2br w:val="nil"/>
              <w:tr2bl w:val="nil"/>
            </w:tcBorders>
            <w:vAlign w:val="center"/>
          </w:tcPr>
          <w:p w14:paraId="6EC20088">
            <w:pPr>
              <w:ind w:firstLine="420" w:firstLineChars="200"/>
              <w:jc w:val="center"/>
              <w:rPr>
                <w:rFonts w:hint="eastAsia"/>
                <w:sz w:val="21"/>
                <w:szCs w:val="21"/>
                <w:highlight w:val="none"/>
              </w:rPr>
            </w:pPr>
          </w:p>
        </w:tc>
        <w:tc>
          <w:tcPr>
            <w:tcW w:w="1050" w:type="pct"/>
            <w:vMerge w:val="continue"/>
            <w:tcBorders>
              <w:tl2br w:val="nil"/>
              <w:tr2bl w:val="nil"/>
            </w:tcBorders>
            <w:vAlign w:val="center"/>
          </w:tcPr>
          <w:p w14:paraId="4F758FA8">
            <w:pPr>
              <w:ind w:firstLine="420" w:firstLineChars="200"/>
              <w:jc w:val="center"/>
              <w:rPr>
                <w:sz w:val="21"/>
                <w:szCs w:val="21"/>
                <w:highlight w:val="none"/>
              </w:rPr>
            </w:pPr>
          </w:p>
        </w:tc>
        <w:tc>
          <w:tcPr>
            <w:tcW w:w="444" w:type="pct"/>
            <w:tcBorders>
              <w:tl2br w:val="nil"/>
              <w:tr2bl w:val="nil"/>
            </w:tcBorders>
            <w:vAlign w:val="center"/>
          </w:tcPr>
          <w:p w14:paraId="51A3E836">
            <w:pPr>
              <w:ind w:left="0" w:leftChars="0" w:firstLine="0" w:firstLineChars="0"/>
              <w:jc w:val="center"/>
              <w:rPr>
                <w:rFonts w:hint="eastAsia"/>
                <w:sz w:val="21"/>
                <w:szCs w:val="21"/>
                <w:highlight w:val="none"/>
                <w:lang w:val="en-US" w:eastAsia="zh-CN"/>
              </w:rPr>
            </w:pPr>
            <w:r>
              <w:rPr>
                <w:rFonts w:hint="eastAsia"/>
                <w:sz w:val="21"/>
                <w:szCs w:val="21"/>
                <w:highlight w:val="none"/>
              </w:rPr>
              <w:t>W</w:t>
            </w:r>
          </w:p>
        </w:tc>
        <w:tc>
          <w:tcPr>
            <w:tcW w:w="574" w:type="pct"/>
            <w:tcBorders>
              <w:tl2br w:val="nil"/>
              <w:tr2bl w:val="nil"/>
            </w:tcBorders>
            <w:vAlign w:val="center"/>
          </w:tcPr>
          <w:p w14:paraId="29DB95E6">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150</w:t>
            </w:r>
            <w:r>
              <w:rPr>
                <w:rFonts w:hint="eastAsia"/>
                <w:sz w:val="21"/>
                <w:szCs w:val="21"/>
                <w:highlight w:val="none"/>
              </w:rPr>
              <w:t>m</w:t>
            </w:r>
          </w:p>
        </w:tc>
      </w:tr>
      <w:tr w14:paraId="553152D5">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508BEE27">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39FC2151">
            <w:pPr>
              <w:pStyle w:val="32"/>
              <w:widowControl w:val="0"/>
              <w:adjustRightInd w:val="0"/>
              <w:snapToGrid w:val="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数码港宾馆</w:t>
            </w:r>
          </w:p>
        </w:tc>
        <w:tc>
          <w:tcPr>
            <w:tcW w:w="625" w:type="pct"/>
            <w:tcBorders>
              <w:tl2br w:val="nil"/>
              <w:tr2bl w:val="nil"/>
            </w:tcBorders>
            <w:vAlign w:val="center"/>
          </w:tcPr>
          <w:p w14:paraId="467A172C">
            <w:pPr>
              <w:ind w:left="0" w:leftChars="0" w:firstLine="0" w:firstLineChars="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131.149828</w:t>
            </w:r>
          </w:p>
        </w:tc>
        <w:tc>
          <w:tcPr>
            <w:tcW w:w="598" w:type="pct"/>
            <w:tcBorders>
              <w:tl2br w:val="nil"/>
              <w:tr2bl w:val="nil"/>
            </w:tcBorders>
            <w:vAlign w:val="center"/>
          </w:tcPr>
          <w:p w14:paraId="5F052D51">
            <w:pPr>
              <w:ind w:left="0" w:leftChars="0" w:firstLine="0" w:firstLineChars="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44.407221</w:t>
            </w:r>
          </w:p>
        </w:tc>
        <w:tc>
          <w:tcPr>
            <w:tcW w:w="450" w:type="pct"/>
            <w:tcBorders>
              <w:top w:val="single" w:color="auto" w:sz="4" w:space="0"/>
              <w:tl2br w:val="nil"/>
              <w:tr2bl w:val="nil"/>
            </w:tcBorders>
            <w:vAlign w:val="center"/>
          </w:tcPr>
          <w:p w14:paraId="415E866E">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居住区</w:t>
            </w:r>
          </w:p>
        </w:tc>
        <w:tc>
          <w:tcPr>
            <w:tcW w:w="476" w:type="pct"/>
            <w:vMerge w:val="continue"/>
            <w:tcBorders>
              <w:tl2br w:val="nil"/>
              <w:tr2bl w:val="nil"/>
            </w:tcBorders>
            <w:vAlign w:val="center"/>
          </w:tcPr>
          <w:p w14:paraId="7BF0DE1C">
            <w:pPr>
              <w:ind w:firstLine="420" w:firstLineChars="200"/>
              <w:jc w:val="center"/>
              <w:rPr>
                <w:rFonts w:hint="eastAsia"/>
                <w:sz w:val="21"/>
                <w:szCs w:val="21"/>
                <w:highlight w:val="none"/>
              </w:rPr>
            </w:pPr>
          </w:p>
        </w:tc>
        <w:tc>
          <w:tcPr>
            <w:tcW w:w="1050" w:type="pct"/>
            <w:vMerge w:val="continue"/>
            <w:tcBorders>
              <w:tl2br w:val="nil"/>
              <w:tr2bl w:val="nil"/>
            </w:tcBorders>
            <w:vAlign w:val="center"/>
          </w:tcPr>
          <w:p w14:paraId="61FD5F4C">
            <w:pPr>
              <w:ind w:firstLine="420" w:firstLineChars="200"/>
              <w:jc w:val="center"/>
              <w:rPr>
                <w:sz w:val="21"/>
                <w:szCs w:val="21"/>
                <w:highlight w:val="none"/>
              </w:rPr>
            </w:pPr>
          </w:p>
        </w:tc>
        <w:tc>
          <w:tcPr>
            <w:tcW w:w="444" w:type="pct"/>
            <w:tcBorders>
              <w:tl2br w:val="nil"/>
              <w:tr2bl w:val="nil"/>
            </w:tcBorders>
            <w:vAlign w:val="center"/>
          </w:tcPr>
          <w:p w14:paraId="790CDB3C">
            <w:pPr>
              <w:ind w:left="0" w:leftChars="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SE</w:t>
            </w:r>
          </w:p>
        </w:tc>
        <w:tc>
          <w:tcPr>
            <w:tcW w:w="574" w:type="pct"/>
            <w:tcBorders>
              <w:tl2br w:val="nil"/>
              <w:tr2bl w:val="nil"/>
            </w:tcBorders>
            <w:vAlign w:val="center"/>
          </w:tcPr>
          <w:p w14:paraId="5F7B2629">
            <w:pPr>
              <w:ind w:left="0" w:leftChars="0" w:firstLine="0" w:firstLineChars="0"/>
              <w:jc w:val="center"/>
              <w:rPr>
                <w:rFonts w:hint="default"/>
                <w:sz w:val="21"/>
                <w:szCs w:val="21"/>
                <w:highlight w:val="none"/>
                <w:lang w:val="en-US" w:eastAsia="zh-CN"/>
              </w:rPr>
            </w:pPr>
            <w:r>
              <w:rPr>
                <w:rFonts w:hint="eastAsia"/>
                <w:sz w:val="21"/>
                <w:szCs w:val="21"/>
                <w:highlight w:val="none"/>
                <w:lang w:val="en-US" w:eastAsia="zh-CN"/>
              </w:rPr>
              <w:t>190m</w:t>
            </w:r>
          </w:p>
        </w:tc>
      </w:tr>
      <w:tr w14:paraId="2C04412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980" w:hRule="atLeast"/>
        </w:trPr>
        <w:tc>
          <w:tcPr>
            <w:tcW w:w="390" w:type="pct"/>
            <w:vMerge w:val="restart"/>
            <w:tcBorders>
              <w:tl2br w:val="nil"/>
              <w:tr2bl w:val="nil"/>
            </w:tcBorders>
            <w:vAlign w:val="center"/>
          </w:tcPr>
          <w:p w14:paraId="783947C9">
            <w:pPr>
              <w:ind w:left="0" w:leftChars="0" w:firstLine="0" w:firstLineChars="0"/>
              <w:jc w:val="center"/>
              <w:rPr>
                <w:sz w:val="21"/>
                <w:szCs w:val="21"/>
                <w:highlight w:val="none"/>
              </w:rPr>
            </w:pPr>
            <w:r>
              <w:rPr>
                <w:rFonts w:hint="eastAsia"/>
                <w:sz w:val="21"/>
                <w:szCs w:val="21"/>
                <w:highlight w:val="none"/>
              </w:rPr>
              <w:t>土壤</w:t>
            </w:r>
          </w:p>
        </w:tc>
        <w:tc>
          <w:tcPr>
            <w:tcW w:w="390" w:type="pct"/>
            <w:tcBorders>
              <w:tl2br w:val="nil"/>
              <w:tr2bl w:val="nil"/>
            </w:tcBorders>
            <w:vAlign w:val="center"/>
          </w:tcPr>
          <w:p w14:paraId="4C890185">
            <w:pPr>
              <w:pStyle w:val="32"/>
              <w:widowControl w:val="0"/>
              <w:adjustRightInd w:val="0"/>
              <w:snapToGrid w:val="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新安幸福嘉园（5层）</w:t>
            </w:r>
          </w:p>
        </w:tc>
        <w:tc>
          <w:tcPr>
            <w:tcW w:w="625" w:type="pct"/>
            <w:tcBorders>
              <w:right w:val="single" w:color="auto" w:sz="4" w:space="0"/>
              <w:tl2br w:val="nil"/>
              <w:tr2bl w:val="nil"/>
            </w:tcBorders>
            <w:vAlign w:val="center"/>
          </w:tcPr>
          <w:p w14:paraId="074E7CFB">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131.146009</w:t>
            </w:r>
          </w:p>
        </w:tc>
        <w:tc>
          <w:tcPr>
            <w:tcW w:w="598" w:type="pct"/>
            <w:tcBorders>
              <w:left w:val="single" w:color="auto" w:sz="4" w:space="0"/>
              <w:tl2br w:val="nil"/>
              <w:tr2bl w:val="nil"/>
            </w:tcBorders>
            <w:vAlign w:val="center"/>
          </w:tcPr>
          <w:p w14:paraId="5FAC1315">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44.409068</w:t>
            </w:r>
          </w:p>
        </w:tc>
        <w:tc>
          <w:tcPr>
            <w:tcW w:w="450" w:type="pct"/>
            <w:vMerge w:val="restart"/>
            <w:tcBorders>
              <w:tl2br w:val="nil"/>
              <w:tr2bl w:val="nil"/>
            </w:tcBorders>
            <w:vAlign w:val="center"/>
          </w:tcPr>
          <w:p w14:paraId="5631A2B5">
            <w:pPr>
              <w:ind w:left="0" w:leftChars="0"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居住区</w:t>
            </w:r>
          </w:p>
        </w:tc>
        <w:tc>
          <w:tcPr>
            <w:tcW w:w="476" w:type="pct"/>
            <w:vMerge w:val="restart"/>
            <w:tcBorders>
              <w:tl2br w:val="nil"/>
              <w:tr2bl w:val="nil"/>
            </w:tcBorders>
            <w:vAlign w:val="center"/>
          </w:tcPr>
          <w:p w14:paraId="36A64906">
            <w:pPr>
              <w:ind w:left="0" w:leftChars="0" w:firstLine="0" w:firstLineChars="0"/>
              <w:jc w:val="center"/>
              <w:rPr>
                <w:sz w:val="21"/>
                <w:szCs w:val="21"/>
                <w:highlight w:val="none"/>
              </w:rPr>
            </w:pPr>
            <w:r>
              <w:rPr>
                <w:rFonts w:hint="eastAsia"/>
                <w:sz w:val="21"/>
                <w:szCs w:val="21"/>
                <w:highlight w:val="none"/>
              </w:rPr>
              <w:t>土壤环境</w:t>
            </w:r>
          </w:p>
        </w:tc>
        <w:tc>
          <w:tcPr>
            <w:tcW w:w="1050" w:type="pct"/>
            <w:vMerge w:val="restart"/>
            <w:tcBorders>
              <w:tl2br w:val="nil"/>
              <w:tr2bl w:val="nil"/>
            </w:tcBorders>
            <w:vAlign w:val="center"/>
          </w:tcPr>
          <w:p w14:paraId="7A5D3BBA">
            <w:pPr>
              <w:ind w:left="0" w:leftChars="0" w:firstLine="0" w:firstLineChars="0"/>
              <w:jc w:val="both"/>
              <w:rPr>
                <w:sz w:val="21"/>
                <w:szCs w:val="21"/>
                <w:highlight w:val="none"/>
              </w:rPr>
            </w:pPr>
            <w:r>
              <w:rPr>
                <w:sz w:val="21"/>
                <w:szCs w:val="21"/>
                <w:highlight w:val="none"/>
              </w:rPr>
              <w:t>《土壤环境质量建设用地土壤污染风险管控标准（试行）》（GB36600-2018）中第</w:t>
            </w:r>
            <w:r>
              <w:rPr>
                <w:rFonts w:hint="eastAsia"/>
                <w:sz w:val="21"/>
                <w:szCs w:val="21"/>
                <w:highlight w:val="none"/>
                <w:lang w:val="en-US" w:eastAsia="zh-CN"/>
              </w:rPr>
              <w:t>一</w:t>
            </w:r>
            <w:r>
              <w:rPr>
                <w:sz w:val="21"/>
                <w:szCs w:val="21"/>
                <w:highlight w:val="none"/>
              </w:rPr>
              <w:t>类建设用地风险筛选值</w:t>
            </w:r>
          </w:p>
        </w:tc>
        <w:tc>
          <w:tcPr>
            <w:tcW w:w="444" w:type="pct"/>
            <w:tcBorders>
              <w:bottom w:val="single" w:color="auto" w:sz="4" w:space="0"/>
              <w:tl2br w:val="nil"/>
              <w:tr2bl w:val="nil"/>
            </w:tcBorders>
            <w:vAlign w:val="center"/>
          </w:tcPr>
          <w:p w14:paraId="0119316D">
            <w:pPr>
              <w:ind w:left="0" w:leftChars="0" w:firstLine="0" w:firstLineChars="0"/>
              <w:jc w:val="center"/>
              <w:rPr>
                <w:sz w:val="21"/>
                <w:szCs w:val="21"/>
                <w:highlight w:val="none"/>
              </w:rPr>
            </w:pPr>
            <w:r>
              <w:rPr>
                <w:rFonts w:hint="eastAsia"/>
                <w:sz w:val="21"/>
                <w:szCs w:val="21"/>
                <w:highlight w:val="none"/>
              </w:rPr>
              <w:t>W</w:t>
            </w:r>
          </w:p>
        </w:tc>
        <w:tc>
          <w:tcPr>
            <w:tcW w:w="574" w:type="pct"/>
            <w:tcBorders>
              <w:tl2br w:val="nil"/>
              <w:tr2bl w:val="nil"/>
            </w:tcBorders>
            <w:vAlign w:val="center"/>
          </w:tcPr>
          <w:p w14:paraId="122545CD">
            <w:pPr>
              <w:jc w:val="both"/>
              <w:rPr>
                <w:sz w:val="21"/>
                <w:szCs w:val="21"/>
                <w:highlight w:val="none"/>
              </w:rPr>
            </w:pPr>
            <w:r>
              <w:rPr>
                <w:rFonts w:hint="eastAsia"/>
                <w:sz w:val="21"/>
                <w:szCs w:val="21"/>
                <w:highlight w:val="none"/>
                <w:lang w:val="en-US" w:eastAsia="zh-CN"/>
              </w:rPr>
              <w:t>20</w:t>
            </w:r>
            <w:r>
              <w:rPr>
                <w:rFonts w:hint="eastAsia"/>
                <w:sz w:val="21"/>
                <w:szCs w:val="21"/>
                <w:highlight w:val="none"/>
              </w:rPr>
              <w:t>m</w:t>
            </w:r>
          </w:p>
        </w:tc>
      </w:tr>
      <w:tr w14:paraId="10C33E5B">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3F9843C1">
            <w:pPr>
              <w:ind w:left="0" w:leftChars="0" w:firstLine="0" w:firstLineChars="0"/>
              <w:jc w:val="center"/>
              <w:rPr>
                <w:rFonts w:hint="eastAsia"/>
                <w:sz w:val="21"/>
                <w:szCs w:val="21"/>
                <w:highlight w:val="none"/>
              </w:rPr>
            </w:pPr>
          </w:p>
        </w:tc>
        <w:tc>
          <w:tcPr>
            <w:tcW w:w="390" w:type="pct"/>
            <w:tcBorders>
              <w:tl2br w:val="nil"/>
              <w:tr2bl w:val="nil"/>
            </w:tcBorders>
            <w:vAlign w:val="center"/>
          </w:tcPr>
          <w:p w14:paraId="42A29C6C">
            <w:pPr>
              <w:pStyle w:val="32"/>
              <w:widowControl w:val="0"/>
              <w:adjustRightInd w:val="0"/>
              <w:snapToGrid w:val="0"/>
              <w:jc w:val="center"/>
              <w:rPr>
                <w:rFonts w:hint="eastAsia"/>
                <w:sz w:val="21"/>
                <w:szCs w:val="21"/>
                <w:highlight w:val="none"/>
                <w:lang w:val="en-US" w:eastAsia="zh-CN"/>
              </w:rPr>
            </w:pPr>
            <w:r>
              <w:rPr>
                <w:rFonts w:hint="eastAsia" w:ascii="Times New Roman" w:hAnsi="Times New Roman"/>
                <w:sz w:val="21"/>
                <w:szCs w:val="21"/>
                <w:highlight w:val="none"/>
                <w:lang w:val="en-US" w:eastAsia="zh-CN"/>
              </w:rPr>
              <w:t>旅游局家属楼（11层）</w:t>
            </w:r>
          </w:p>
        </w:tc>
        <w:tc>
          <w:tcPr>
            <w:tcW w:w="625" w:type="pct"/>
            <w:tcBorders>
              <w:right w:val="single" w:color="auto" w:sz="4" w:space="0"/>
              <w:tl2br w:val="nil"/>
              <w:tr2bl w:val="nil"/>
            </w:tcBorders>
            <w:vAlign w:val="center"/>
          </w:tcPr>
          <w:p w14:paraId="605E7BFE">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131.148648</w:t>
            </w:r>
          </w:p>
        </w:tc>
        <w:tc>
          <w:tcPr>
            <w:tcW w:w="598" w:type="pct"/>
            <w:tcBorders>
              <w:left w:val="single" w:color="auto" w:sz="4" w:space="0"/>
              <w:tl2br w:val="nil"/>
              <w:tr2bl w:val="nil"/>
            </w:tcBorders>
            <w:vAlign w:val="center"/>
          </w:tcPr>
          <w:p w14:paraId="565BFF84">
            <w:pPr>
              <w:ind w:left="0" w:leftChars="0" w:firstLine="0" w:firstLineChars="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44.408892</w:t>
            </w:r>
          </w:p>
        </w:tc>
        <w:tc>
          <w:tcPr>
            <w:tcW w:w="450" w:type="pct"/>
            <w:vMerge w:val="continue"/>
            <w:tcBorders>
              <w:bottom w:val="single" w:color="auto" w:sz="4" w:space="0"/>
              <w:tl2br w:val="nil"/>
              <w:tr2bl w:val="nil"/>
            </w:tcBorders>
            <w:vAlign w:val="center"/>
          </w:tcPr>
          <w:p w14:paraId="7EDBFEE1">
            <w:pPr>
              <w:ind w:left="0" w:leftChars="0" w:firstLine="0" w:firstLineChars="0"/>
              <w:jc w:val="center"/>
              <w:rPr>
                <w:sz w:val="21"/>
                <w:szCs w:val="21"/>
                <w:highlight w:val="none"/>
              </w:rPr>
            </w:pPr>
          </w:p>
        </w:tc>
        <w:tc>
          <w:tcPr>
            <w:tcW w:w="476" w:type="pct"/>
            <w:vMerge w:val="continue"/>
            <w:tcBorders>
              <w:bottom w:val="single" w:color="auto" w:sz="4" w:space="0"/>
              <w:tl2br w:val="nil"/>
              <w:tr2bl w:val="nil"/>
            </w:tcBorders>
            <w:vAlign w:val="center"/>
          </w:tcPr>
          <w:p w14:paraId="673C47A3">
            <w:pPr>
              <w:ind w:left="0" w:leftChars="0" w:firstLine="0" w:firstLineChars="0"/>
              <w:jc w:val="center"/>
              <w:rPr>
                <w:rFonts w:hint="eastAsia"/>
                <w:sz w:val="21"/>
                <w:szCs w:val="21"/>
                <w:highlight w:val="none"/>
              </w:rPr>
            </w:pPr>
          </w:p>
        </w:tc>
        <w:tc>
          <w:tcPr>
            <w:tcW w:w="1050" w:type="pct"/>
            <w:vMerge w:val="continue"/>
            <w:tcBorders>
              <w:bottom w:val="single" w:color="auto" w:sz="4" w:space="0"/>
              <w:tl2br w:val="nil"/>
              <w:tr2bl w:val="nil"/>
            </w:tcBorders>
            <w:vAlign w:val="center"/>
          </w:tcPr>
          <w:p w14:paraId="241B5BD5">
            <w:pPr>
              <w:ind w:left="0" w:leftChars="0" w:firstLine="0" w:firstLineChars="0"/>
              <w:jc w:val="both"/>
              <w:rPr>
                <w:sz w:val="21"/>
                <w:szCs w:val="21"/>
                <w:highlight w:val="none"/>
              </w:rPr>
            </w:pPr>
          </w:p>
        </w:tc>
        <w:tc>
          <w:tcPr>
            <w:tcW w:w="444" w:type="pct"/>
            <w:tcBorders>
              <w:bottom w:val="single" w:color="auto" w:sz="4" w:space="0"/>
              <w:tl2br w:val="nil"/>
              <w:tr2bl w:val="nil"/>
            </w:tcBorders>
            <w:vAlign w:val="center"/>
          </w:tcPr>
          <w:p w14:paraId="06E58200">
            <w:pPr>
              <w:ind w:left="0" w:leftChars="0" w:firstLine="0" w:firstLineChars="0"/>
              <w:jc w:val="center"/>
              <w:rPr>
                <w:rFonts w:hint="eastAsia"/>
                <w:sz w:val="21"/>
                <w:szCs w:val="21"/>
                <w:highlight w:val="none"/>
              </w:rPr>
            </w:pPr>
            <w:r>
              <w:rPr>
                <w:rFonts w:hint="eastAsia"/>
                <w:sz w:val="21"/>
                <w:szCs w:val="21"/>
                <w:highlight w:val="none"/>
                <w:lang w:val="en-US" w:eastAsia="zh-CN"/>
              </w:rPr>
              <w:t>E</w:t>
            </w:r>
          </w:p>
        </w:tc>
        <w:tc>
          <w:tcPr>
            <w:tcW w:w="574" w:type="pct"/>
            <w:tcBorders>
              <w:tl2br w:val="nil"/>
              <w:tr2bl w:val="nil"/>
            </w:tcBorders>
            <w:vAlign w:val="center"/>
          </w:tcPr>
          <w:p w14:paraId="61CB43B0">
            <w:pPr>
              <w:ind w:left="0" w:leftChars="0" w:firstLine="0" w:firstLineChars="0"/>
              <w:jc w:val="center"/>
              <w:rPr>
                <w:rFonts w:hint="eastAsia"/>
                <w:sz w:val="21"/>
                <w:szCs w:val="21"/>
                <w:highlight w:val="none"/>
                <w:lang w:val="en-US" w:eastAsia="zh-CN"/>
              </w:rPr>
            </w:pPr>
            <w:r>
              <w:rPr>
                <w:rFonts w:hint="eastAsia"/>
                <w:sz w:val="21"/>
                <w:szCs w:val="21"/>
                <w:highlight w:val="none"/>
                <w:lang w:val="en-US" w:eastAsia="zh-CN"/>
              </w:rPr>
              <w:t>20m</w:t>
            </w:r>
          </w:p>
        </w:tc>
      </w:tr>
      <w:tr w14:paraId="2EC890A1">
        <w:tblPrEx>
          <w:tblBorders>
            <w:top w:val="single" w:color="000000" w:sz="12"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390" w:type="pct"/>
            <w:vMerge w:val="continue"/>
            <w:tcBorders>
              <w:tl2br w:val="nil"/>
              <w:tr2bl w:val="nil"/>
            </w:tcBorders>
            <w:vAlign w:val="center"/>
          </w:tcPr>
          <w:p w14:paraId="02CFDCDF">
            <w:pPr>
              <w:jc w:val="center"/>
              <w:rPr>
                <w:sz w:val="21"/>
                <w:szCs w:val="21"/>
                <w:highlight w:val="none"/>
              </w:rPr>
            </w:pPr>
          </w:p>
        </w:tc>
        <w:tc>
          <w:tcPr>
            <w:tcW w:w="390" w:type="pct"/>
            <w:tcBorders>
              <w:tl2br w:val="nil"/>
              <w:tr2bl w:val="nil"/>
            </w:tcBorders>
            <w:vAlign w:val="center"/>
          </w:tcPr>
          <w:p w14:paraId="72F1E3EE">
            <w:pPr>
              <w:pStyle w:val="32"/>
              <w:widowControl w:val="0"/>
              <w:adjustRightInd w:val="0"/>
              <w:snapToGrid w:val="0"/>
              <w:jc w:val="center"/>
              <w:rPr>
                <w:rFonts w:ascii="Times New Roman" w:hAnsi="Times New Roman"/>
                <w:sz w:val="21"/>
                <w:szCs w:val="21"/>
                <w:highlight w:val="none"/>
              </w:rPr>
            </w:pPr>
            <w:r>
              <w:rPr>
                <w:rFonts w:hint="eastAsia" w:ascii="Times New Roman" w:hAnsi="Times New Roman"/>
                <w:sz w:val="21"/>
                <w:szCs w:val="21"/>
                <w:highlight w:val="none"/>
              </w:rPr>
              <w:t>附近林地</w:t>
            </w:r>
          </w:p>
        </w:tc>
        <w:tc>
          <w:tcPr>
            <w:tcW w:w="625" w:type="pct"/>
            <w:tcBorders>
              <w:right w:val="single" w:color="auto" w:sz="4" w:space="0"/>
              <w:tl2br w:val="nil"/>
              <w:tr2bl w:val="nil"/>
            </w:tcBorders>
            <w:vAlign w:val="center"/>
          </w:tcPr>
          <w:p w14:paraId="7DD622FA">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131.147254</w:t>
            </w:r>
          </w:p>
        </w:tc>
        <w:tc>
          <w:tcPr>
            <w:tcW w:w="598" w:type="pct"/>
            <w:tcBorders>
              <w:left w:val="single" w:color="auto" w:sz="4" w:space="0"/>
              <w:tl2br w:val="nil"/>
              <w:tr2bl w:val="nil"/>
            </w:tcBorders>
            <w:vAlign w:val="center"/>
          </w:tcPr>
          <w:p w14:paraId="6A45EDBB">
            <w:pPr>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sz w:val="21"/>
                <w:szCs w:val="21"/>
                <w:highlight w:val="none"/>
                <w:lang w:val="en-US" w:eastAsia="zh-CN"/>
              </w:rPr>
              <w:t>44.409896</w:t>
            </w:r>
          </w:p>
        </w:tc>
        <w:tc>
          <w:tcPr>
            <w:tcW w:w="450" w:type="pct"/>
            <w:tcBorders>
              <w:top w:val="single" w:color="auto" w:sz="4" w:space="0"/>
              <w:tl2br w:val="nil"/>
              <w:tr2bl w:val="nil"/>
            </w:tcBorders>
            <w:vAlign w:val="center"/>
          </w:tcPr>
          <w:p w14:paraId="4BD88EEA">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林地</w:t>
            </w:r>
          </w:p>
        </w:tc>
        <w:tc>
          <w:tcPr>
            <w:tcW w:w="476" w:type="pct"/>
            <w:tcBorders>
              <w:top w:val="single" w:color="auto" w:sz="4" w:space="0"/>
              <w:tl2br w:val="nil"/>
              <w:tr2bl w:val="nil"/>
            </w:tcBorders>
            <w:vAlign w:val="center"/>
          </w:tcPr>
          <w:p w14:paraId="71ED0940">
            <w:pPr>
              <w:ind w:left="0" w:leftChars="0"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土壤环境</w:t>
            </w:r>
          </w:p>
        </w:tc>
        <w:tc>
          <w:tcPr>
            <w:tcW w:w="1050" w:type="pct"/>
            <w:tcBorders>
              <w:top w:val="single" w:color="auto" w:sz="4" w:space="0"/>
              <w:tl2br w:val="nil"/>
              <w:tr2bl w:val="nil"/>
            </w:tcBorders>
            <w:vAlign w:val="center"/>
          </w:tcPr>
          <w:p w14:paraId="78C56D8F">
            <w:pPr>
              <w:ind w:left="0" w:leftChars="0" w:firstLine="0" w:firstLineChars="0"/>
              <w:jc w:val="both"/>
              <w:rPr>
                <w:sz w:val="21"/>
                <w:szCs w:val="21"/>
                <w:highlight w:val="none"/>
              </w:rPr>
            </w:pPr>
            <w:r>
              <w:rPr>
                <w:sz w:val="21"/>
                <w:szCs w:val="21"/>
                <w:highlight w:val="none"/>
              </w:rPr>
              <w:t>《土壤环境质量农用地土壤污染风险管控标准（试行）》（GB15618</w:t>
            </w:r>
            <w:r>
              <w:rPr>
                <w:rFonts w:hint="eastAsia"/>
                <w:sz w:val="21"/>
                <w:szCs w:val="21"/>
                <w:highlight w:val="none"/>
              </w:rPr>
              <w:t>-</w:t>
            </w:r>
            <w:r>
              <w:rPr>
                <w:sz w:val="21"/>
                <w:szCs w:val="21"/>
                <w:highlight w:val="none"/>
              </w:rPr>
              <w:t>2018）风险筛选值</w:t>
            </w:r>
          </w:p>
        </w:tc>
        <w:tc>
          <w:tcPr>
            <w:tcW w:w="444" w:type="pct"/>
            <w:tcBorders>
              <w:top w:val="single" w:color="auto" w:sz="4" w:space="0"/>
              <w:tl2br w:val="nil"/>
              <w:tr2bl w:val="nil"/>
            </w:tcBorders>
            <w:vAlign w:val="center"/>
          </w:tcPr>
          <w:p w14:paraId="6A413C8E">
            <w:pPr>
              <w:jc w:val="both"/>
              <w:rPr>
                <w:rFonts w:hint="default" w:eastAsia="宋体"/>
                <w:sz w:val="21"/>
                <w:szCs w:val="21"/>
                <w:highlight w:val="none"/>
                <w:lang w:val="en-US" w:eastAsia="zh-CN"/>
              </w:rPr>
            </w:pPr>
            <w:r>
              <w:rPr>
                <w:rFonts w:hint="eastAsia"/>
                <w:sz w:val="21"/>
                <w:szCs w:val="21"/>
                <w:highlight w:val="none"/>
                <w:lang w:val="en-US" w:eastAsia="zh-CN"/>
              </w:rPr>
              <w:t>W</w:t>
            </w:r>
          </w:p>
        </w:tc>
        <w:tc>
          <w:tcPr>
            <w:tcW w:w="574" w:type="pct"/>
            <w:tcBorders>
              <w:tl2br w:val="nil"/>
              <w:tr2bl w:val="nil"/>
            </w:tcBorders>
            <w:vAlign w:val="center"/>
          </w:tcPr>
          <w:p w14:paraId="48002CC3">
            <w:pPr>
              <w:jc w:val="both"/>
              <w:rPr>
                <w:sz w:val="21"/>
                <w:szCs w:val="21"/>
                <w:highlight w:val="none"/>
              </w:rPr>
            </w:pPr>
            <w:r>
              <w:rPr>
                <w:rFonts w:hint="eastAsia"/>
                <w:sz w:val="21"/>
                <w:szCs w:val="21"/>
                <w:highlight w:val="none"/>
                <w:lang w:val="en-US" w:eastAsia="zh-CN"/>
              </w:rPr>
              <w:t>10</w:t>
            </w:r>
            <w:r>
              <w:rPr>
                <w:rFonts w:hint="eastAsia"/>
                <w:sz w:val="21"/>
                <w:szCs w:val="21"/>
                <w:highlight w:val="none"/>
              </w:rPr>
              <w:t>m</w:t>
            </w:r>
          </w:p>
        </w:tc>
      </w:tr>
    </w:tbl>
    <w:p w14:paraId="03420705">
      <w:pPr>
        <w:autoSpaceDE w:val="0"/>
        <w:autoSpaceDN w:val="0"/>
        <w:adjustRightInd w:val="0"/>
        <w:spacing w:line="360" w:lineRule="auto"/>
        <w:jc w:val="center"/>
        <w:rPr>
          <w:b/>
          <w:bCs/>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7D06C4A">
      <w:pPr>
        <w:pStyle w:val="11"/>
        <w:rPr>
          <w:highlight w:val="none"/>
        </w:rPr>
      </w:pPr>
    </w:p>
    <w:p w14:paraId="76C51B79">
      <w:pPr>
        <w:autoSpaceDE w:val="0"/>
        <w:autoSpaceDN w:val="0"/>
        <w:adjustRightInd w:val="0"/>
        <w:spacing w:line="360" w:lineRule="auto"/>
        <w:ind w:left="0" w:leftChars="0" w:firstLine="0" w:firstLineChars="0"/>
        <w:jc w:val="both"/>
        <w:rPr>
          <w:rFonts w:hint="eastAsia" w:eastAsia="宋体"/>
          <w:b/>
          <w:bCs/>
          <w:highlight w:val="none"/>
          <w:lang w:eastAsia="zh-CN"/>
        </w:rPr>
      </w:pPr>
      <w:r>
        <w:rPr>
          <w:highlight w:val="none"/>
        </w:rPr>
        <mc:AlternateContent>
          <mc:Choice Requires="wps">
            <w:drawing>
              <wp:anchor distT="0" distB="0" distL="114300" distR="114300" simplePos="0" relativeHeight="251675648" behindDoc="0" locked="0" layoutInCell="1" allowOverlap="1">
                <wp:simplePos x="0" y="0"/>
                <wp:positionH relativeFrom="column">
                  <wp:posOffset>4132580</wp:posOffset>
                </wp:positionH>
                <wp:positionV relativeFrom="paragraph">
                  <wp:posOffset>6003290</wp:posOffset>
                </wp:positionV>
                <wp:extent cx="211455" cy="137160"/>
                <wp:effectExtent l="6350" t="6350" r="10795" b="8890"/>
                <wp:wrapNone/>
                <wp:docPr id="20" name="矩形 20"/>
                <wp:cNvGraphicFramePr/>
                <a:graphic xmlns:a="http://schemas.openxmlformats.org/drawingml/2006/main">
                  <a:graphicData uri="http://schemas.microsoft.com/office/word/2010/wordprocessingShape">
                    <wps:wsp>
                      <wps:cNvSpPr/>
                      <wps:spPr>
                        <a:xfrm>
                          <a:off x="5610860" y="5943600"/>
                          <a:ext cx="211455" cy="137160"/>
                        </a:xfrm>
                        <a:prstGeom prst="rect">
                          <a:avLst/>
                        </a:prstGeom>
                        <a:solidFill>
                          <a:schemeClr val="bg1"/>
                        </a:solidFill>
                        <a:ln>
                          <a:solidFill>
                            <a:schemeClr val="accent1">
                              <a:lumMod val="75000"/>
                            </a:scheme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5.4pt;margin-top:472.7pt;height:10.8pt;width:16.65pt;z-index:251675648;v-text-anchor:middle;mso-width-relative:page;mso-height-relative:page;" fillcolor="#FFFFFF [3212]" filled="t" stroked="t" coordsize="21600,21600" o:gfxdata="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bD1cCtoA&#10;AAALAQAADwAAAAAAAAABACAAAAAiAAAAZHJzL2Rvd25yZXYueG1sUEsBAhQAFAAAAAgAh07iQLsn&#10;Qq6PAgAAIwUAAA4AAAAAAAAAAQAgAAAAKQEAAGRycy9lMm9Eb2MueG1sUEsFBgAAAAAGAAYAWQEA&#10;ACoGAAAAAA==&#10;">
                <v:fill on="t" focussize="0,0"/>
                <v:stroke weight="1pt" color="#2E54A1 [2404]" miterlimit="8" joinstyle="miter"/>
                <v:imagedata o:title=""/>
                <o:lock v:ext="edit" aspectratio="f"/>
              </v:rect>
            </w:pict>
          </mc:Fallback>
        </mc:AlternateContent>
      </w:r>
      <w:r>
        <w:rPr>
          <w:sz w:val="24"/>
          <w:highlight w:val="none"/>
        </w:rPr>
        <mc:AlternateContent>
          <mc:Choice Requires="wps">
            <w:drawing>
              <wp:anchor distT="0" distB="0" distL="114300" distR="114300" simplePos="0" relativeHeight="251676672" behindDoc="0" locked="0" layoutInCell="1" allowOverlap="1">
                <wp:simplePos x="0" y="0"/>
                <wp:positionH relativeFrom="column">
                  <wp:posOffset>4123055</wp:posOffset>
                </wp:positionH>
                <wp:positionV relativeFrom="paragraph">
                  <wp:posOffset>5678170</wp:posOffset>
                </wp:positionV>
                <wp:extent cx="219075" cy="153035"/>
                <wp:effectExtent l="6350" t="6350" r="22225" b="12065"/>
                <wp:wrapNone/>
                <wp:docPr id="24" name="矩形 24"/>
                <wp:cNvGraphicFramePr/>
                <a:graphic xmlns:a="http://schemas.openxmlformats.org/drawingml/2006/main">
                  <a:graphicData uri="http://schemas.microsoft.com/office/word/2010/wordprocessingShape">
                    <wps:wsp>
                      <wps:cNvSpPr/>
                      <wps:spPr>
                        <a:xfrm>
                          <a:off x="5418455" y="5982970"/>
                          <a:ext cx="219075" cy="153035"/>
                        </a:xfrm>
                        <a:prstGeom prst="rect">
                          <a:avLst/>
                        </a:prstGeom>
                        <a:noFill/>
                        <a:ln>
                          <a:solidFill>
                            <a:srgbClr val="C0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4.65pt;margin-top:447.1pt;height:12.05pt;width:17.25pt;z-index:251676672;v-text-anchor:middle;mso-width-relative:page;mso-height-relative:page;" filled="f" stroked="t" coordsize="21600,21600" o:gfxdata="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ihvqc2gAAAAsBAAAPAAAAAAAAAAEAIAAAACIAAABk&#10;cnMvZG93bnJldi54bWxQSwECFAAUAAAACACHTuJAtODXE3YCAADYBAAADgAAAAAAAAABACAAAAAp&#10;AQAAZHJzL2Uyb0RvYy54bWxQSwUGAAAAAAYABgBZAQAAEQYAAAAA&#10;">
                <v:fill on="f" focussize="0,0"/>
                <v:stroke weight="1pt" color="#C00000 [2404]" miterlimit="8" joinstyle="miter"/>
                <v:imagedata o:title=""/>
                <o:lock v:ext="edit" aspectratio="f"/>
              </v:rect>
            </w:pict>
          </mc:Fallback>
        </mc:AlternateContent>
      </w:r>
      <w:r>
        <w:rPr>
          <w:highlight w:val="none"/>
        </w:rPr>
        <mc:AlternateContent>
          <mc:Choice Requires="wps">
            <w:drawing>
              <wp:anchor distT="0" distB="0" distL="114300" distR="114300" simplePos="0" relativeHeight="251674624" behindDoc="0" locked="0" layoutInCell="1" allowOverlap="1">
                <wp:simplePos x="0" y="0"/>
                <wp:positionH relativeFrom="column">
                  <wp:posOffset>3959860</wp:posOffset>
                </wp:positionH>
                <wp:positionV relativeFrom="paragraph">
                  <wp:posOffset>5290185</wp:posOffset>
                </wp:positionV>
                <wp:extent cx="1317625" cy="1051560"/>
                <wp:effectExtent l="4445" t="4445" r="11430" b="10795"/>
                <wp:wrapNone/>
                <wp:docPr id="19" name="文本框 19"/>
                <wp:cNvGraphicFramePr/>
                <a:graphic xmlns:a="http://schemas.openxmlformats.org/drawingml/2006/main">
                  <a:graphicData uri="http://schemas.microsoft.com/office/word/2010/wordprocessingShape">
                    <wps:wsp>
                      <wps:cNvSpPr txBox="1"/>
                      <wps:spPr>
                        <a:xfrm>
                          <a:off x="5515610" y="5826760"/>
                          <a:ext cx="1317625" cy="10515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B6F1F3E">
                            <w:r>
                              <w:rPr>
                                <w:rFonts w:hint="eastAsia"/>
                              </w:rPr>
                              <w:t>图 例</w:t>
                            </w:r>
                          </w:p>
                          <w:p w14:paraId="4B83A26C">
                            <w:pPr>
                              <w:ind w:firstLine="480" w:firstLineChars="200"/>
                            </w:pPr>
                            <w:r>
                              <w:rPr>
                                <w:rFonts w:hint="eastAsia"/>
                              </w:rPr>
                              <w:t>项目位置</w:t>
                            </w:r>
                          </w:p>
                          <w:p w14:paraId="756E9FA1">
                            <w:pPr>
                              <w:ind w:firstLine="480" w:firstLineChars="200"/>
                            </w:pPr>
                            <w:r>
                              <w:rPr>
                                <w:rFonts w:hint="eastAsia"/>
                              </w:rPr>
                              <w:t>保护目标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1.8pt;margin-top:416.55pt;height:82.8pt;width:103.75pt;z-index:251674624;mso-width-relative:page;mso-height-relative:page;" fillcolor="#FFFFFF [3201]" filled="t" stroked="t" coordsize="21600,21600" o:gfxdata="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jmhwI1wAAAAsBAAAPAAAAAAAAAAEAIAAAACIAAABkcnMvZG93bnJldi54bWxQSwECFAAU&#10;AAAACACHTuJA6wX3iWQCAADGBAAADgAAAAAAAAABACAAAAAmAQAAZHJzL2Uyb0RvYy54bWxQSwUG&#10;AAAAAAYABgBZAQAA/AUAAAAA&#10;">
                <v:fill on="t" focussize="0,0"/>
                <v:stroke weight="0.5pt" color="#000000 [3204]" joinstyle="round"/>
                <v:imagedata o:title=""/>
                <o:lock v:ext="edit" aspectratio="f"/>
                <v:textbox>
                  <w:txbxContent>
                    <w:p w14:paraId="0B6F1F3E">
                      <w:r>
                        <w:rPr>
                          <w:rFonts w:hint="eastAsia"/>
                        </w:rPr>
                        <w:t>图 例</w:t>
                      </w:r>
                    </w:p>
                    <w:p w14:paraId="4B83A26C">
                      <w:pPr>
                        <w:ind w:firstLine="480" w:firstLineChars="200"/>
                      </w:pPr>
                      <w:r>
                        <w:rPr>
                          <w:rFonts w:hint="eastAsia"/>
                        </w:rPr>
                        <w:t>项目位置</w:t>
                      </w:r>
                    </w:p>
                    <w:p w14:paraId="756E9FA1">
                      <w:pPr>
                        <w:ind w:firstLine="480" w:firstLineChars="200"/>
                      </w:pPr>
                      <w:r>
                        <w:rPr>
                          <w:rFonts w:hint="eastAsia"/>
                        </w:rPr>
                        <w:t>保护目标</w:t>
                      </w:r>
                    </w:p>
                  </w:txbxContent>
                </v:textbox>
              </v:shape>
            </w:pict>
          </mc:Fallback>
        </mc:AlternateContent>
      </w:r>
      <w:r>
        <w:rPr>
          <w:highlight w:val="none"/>
        </w:rPr>
        <w:drawing>
          <wp:anchor distT="0" distB="0" distL="114300" distR="114300" simplePos="0" relativeHeight="251675648" behindDoc="0" locked="0" layoutInCell="1" allowOverlap="1">
            <wp:simplePos x="0" y="0"/>
            <wp:positionH relativeFrom="column">
              <wp:posOffset>4313555</wp:posOffset>
            </wp:positionH>
            <wp:positionV relativeFrom="paragraph">
              <wp:posOffset>7620</wp:posOffset>
            </wp:positionV>
            <wp:extent cx="952500" cy="1123950"/>
            <wp:effectExtent l="0" t="0" r="0" b="0"/>
            <wp:wrapNone/>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15"/>
                    <a:stretch>
                      <a:fillRect/>
                    </a:stretch>
                  </pic:blipFill>
                  <pic:spPr>
                    <a:xfrm>
                      <a:off x="0" y="0"/>
                      <a:ext cx="952500" cy="1123950"/>
                    </a:xfrm>
                    <a:prstGeom prst="rect">
                      <a:avLst/>
                    </a:prstGeom>
                    <a:noFill/>
                    <a:ln>
                      <a:noFill/>
                    </a:ln>
                  </pic:spPr>
                </pic:pic>
              </a:graphicData>
            </a:graphic>
          </wp:anchor>
        </w:drawing>
      </w:r>
      <w:r>
        <w:rPr>
          <w:rFonts w:hint="eastAsia" w:eastAsia="宋体"/>
          <w:b/>
          <w:bCs/>
          <w:highlight w:val="none"/>
          <w:lang w:eastAsia="zh-CN"/>
        </w:rPr>
        <w:drawing>
          <wp:inline distT="0" distB="0" distL="114300" distR="114300">
            <wp:extent cx="5261610" cy="6323965"/>
            <wp:effectExtent l="0" t="0" r="15240" b="635"/>
            <wp:docPr id="30" name="图片 30" descr="84ce9957ac850177b1746c1137d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84ce9957ac850177b1746c1137d0017"/>
                    <pic:cNvPicPr>
                      <a:picLocks noChangeAspect="1"/>
                    </pic:cNvPicPr>
                  </pic:nvPicPr>
                  <pic:blipFill>
                    <a:blip r:embed="rId16"/>
                    <a:stretch>
                      <a:fillRect/>
                    </a:stretch>
                  </pic:blipFill>
                  <pic:spPr>
                    <a:xfrm>
                      <a:off x="0" y="0"/>
                      <a:ext cx="5261610" cy="6323965"/>
                    </a:xfrm>
                    <a:prstGeom prst="rect">
                      <a:avLst/>
                    </a:prstGeom>
                  </pic:spPr>
                </pic:pic>
              </a:graphicData>
            </a:graphic>
          </wp:inline>
        </w:drawing>
      </w:r>
    </w:p>
    <w:p w14:paraId="082439FB">
      <w:pPr>
        <w:ind w:firstLine="0" w:firstLineChars="0"/>
        <w:jc w:val="center"/>
        <w:rPr>
          <w:rFonts w:hint="eastAsia" w:ascii="黑体" w:hAnsi="黑体" w:eastAsia="黑体" w:cs="黑体"/>
          <w:highlight w:val="none"/>
        </w:rPr>
      </w:pPr>
      <w:r>
        <w:rPr>
          <w:rFonts w:hint="eastAsia" w:ascii="黑体" w:hAnsi="黑体" w:eastAsia="黑体" w:cs="黑体"/>
          <w:highlight w:val="none"/>
        </w:rPr>
        <w:t>图</w:t>
      </w:r>
      <w:r>
        <w:rPr>
          <w:rFonts w:hint="default" w:ascii="Times New Roman" w:hAnsi="Times New Roman" w:eastAsia="黑体" w:cs="Times New Roman"/>
          <w:highlight w:val="none"/>
        </w:rPr>
        <w:t>2.6-1</w:t>
      </w:r>
      <w:r>
        <w:rPr>
          <w:rFonts w:hint="eastAsia" w:ascii="黑体" w:hAnsi="黑体" w:eastAsia="黑体" w:cs="黑体"/>
          <w:highlight w:val="none"/>
        </w:rPr>
        <w:t>大气评价范围图</w:t>
      </w:r>
    </w:p>
    <w:p w14:paraId="0C8D1E44">
      <w:pPr>
        <w:pStyle w:val="11"/>
        <w:rPr>
          <w:rFonts w:hint="eastAsia" w:ascii="黑体" w:hAnsi="黑体" w:eastAsia="黑体" w:cs="黑体"/>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357EED1">
      <w:pPr>
        <w:pStyle w:val="3"/>
        <w:bidi w:val="0"/>
        <w:rPr>
          <w:rFonts w:hint="eastAsia"/>
          <w:highlight w:val="none"/>
          <w:lang w:val="en-US" w:eastAsia="zh-CN"/>
        </w:rPr>
      </w:pPr>
      <w:bookmarkStart w:id="54" w:name="_Toc26061"/>
      <w:r>
        <w:rPr>
          <w:rFonts w:hint="eastAsia"/>
          <w:highlight w:val="none"/>
          <w:lang w:val="en-US" w:eastAsia="zh-CN"/>
        </w:rPr>
        <w:t>3工程概况及工程分析</w:t>
      </w:r>
      <w:bookmarkEnd w:id="54"/>
    </w:p>
    <w:p w14:paraId="641FBF8D">
      <w:pPr>
        <w:pStyle w:val="4"/>
        <w:bidi w:val="0"/>
        <w:ind w:left="0" w:leftChars="0" w:firstLine="0" w:firstLineChars="0"/>
        <w:rPr>
          <w:rFonts w:hint="eastAsia"/>
          <w:highlight w:val="none"/>
          <w:lang w:val="en-US" w:eastAsia="zh-CN"/>
        </w:rPr>
      </w:pPr>
      <w:bookmarkStart w:id="55" w:name="_Toc22131"/>
      <w:r>
        <w:rPr>
          <w:rFonts w:hint="default" w:ascii="Times New Roman" w:hAnsi="Times New Roman" w:cs="Times New Roman"/>
          <w:highlight w:val="none"/>
          <w:lang w:val="en-US" w:eastAsia="zh-CN"/>
        </w:rPr>
        <w:t>3.1</w:t>
      </w:r>
      <w:r>
        <w:rPr>
          <w:rFonts w:hint="eastAsia"/>
          <w:highlight w:val="none"/>
          <w:lang w:val="en-US" w:eastAsia="zh-CN"/>
        </w:rPr>
        <w:t>建设项目概况</w:t>
      </w:r>
      <w:bookmarkEnd w:id="55"/>
    </w:p>
    <w:p w14:paraId="754D5060">
      <w:pPr>
        <w:pStyle w:val="5"/>
        <w:bidi w:val="0"/>
        <w:ind w:left="0" w:leftChars="0" w:firstLine="0" w:firstLineChars="0"/>
        <w:rPr>
          <w:rFonts w:hint="default"/>
          <w:highlight w:val="none"/>
          <w:lang w:val="en-US" w:eastAsia="zh-CN"/>
        </w:rPr>
      </w:pPr>
      <w:bookmarkStart w:id="56" w:name="_Toc9535"/>
      <w:r>
        <w:rPr>
          <w:rFonts w:hint="eastAsia"/>
          <w:highlight w:val="none"/>
          <w:lang w:val="en-US" w:eastAsia="zh-CN"/>
        </w:rPr>
        <w:t>3.1.1现有工程梳理</w:t>
      </w:r>
      <w:bookmarkEnd w:id="56"/>
    </w:p>
    <w:p w14:paraId="0DD9E022">
      <w:pPr>
        <w:rPr>
          <w:rFonts w:hint="eastAsia"/>
          <w:highlight w:val="none"/>
          <w:lang w:val="en-US" w:eastAsia="zh-CN"/>
        </w:rPr>
      </w:pPr>
      <w:r>
        <w:rPr>
          <w:rFonts w:hint="eastAsia"/>
          <w:highlight w:val="none"/>
          <w:lang w:val="en-US" w:eastAsia="zh-CN"/>
        </w:rPr>
        <w:t>绥芬河市新区供热有限责任公司116MW锅炉建设时间为2010年7月1日（具体佐证资料详见附件12：116MW锅炉购销合同），2011年9月投入使用，一直运行至今。由于企业58MW（2004年投产）和29MW（2002投产）锅炉建设时间久远，无相关环评手续，企业于2017年8月29日将29MW热水锅炉改造为35t/h蒸汽锅炉（具体佐证资料详见附件13：35t/h锅炉建设凭证），无相关环评手续，企业于2025年6月对现有锅炉进行超低排放改造，于2025年9月30日完成改造（详见附件7：现有环评批复及验收意见）。造成企业锅炉实际建设情况与环保相关手续不符和后期更换锅炉未履行环保手续相关问题，锅炉建设时期较久，负责建设及报审的工作人员变动较大，问题未能及早发现，现积极主动委托我单位重新编制绥芬河市新区供热有限责任公司燃煤供热锅炉建设项目。</w:t>
      </w:r>
    </w:p>
    <w:p w14:paraId="341D651C">
      <w:pPr>
        <w:bidi w:val="0"/>
        <w:rPr>
          <w:rFonts w:hint="eastAsia"/>
          <w:highlight w:val="none"/>
          <w:lang w:val="en-US" w:eastAsia="zh-CN"/>
        </w:rPr>
      </w:pPr>
      <w:r>
        <w:rPr>
          <w:rFonts w:hint="eastAsia"/>
          <w:highlight w:val="none"/>
          <w:lang w:val="en-US" w:eastAsia="zh-CN"/>
        </w:rPr>
        <w:t>（1）现有工程污染防治措施及达标情况</w:t>
      </w:r>
    </w:p>
    <w:p w14:paraId="0A73380F">
      <w:pPr>
        <w:ind w:firstLine="480"/>
        <w:rPr>
          <w:rFonts w:hint="default" w:ascii="Times New Roman" w:hAnsi="Times New Roman" w:eastAsia="宋体"/>
          <w:color w:val="auto"/>
          <w:highlight w:val="none"/>
          <w:lang w:val="en-US" w:eastAsia="zh-CN"/>
        </w:rPr>
      </w:pPr>
      <w:r>
        <w:rPr>
          <w:rFonts w:hint="eastAsia"/>
          <w:highlight w:val="none"/>
          <w:lang w:val="en-US" w:eastAsia="zh-CN"/>
        </w:rPr>
        <w:t>绥芬河市新区供热有限责任公司于</w:t>
      </w:r>
      <w:r>
        <w:rPr>
          <w:rFonts w:ascii="Times New Roman" w:hAnsi="Times New Roman"/>
          <w:color w:val="auto"/>
          <w:highlight w:val="none"/>
        </w:rPr>
        <w:t>202</w:t>
      </w:r>
      <w:r>
        <w:rPr>
          <w:rFonts w:hint="eastAsia" w:ascii="Times New Roman" w:hAnsi="Times New Roman"/>
          <w:color w:val="auto"/>
          <w:highlight w:val="none"/>
          <w:lang w:val="en-US" w:eastAsia="zh-CN"/>
        </w:rPr>
        <w:t>2</w:t>
      </w:r>
      <w:r>
        <w:rPr>
          <w:rFonts w:ascii="Times New Roman" w:hAnsi="Times New Roman"/>
          <w:color w:val="auto"/>
          <w:highlight w:val="none"/>
        </w:rPr>
        <w:t>年</w:t>
      </w:r>
      <w:r>
        <w:rPr>
          <w:rFonts w:hint="eastAsia" w:ascii="Times New Roman" w:hAnsi="Times New Roman"/>
          <w:color w:val="auto"/>
          <w:highlight w:val="none"/>
          <w:lang w:val="en-US" w:eastAsia="zh-CN"/>
        </w:rPr>
        <w:t>8</w:t>
      </w:r>
      <w:r>
        <w:rPr>
          <w:rFonts w:ascii="Times New Roman" w:hAnsi="Times New Roman"/>
          <w:color w:val="auto"/>
          <w:highlight w:val="none"/>
        </w:rPr>
        <w:t>月</w:t>
      </w:r>
      <w:r>
        <w:rPr>
          <w:rFonts w:hint="eastAsia" w:ascii="Times New Roman" w:hAnsi="Times New Roman"/>
          <w:color w:val="auto"/>
          <w:highlight w:val="none"/>
          <w:lang w:val="en-US" w:eastAsia="zh-CN"/>
        </w:rPr>
        <w:t>20</w:t>
      </w:r>
      <w:r>
        <w:rPr>
          <w:rFonts w:ascii="Times New Roman" w:hAnsi="Times New Roman"/>
          <w:color w:val="auto"/>
          <w:highlight w:val="none"/>
        </w:rPr>
        <w:t>日取得生态环境主管部门核发的排污许可证（证书编号91231081828141815B001C），</w:t>
      </w:r>
      <w:r>
        <w:rPr>
          <w:rFonts w:hint="eastAsia" w:ascii="Times New Roman" w:hAnsi="Times New Roman"/>
          <w:color w:val="auto"/>
          <w:highlight w:val="none"/>
          <w:lang w:val="en-US" w:eastAsia="zh-CN"/>
        </w:rPr>
        <w:t>核发排污许可证的锅炉规模为91MW、58MW、28MW热水锅炉，企业实际锅炉规模为116MW+58MW热水锅炉和35t/h蒸汽锅炉。</w:t>
      </w:r>
      <w:r>
        <w:rPr>
          <w:rFonts w:ascii="Times New Roman" w:hAnsi="Times New Roman"/>
          <w:color w:val="auto"/>
          <w:highlight w:val="none"/>
        </w:rPr>
        <w:t>根据</w:t>
      </w:r>
      <w:r>
        <w:rPr>
          <w:rFonts w:hint="eastAsia" w:ascii="Times New Roman" w:hAnsi="Times New Roman"/>
          <w:color w:val="auto"/>
          <w:highlight w:val="none"/>
          <w:lang w:val="en-US" w:eastAsia="zh-CN"/>
        </w:rPr>
        <w:t>黑龙江克巽检测技术有限公司</w:t>
      </w:r>
      <w:r>
        <w:rPr>
          <w:rFonts w:ascii="Times New Roman" w:hAnsi="Times New Roman"/>
          <w:color w:val="auto"/>
          <w:highlight w:val="none"/>
        </w:rPr>
        <w:t>的</w:t>
      </w:r>
      <w:r>
        <w:rPr>
          <w:rFonts w:hint="eastAsia" w:ascii="Times New Roman" w:hAnsi="Times New Roman"/>
          <w:color w:val="auto"/>
          <w:highlight w:val="none"/>
          <w:lang w:val="en-US" w:eastAsia="zh-CN"/>
        </w:rPr>
        <w:t>现状</w:t>
      </w:r>
      <w:r>
        <w:rPr>
          <w:rFonts w:ascii="Times New Roman" w:hAnsi="Times New Roman"/>
          <w:color w:val="auto"/>
          <w:highlight w:val="none"/>
        </w:rPr>
        <w:t>监测数据可知</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检测时运行工况为116MW热水锅炉</w:t>
      </w:r>
      <w:r>
        <w:rPr>
          <w:rFonts w:hint="eastAsia" w:ascii="Times New Roman" w:hAnsi="Times New Roman"/>
          <w:color w:val="auto"/>
          <w:highlight w:val="none"/>
          <w:lang w:eastAsia="zh-CN"/>
        </w:rPr>
        <w:t>）</w:t>
      </w:r>
      <w:r>
        <w:rPr>
          <w:rFonts w:ascii="Times New Roman" w:hAnsi="Times New Roman"/>
          <w:color w:val="auto"/>
          <w:highlight w:val="none"/>
        </w:rPr>
        <w:t>，锅炉烟囱颗粒物</w:t>
      </w:r>
      <w:r>
        <w:rPr>
          <w:rFonts w:hint="eastAsia" w:ascii="Times New Roman" w:hAnsi="Times New Roman"/>
          <w:color w:val="auto"/>
          <w:highlight w:val="none"/>
          <w:lang w:val="en-US" w:eastAsia="zh-CN"/>
        </w:rPr>
        <w:t>基准氧含量</w:t>
      </w:r>
      <w:r>
        <w:rPr>
          <w:rFonts w:ascii="Times New Roman" w:hAnsi="Times New Roman"/>
          <w:color w:val="auto"/>
          <w:highlight w:val="none"/>
        </w:rPr>
        <w:t>排放浓度为</w:t>
      </w:r>
      <w:r>
        <w:rPr>
          <w:rFonts w:hint="eastAsia" w:ascii="Times New Roman" w:hAnsi="Times New Roman"/>
          <w:color w:val="auto"/>
          <w:highlight w:val="none"/>
          <w:lang w:val="en-US" w:eastAsia="zh-CN"/>
        </w:rPr>
        <w:t>7.8</w:t>
      </w:r>
      <w:r>
        <w:rPr>
          <w:rFonts w:ascii="Times New Roman" w:hAnsi="Times New Roman"/>
          <w:color w:val="auto"/>
          <w:highlight w:val="none"/>
        </w:rPr>
        <w:t>~</w:t>
      </w:r>
      <w:r>
        <w:rPr>
          <w:rFonts w:hint="eastAsia" w:ascii="Times New Roman" w:hAnsi="Times New Roman"/>
          <w:color w:val="auto"/>
          <w:highlight w:val="none"/>
          <w:lang w:val="en-US" w:eastAsia="zh-CN"/>
        </w:rPr>
        <w:t>9.4</w:t>
      </w:r>
      <w:r>
        <w:rPr>
          <w:rFonts w:ascii="Times New Roman" w:hAnsi="Times New Roman"/>
          <w:color w:val="auto"/>
          <w:highlight w:val="none"/>
        </w:rPr>
        <w:t>mg/m</w:t>
      </w:r>
      <w:r>
        <w:rPr>
          <w:rFonts w:ascii="Times New Roman" w:hAnsi="Times New Roman"/>
          <w:color w:val="auto"/>
          <w:highlight w:val="none"/>
          <w:vertAlign w:val="superscript"/>
        </w:rPr>
        <w:t>3</w:t>
      </w:r>
      <w:r>
        <w:rPr>
          <w:rFonts w:ascii="Times New Roman" w:hAnsi="Times New Roman"/>
          <w:color w:val="auto"/>
          <w:highlight w:val="none"/>
        </w:rPr>
        <w:t>，SO</w:t>
      </w:r>
      <w:r>
        <w:rPr>
          <w:rFonts w:ascii="Times New Roman" w:hAnsi="Times New Roman"/>
          <w:color w:val="auto"/>
          <w:highlight w:val="none"/>
          <w:vertAlign w:val="subscript"/>
        </w:rPr>
        <w:t>2</w:t>
      </w:r>
      <w:r>
        <w:rPr>
          <w:rFonts w:hint="eastAsia" w:ascii="Times New Roman" w:hAnsi="Times New Roman"/>
          <w:color w:val="auto"/>
          <w:highlight w:val="none"/>
          <w:vertAlign w:val="baseline"/>
          <w:lang w:val="en-US" w:eastAsia="zh-CN"/>
        </w:rPr>
        <w:t>基准氧含量</w:t>
      </w:r>
      <w:r>
        <w:rPr>
          <w:rFonts w:ascii="Times New Roman" w:hAnsi="Times New Roman"/>
          <w:color w:val="auto"/>
          <w:highlight w:val="none"/>
        </w:rPr>
        <w:t>排放浓度</w:t>
      </w:r>
      <w:r>
        <w:rPr>
          <w:rFonts w:hint="eastAsia" w:ascii="Times New Roman" w:hAnsi="Times New Roman"/>
          <w:color w:val="auto"/>
          <w:highlight w:val="none"/>
          <w:lang w:val="en-US" w:eastAsia="zh-CN"/>
        </w:rPr>
        <w:t>为24</w:t>
      </w:r>
      <w:r>
        <w:rPr>
          <w:rFonts w:ascii="Times New Roman" w:hAnsi="Times New Roman"/>
          <w:color w:val="auto"/>
          <w:highlight w:val="none"/>
        </w:rPr>
        <w:t>~</w:t>
      </w:r>
      <w:r>
        <w:rPr>
          <w:rFonts w:hint="eastAsia" w:ascii="Times New Roman" w:hAnsi="Times New Roman"/>
          <w:color w:val="auto"/>
          <w:highlight w:val="none"/>
          <w:lang w:val="en-US" w:eastAsia="zh-CN"/>
        </w:rPr>
        <w:t>33</w:t>
      </w:r>
      <w:r>
        <w:rPr>
          <w:rFonts w:ascii="Times New Roman" w:hAnsi="Times New Roman"/>
          <w:color w:val="auto"/>
          <w:highlight w:val="none"/>
        </w:rPr>
        <w:t>mg/m</w:t>
      </w:r>
      <w:r>
        <w:rPr>
          <w:rFonts w:ascii="Times New Roman" w:hAnsi="Times New Roman"/>
          <w:color w:val="auto"/>
          <w:highlight w:val="none"/>
          <w:vertAlign w:val="superscript"/>
        </w:rPr>
        <w:t>3</w:t>
      </w:r>
      <w:r>
        <w:rPr>
          <w:rFonts w:ascii="Times New Roman" w:hAnsi="Times New Roman"/>
          <w:color w:val="auto"/>
          <w:highlight w:val="none"/>
        </w:rPr>
        <w:t>，NOx</w:t>
      </w:r>
      <w:r>
        <w:rPr>
          <w:rFonts w:hint="eastAsia" w:ascii="Times New Roman" w:hAnsi="Times New Roman"/>
          <w:color w:val="auto"/>
          <w:highlight w:val="none"/>
          <w:lang w:val="en-US" w:eastAsia="zh-CN"/>
        </w:rPr>
        <w:t>基准氧含量</w:t>
      </w:r>
      <w:r>
        <w:rPr>
          <w:rFonts w:ascii="Times New Roman" w:hAnsi="Times New Roman"/>
          <w:color w:val="auto"/>
          <w:highlight w:val="none"/>
        </w:rPr>
        <w:t>排放浓度</w:t>
      </w:r>
      <w:r>
        <w:rPr>
          <w:rFonts w:hint="eastAsia" w:ascii="Times New Roman" w:hAnsi="Times New Roman"/>
          <w:color w:val="auto"/>
          <w:highlight w:val="none"/>
          <w:lang w:val="en-US" w:eastAsia="zh-CN"/>
        </w:rPr>
        <w:t>35</w:t>
      </w:r>
      <w:r>
        <w:rPr>
          <w:rFonts w:ascii="Times New Roman" w:hAnsi="Times New Roman"/>
          <w:color w:val="auto"/>
          <w:highlight w:val="none"/>
        </w:rPr>
        <w:t>~</w:t>
      </w:r>
      <w:r>
        <w:rPr>
          <w:rFonts w:hint="eastAsia" w:ascii="Times New Roman" w:hAnsi="Times New Roman"/>
          <w:color w:val="auto"/>
          <w:highlight w:val="none"/>
          <w:lang w:val="en-US" w:eastAsia="zh-CN"/>
        </w:rPr>
        <w:t>48</w:t>
      </w:r>
      <w:r>
        <w:rPr>
          <w:rFonts w:ascii="Times New Roman" w:hAnsi="Times New Roman"/>
          <w:color w:val="auto"/>
          <w:highlight w:val="none"/>
        </w:rPr>
        <w:t>mg/m</w:t>
      </w:r>
      <w:r>
        <w:rPr>
          <w:rFonts w:ascii="Times New Roman" w:hAnsi="Times New Roman"/>
          <w:color w:val="auto"/>
          <w:highlight w:val="none"/>
          <w:vertAlign w:val="superscript"/>
        </w:rPr>
        <w:t>3</w:t>
      </w:r>
      <w:r>
        <w:rPr>
          <w:rFonts w:ascii="Times New Roman" w:hAnsi="Times New Roman"/>
          <w:color w:val="auto"/>
          <w:highlight w:val="none"/>
        </w:rPr>
        <w:t>，</w:t>
      </w:r>
      <w:r>
        <w:rPr>
          <w:rFonts w:hint="eastAsia" w:ascii="Times New Roman" w:hAnsi="Times New Roman"/>
          <w:color w:val="auto"/>
          <w:highlight w:val="none"/>
          <w:lang w:val="en-US" w:eastAsia="zh-CN"/>
        </w:rPr>
        <w:t>汞及其化合物基准含氧量排放浓度为未检出，烟气黑度＜1级。有组织</w:t>
      </w:r>
      <w:r>
        <w:rPr>
          <w:rFonts w:ascii="Times New Roman" w:hAnsi="Times New Roman"/>
          <w:color w:val="auto"/>
          <w:highlight w:val="none"/>
        </w:rPr>
        <w:t>监测结果均符合</w:t>
      </w:r>
      <w:r>
        <w:rPr>
          <w:rFonts w:ascii="Times New Roman" w:hAnsi="Times New Roman"/>
          <w:highlight w:val="none"/>
        </w:rPr>
        <w:t>有组织烟气中污染物排放浓度满足超低排放限值要求，即在基准含氧量</w:t>
      </w:r>
      <w:r>
        <w:rPr>
          <w:rFonts w:hint="eastAsia" w:ascii="Times New Roman" w:hAnsi="Times New Roman"/>
          <w:highlight w:val="none"/>
          <w:lang w:val="en-US" w:eastAsia="zh-CN"/>
        </w:rPr>
        <w:t>6</w:t>
      </w:r>
      <w:r>
        <w:rPr>
          <w:rFonts w:ascii="Times New Roman" w:hAnsi="Times New Roman"/>
          <w:highlight w:val="none"/>
        </w:rPr>
        <w:t>%条件下，烟尘、二氧化硫、氮氧化物排放浓度分别不高于10mg/m</w:t>
      </w:r>
      <w:r>
        <w:rPr>
          <w:rFonts w:ascii="Times New Roman" w:hAnsi="Times New Roman"/>
          <w:highlight w:val="none"/>
          <w:vertAlign w:val="superscript"/>
        </w:rPr>
        <w:t>3</w:t>
      </w:r>
      <w:r>
        <w:rPr>
          <w:rFonts w:ascii="Times New Roman" w:hAnsi="Times New Roman"/>
          <w:highlight w:val="none"/>
        </w:rPr>
        <w:t>，35mg/m</w:t>
      </w:r>
      <w:r>
        <w:rPr>
          <w:rFonts w:ascii="Times New Roman" w:hAnsi="Times New Roman"/>
          <w:highlight w:val="none"/>
          <w:vertAlign w:val="superscript"/>
        </w:rPr>
        <w:t>3</w:t>
      </w:r>
      <w:r>
        <w:rPr>
          <w:rFonts w:ascii="Times New Roman" w:hAnsi="Times New Roman"/>
          <w:highlight w:val="none"/>
        </w:rPr>
        <w:t>，50mg/m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color w:val="auto"/>
          <w:highlight w:val="none"/>
        </w:rPr>
        <w:t>汞及其化合物、烟气黑度（林格曼黑度）排放执行《火电厂大气污染物排放标准》(GB13223-2011)表1中燃煤锅炉大气污染物排放标准限值：0.03mg/m</w:t>
      </w:r>
      <w:r>
        <w:rPr>
          <w:rFonts w:hint="eastAsia" w:ascii="Times New Roman" w:hAnsi="Times New Roman"/>
          <w:color w:val="auto"/>
          <w:highlight w:val="none"/>
          <w:vertAlign w:val="superscript"/>
        </w:rPr>
        <w:t>3</w:t>
      </w:r>
      <w:r>
        <w:rPr>
          <w:rFonts w:hint="eastAsia" w:ascii="Times New Roman" w:hAnsi="Times New Roman"/>
          <w:color w:val="auto"/>
          <w:highlight w:val="none"/>
        </w:rPr>
        <w:t>、1级。</w:t>
      </w:r>
    </w:p>
    <w:p w14:paraId="42AB4DF1">
      <w:pPr>
        <w:ind w:firstLine="480"/>
        <w:rPr>
          <w:rFonts w:hint="default" w:ascii="Times New Roman" w:hAnsi="Times New Roman" w:eastAsia="宋体"/>
          <w:color w:val="auto"/>
          <w:highlight w:val="none"/>
          <w:lang w:val="en-US" w:eastAsia="zh-CN"/>
        </w:rPr>
      </w:pPr>
      <w:r>
        <w:rPr>
          <w:rFonts w:ascii="Times New Roman" w:hAnsi="Times New Roman"/>
          <w:color w:val="auto"/>
          <w:highlight w:val="none"/>
        </w:rPr>
        <w:t>根据</w:t>
      </w:r>
      <w:r>
        <w:rPr>
          <w:rFonts w:hint="eastAsia" w:ascii="Times New Roman" w:hAnsi="Times New Roman"/>
          <w:color w:val="auto"/>
          <w:highlight w:val="none"/>
          <w:lang w:val="en-US" w:eastAsia="zh-CN"/>
        </w:rPr>
        <w:t>现状</w:t>
      </w:r>
      <w:r>
        <w:rPr>
          <w:rFonts w:ascii="Times New Roman" w:hAnsi="Times New Roman"/>
          <w:color w:val="auto"/>
          <w:highlight w:val="none"/>
        </w:rPr>
        <w:t>监测数据可知，厂界无组织排放颗粒物</w:t>
      </w:r>
      <w:r>
        <w:rPr>
          <w:rFonts w:hint="eastAsia" w:ascii="Times New Roman" w:hAnsi="Times New Roman"/>
          <w:color w:val="auto"/>
          <w:highlight w:val="none"/>
          <w:lang w:val="en-US" w:eastAsia="zh-CN"/>
        </w:rPr>
        <w:t>和氨</w:t>
      </w:r>
      <w:r>
        <w:rPr>
          <w:rFonts w:ascii="Times New Roman" w:hAnsi="Times New Roman"/>
          <w:color w:val="auto"/>
          <w:highlight w:val="none"/>
        </w:rPr>
        <w:t>监控点最高浓度分别为</w:t>
      </w:r>
      <w:r>
        <w:rPr>
          <w:rFonts w:hint="eastAsia" w:ascii="Times New Roman" w:hAnsi="Times New Roman"/>
          <w:color w:val="auto"/>
          <w:highlight w:val="none"/>
          <w:lang w:val="en-US" w:eastAsia="zh-CN"/>
        </w:rPr>
        <w:t>0.234</w:t>
      </w:r>
      <w:r>
        <w:rPr>
          <w:rFonts w:ascii="Times New Roman" w:hAnsi="Times New Roman"/>
          <w:color w:val="auto"/>
          <w:highlight w:val="none"/>
        </w:rPr>
        <w:t>mg/m</w:t>
      </w:r>
      <w:r>
        <w:rPr>
          <w:rFonts w:ascii="Times New Roman" w:hAnsi="Times New Roman"/>
          <w:color w:val="auto"/>
          <w:highlight w:val="none"/>
          <w:vertAlign w:val="superscript"/>
        </w:rPr>
        <w:t>3</w:t>
      </w:r>
      <w:r>
        <w:rPr>
          <w:rFonts w:hint="eastAsia" w:ascii="Times New Roman" w:hAnsi="Times New Roman"/>
          <w:color w:val="auto"/>
          <w:highlight w:val="none"/>
          <w:vertAlign w:val="baseline"/>
          <w:lang w:val="en-US" w:eastAsia="zh-CN"/>
        </w:rPr>
        <w:t>和</w:t>
      </w:r>
      <w:r>
        <w:rPr>
          <w:rFonts w:hint="eastAsia" w:ascii="Times New Roman" w:hAnsi="Times New Roman"/>
          <w:color w:val="auto"/>
          <w:highlight w:val="none"/>
          <w:lang w:val="en-US" w:eastAsia="zh-CN"/>
        </w:rPr>
        <w:t>0.06</w:t>
      </w:r>
      <w:r>
        <w:rPr>
          <w:rFonts w:ascii="Times New Roman" w:hAnsi="Times New Roman"/>
          <w:color w:val="auto"/>
          <w:highlight w:val="none"/>
        </w:rPr>
        <w:t>mg/m</w:t>
      </w:r>
      <w:r>
        <w:rPr>
          <w:rFonts w:ascii="Times New Roman" w:hAnsi="Times New Roman"/>
          <w:color w:val="auto"/>
          <w:highlight w:val="none"/>
          <w:vertAlign w:val="superscript"/>
        </w:rPr>
        <w:t>3</w:t>
      </w:r>
      <w:r>
        <w:rPr>
          <w:rFonts w:hint="eastAsia" w:ascii="Times New Roman" w:hAnsi="Times New Roman"/>
          <w:color w:val="auto"/>
          <w:highlight w:val="none"/>
          <w:vertAlign w:val="baseline"/>
          <w:lang w:eastAsia="zh-CN"/>
        </w:rPr>
        <w:t>，</w:t>
      </w:r>
      <w:r>
        <w:rPr>
          <w:rFonts w:hint="eastAsia" w:ascii="Times New Roman" w:hAnsi="Times New Roman"/>
          <w:color w:val="auto"/>
          <w:highlight w:val="none"/>
          <w:vertAlign w:val="baseline"/>
          <w:lang w:val="en-US" w:eastAsia="zh-CN"/>
        </w:rPr>
        <w:t>厂界</w:t>
      </w:r>
      <w:r>
        <w:rPr>
          <w:rFonts w:hint="eastAsia" w:ascii="Times New Roman" w:hAnsi="Times New Roman"/>
          <w:color w:val="auto"/>
          <w:highlight w:val="none"/>
          <w:lang w:val="en-US" w:eastAsia="zh-CN"/>
        </w:rPr>
        <w:t>颗粒物浓度</w:t>
      </w:r>
      <w:r>
        <w:rPr>
          <w:rFonts w:ascii="Times New Roman" w:hAnsi="Times New Roman"/>
          <w:color w:val="auto"/>
          <w:highlight w:val="none"/>
        </w:rPr>
        <w:t>满足《大气污染物综合排放标准》（GB16297-1996）表2中的标准限值要求</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厂界氨浓度</w:t>
      </w:r>
      <w:r>
        <w:rPr>
          <w:rFonts w:ascii="Times New Roman" w:hAnsi="Times New Roman"/>
          <w:color w:val="auto"/>
          <w:highlight w:val="none"/>
        </w:rPr>
        <w:t>满足《恶臭污染物排放标准》（GB14554-93）中表1二级标准值要求。</w:t>
      </w:r>
    </w:p>
    <w:p w14:paraId="43E5430B">
      <w:pPr>
        <w:wordWrap w:val="0"/>
        <w:ind w:firstLine="480"/>
        <w:rPr>
          <w:rFonts w:hint="eastAsia" w:ascii="Times New Roman" w:hAnsi="Times New Roman" w:eastAsia="宋体"/>
          <w:color w:val="auto"/>
          <w:highlight w:val="none"/>
          <w:lang w:eastAsia="zh-CN"/>
        </w:rPr>
      </w:pPr>
      <w:r>
        <w:rPr>
          <w:rFonts w:ascii="Times New Roman" w:hAnsi="Times New Roman"/>
          <w:highlight w:val="none"/>
        </w:rPr>
        <w:t>现有工程生产废水均回用于生产，</w:t>
      </w:r>
      <w:r>
        <w:rPr>
          <w:rFonts w:hint="eastAsia" w:ascii="Times New Roman" w:hAnsi="Times New Roman"/>
          <w:highlight w:val="none"/>
          <w:lang w:val="en-US" w:eastAsia="zh-CN"/>
        </w:rPr>
        <w:t>根据企业往年定期监测数据可知</w:t>
      </w:r>
      <w:r>
        <w:rPr>
          <w:rFonts w:ascii="Times New Roman" w:hAnsi="Times New Roman"/>
          <w:highlight w:val="none"/>
        </w:rPr>
        <w:t>脱硫废水车间排放口</w:t>
      </w:r>
      <w:r>
        <w:rPr>
          <w:rFonts w:hint="eastAsia" w:ascii="Times New Roman" w:hAnsi="Times New Roman"/>
          <w:highlight w:val="none"/>
        </w:rPr>
        <w:t>p</w:t>
      </w:r>
      <w:r>
        <w:rPr>
          <w:rFonts w:ascii="Times New Roman" w:hAnsi="Times New Roman"/>
          <w:highlight w:val="none"/>
        </w:rPr>
        <w:t>H最大值为</w:t>
      </w:r>
      <w:r>
        <w:rPr>
          <w:rFonts w:hint="eastAsia" w:ascii="Times New Roman" w:hAnsi="Times New Roman"/>
          <w:highlight w:val="none"/>
          <w:lang w:val="en-US" w:eastAsia="zh-CN"/>
        </w:rPr>
        <w:t>7.7</w:t>
      </w:r>
      <w:r>
        <w:rPr>
          <w:rFonts w:ascii="Times New Roman" w:hAnsi="Times New Roman"/>
          <w:highlight w:val="none"/>
        </w:rPr>
        <w:t>（无量纲），总汞最大值</w:t>
      </w:r>
      <w:r>
        <w:rPr>
          <w:rFonts w:ascii="Times New Roman" w:hAnsi="Times New Roman" w:eastAsia="宋体" w:cs="Times New Roman"/>
          <w:highlight w:val="none"/>
        </w:rPr>
        <w:t>0.00004ND</w:t>
      </w:r>
      <w:r>
        <w:rPr>
          <w:rFonts w:ascii="Times New Roman" w:hAnsi="Times New Roman"/>
          <w:highlight w:val="none"/>
        </w:rPr>
        <w:t>mg/L，总砷最大值为0.0003ND mg/L，总镉最大值为0.0</w:t>
      </w:r>
      <w:r>
        <w:rPr>
          <w:rFonts w:hint="eastAsia" w:ascii="Times New Roman" w:hAnsi="Times New Roman"/>
          <w:highlight w:val="none"/>
          <w:lang w:val="en-US" w:eastAsia="zh-CN"/>
        </w:rPr>
        <w:t>24</w:t>
      </w:r>
      <w:r>
        <w:rPr>
          <w:rFonts w:ascii="Times New Roman" w:hAnsi="Times New Roman"/>
          <w:highlight w:val="none"/>
        </w:rPr>
        <w:t>mg/L，总铅最大值为</w:t>
      </w:r>
      <w:r>
        <w:rPr>
          <w:rFonts w:hint="eastAsia" w:ascii="Times New Roman" w:hAnsi="Times New Roman"/>
          <w:highlight w:val="none"/>
          <w:lang w:val="en-US" w:eastAsia="zh-CN"/>
        </w:rPr>
        <w:t>0.245</w:t>
      </w:r>
      <w:r>
        <w:rPr>
          <w:rFonts w:ascii="Times New Roman" w:hAnsi="Times New Roman"/>
          <w:highlight w:val="none"/>
        </w:rPr>
        <w:t>mg/L，脱硫废水车间排放口污染物均满足</w:t>
      </w:r>
      <w:r>
        <w:rPr>
          <w:rFonts w:hint="eastAsia" w:ascii="Times New Roman" w:hAnsi="Times New Roman"/>
          <w:highlight w:val="none"/>
        </w:rPr>
        <w:t>《污水综合排放排放标准》中表1标准</w:t>
      </w:r>
      <w:r>
        <w:rPr>
          <w:rFonts w:hint="eastAsia" w:ascii="Times New Roman" w:hAnsi="Times New Roman"/>
          <w:highlight w:val="none"/>
          <w:lang w:eastAsia="zh-CN"/>
        </w:rPr>
        <w:t>。</w:t>
      </w:r>
    </w:p>
    <w:p w14:paraId="6C30552D">
      <w:pPr>
        <w:wordWrap w:val="0"/>
        <w:ind w:firstLine="480"/>
        <w:rPr>
          <w:rFonts w:ascii="Times New Roman" w:hAnsi="Times New Roman"/>
          <w:color w:val="auto"/>
          <w:highlight w:val="none"/>
        </w:rPr>
      </w:pPr>
      <w:r>
        <w:rPr>
          <w:rFonts w:ascii="Times New Roman" w:hAnsi="Times New Roman"/>
          <w:color w:val="auto"/>
          <w:highlight w:val="none"/>
        </w:rPr>
        <w:t>现有工程生产废水均回用于生产，</w:t>
      </w:r>
      <w:r>
        <w:rPr>
          <w:rFonts w:hint="eastAsia" w:ascii="Times New Roman" w:hAnsi="Times New Roman"/>
          <w:color w:val="auto"/>
          <w:highlight w:val="none"/>
        </w:rPr>
        <w:t>锅炉排污水及</w:t>
      </w:r>
      <w:r>
        <w:rPr>
          <w:rFonts w:hint="eastAsia" w:ascii="Times New Roman" w:hAnsi="Times New Roman"/>
          <w:color w:val="auto"/>
          <w:highlight w:val="none"/>
          <w:lang w:val="en-US" w:eastAsia="zh-CN"/>
        </w:rPr>
        <w:t>软化水</w:t>
      </w:r>
      <w:r>
        <w:rPr>
          <w:rFonts w:hint="eastAsia" w:ascii="Times New Roman" w:hAnsi="Times New Roman"/>
          <w:color w:val="auto"/>
          <w:highlight w:val="none"/>
        </w:rPr>
        <w:t>排入厂区污水池处理，内设沉淀池，过滤器，处理后用于输煤冲洗用水；生活污水排入化粪池处理后排入市政管网（食堂废水经隔油池处理后与生活污水一同排入化粪池），</w:t>
      </w:r>
      <w:r>
        <w:rPr>
          <w:rFonts w:hint="eastAsia" w:ascii="Times New Roman" w:hAnsi="Times New Roman"/>
          <w:color w:val="auto"/>
          <w:highlight w:val="none"/>
          <w:lang w:eastAsia="zh-CN"/>
        </w:rPr>
        <w:t>经污水管网排入</w:t>
      </w:r>
      <w:r>
        <w:rPr>
          <w:rFonts w:hint="eastAsia" w:ascii="Times New Roman" w:hAnsi="Times New Roman"/>
          <w:szCs w:val="24"/>
          <w:highlight w:val="none"/>
          <w:lang w:val="en-US" w:eastAsia="zh-CN"/>
        </w:rPr>
        <w:t>绥芬河中环污水处理有限公司</w:t>
      </w:r>
      <w:r>
        <w:rPr>
          <w:rFonts w:ascii="Times New Roman" w:hAnsi="Times New Roman"/>
          <w:color w:val="auto"/>
          <w:highlight w:val="none"/>
        </w:rPr>
        <w:t>。</w:t>
      </w:r>
    </w:p>
    <w:p w14:paraId="65304B52">
      <w:pPr>
        <w:pStyle w:val="11"/>
        <w:rPr>
          <w:rFonts w:hint="eastAsia" w:ascii="Times New Roman" w:hAnsi="Times New Roman" w:eastAsia="宋体" w:cs="Times New Roman"/>
          <w:color w:val="auto"/>
          <w:kern w:val="2"/>
          <w:sz w:val="24"/>
          <w:szCs w:val="22"/>
          <w:highlight w:val="none"/>
          <w:lang w:val="en-US" w:eastAsia="zh-CN" w:bidi="ar-SA"/>
        </w:rPr>
      </w:pPr>
      <w:r>
        <w:rPr>
          <w:rFonts w:hint="eastAsia" w:ascii="Times New Roman" w:hAnsi="Times New Roman" w:eastAsia="宋体" w:cs="Times New Roman"/>
          <w:color w:val="auto"/>
          <w:kern w:val="2"/>
          <w:sz w:val="24"/>
          <w:szCs w:val="22"/>
          <w:highlight w:val="none"/>
          <w:lang w:val="en-US" w:eastAsia="zh-CN" w:bidi="ar-SA"/>
        </w:rPr>
        <w:t>灰、渣</w:t>
      </w:r>
      <w:r>
        <w:rPr>
          <w:rFonts w:hint="eastAsia" w:cs="Times New Roman"/>
          <w:color w:val="auto"/>
          <w:kern w:val="2"/>
          <w:sz w:val="24"/>
          <w:szCs w:val="22"/>
          <w:highlight w:val="none"/>
          <w:lang w:val="en-US" w:eastAsia="zh-CN" w:bidi="ar-SA"/>
        </w:rPr>
        <w:t>（含脱硫石膏）回用于采矿区回填。运行期间产生的废布袋、废离子交换树脂和反渗透膜交由生产厂家再生利用；废催化剂、废机油交有资质单位处置。</w:t>
      </w:r>
    </w:p>
    <w:p w14:paraId="08897B69">
      <w:pPr>
        <w:ind w:firstLine="480"/>
        <w:rPr>
          <w:rFonts w:ascii="Times New Roman" w:hAnsi="Times New Roman"/>
          <w:highlight w:val="none"/>
        </w:rPr>
      </w:pPr>
      <w:r>
        <w:rPr>
          <w:rFonts w:ascii="Times New Roman" w:hAnsi="Times New Roman"/>
          <w:highlight w:val="none"/>
        </w:rPr>
        <w:t>（3）现有工程风险源项及防范措施</w:t>
      </w:r>
    </w:p>
    <w:p w14:paraId="021E377A">
      <w:pPr>
        <w:ind w:firstLine="480"/>
        <w:rPr>
          <w:rFonts w:ascii="Times New Roman" w:hAnsi="Times New Roman"/>
          <w:highlight w:val="none"/>
        </w:rPr>
      </w:pPr>
      <w:r>
        <w:rPr>
          <w:rFonts w:ascii="Times New Roman" w:hAnsi="Times New Roman"/>
          <w:highlight w:val="none"/>
        </w:rPr>
        <w:t>建设单位已编制《</w:t>
      </w:r>
      <w:r>
        <w:rPr>
          <w:rFonts w:hint="eastAsia" w:ascii="Times New Roman" w:hAnsi="Times New Roman"/>
          <w:highlight w:val="none"/>
        </w:rPr>
        <w:t>绥芬河市新区供热有限责任公司</w:t>
      </w:r>
      <w:r>
        <w:rPr>
          <w:rFonts w:ascii="Times New Roman" w:hAnsi="Times New Roman"/>
          <w:highlight w:val="none"/>
        </w:rPr>
        <w:t>突发环境事件应急预案》（230110-2021-006-L），已于202</w:t>
      </w:r>
      <w:r>
        <w:rPr>
          <w:rFonts w:hint="eastAsia" w:ascii="Times New Roman" w:hAnsi="Times New Roman"/>
          <w:highlight w:val="none"/>
          <w:lang w:val="en-US" w:eastAsia="zh-CN"/>
        </w:rPr>
        <w:t>4</w:t>
      </w:r>
      <w:r>
        <w:rPr>
          <w:rFonts w:ascii="Times New Roman" w:hAnsi="Times New Roman"/>
          <w:highlight w:val="none"/>
        </w:rPr>
        <w:t>年3月</w:t>
      </w:r>
      <w:r>
        <w:rPr>
          <w:rFonts w:hint="eastAsia" w:ascii="Times New Roman" w:hAnsi="Times New Roman"/>
          <w:highlight w:val="none"/>
          <w:lang w:val="en-US" w:eastAsia="zh-CN"/>
        </w:rPr>
        <w:t>1</w:t>
      </w:r>
      <w:r>
        <w:rPr>
          <w:rFonts w:ascii="Times New Roman" w:hAnsi="Times New Roman"/>
          <w:highlight w:val="none"/>
        </w:rPr>
        <w:t>8号在</w:t>
      </w:r>
      <w:r>
        <w:rPr>
          <w:rFonts w:hint="eastAsia" w:ascii="Times New Roman" w:hAnsi="Times New Roman"/>
          <w:highlight w:val="none"/>
          <w:lang w:val="en-US" w:eastAsia="zh-CN"/>
        </w:rPr>
        <w:t>绥芬河市</w:t>
      </w:r>
      <w:r>
        <w:rPr>
          <w:rFonts w:ascii="Times New Roman" w:hAnsi="Times New Roman"/>
          <w:highlight w:val="none"/>
        </w:rPr>
        <w:t>生态环境局备案。</w:t>
      </w:r>
    </w:p>
    <w:p w14:paraId="114E7683">
      <w:pPr>
        <w:ind w:firstLine="480"/>
        <w:rPr>
          <w:rFonts w:ascii="Times New Roman" w:hAnsi="Times New Roman"/>
          <w:highlight w:val="none"/>
        </w:rPr>
      </w:pPr>
      <w:r>
        <w:rPr>
          <w:rFonts w:ascii="Times New Roman" w:hAnsi="Times New Roman"/>
          <w:highlight w:val="none"/>
        </w:rPr>
        <w:t>（4）现有工程排污许可执行情况</w:t>
      </w:r>
    </w:p>
    <w:p w14:paraId="56689FA2">
      <w:pPr>
        <w:ind w:firstLine="480"/>
        <w:rPr>
          <w:rFonts w:hint="eastAsia" w:ascii="Times New Roman" w:hAnsi="Times New Roman"/>
          <w:color w:val="auto"/>
          <w:highlight w:val="none"/>
        </w:rPr>
      </w:pPr>
      <w:r>
        <w:rPr>
          <w:rFonts w:ascii="Times New Roman" w:hAnsi="Times New Roman"/>
          <w:highlight w:val="none"/>
        </w:rPr>
        <w:t>建设单位按照《排污许可证申请与核发技术规范》（HJ942-2018），已经办理排污许可证（证书编号</w:t>
      </w:r>
      <w:r>
        <w:rPr>
          <w:rFonts w:ascii="Times New Roman" w:hAnsi="Times New Roman"/>
          <w:color w:val="auto"/>
          <w:highlight w:val="none"/>
        </w:rPr>
        <w:t>91231081828141815B001C</w:t>
      </w:r>
      <w:r>
        <w:rPr>
          <w:rFonts w:ascii="Times New Roman" w:hAnsi="Times New Roman"/>
          <w:highlight w:val="none"/>
        </w:rPr>
        <w:t>），行业类别为热力生产和供应，有效期限为2022年</w:t>
      </w:r>
      <w:r>
        <w:rPr>
          <w:rFonts w:hint="eastAsia" w:ascii="Times New Roman" w:hAnsi="Times New Roman"/>
          <w:highlight w:val="none"/>
          <w:lang w:val="en-US" w:eastAsia="zh-CN"/>
        </w:rPr>
        <w:t>8</w:t>
      </w:r>
      <w:r>
        <w:rPr>
          <w:rFonts w:ascii="Times New Roman" w:hAnsi="Times New Roman"/>
          <w:highlight w:val="none"/>
        </w:rPr>
        <w:t>月</w:t>
      </w:r>
      <w:r>
        <w:rPr>
          <w:rFonts w:hint="eastAsia" w:ascii="Times New Roman" w:hAnsi="Times New Roman"/>
          <w:highlight w:val="none"/>
          <w:lang w:val="en-US" w:eastAsia="zh-CN"/>
        </w:rPr>
        <w:t>20</w:t>
      </w:r>
      <w:r>
        <w:rPr>
          <w:rFonts w:ascii="Times New Roman" w:hAnsi="Times New Roman"/>
          <w:highlight w:val="none"/>
        </w:rPr>
        <w:t>日至2027年</w:t>
      </w:r>
      <w:r>
        <w:rPr>
          <w:rFonts w:hint="eastAsia" w:ascii="Times New Roman" w:hAnsi="Times New Roman"/>
          <w:highlight w:val="none"/>
          <w:lang w:val="en-US" w:eastAsia="zh-CN"/>
        </w:rPr>
        <w:t>8</w:t>
      </w:r>
      <w:r>
        <w:rPr>
          <w:rFonts w:ascii="Times New Roman" w:hAnsi="Times New Roman"/>
          <w:highlight w:val="none"/>
        </w:rPr>
        <w:t>月</w:t>
      </w:r>
      <w:r>
        <w:rPr>
          <w:rFonts w:hint="eastAsia" w:ascii="Times New Roman" w:hAnsi="Times New Roman"/>
          <w:highlight w:val="none"/>
          <w:lang w:val="en-US" w:eastAsia="zh-CN"/>
        </w:rPr>
        <w:t>19</w:t>
      </w:r>
      <w:r>
        <w:rPr>
          <w:rFonts w:ascii="Times New Roman" w:hAnsi="Times New Roman"/>
          <w:highlight w:val="none"/>
        </w:rPr>
        <w:t>日止。</w:t>
      </w:r>
      <w:r>
        <w:rPr>
          <w:rFonts w:hint="eastAsia" w:ascii="Times New Roman" w:hAnsi="Times New Roman"/>
          <w:highlight w:val="none"/>
        </w:rPr>
        <w:t>并</w:t>
      </w:r>
      <w:r>
        <w:rPr>
          <w:rFonts w:hint="eastAsia" w:ascii="Times New Roman" w:hAnsi="Times New Roman"/>
          <w:color w:val="auto"/>
          <w:highlight w:val="none"/>
        </w:rPr>
        <w:t>已按排污许可管理要求就行填报执行报告</w:t>
      </w:r>
      <w:r>
        <w:rPr>
          <w:rFonts w:hint="eastAsia" w:ascii="Times New Roman" w:hAnsi="Times New Roman"/>
          <w:color w:val="auto"/>
          <w:highlight w:val="none"/>
          <w:lang w:val="en-US" w:eastAsia="zh-CN"/>
        </w:rPr>
        <w:t>月报、季报以及年报</w:t>
      </w:r>
      <w:r>
        <w:rPr>
          <w:rFonts w:hint="eastAsia" w:ascii="Times New Roman" w:hAnsi="Times New Roman"/>
          <w:color w:val="auto"/>
          <w:highlight w:val="none"/>
        </w:rPr>
        <w:t>。</w:t>
      </w:r>
    </w:p>
    <w:p w14:paraId="6701EEF1">
      <w:pPr>
        <w:pStyle w:val="7"/>
        <w:rPr>
          <w:highlight w:val="none"/>
        </w:rPr>
      </w:pPr>
      <w:r>
        <w:rPr>
          <w:highlight w:val="none"/>
        </w:rPr>
        <w:drawing>
          <wp:inline distT="0" distB="0" distL="114300" distR="114300">
            <wp:extent cx="4591685" cy="4443730"/>
            <wp:effectExtent l="0" t="0" r="18415" b="13970"/>
            <wp:docPr id="7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5"/>
                    <pic:cNvPicPr>
                      <a:picLocks noChangeAspect="1"/>
                    </pic:cNvPicPr>
                  </pic:nvPicPr>
                  <pic:blipFill>
                    <a:blip r:embed="rId17"/>
                    <a:stretch>
                      <a:fillRect/>
                    </a:stretch>
                  </pic:blipFill>
                  <pic:spPr>
                    <a:xfrm>
                      <a:off x="0" y="0"/>
                      <a:ext cx="4591685" cy="4443730"/>
                    </a:xfrm>
                    <a:prstGeom prst="rect">
                      <a:avLst/>
                    </a:prstGeom>
                    <a:noFill/>
                    <a:ln>
                      <a:noFill/>
                    </a:ln>
                  </pic:spPr>
                </pic:pic>
              </a:graphicData>
            </a:graphic>
          </wp:inline>
        </w:drawing>
      </w:r>
    </w:p>
    <w:p w14:paraId="655B76C9">
      <w:pPr>
        <w:ind w:firstLine="0" w:firstLineChars="0"/>
        <w:jc w:val="center"/>
        <w:rPr>
          <w:rFonts w:hint="default" w:ascii="黑体" w:hAnsi="黑体" w:eastAsia="黑体" w:cs="黑体"/>
          <w:highlight w:val="none"/>
          <w:lang w:val="en-US" w:eastAsia="zh-CN"/>
        </w:rPr>
      </w:pPr>
      <w:r>
        <w:rPr>
          <w:rFonts w:hint="eastAsia" w:ascii="黑体" w:hAnsi="黑体" w:eastAsia="黑体" w:cs="黑体"/>
          <w:highlight w:val="none"/>
          <w:lang w:val="en-US" w:eastAsia="zh-CN"/>
        </w:rPr>
        <w:t>图</w:t>
      </w:r>
      <w:r>
        <w:rPr>
          <w:rFonts w:hint="default" w:ascii="Times New Roman" w:hAnsi="Times New Roman" w:eastAsia="黑体" w:cs="Times New Roman"/>
          <w:highlight w:val="none"/>
          <w:lang w:val="en-US" w:eastAsia="zh-CN"/>
        </w:rPr>
        <w:t>3.1-1</w:t>
      </w:r>
      <w:r>
        <w:rPr>
          <w:rFonts w:hint="eastAsia" w:ascii="黑体" w:hAnsi="黑体" w:eastAsia="黑体" w:cs="黑体"/>
          <w:highlight w:val="none"/>
          <w:lang w:val="en-US" w:eastAsia="zh-CN"/>
        </w:rPr>
        <w:t>执行报告填报情况</w:t>
      </w:r>
    </w:p>
    <w:p w14:paraId="6BA5B13A">
      <w:pPr>
        <w:ind w:firstLine="480"/>
        <w:rPr>
          <w:rFonts w:ascii="Times New Roman" w:hAnsi="Times New Roman"/>
          <w:highlight w:val="none"/>
        </w:rPr>
      </w:pPr>
      <w:r>
        <w:rPr>
          <w:rFonts w:ascii="Times New Roman" w:hAnsi="Times New Roman"/>
          <w:highlight w:val="none"/>
        </w:rPr>
        <w:t>（5）现有主要环境问题</w:t>
      </w:r>
    </w:p>
    <w:p w14:paraId="7FC4AB79">
      <w:pPr>
        <w:ind w:firstLine="480"/>
        <w:rPr>
          <w:rFonts w:hint="eastAsia" w:ascii="Times New Roman" w:hAnsi="Times New Roman"/>
          <w:highlight w:val="none"/>
        </w:rPr>
      </w:pPr>
      <w:r>
        <w:rPr>
          <w:rFonts w:ascii="Times New Roman" w:hAnsi="Times New Roman"/>
          <w:highlight w:val="none"/>
        </w:rPr>
        <w:t>现有工程已按要求办理排污许可证及按排污许可证要求进行定期监测。根据定期监测数现有工程废气、噪声、脱硫废水达标排放，生产废水均回用于生产，</w:t>
      </w:r>
      <w:r>
        <w:rPr>
          <w:rFonts w:hint="eastAsia" w:ascii="Times New Roman" w:hAnsi="Times New Roman"/>
          <w:highlight w:val="none"/>
        </w:rPr>
        <w:t>生活污水排入化粪池处理后排入市政管网（食堂废水经隔油池处理后与生活污水一同排入化粪池），经污水管网排入</w:t>
      </w:r>
      <w:r>
        <w:rPr>
          <w:rFonts w:hint="eastAsia" w:ascii="Times New Roman" w:hAnsi="Times New Roman"/>
          <w:szCs w:val="24"/>
          <w:highlight w:val="none"/>
          <w:lang w:val="en-US" w:eastAsia="zh-CN"/>
        </w:rPr>
        <w:t>绥芬河中环污水处理有限公司</w:t>
      </w:r>
      <w:r>
        <w:rPr>
          <w:rFonts w:hint="eastAsia" w:ascii="Times New Roman" w:hAnsi="Times New Roman"/>
          <w:highlight w:val="none"/>
        </w:rPr>
        <w:t>，处理达到《城镇污水处理厂污染物排放标准》(GB18918—2002)一级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标准后排入</w:t>
      </w:r>
      <w:r>
        <w:rPr>
          <w:rFonts w:hint="eastAsia" w:ascii="Times New Roman" w:hAnsi="Times New Roman"/>
          <w:highlight w:val="none"/>
          <w:lang w:val="en-US" w:eastAsia="zh-CN"/>
        </w:rPr>
        <w:t>小绥芬河</w:t>
      </w:r>
      <w:r>
        <w:rPr>
          <w:rFonts w:ascii="Times New Roman" w:hAnsi="Times New Roman"/>
          <w:highlight w:val="none"/>
        </w:rPr>
        <w:t>，</w:t>
      </w:r>
      <w:r>
        <w:rPr>
          <w:rFonts w:hint="eastAsia" w:ascii="Times New Roman" w:hAnsi="Times New Roman" w:eastAsia="宋体" w:cs="Times New Roman"/>
          <w:color w:val="auto"/>
          <w:kern w:val="2"/>
          <w:sz w:val="24"/>
          <w:szCs w:val="22"/>
          <w:highlight w:val="none"/>
          <w:lang w:val="en-US" w:eastAsia="zh-CN" w:bidi="ar-SA"/>
        </w:rPr>
        <w:t>灰、渣</w:t>
      </w:r>
      <w:r>
        <w:rPr>
          <w:rFonts w:hint="eastAsia" w:cs="Times New Roman"/>
          <w:color w:val="auto"/>
          <w:kern w:val="2"/>
          <w:sz w:val="24"/>
          <w:szCs w:val="22"/>
          <w:highlight w:val="none"/>
          <w:lang w:val="en-US" w:eastAsia="zh-CN" w:bidi="ar-SA"/>
        </w:rPr>
        <w:t>（含脱硫石膏）回用于采矿区回填</w:t>
      </w:r>
      <w:r>
        <w:rPr>
          <w:rFonts w:ascii="Times New Roman" w:hAnsi="Times New Roman"/>
          <w:highlight w:val="none"/>
        </w:rPr>
        <w:t>，危险废物交有资质单位处置</w:t>
      </w:r>
      <w:r>
        <w:rPr>
          <w:rFonts w:hint="eastAsia" w:ascii="Times New Roman" w:hAnsi="Times New Roman"/>
          <w:highlight w:val="none"/>
        </w:rPr>
        <w:t>。现有工程不存在环保上访及环保督查等遗留问题等。</w:t>
      </w:r>
    </w:p>
    <w:p w14:paraId="06C737A2">
      <w:pPr>
        <w:ind w:firstLine="480"/>
        <w:rPr>
          <w:rFonts w:hint="eastAsia" w:ascii="Times New Roman" w:hAnsi="Times New Roman"/>
          <w:highlight w:val="none"/>
        </w:rPr>
      </w:pPr>
      <w:r>
        <w:rPr>
          <w:rFonts w:hint="eastAsia" w:ascii="Times New Roman" w:hAnsi="Times New Roman"/>
          <w:highlight w:val="none"/>
        </w:rPr>
        <w:t>（6）“以新带老”</w:t>
      </w:r>
    </w:p>
    <w:p w14:paraId="0403F39F">
      <w:pPr>
        <w:bidi w:val="0"/>
        <w:rPr>
          <w:rFonts w:hint="default"/>
          <w:highlight w:val="none"/>
          <w:lang w:val="en-US" w:eastAsia="zh-CN"/>
        </w:rPr>
      </w:pPr>
      <w:r>
        <w:rPr>
          <w:rFonts w:hint="eastAsia"/>
          <w:highlight w:val="none"/>
          <w:lang w:val="en-US" w:eastAsia="zh-CN"/>
        </w:rPr>
        <w:t>本项目于2025年9月30完成超低排放改造，本项目建成后，将有效降低锅炉烟气中污染物的排放。</w:t>
      </w:r>
    </w:p>
    <w:p w14:paraId="4BC9861B">
      <w:pPr>
        <w:pStyle w:val="5"/>
        <w:bidi w:val="0"/>
        <w:ind w:left="0" w:leftChars="0" w:firstLine="0" w:firstLineChars="0"/>
        <w:rPr>
          <w:rFonts w:hint="default"/>
          <w:sz w:val="30"/>
          <w:szCs w:val="30"/>
          <w:highlight w:val="none"/>
          <w:lang w:val="en-US" w:eastAsia="zh-CN"/>
        </w:rPr>
      </w:pPr>
      <w:bookmarkStart w:id="57" w:name="_Toc15442"/>
      <w:r>
        <w:rPr>
          <w:rFonts w:hint="default" w:ascii="Times New Roman" w:hAnsi="Times New Roman" w:cs="Times New Roman"/>
          <w:sz w:val="30"/>
          <w:szCs w:val="30"/>
          <w:highlight w:val="none"/>
          <w:lang w:val="en-US" w:eastAsia="zh-CN"/>
        </w:rPr>
        <w:t>3.1.</w:t>
      </w:r>
      <w:r>
        <w:rPr>
          <w:rFonts w:hint="eastAsia" w:ascii="Times New Roman" w:hAnsi="Times New Roman" w:cs="Times New Roman"/>
          <w:sz w:val="30"/>
          <w:szCs w:val="30"/>
          <w:highlight w:val="none"/>
          <w:lang w:val="en-US" w:eastAsia="zh-CN"/>
        </w:rPr>
        <w:t>2现有</w:t>
      </w:r>
      <w:r>
        <w:rPr>
          <w:rFonts w:hint="eastAsia"/>
          <w:sz w:val="30"/>
          <w:szCs w:val="30"/>
          <w:highlight w:val="none"/>
          <w:lang w:val="en-US" w:eastAsia="zh-CN"/>
        </w:rPr>
        <w:t>工程概况</w:t>
      </w:r>
      <w:bookmarkEnd w:id="57"/>
    </w:p>
    <w:p w14:paraId="3F027DDE">
      <w:pPr>
        <w:ind w:firstLine="480"/>
        <w:rPr>
          <w:rFonts w:hint="eastAsia" w:ascii="Times New Roman" w:hAnsi="Times New Roman" w:eastAsia="宋体"/>
          <w:highlight w:val="none"/>
          <w:lang w:val="en-US" w:eastAsia="zh-CN"/>
        </w:rPr>
      </w:pPr>
      <w:r>
        <w:rPr>
          <w:rFonts w:ascii="Times New Roman" w:hAnsi="Times New Roman"/>
          <w:highlight w:val="none"/>
        </w:rPr>
        <w:t>（1）项目名称：</w:t>
      </w:r>
      <w:r>
        <w:rPr>
          <w:rFonts w:hint="eastAsia" w:ascii="Times New Roman" w:hAnsi="Times New Roman"/>
          <w:highlight w:val="none"/>
          <w:lang w:val="en-US" w:eastAsia="zh-CN"/>
        </w:rPr>
        <w:t>绥芬河市新区供热有限责任公司燃煤供热锅炉建设项目</w:t>
      </w:r>
    </w:p>
    <w:p w14:paraId="62557153">
      <w:pPr>
        <w:ind w:firstLine="480"/>
        <w:rPr>
          <w:rFonts w:ascii="Times New Roman" w:hAnsi="Times New Roman"/>
          <w:highlight w:val="none"/>
        </w:rPr>
      </w:pPr>
      <w:r>
        <w:rPr>
          <w:rFonts w:ascii="Times New Roman" w:hAnsi="Times New Roman"/>
          <w:highlight w:val="none"/>
        </w:rPr>
        <w:t>（2）项目承办单位：</w:t>
      </w:r>
      <w:r>
        <w:rPr>
          <w:rFonts w:hint="eastAsia" w:ascii="Times New Roman" w:hAnsi="Times New Roman"/>
          <w:highlight w:val="none"/>
          <w:lang w:val="en-US" w:eastAsia="zh-CN"/>
        </w:rPr>
        <w:t>绥芬河市新区供热有限责任公司</w:t>
      </w:r>
    </w:p>
    <w:p w14:paraId="29A33B69">
      <w:pPr>
        <w:ind w:firstLine="480"/>
        <w:rPr>
          <w:rFonts w:hint="eastAsia" w:ascii="Times New Roman" w:hAnsi="Times New Roman"/>
          <w:highlight w:val="none"/>
        </w:rPr>
      </w:pPr>
      <w:r>
        <w:rPr>
          <w:rFonts w:ascii="Times New Roman" w:hAnsi="Times New Roman"/>
          <w:highlight w:val="none"/>
        </w:rPr>
        <w:t>（3）建设地点：</w:t>
      </w:r>
      <w:r>
        <w:rPr>
          <w:rFonts w:hint="eastAsia" w:ascii="Times New Roman" w:hAnsi="Times New Roman"/>
          <w:highlight w:val="none"/>
          <w:lang w:val="en-US" w:eastAsia="zh-CN"/>
        </w:rPr>
        <w:t>黑龙江省牡丹江市绥芬河市长山路幸福街1号</w:t>
      </w:r>
    </w:p>
    <w:p w14:paraId="50509B17">
      <w:pPr>
        <w:ind w:firstLine="480"/>
        <w:rPr>
          <w:rFonts w:hint="eastAsia" w:ascii="Times New Roman" w:hAnsi="Times New Roman" w:eastAsia="宋体"/>
          <w:highlight w:val="none"/>
          <w:lang w:val="en-US" w:eastAsia="zh-CN"/>
        </w:rPr>
      </w:pPr>
      <w:r>
        <w:rPr>
          <w:rFonts w:ascii="Times New Roman" w:hAnsi="Times New Roman"/>
          <w:highlight w:val="none"/>
        </w:rPr>
        <w:t>（4）建设性质：</w:t>
      </w:r>
      <w:r>
        <w:rPr>
          <w:rFonts w:hint="eastAsia" w:ascii="Times New Roman" w:hAnsi="Times New Roman"/>
          <w:highlight w:val="none"/>
          <w:lang w:val="en-US" w:eastAsia="zh-CN"/>
        </w:rPr>
        <w:t>新建（重新报批）</w:t>
      </w:r>
    </w:p>
    <w:p w14:paraId="062708B5">
      <w:pPr>
        <w:ind w:firstLine="480"/>
        <w:rPr>
          <w:rFonts w:ascii="Times New Roman" w:hAnsi="Times New Roman"/>
          <w:highlight w:val="none"/>
        </w:rPr>
      </w:pPr>
      <w:r>
        <w:rPr>
          <w:rFonts w:ascii="Times New Roman" w:hAnsi="Times New Roman"/>
          <w:highlight w:val="none"/>
        </w:rPr>
        <w:t>（5）建设规模：</w:t>
      </w:r>
      <w:r>
        <w:rPr>
          <w:rFonts w:ascii="Times New Roman" w:hAnsi="Times New Roman"/>
          <w:iCs/>
          <w:highlight w:val="none"/>
        </w:rPr>
        <w:t>建设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MW热水锅炉和1台35t/h蒸汽锅炉共三台，</w:t>
      </w:r>
      <w:r>
        <w:rPr>
          <w:rFonts w:ascii="Times New Roman" w:hAnsi="Times New Roman"/>
          <w:highlight w:val="none"/>
        </w:rPr>
        <w:t>并配套建设相关措施。</w:t>
      </w:r>
    </w:p>
    <w:p w14:paraId="28446A51">
      <w:pPr>
        <w:ind w:firstLine="480"/>
        <w:rPr>
          <w:rFonts w:ascii="Times New Roman" w:hAnsi="Times New Roman"/>
          <w:highlight w:val="none"/>
        </w:rPr>
      </w:pPr>
      <w:r>
        <w:rPr>
          <w:rFonts w:ascii="Times New Roman" w:hAnsi="Times New Roman"/>
          <w:highlight w:val="none"/>
        </w:rPr>
        <w:t>（6）总投资：</w:t>
      </w:r>
      <w:r>
        <w:rPr>
          <w:rFonts w:hint="eastAsia" w:ascii="Times New Roman" w:hAnsi="Times New Roman"/>
          <w:highlight w:val="none"/>
          <w:lang w:val="en-US" w:eastAsia="zh-CN"/>
        </w:rPr>
        <w:t>3620</w:t>
      </w:r>
      <w:r>
        <w:rPr>
          <w:rFonts w:ascii="Times New Roman" w:hAnsi="Times New Roman"/>
          <w:highlight w:val="none"/>
        </w:rPr>
        <w:t>万元</w:t>
      </w:r>
    </w:p>
    <w:p w14:paraId="44C058FD">
      <w:pPr>
        <w:ind w:firstLine="480"/>
        <w:rPr>
          <w:rFonts w:ascii="Times New Roman" w:hAnsi="Times New Roman"/>
          <w:highlight w:val="none"/>
        </w:rPr>
      </w:pPr>
      <w:r>
        <w:rPr>
          <w:rFonts w:ascii="Times New Roman" w:hAnsi="Times New Roman"/>
          <w:highlight w:val="none"/>
        </w:rPr>
        <w:t>（7）劳动定员：本项目员工</w:t>
      </w:r>
      <w:r>
        <w:rPr>
          <w:rFonts w:hint="eastAsia" w:ascii="Times New Roman" w:hAnsi="Times New Roman"/>
          <w:highlight w:val="none"/>
          <w:lang w:val="en-US" w:eastAsia="zh-CN"/>
        </w:rPr>
        <w:t>175</w:t>
      </w:r>
      <w:r>
        <w:rPr>
          <w:rFonts w:ascii="Times New Roman" w:hAnsi="Times New Roman"/>
          <w:highlight w:val="none"/>
        </w:rPr>
        <w:t>人</w:t>
      </w:r>
    </w:p>
    <w:p w14:paraId="314C6E0A">
      <w:pPr>
        <w:ind w:firstLine="480"/>
        <w:rPr>
          <w:rFonts w:hint="default" w:cs="Times New Roman"/>
          <w:highlight w:val="none"/>
          <w:lang w:val="en-US" w:eastAsia="zh-CN"/>
        </w:rPr>
      </w:pPr>
      <w:r>
        <w:rPr>
          <w:rFonts w:ascii="Times New Roman" w:hAnsi="Times New Roman"/>
          <w:highlight w:val="none"/>
        </w:rPr>
        <w:t>（8）运行</w:t>
      </w:r>
      <w:r>
        <w:rPr>
          <w:rFonts w:hint="eastAsia" w:ascii="Times New Roman" w:hAnsi="Times New Roman"/>
          <w:highlight w:val="none"/>
        </w:rPr>
        <w:t>方案及</w:t>
      </w:r>
      <w:r>
        <w:rPr>
          <w:rFonts w:ascii="Times New Roman" w:hAnsi="Times New Roman"/>
          <w:highlight w:val="none"/>
        </w:rPr>
        <w:t>时数：本项目</w:t>
      </w:r>
      <w:r>
        <w:rPr>
          <w:rFonts w:hint="eastAsia" w:ascii="Times New Roman" w:hAnsi="Times New Roman"/>
          <w:highlight w:val="none"/>
        </w:rPr>
        <w:t>锅炉仅采暖期运行，非采暖期不运行，仅用于供热；年</w:t>
      </w:r>
      <w:r>
        <w:rPr>
          <w:rFonts w:ascii="Times New Roman" w:hAnsi="Times New Roman"/>
          <w:highlight w:val="none"/>
        </w:rPr>
        <w:t>运行时间为</w:t>
      </w:r>
      <w:r>
        <w:rPr>
          <w:rFonts w:hint="eastAsia" w:ascii="Times New Roman" w:hAnsi="Times New Roman"/>
          <w:highlight w:val="none"/>
          <w:lang w:val="en-US" w:eastAsia="zh-CN"/>
        </w:rPr>
        <w:t>210</w:t>
      </w:r>
      <w:r>
        <w:rPr>
          <w:rFonts w:ascii="Times New Roman" w:hAnsi="Times New Roman"/>
          <w:highlight w:val="none"/>
        </w:rPr>
        <w:t>天，按满负荷运行折算锅炉工况小时数为</w:t>
      </w:r>
      <w:r>
        <w:rPr>
          <w:rFonts w:hint="eastAsia" w:ascii="Times New Roman" w:hAnsi="Times New Roman"/>
          <w:highlight w:val="none"/>
          <w:lang w:val="en-US" w:eastAsia="zh-CN"/>
        </w:rPr>
        <w:t>5040</w:t>
      </w:r>
      <w:r>
        <w:rPr>
          <w:rFonts w:ascii="Times New Roman" w:hAnsi="Times New Roman"/>
          <w:highlight w:val="none"/>
        </w:rPr>
        <w:t>小时。</w:t>
      </w:r>
    </w:p>
    <w:p w14:paraId="723D5B98">
      <w:pPr>
        <w:pStyle w:val="5"/>
        <w:bidi w:val="0"/>
        <w:ind w:left="0" w:leftChars="0" w:firstLine="0" w:firstLineChars="0"/>
        <w:rPr>
          <w:rFonts w:hint="eastAsia"/>
          <w:sz w:val="30"/>
          <w:szCs w:val="30"/>
          <w:highlight w:val="none"/>
          <w:lang w:val="en-US" w:eastAsia="zh-CN"/>
        </w:rPr>
      </w:pPr>
      <w:bookmarkStart w:id="58" w:name="_Toc31653"/>
      <w:r>
        <w:rPr>
          <w:rFonts w:hint="default" w:ascii="Times New Roman" w:hAnsi="Times New Roman" w:cs="Times New Roman"/>
          <w:sz w:val="30"/>
          <w:szCs w:val="30"/>
          <w:highlight w:val="none"/>
          <w:lang w:val="en-US" w:eastAsia="zh-CN"/>
        </w:rPr>
        <w:t>3.1.</w:t>
      </w:r>
      <w:r>
        <w:rPr>
          <w:rFonts w:hint="eastAsia" w:ascii="Times New Roman" w:hAnsi="Times New Roman" w:cs="Times New Roman"/>
          <w:sz w:val="30"/>
          <w:szCs w:val="30"/>
          <w:highlight w:val="none"/>
          <w:lang w:val="en-US" w:eastAsia="zh-CN"/>
        </w:rPr>
        <w:t>3现有工程</w:t>
      </w:r>
      <w:r>
        <w:rPr>
          <w:rFonts w:hint="eastAsia"/>
          <w:sz w:val="30"/>
          <w:szCs w:val="30"/>
          <w:highlight w:val="none"/>
          <w:lang w:val="en-US" w:eastAsia="zh-CN"/>
        </w:rPr>
        <w:t>建设内容与规模</w:t>
      </w:r>
      <w:bookmarkEnd w:id="58"/>
    </w:p>
    <w:p w14:paraId="3DF52F01">
      <w:pPr>
        <w:rPr>
          <w:rFonts w:hint="eastAsia" w:ascii="Times New Roman" w:hAnsi="Times New Roman"/>
          <w:highlight w:val="none"/>
          <w:lang w:eastAsia="zh-CN"/>
        </w:rPr>
      </w:pPr>
      <w:r>
        <w:rPr>
          <w:rFonts w:ascii="Times New Roman" w:hAnsi="Times New Roman"/>
          <w:highlight w:val="none"/>
        </w:rPr>
        <w:t>本项目的</w:t>
      </w:r>
      <w:r>
        <w:rPr>
          <w:rFonts w:hint="eastAsia" w:ascii="Times New Roman" w:hAnsi="Times New Roman"/>
          <w:highlight w:val="none"/>
          <w:lang w:val="en-US" w:eastAsia="zh-CN"/>
        </w:rPr>
        <w:t>现有</w:t>
      </w:r>
      <w:r>
        <w:rPr>
          <w:rFonts w:ascii="Times New Roman" w:hAnsi="Times New Roman"/>
          <w:highlight w:val="none"/>
        </w:rPr>
        <w:t>建设内容是：本项目</w:t>
      </w:r>
      <w:r>
        <w:rPr>
          <w:rFonts w:hint="eastAsia" w:ascii="Times New Roman" w:hAnsi="Times New Roman"/>
          <w:highlight w:val="none"/>
          <w:lang w:val="en-US" w:eastAsia="zh-CN"/>
        </w:rPr>
        <w:t>建设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MW热水锅炉和1台35t/h蒸汽锅炉共三台</w:t>
      </w:r>
      <w:r>
        <w:rPr>
          <w:rFonts w:ascii="Times New Roman" w:hAnsi="Times New Roman"/>
          <w:highlight w:val="none"/>
        </w:rPr>
        <w:t>，采用循环流化床低氮燃烧+SNCR-SCR脱硝+布袋除尘器+石灰石-石膏法脱硫的烟气净化技术，供热</w:t>
      </w:r>
      <w:r>
        <w:rPr>
          <w:rFonts w:hint="eastAsia" w:ascii="Times New Roman" w:hAnsi="Times New Roman"/>
          <w:highlight w:val="none"/>
        </w:rPr>
        <w:t>能力</w:t>
      </w:r>
      <w:r>
        <w:rPr>
          <w:rFonts w:ascii="Times New Roman" w:hAnsi="Times New Roman"/>
          <w:highlight w:val="none"/>
        </w:rPr>
        <w:t>为</w:t>
      </w:r>
      <w:r>
        <w:rPr>
          <w:rFonts w:hint="eastAsia" w:ascii="Times New Roman" w:hAnsi="Times New Roman"/>
          <w:highlight w:val="none"/>
          <w:lang w:val="en-US" w:eastAsia="zh-CN"/>
        </w:rPr>
        <w:t>210</w:t>
      </w:r>
      <w:r>
        <w:rPr>
          <w:rFonts w:ascii="Times New Roman" w:hAnsi="Times New Roman"/>
          <w:highlight w:val="none"/>
        </w:rPr>
        <w:t>万m</w:t>
      </w:r>
      <w:r>
        <w:rPr>
          <w:rFonts w:ascii="Times New Roman" w:hAnsi="Times New Roman"/>
          <w:highlight w:val="none"/>
          <w:vertAlign w:val="superscript"/>
        </w:rPr>
        <w:t>2</w:t>
      </w:r>
      <w:r>
        <w:rPr>
          <w:rFonts w:ascii="Times New Roman" w:hAnsi="Times New Roman"/>
          <w:highlight w:val="none"/>
        </w:rPr>
        <w:t>。</w:t>
      </w:r>
      <w:r>
        <w:rPr>
          <w:rFonts w:hint="eastAsia" w:ascii="Times New Roman" w:hAnsi="Times New Roman"/>
          <w:highlight w:val="none"/>
          <w:lang w:val="en-US" w:eastAsia="zh-CN"/>
        </w:rPr>
        <w:t>建设</w:t>
      </w:r>
      <w:r>
        <w:rPr>
          <w:rFonts w:ascii="Times New Roman" w:hAnsi="Times New Roman"/>
          <w:highlight w:val="none"/>
        </w:rPr>
        <w:t>主厂房、</w:t>
      </w:r>
      <w:r>
        <w:rPr>
          <w:rFonts w:hint="eastAsia" w:ascii="Times New Roman" w:hAnsi="Times New Roman"/>
          <w:highlight w:val="none"/>
        </w:rPr>
        <w:t>储煤库</w:t>
      </w:r>
      <w:r>
        <w:rPr>
          <w:rFonts w:ascii="Times New Roman" w:hAnsi="Times New Roman"/>
          <w:highlight w:val="none"/>
        </w:rPr>
        <w:t>、脱硫塔、</w:t>
      </w:r>
      <w:r>
        <w:rPr>
          <w:rFonts w:hint="eastAsia" w:ascii="Times New Roman" w:hAnsi="Times New Roman"/>
          <w:highlight w:val="none"/>
        </w:rPr>
        <w:t>输煤系统</w:t>
      </w:r>
      <w:r>
        <w:rPr>
          <w:rFonts w:ascii="Times New Roman" w:hAnsi="Times New Roman"/>
          <w:highlight w:val="none"/>
        </w:rPr>
        <w:t>、烟囱</w:t>
      </w:r>
      <w:r>
        <w:rPr>
          <w:rFonts w:hint="eastAsia" w:ascii="Times New Roman" w:hAnsi="Times New Roman"/>
          <w:highlight w:val="none"/>
          <w:lang w:eastAsia="zh-CN"/>
        </w:rPr>
        <w:t>、</w:t>
      </w:r>
      <w:r>
        <w:rPr>
          <w:rFonts w:ascii="Times New Roman" w:hAnsi="Times New Roman"/>
          <w:iCs/>
          <w:highlight w:val="none"/>
        </w:rPr>
        <w:t>点火助燃油系统</w:t>
      </w:r>
      <w:r>
        <w:rPr>
          <w:rFonts w:hint="eastAsia" w:ascii="Times New Roman" w:hAnsi="Times New Roman"/>
          <w:iCs/>
          <w:highlight w:val="none"/>
          <w:lang w:eastAsia="zh-CN"/>
        </w:rPr>
        <w:t>、</w:t>
      </w:r>
      <w:r>
        <w:rPr>
          <w:rFonts w:ascii="Times New Roman" w:hAnsi="Times New Roman"/>
          <w:highlight w:val="none"/>
        </w:rPr>
        <w:t>供热管网以及换热站。</w:t>
      </w:r>
    </w:p>
    <w:p w14:paraId="08B1351D">
      <w:pPr>
        <w:pStyle w:val="23"/>
        <w:rPr>
          <w:rFonts w:hint="eastAsia" w:ascii="Times New Roman" w:hAnsi="Times New Roman"/>
          <w:highlight w:val="none"/>
          <w:lang w:val="en-US" w:eastAsia="zh-CN"/>
        </w:rPr>
      </w:pPr>
      <w:r>
        <w:rPr>
          <w:rFonts w:hint="eastAsia" w:ascii="Times New Roman" w:hAnsi="Times New Roman"/>
          <w:highlight w:val="none"/>
          <w:lang w:val="en-US" w:eastAsia="zh-CN"/>
        </w:rPr>
        <w:t>本项目现有工程情况见表3.1-1。</w:t>
      </w:r>
    </w:p>
    <w:p w14:paraId="4C07EAE4">
      <w:pPr>
        <w:pStyle w:val="29"/>
        <w:spacing w:line="240" w:lineRule="auto"/>
        <w:ind w:firstLine="480"/>
        <w:rPr>
          <w:rFonts w:hint="eastAsia" w:ascii="宋体" w:hAnsi="宋体" w:eastAsia="宋体" w:cs="宋体"/>
          <w:color w:val="auto"/>
          <w:spacing w:val="0"/>
          <w:kern w:val="2"/>
          <w:sz w:val="24"/>
          <w:szCs w:val="24"/>
          <w:highlight w:val="none"/>
          <w:lang w:val="en-US" w:eastAsia="zh-CN" w:bidi="ar-SA"/>
        </w:rPr>
      </w:pPr>
      <w:r>
        <w:rPr>
          <w:rFonts w:hint="eastAsia" w:ascii="黑体" w:hAnsi="黑体" w:eastAsia="黑体" w:cs="黑体"/>
          <w:color w:val="auto"/>
          <w:spacing w:val="0"/>
          <w:kern w:val="2"/>
          <w:sz w:val="24"/>
          <w:szCs w:val="24"/>
          <w:highlight w:val="none"/>
          <w:lang w:val="en-US" w:eastAsia="zh-CN" w:bidi="ar-SA"/>
        </w:rPr>
        <w:t>表</w:t>
      </w:r>
      <w:r>
        <w:rPr>
          <w:rFonts w:hint="default" w:ascii="Times New Roman" w:hAnsi="Times New Roman" w:eastAsia="宋体" w:cs="Times New Roman"/>
          <w:color w:val="auto"/>
          <w:spacing w:val="0"/>
          <w:kern w:val="2"/>
          <w:sz w:val="24"/>
          <w:szCs w:val="24"/>
          <w:highlight w:val="none"/>
          <w:lang w:val="en-US" w:eastAsia="zh-CN" w:bidi="ar-SA"/>
        </w:rPr>
        <w:t>3.1-1</w:t>
      </w:r>
      <w:r>
        <w:rPr>
          <w:rFonts w:hint="eastAsia" w:ascii="黑体" w:hAnsi="黑体" w:eastAsia="黑体" w:cs="黑体"/>
          <w:color w:val="auto"/>
          <w:spacing w:val="0"/>
          <w:kern w:val="2"/>
          <w:sz w:val="24"/>
          <w:szCs w:val="24"/>
          <w:highlight w:val="none"/>
          <w:lang w:val="en-US" w:eastAsia="zh-CN" w:bidi="ar-SA"/>
        </w:rPr>
        <w:t>主要建设内容一览表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629"/>
        <w:gridCol w:w="505"/>
        <w:gridCol w:w="1234"/>
        <w:gridCol w:w="5303"/>
        <w:gridCol w:w="655"/>
      </w:tblGrid>
      <w:tr w14:paraId="38A69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shd w:val="clear" w:color="auto" w:fill="FFFFFF"/>
            <w:noWrap w:val="0"/>
            <w:vAlign w:val="center"/>
          </w:tcPr>
          <w:p w14:paraId="78B440FA">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工程类别</w:t>
            </w:r>
          </w:p>
        </w:tc>
        <w:tc>
          <w:tcPr>
            <w:tcW w:w="1044" w:type="pct"/>
            <w:gridSpan w:val="2"/>
            <w:shd w:val="clear" w:color="auto" w:fill="FFFFFF"/>
            <w:noWrap w:val="0"/>
            <w:vAlign w:val="center"/>
          </w:tcPr>
          <w:p w14:paraId="220AFDD8">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项目名称</w:t>
            </w:r>
          </w:p>
        </w:tc>
        <w:tc>
          <w:tcPr>
            <w:tcW w:w="3184" w:type="pct"/>
            <w:shd w:val="clear" w:color="auto" w:fill="FFFFFF"/>
            <w:noWrap w:val="0"/>
            <w:vAlign w:val="center"/>
          </w:tcPr>
          <w:p w14:paraId="6D6DF226">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建设内容</w:t>
            </w:r>
          </w:p>
        </w:tc>
        <w:tc>
          <w:tcPr>
            <w:tcW w:w="393" w:type="pct"/>
            <w:shd w:val="clear" w:color="auto" w:fill="FFFFFF"/>
            <w:noWrap w:val="0"/>
            <w:vAlign w:val="center"/>
          </w:tcPr>
          <w:p w14:paraId="1F25AFC4">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备注</w:t>
            </w:r>
          </w:p>
        </w:tc>
      </w:tr>
      <w:tr w14:paraId="546CD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restart"/>
            <w:shd w:val="clear" w:color="auto" w:fill="FFFFFF"/>
            <w:noWrap w:val="0"/>
            <w:vAlign w:val="center"/>
          </w:tcPr>
          <w:p w14:paraId="56426BA2">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主体工程</w:t>
            </w:r>
          </w:p>
        </w:tc>
        <w:tc>
          <w:tcPr>
            <w:tcW w:w="1044" w:type="pct"/>
            <w:gridSpan w:val="2"/>
            <w:shd w:val="clear" w:color="auto" w:fill="FFFFFF"/>
            <w:noWrap w:val="0"/>
            <w:vAlign w:val="center"/>
          </w:tcPr>
          <w:p w14:paraId="1C754540">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锅炉房</w:t>
            </w:r>
          </w:p>
        </w:tc>
        <w:tc>
          <w:tcPr>
            <w:tcW w:w="3184" w:type="pct"/>
            <w:shd w:val="clear" w:color="auto" w:fill="FFFFFF"/>
            <w:noWrap w:val="0"/>
            <w:vAlign w:val="center"/>
          </w:tcPr>
          <w:p w14:paraId="77620A01">
            <w:pPr>
              <w:pStyle w:val="25"/>
              <w:spacing w:after="0" w:line="240" w:lineRule="auto"/>
              <w:ind w:firstLine="0"/>
              <w:jc w:val="center"/>
              <w:rPr>
                <w:rFonts w:hint="default"/>
                <w:highlight w:val="none"/>
                <w:lang w:val="en-US" w:eastAsia="zh-CN"/>
              </w:rPr>
            </w:pPr>
            <w:r>
              <w:rPr>
                <w:rFonts w:hint="eastAsia" w:ascii="Times New Roman" w:hAnsi="Times New Roman" w:cs="Times New Roman"/>
                <w:color w:val="auto"/>
                <w:sz w:val="21"/>
                <w:szCs w:val="21"/>
                <w:highlight w:val="none"/>
                <w:lang w:val="en-US" w:eastAsia="zh-CN"/>
              </w:rPr>
              <w:t>锅炉房占地面积为2000㎡，建设1台116MW燃煤链条热水锅炉，燃煤量为35474.4t/a；建设1台58MW燃煤链条热水锅炉，燃煤量为31693.824t/a；建设1台35t/h燃煤蒸汽锅炉，燃煤量为13879.4784t/a。</w:t>
            </w:r>
          </w:p>
        </w:tc>
        <w:tc>
          <w:tcPr>
            <w:tcW w:w="393" w:type="pct"/>
            <w:shd w:val="clear" w:color="auto" w:fill="FFFFFF"/>
            <w:noWrap w:val="0"/>
            <w:vAlign w:val="center"/>
          </w:tcPr>
          <w:p w14:paraId="6A80747E">
            <w:pPr>
              <w:pStyle w:val="25"/>
              <w:spacing w:after="0" w:line="240" w:lineRule="auto"/>
              <w:ind w:firstLine="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已建</w:t>
            </w:r>
          </w:p>
        </w:tc>
      </w:tr>
      <w:tr w14:paraId="26AB0A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C93EF6C">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16DB20D7">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燃料供应系统</w:t>
            </w:r>
          </w:p>
        </w:tc>
        <w:tc>
          <w:tcPr>
            <w:tcW w:w="3184" w:type="pct"/>
            <w:shd w:val="clear" w:color="auto" w:fill="FFFFFF"/>
            <w:noWrap w:val="0"/>
            <w:vAlign w:val="center"/>
          </w:tcPr>
          <w:p w14:paraId="0F8CD472">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本工程燃煤采用</w:t>
            </w:r>
            <w:r>
              <w:rPr>
                <w:rFonts w:hint="eastAsia" w:ascii="Times New Roman" w:hAnsi="Times New Roman" w:cs="Times New Roman"/>
                <w:color w:val="auto"/>
                <w:sz w:val="21"/>
                <w:szCs w:val="21"/>
                <w:highlight w:val="none"/>
                <w:lang w:val="en-US" w:eastAsia="zh-CN"/>
              </w:rPr>
              <w:t>公</w:t>
            </w:r>
            <w:r>
              <w:rPr>
                <w:rFonts w:ascii="Times New Roman" w:hAnsi="Times New Roman" w:cs="Times New Roman"/>
                <w:color w:val="auto"/>
                <w:sz w:val="21"/>
                <w:szCs w:val="21"/>
                <w:highlight w:val="none"/>
              </w:rPr>
              <w:t>路</w:t>
            </w:r>
            <w:r>
              <w:rPr>
                <w:rFonts w:hint="eastAsia" w:ascii="Times New Roman" w:hAnsi="Times New Roman" w:cs="Times New Roman"/>
                <w:color w:val="auto"/>
                <w:sz w:val="21"/>
                <w:szCs w:val="21"/>
                <w:highlight w:val="none"/>
                <w:lang w:val="en-US" w:eastAsia="zh-CN"/>
              </w:rPr>
              <w:t>运输到场</w:t>
            </w:r>
            <w:r>
              <w:rPr>
                <w:rFonts w:ascii="Times New Roman" w:hAnsi="Times New Roman" w:cs="Times New Roman"/>
                <w:color w:val="auto"/>
                <w:sz w:val="21"/>
                <w:szCs w:val="21"/>
                <w:highlight w:val="none"/>
              </w:rPr>
              <w:t>。</w:t>
            </w:r>
          </w:p>
        </w:tc>
        <w:tc>
          <w:tcPr>
            <w:tcW w:w="393" w:type="pct"/>
            <w:shd w:val="clear" w:color="auto" w:fill="FFFFFF"/>
            <w:noWrap w:val="0"/>
            <w:vAlign w:val="center"/>
          </w:tcPr>
          <w:p w14:paraId="38A322FA">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rPr>
              <w:t>依托</w:t>
            </w:r>
            <w:r>
              <w:rPr>
                <w:rFonts w:ascii="Times New Roman" w:hAnsi="Times New Roman" w:cs="Times New Roman"/>
                <w:color w:val="auto"/>
                <w:sz w:val="21"/>
                <w:szCs w:val="21"/>
                <w:highlight w:val="none"/>
                <w:lang w:eastAsia="zh-CN"/>
              </w:rPr>
              <w:t>原有</w:t>
            </w:r>
          </w:p>
        </w:tc>
      </w:tr>
      <w:tr w14:paraId="70C94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5280C1E8">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57373B31">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燃烧系统</w:t>
            </w:r>
          </w:p>
        </w:tc>
        <w:tc>
          <w:tcPr>
            <w:tcW w:w="3184" w:type="pct"/>
            <w:shd w:val="clear" w:color="auto" w:fill="FFFFFF"/>
            <w:noWrap w:val="0"/>
            <w:vAlign w:val="center"/>
          </w:tcPr>
          <w:p w14:paraId="1139F354">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煤斗中的燃煤经称重皮带给煤机直接送至炉膛给煤口前落煤管进入炉膛燃烧，采用平衡通风，一次风与二次风从不同的部位以不同的风压鼓入燃烧室，空预器出口烟气经袋式除尘器，由引风机抽出，经烟囱排入大气。</w:t>
            </w:r>
          </w:p>
        </w:tc>
        <w:tc>
          <w:tcPr>
            <w:tcW w:w="393" w:type="pct"/>
            <w:shd w:val="clear" w:color="auto" w:fill="FFFFFF"/>
            <w:noWrap w:val="0"/>
            <w:vAlign w:val="center"/>
          </w:tcPr>
          <w:p w14:paraId="13DD4FD7">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743AFD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3451822B">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05B2088D">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点火系统</w:t>
            </w:r>
          </w:p>
        </w:tc>
        <w:tc>
          <w:tcPr>
            <w:tcW w:w="3184" w:type="pct"/>
            <w:shd w:val="clear" w:color="auto" w:fill="FFFFFF"/>
            <w:noWrap w:val="0"/>
            <w:vAlign w:val="center"/>
          </w:tcPr>
          <w:p w14:paraId="5A256559">
            <w:pPr>
              <w:pStyle w:val="25"/>
              <w:spacing w:after="0" w:line="240" w:lineRule="auto"/>
              <w:ind w:firstLine="0"/>
              <w:jc w:val="center"/>
              <w:rPr>
                <w:rFonts w:ascii="Times New Roman" w:hAnsi="Times New Roman" w:cs="Times New Roman"/>
                <w:color w:val="auto"/>
                <w:sz w:val="21"/>
                <w:szCs w:val="21"/>
                <w:highlight w:val="none"/>
              </w:rPr>
            </w:pPr>
            <w:r>
              <w:rPr>
                <w:rFonts w:hint="eastAsia" w:cs="Times New Roman"/>
                <w:sz w:val="21"/>
                <w:szCs w:val="21"/>
                <w:highlight w:val="none"/>
              </w:rPr>
              <w:t>本项目不设置启动锅炉；锅炉点火助燃油采用轻柴油，本期工程厂区内不设储油罐，由燃油公司的油罐车将柴油直接运至厂区内，柴油经燃油泵升压点火即可满足点火要求，轻柴油使用量为10吨</w:t>
            </w:r>
            <w:r>
              <w:rPr>
                <w:rFonts w:cs="Times New Roman"/>
                <w:sz w:val="21"/>
                <w:szCs w:val="21"/>
                <w:highlight w:val="none"/>
              </w:rPr>
              <w:t>/</w:t>
            </w:r>
            <w:r>
              <w:rPr>
                <w:rFonts w:hint="eastAsia" w:cs="Times New Roman"/>
                <w:sz w:val="21"/>
                <w:szCs w:val="21"/>
                <w:highlight w:val="none"/>
              </w:rPr>
              <w:t>次。</w:t>
            </w:r>
          </w:p>
        </w:tc>
        <w:tc>
          <w:tcPr>
            <w:tcW w:w="393" w:type="pct"/>
            <w:shd w:val="clear" w:color="auto" w:fill="FFFFFF"/>
            <w:noWrap w:val="0"/>
            <w:vAlign w:val="center"/>
          </w:tcPr>
          <w:p w14:paraId="3D299F5D">
            <w:pPr>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已建</w:t>
            </w:r>
          </w:p>
        </w:tc>
      </w:tr>
      <w:tr w14:paraId="56439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45EA96F8">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2F29CAB4">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上煤系统</w:t>
            </w:r>
          </w:p>
        </w:tc>
        <w:tc>
          <w:tcPr>
            <w:tcW w:w="3184" w:type="pct"/>
            <w:shd w:val="clear" w:color="auto" w:fill="FFFFFF"/>
            <w:noWrap w:val="0"/>
            <w:vAlign w:val="center"/>
          </w:tcPr>
          <w:p w14:paraId="39020CA2">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eastAsia="zh-CN"/>
              </w:rPr>
              <w:t>三段皮带构成</w:t>
            </w:r>
            <w:r>
              <w:rPr>
                <w:rFonts w:ascii="Times New Roman" w:hAnsi="Times New Roman" w:cs="Times New Roman"/>
                <w:color w:val="auto"/>
                <w:szCs w:val="21"/>
                <w:highlight w:val="none"/>
                <w:lang w:eastAsia="zh-CN"/>
              </w:rPr>
              <w:t>，</w:t>
            </w:r>
            <w:r>
              <w:rPr>
                <w:rFonts w:ascii="Times New Roman" w:hAnsi="Times New Roman" w:cs="Times New Roman"/>
                <w:color w:val="auto"/>
                <w:sz w:val="21"/>
                <w:szCs w:val="21"/>
                <w:highlight w:val="none"/>
                <w:lang w:eastAsia="zh-CN"/>
              </w:rPr>
              <w:t>采用双路B=800mm的皮带运输系统由，运煤系统设计出力为</w:t>
            </w:r>
            <w:r>
              <w:rPr>
                <w:rFonts w:hint="eastAsia" w:ascii="Times New Roman" w:hAnsi="Times New Roman" w:cs="Times New Roman"/>
                <w:color w:val="auto"/>
                <w:sz w:val="21"/>
                <w:szCs w:val="21"/>
                <w:highlight w:val="none"/>
                <w:lang w:val="en-US" w:eastAsia="zh-CN"/>
              </w:rPr>
              <w:t>50</w:t>
            </w:r>
            <w:r>
              <w:rPr>
                <w:rFonts w:ascii="Times New Roman" w:hAnsi="Times New Roman" w:cs="Times New Roman"/>
                <w:color w:val="auto"/>
                <w:sz w:val="21"/>
                <w:szCs w:val="21"/>
                <w:highlight w:val="none"/>
                <w:lang w:eastAsia="zh-CN"/>
              </w:rPr>
              <w:t>t/h</w:t>
            </w:r>
          </w:p>
        </w:tc>
        <w:tc>
          <w:tcPr>
            <w:tcW w:w="393" w:type="pct"/>
            <w:shd w:val="clear" w:color="auto" w:fill="FFFFFF"/>
            <w:noWrap w:val="0"/>
            <w:vAlign w:val="center"/>
          </w:tcPr>
          <w:p w14:paraId="29CEE1CF">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0E533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1C0AB051">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6B0CC334">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碎煤机室</w:t>
            </w:r>
          </w:p>
        </w:tc>
        <w:tc>
          <w:tcPr>
            <w:tcW w:w="3184" w:type="pct"/>
            <w:shd w:val="clear" w:color="auto" w:fill="FFFFFF"/>
            <w:noWrap w:val="0"/>
            <w:vAlign w:val="center"/>
          </w:tcPr>
          <w:p w14:paraId="0D7F6AC0">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碎煤机室</w:t>
            </w:r>
            <w:r>
              <w:rPr>
                <w:rFonts w:ascii="Times New Roman" w:hAnsi="Times New Roman" w:cs="Times New Roman"/>
                <w:color w:val="auto"/>
                <w:sz w:val="21"/>
                <w:szCs w:val="21"/>
                <w:highlight w:val="none"/>
                <w:lang w:eastAsia="zh-CN"/>
              </w:rPr>
              <w:t>，</w:t>
            </w:r>
            <w:r>
              <w:rPr>
                <w:rFonts w:ascii="Times New Roman" w:hAnsi="Times New Roman" w:cs="Times New Roman"/>
                <w:color w:val="auto"/>
                <w:sz w:val="21"/>
                <w:szCs w:val="21"/>
                <w:highlight w:val="none"/>
              </w:rPr>
              <w:t>碎煤机室为现浇钢筋混凝土框架结构，砖墙围护。碎煤机室</w:t>
            </w:r>
            <w:r>
              <w:rPr>
                <w:rFonts w:ascii="Times New Roman" w:hAnsi="Times New Roman" w:cs="Times New Roman"/>
                <w:color w:val="auto"/>
                <w:sz w:val="21"/>
                <w:szCs w:val="21"/>
                <w:highlight w:val="none"/>
                <w:lang w:val="en-US" w:eastAsia="zh-CN"/>
              </w:rPr>
              <w:t>密闭</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eastAsia="zh-CN"/>
              </w:rPr>
              <w:t>采用布袋除尘器降尘</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运煤系统采用一级破碎系统。</w:t>
            </w:r>
          </w:p>
        </w:tc>
        <w:tc>
          <w:tcPr>
            <w:tcW w:w="393" w:type="pct"/>
            <w:shd w:val="clear" w:color="auto" w:fill="FFFFFF"/>
            <w:noWrap w:val="0"/>
            <w:vAlign w:val="center"/>
          </w:tcPr>
          <w:p w14:paraId="55C677E3">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203BA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66508C49">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18E5BDE9">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输煤栈桥</w:t>
            </w:r>
          </w:p>
        </w:tc>
        <w:tc>
          <w:tcPr>
            <w:tcW w:w="3184" w:type="pct"/>
            <w:shd w:val="clear" w:color="auto" w:fill="FFFFFF"/>
            <w:noWrap w:val="0"/>
            <w:vAlign w:val="center"/>
          </w:tcPr>
          <w:p w14:paraId="7E1599E6">
            <w:pPr>
              <w:pStyle w:val="25"/>
              <w:spacing w:after="0" w:line="240" w:lineRule="auto"/>
              <w:ind w:firstLine="0"/>
              <w:jc w:val="center"/>
              <w:rPr>
                <w:rFonts w:hint="eastAsia" w:ascii="Times New Roman" w:hAnsi="Times New Roman" w:eastAsia="宋体" w:cs="Times New Roman"/>
                <w:color w:val="auto"/>
                <w:sz w:val="21"/>
                <w:szCs w:val="21"/>
                <w:highlight w:val="none"/>
                <w:lang w:eastAsia="zh-CN"/>
              </w:rPr>
            </w:pPr>
            <w:r>
              <w:rPr>
                <w:rFonts w:ascii="Times New Roman" w:hAnsi="Times New Roman" w:cs="Times New Roman"/>
                <w:color w:val="auto"/>
                <w:sz w:val="21"/>
                <w:szCs w:val="21"/>
                <w:highlight w:val="none"/>
              </w:rPr>
              <w:t>输煤栈桥采用全封闭布置，岩棉夹心复合彩钢板围护</w:t>
            </w:r>
            <w:r>
              <w:rPr>
                <w:rFonts w:hint="eastAsia" w:ascii="Times New Roman" w:hAnsi="Times New Roman" w:cs="Times New Roman"/>
                <w:color w:val="auto"/>
                <w:sz w:val="21"/>
                <w:szCs w:val="21"/>
                <w:highlight w:val="none"/>
                <w:lang w:eastAsia="zh-CN"/>
              </w:rPr>
              <w:t>。</w:t>
            </w:r>
          </w:p>
        </w:tc>
        <w:tc>
          <w:tcPr>
            <w:tcW w:w="393" w:type="pct"/>
            <w:shd w:val="clear" w:color="auto" w:fill="FFFFFF"/>
            <w:noWrap w:val="0"/>
            <w:vAlign w:val="center"/>
          </w:tcPr>
          <w:p w14:paraId="0658D54C">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4B3D7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54EBFC1D">
            <w:pPr>
              <w:pStyle w:val="25"/>
              <w:spacing w:after="0" w:line="240" w:lineRule="auto"/>
              <w:jc w:val="center"/>
              <w:rPr>
                <w:rFonts w:ascii="Times New Roman" w:hAnsi="Times New Roman" w:eastAsia="Times New Roman" w:cs="Times New Roman"/>
                <w:color w:val="auto"/>
                <w:sz w:val="21"/>
                <w:szCs w:val="21"/>
                <w:highlight w:val="none"/>
                <w:lang w:eastAsia="en-US" w:bidi="en-US"/>
              </w:rPr>
            </w:pPr>
          </w:p>
        </w:tc>
        <w:tc>
          <w:tcPr>
            <w:tcW w:w="1044" w:type="pct"/>
            <w:gridSpan w:val="2"/>
            <w:shd w:val="clear" w:color="auto" w:fill="FFFFFF"/>
            <w:noWrap w:val="0"/>
            <w:vAlign w:val="center"/>
          </w:tcPr>
          <w:p w14:paraId="3DA38556">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热力系统</w:t>
            </w:r>
          </w:p>
        </w:tc>
        <w:tc>
          <w:tcPr>
            <w:tcW w:w="3184" w:type="pct"/>
            <w:shd w:val="clear" w:color="auto" w:fill="FFFFFF"/>
            <w:noWrap w:val="0"/>
            <w:vAlign w:val="center"/>
          </w:tcPr>
          <w:p w14:paraId="43BD83DF">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本期工程设置3台锅炉循环水泵，两运一备，热网回水经锅炉循环水泵进入热水炉，被加热后接至热网供水管道。</w:t>
            </w:r>
          </w:p>
        </w:tc>
        <w:tc>
          <w:tcPr>
            <w:tcW w:w="393" w:type="pct"/>
            <w:shd w:val="clear" w:color="auto" w:fill="FFFFFF"/>
            <w:noWrap w:val="0"/>
            <w:vAlign w:val="center"/>
          </w:tcPr>
          <w:p w14:paraId="225FAC34">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5B14F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1603FF82">
            <w:pPr>
              <w:pStyle w:val="25"/>
              <w:spacing w:after="0" w:line="240" w:lineRule="auto"/>
              <w:ind w:firstLine="0"/>
              <w:jc w:val="center"/>
              <w:rPr>
                <w:rFonts w:ascii="Times New Roman" w:hAnsi="Times New Roman" w:cs="Times New Roman"/>
                <w:color w:val="auto"/>
                <w:sz w:val="21"/>
                <w:szCs w:val="21"/>
                <w:highlight w:val="none"/>
              </w:rPr>
            </w:pPr>
          </w:p>
        </w:tc>
        <w:tc>
          <w:tcPr>
            <w:tcW w:w="1044" w:type="pct"/>
            <w:gridSpan w:val="2"/>
            <w:shd w:val="clear" w:color="auto" w:fill="FFFFFF"/>
            <w:noWrap w:val="0"/>
            <w:vAlign w:val="center"/>
          </w:tcPr>
          <w:p w14:paraId="1768081E">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补水系统</w:t>
            </w:r>
          </w:p>
        </w:tc>
        <w:tc>
          <w:tcPr>
            <w:tcW w:w="3184" w:type="pct"/>
            <w:shd w:val="clear" w:color="auto" w:fill="FFFFFF"/>
            <w:noWrap w:val="0"/>
            <w:vAlign w:val="center"/>
          </w:tcPr>
          <w:p w14:paraId="7455D36C">
            <w:pPr>
              <w:pStyle w:val="25"/>
              <w:spacing w:after="0" w:line="240" w:lineRule="auto"/>
              <w:ind w:firstLine="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建</w:t>
            </w:r>
            <w:r>
              <w:rPr>
                <w:rFonts w:hint="eastAsia" w:ascii="Times New Roman" w:hAnsi="Times New Roman" w:cs="Times New Roman"/>
                <w:color w:val="auto"/>
                <w:sz w:val="21"/>
                <w:szCs w:val="21"/>
                <w:highlight w:val="none"/>
                <w:lang w:val="en-US" w:eastAsia="zh-CN"/>
              </w:rPr>
              <w:t>设</w:t>
            </w:r>
            <w:r>
              <w:rPr>
                <w:rFonts w:ascii="Times New Roman" w:hAnsi="Times New Roman" w:cs="Times New Roman"/>
                <w:color w:val="auto"/>
                <w:sz w:val="21"/>
                <w:szCs w:val="21"/>
                <w:highlight w:val="none"/>
              </w:rPr>
              <w:t>厂区软化水处理系统设备，软化水处理系统设计处理能力为</w:t>
            </w:r>
            <w:r>
              <w:rPr>
                <w:rFonts w:hint="eastAsia" w:ascii="Times New Roman" w:hAnsi="Times New Roman" w:cs="Times New Roman"/>
                <w:color w:val="auto"/>
                <w:sz w:val="21"/>
                <w:szCs w:val="21"/>
                <w:highlight w:val="none"/>
                <w:lang w:val="en-US" w:eastAsia="zh-CN"/>
              </w:rPr>
              <w:t>100</w:t>
            </w:r>
            <w:r>
              <w:rPr>
                <w:rFonts w:ascii="Times New Roman" w:hAnsi="Times New Roman" w:cs="Times New Roman"/>
                <w:color w:val="auto"/>
                <w:sz w:val="21"/>
                <w:szCs w:val="21"/>
                <w:highlight w:val="none"/>
              </w:rPr>
              <w:t>t/h。</w:t>
            </w:r>
            <w:r>
              <w:rPr>
                <w:rFonts w:hint="eastAsia" w:ascii="Times New Roman" w:hAnsi="Times New Roman" w:cs="Times New Roman"/>
                <w:color w:val="auto"/>
                <w:sz w:val="21"/>
                <w:szCs w:val="21"/>
                <w:highlight w:val="none"/>
                <w:lang w:eastAsia="zh-CN"/>
              </w:rPr>
              <w:t>采用离子交换树脂</w:t>
            </w:r>
            <w:r>
              <w:rPr>
                <w:rFonts w:hint="eastAsia" w:ascii="Times New Roman" w:hAnsi="Times New Roman" w:cs="Times New Roman"/>
                <w:color w:val="auto"/>
                <w:sz w:val="21"/>
                <w:szCs w:val="21"/>
                <w:highlight w:val="none"/>
                <w:lang w:val="en-US" w:eastAsia="zh-CN"/>
              </w:rPr>
              <w:t>及反渗透膜</w:t>
            </w:r>
            <w:r>
              <w:rPr>
                <w:rFonts w:hint="eastAsia" w:ascii="Times New Roman" w:hAnsi="Times New Roman" w:cs="Times New Roman"/>
                <w:color w:val="auto"/>
                <w:sz w:val="21"/>
                <w:szCs w:val="21"/>
                <w:highlight w:val="none"/>
                <w:lang w:eastAsia="zh-CN"/>
              </w:rPr>
              <w:t>处理软化水。</w:t>
            </w:r>
          </w:p>
        </w:tc>
        <w:tc>
          <w:tcPr>
            <w:tcW w:w="393" w:type="pct"/>
            <w:shd w:val="clear" w:color="auto" w:fill="FFFFFF"/>
            <w:noWrap w:val="0"/>
            <w:vAlign w:val="center"/>
          </w:tcPr>
          <w:p w14:paraId="326FEB9E">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017DB5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90" w:hRule="atLeast"/>
          <w:jc w:val="center"/>
        </w:trPr>
        <w:tc>
          <w:tcPr>
            <w:tcW w:w="378" w:type="pct"/>
            <w:vMerge w:val="continue"/>
            <w:shd w:val="clear" w:color="auto" w:fill="FFFFFF"/>
            <w:noWrap w:val="0"/>
            <w:vAlign w:val="center"/>
          </w:tcPr>
          <w:p w14:paraId="4CA76518">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61E0A40B">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除灰渣系统</w:t>
            </w:r>
          </w:p>
        </w:tc>
        <w:tc>
          <w:tcPr>
            <w:tcW w:w="3184" w:type="pct"/>
            <w:shd w:val="clear" w:color="auto" w:fill="FFFFFF"/>
            <w:noWrap w:val="0"/>
            <w:vAlign w:val="center"/>
          </w:tcPr>
          <w:p w14:paraId="4ADCD4FC">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rPr>
              <w:t>采用灰渣分除，即气力除灰和机械除渣方式</w:t>
            </w:r>
            <w:r>
              <w:rPr>
                <w:rFonts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eastAsia="zh-CN"/>
              </w:rPr>
              <w:t>配套建设空压站；</w:t>
            </w:r>
            <w:r>
              <w:rPr>
                <w:rFonts w:ascii="Times New Roman" w:hAnsi="Times New Roman" w:cs="Times New Roman"/>
                <w:color w:val="auto"/>
                <w:sz w:val="21"/>
                <w:szCs w:val="21"/>
                <w:highlight w:val="none"/>
                <w:lang w:eastAsia="zh-CN"/>
              </w:rPr>
              <w:t>锅炉设置3套除渣系统，每台锅炉对应1套除渣系统，系统连续运行，本工程气力除灰系统设计出力为15t/h。</w:t>
            </w:r>
          </w:p>
        </w:tc>
        <w:tc>
          <w:tcPr>
            <w:tcW w:w="393" w:type="pct"/>
            <w:shd w:val="clear" w:color="auto" w:fill="FFFFFF"/>
            <w:noWrap w:val="0"/>
            <w:vAlign w:val="center"/>
          </w:tcPr>
          <w:p w14:paraId="0E6726DD">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634AE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69DFB9E2">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6A593809">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脱硫间</w:t>
            </w:r>
          </w:p>
        </w:tc>
        <w:tc>
          <w:tcPr>
            <w:tcW w:w="3184" w:type="pct"/>
            <w:shd w:val="clear" w:color="auto" w:fill="FFFFFF"/>
            <w:noWrap w:val="0"/>
            <w:vAlign w:val="center"/>
          </w:tcPr>
          <w:p w14:paraId="3DEEE02C">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脱硫设备间共</w:t>
            </w:r>
            <w:r>
              <w:rPr>
                <w:rFonts w:hint="eastAsia" w:ascii="Times New Roman" w:hAnsi="Times New Roman" w:cs="Times New Roman"/>
                <w:color w:val="auto"/>
                <w:sz w:val="21"/>
                <w:szCs w:val="21"/>
                <w:highlight w:val="none"/>
                <w:lang w:val="en-US" w:eastAsia="zh-CN"/>
              </w:rPr>
              <w:t>1</w:t>
            </w:r>
            <w:r>
              <w:rPr>
                <w:rFonts w:ascii="Times New Roman" w:hAnsi="Times New Roman" w:cs="Times New Roman"/>
                <w:color w:val="auto"/>
                <w:sz w:val="21"/>
                <w:szCs w:val="21"/>
                <w:highlight w:val="none"/>
                <w:lang w:eastAsia="zh-CN"/>
              </w:rPr>
              <w:t>座，每座跨度23.0m，长度30m，为二层布置，主要用于存放脱硫剂及设备等</w:t>
            </w:r>
            <w:r>
              <w:rPr>
                <w:rFonts w:hint="eastAsia" w:ascii="Times New Roman" w:hAnsi="Times New Roman" w:cs="Times New Roman"/>
                <w:color w:val="auto"/>
                <w:sz w:val="21"/>
                <w:szCs w:val="21"/>
                <w:highlight w:val="none"/>
                <w:lang w:eastAsia="zh-CN"/>
              </w:rPr>
              <w:t>。</w:t>
            </w:r>
          </w:p>
        </w:tc>
        <w:tc>
          <w:tcPr>
            <w:tcW w:w="393" w:type="pct"/>
            <w:shd w:val="clear" w:color="auto" w:fill="FFFFFF"/>
            <w:noWrap w:val="0"/>
            <w:vAlign w:val="center"/>
          </w:tcPr>
          <w:p w14:paraId="19A70C49">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6DE0B7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7FDF3C87">
            <w:pPr>
              <w:spacing w:line="240" w:lineRule="auto"/>
              <w:ind w:firstLine="0" w:firstLineChars="0"/>
              <w:jc w:val="center"/>
              <w:rPr>
                <w:rFonts w:ascii="Times New Roman" w:hAnsi="Times New Roman" w:eastAsia="Times New Roman"/>
                <w:kern w:val="0"/>
                <w:sz w:val="21"/>
                <w:szCs w:val="21"/>
                <w:highlight w:val="none"/>
                <w:lang w:bidi="en-US"/>
              </w:rPr>
            </w:pPr>
          </w:p>
        </w:tc>
        <w:tc>
          <w:tcPr>
            <w:tcW w:w="1044" w:type="pct"/>
            <w:gridSpan w:val="2"/>
            <w:shd w:val="clear" w:color="auto" w:fill="FFFFFF"/>
            <w:noWrap w:val="0"/>
            <w:vAlign w:val="center"/>
          </w:tcPr>
          <w:p w14:paraId="636108DD">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烟囱</w:t>
            </w:r>
          </w:p>
        </w:tc>
        <w:tc>
          <w:tcPr>
            <w:tcW w:w="3184" w:type="pct"/>
            <w:shd w:val="clear" w:color="auto" w:fill="FFFFFF"/>
            <w:noWrap w:val="0"/>
            <w:vAlign w:val="center"/>
          </w:tcPr>
          <w:p w14:paraId="51F94609">
            <w:pPr>
              <w:pStyle w:val="25"/>
              <w:spacing w:after="0" w:line="240" w:lineRule="auto"/>
              <w:ind w:firstLine="0"/>
              <w:jc w:val="center"/>
              <w:rPr>
                <w:rFonts w:hint="eastAsia" w:ascii="Times New Roman" w:hAnsi="Times New Roman" w:eastAsia="宋体" w:cs="Times New Roman"/>
                <w:color w:val="auto"/>
                <w:sz w:val="21"/>
                <w:szCs w:val="21"/>
                <w:highlight w:val="none"/>
                <w:lang w:eastAsia="zh-CN"/>
              </w:rPr>
            </w:pPr>
            <w:r>
              <w:rPr>
                <w:rFonts w:ascii="Times New Roman" w:hAnsi="Times New Roman" w:cs="Times New Roman"/>
                <w:color w:val="auto"/>
                <w:sz w:val="21"/>
                <w:szCs w:val="21"/>
                <w:highlight w:val="none"/>
              </w:rPr>
              <w:t>高为</w:t>
            </w:r>
            <w:r>
              <w:rPr>
                <w:rFonts w:hint="eastAsia" w:ascii="Times New Roman" w:hAnsi="Times New Roman" w:cs="Times New Roman"/>
                <w:color w:val="auto"/>
                <w:sz w:val="21"/>
                <w:szCs w:val="21"/>
                <w:highlight w:val="none"/>
                <w:lang w:val="en-US" w:eastAsia="zh-CN" w:bidi="en-US"/>
              </w:rPr>
              <w:t>60</w:t>
            </w:r>
            <w:r>
              <w:rPr>
                <w:rFonts w:ascii="Times New Roman" w:hAnsi="Times New Roman" w:cs="Times New Roman"/>
                <w:color w:val="auto"/>
                <w:sz w:val="21"/>
                <w:szCs w:val="21"/>
                <w:highlight w:val="none"/>
                <w:lang w:val="en-US" w:eastAsia="zh-CN" w:bidi="en-US"/>
              </w:rPr>
              <w:t>m，</w:t>
            </w:r>
            <w:r>
              <w:rPr>
                <w:rFonts w:ascii="Times New Roman" w:hAnsi="Times New Roman" w:cs="Times New Roman"/>
                <w:color w:val="auto"/>
                <w:sz w:val="21"/>
                <w:szCs w:val="21"/>
                <w:highlight w:val="none"/>
              </w:rPr>
              <w:t>出口内径</w:t>
            </w:r>
            <w:r>
              <w:rPr>
                <w:rFonts w:ascii="Times New Roman" w:hAnsi="Times New Roman" w:cs="Times New Roman"/>
                <w:color w:val="auto"/>
                <w:sz w:val="21"/>
                <w:szCs w:val="21"/>
                <w:highlight w:val="none"/>
                <w:lang w:eastAsia="zh-CN"/>
              </w:rPr>
              <w:t>为</w:t>
            </w:r>
            <w:r>
              <w:rPr>
                <w:rFonts w:hint="eastAsia" w:ascii="Times New Roman" w:hAnsi="Times New Roman" w:cs="Times New Roman"/>
                <w:color w:val="auto"/>
                <w:sz w:val="21"/>
                <w:szCs w:val="21"/>
                <w:highlight w:val="none"/>
                <w:lang w:val="en-US" w:eastAsia="zh-CN"/>
              </w:rPr>
              <w:t>4</w:t>
            </w:r>
            <w:r>
              <w:rPr>
                <w:rFonts w:ascii="Times New Roman" w:hAnsi="Times New Roman" w:cs="Times New Roman"/>
                <w:color w:val="auto"/>
                <w:sz w:val="21"/>
                <w:szCs w:val="21"/>
                <w:highlight w:val="none"/>
                <w:lang w:val="en-US" w:eastAsia="zh-CN"/>
              </w:rPr>
              <w:t>m</w:t>
            </w:r>
            <w:r>
              <w:rPr>
                <w:rFonts w:ascii="Times New Roman" w:hAnsi="Times New Roman" w:cs="Times New Roman"/>
                <w:color w:val="auto"/>
                <w:sz w:val="21"/>
                <w:szCs w:val="21"/>
                <w:highlight w:val="none"/>
              </w:rPr>
              <w:t>烟囱</w:t>
            </w:r>
            <w:r>
              <w:rPr>
                <w:rFonts w:hint="eastAsia" w:ascii="Times New Roman" w:hAnsi="Times New Roman" w:cs="Times New Roman"/>
                <w:color w:val="auto"/>
                <w:sz w:val="21"/>
                <w:szCs w:val="21"/>
                <w:highlight w:val="none"/>
                <w:lang w:eastAsia="zh-CN"/>
              </w:rPr>
              <w:t>。</w:t>
            </w:r>
          </w:p>
        </w:tc>
        <w:tc>
          <w:tcPr>
            <w:tcW w:w="393" w:type="pct"/>
            <w:shd w:val="clear" w:color="auto" w:fill="FFFFFF"/>
            <w:noWrap w:val="0"/>
            <w:vAlign w:val="center"/>
          </w:tcPr>
          <w:p w14:paraId="06E6460B">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092F9A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6A5C144F">
            <w:pPr>
              <w:spacing w:line="240" w:lineRule="auto"/>
              <w:ind w:firstLine="0" w:firstLineChars="0"/>
              <w:jc w:val="center"/>
              <w:rPr>
                <w:rFonts w:ascii="Times New Roman" w:hAnsi="Times New Roman" w:eastAsia="Times New Roman"/>
                <w:kern w:val="0"/>
                <w:sz w:val="21"/>
                <w:szCs w:val="21"/>
                <w:highlight w:val="none"/>
                <w:lang w:bidi="en-US"/>
              </w:rPr>
            </w:pPr>
          </w:p>
        </w:tc>
        <w:tc>
          <w:tcPr>
            <w:tcW w:w="1044" w:type="pct"/>
            <w:gridSpan w:val="2"/>
            <w:shd w:val="clear" w:color="auto" w:fill="FFFFFF"/>
            <w:noWrap w:val="0"/>
            <w:vAlign w:val="center"/>
          </w:tcPr>
          <w:p w14:paraId="09F33C22">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换热站和热网</w:t>
            </w:r>
          </w:p>
        </w:tc>
        <w:tc>
          <w:tcPr>
            <w:tcW w:w="3184" w:type="pct"/>
            <w:shd w:val="clear" w:color="auto" w:fill="FFFFFF"/>
            <w:noWrap w:val="0"/>
            <w:vAlign w:val="center"/>
          </w:tcPr>
          <w:p w14:paraId="42EA434D">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企业建设换热站34座，供热管网88.4公里，其中：一级网21.3公里，二级网67.1公里。</w:t>
            </w:r>
          </w:p>
        </w:tc>
        <w:tc>
          <w:tcPr>
            <w:tcW w:w="393" w:type="pct"/>
            <w:shd w:val="clear" w:color="auto" w:fill="FFFFFF"/>
            <w:noWrap w:val="0"/>
            <w:vAlign w:val="center"/>
          </w:tcPr>
          <w:p w14:paraId="5BE809DB">
            <w:pPr>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已建</w:t>
            </w:r>
          </w:p>
        </w:tc>
      </w:tr>
      <w:tr w14:paraId="5BD5BE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restart"/>
            <w:shd w:val="clear" w:color="auto" w:fill="FFFFFF"/>
            <w:noWrap w:val="0"/>
            <w:vAlign w:val="center"/>
          </w:tcPr>
          <w:p w14:paraId="62C0FBAE">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公用工程</w:t>
            </w:r>
          </w:p>
        </w:tc>
        <w:tc>
          <w:tcPr>
            <w:tcW w:w="1044" w:type="pct"/>
            <w:gridSpan w:val="2"/>
            <w:shd w:val="clear" w:color="auto" w:fill="FFFFFF"/>
            <w:noWrap w:val="0"/>
            <w:vAlign w:val="center"/>
          </w:tcPr>
          <w:p w14:paraId="02DDC93F">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给水系统</w:t>
            </w:r>
          </w:p>
        </w:tc>
        <w:tc>
          <w:tcPr>
            <w:tcW w:w="3184" w:type="pct"/>
            <w:shd w:val="clear" w:color="auto" w:fill="FFFFFF"/>
            <w:noWrap w:val="0"/>
            <w:vAlign w:val="center"/>
          </w:tcPr>
          <w:p w14:paraId="2F39147A">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本项目生产</w:t>
            </w:r>
            <w:r>
              <w:rPr>
                <w:rFonts w:ascii="Times New Roman" w:hAnsi="Times New Roman" w:cs="Times New Roman"/>
                <w:color w:val="auto"/>
                <w:sz w:val="21"/>
                <w:szCs w:val="21"/>
                <w:highlight w:val="none"/>
                <w:lang w:val="en-US" w:eastAsia="zh-CN"/>
              </w:rPr>
              <w:t>及生活</w:t>
            </w:r>
            <w:r>
              <w:rPr>
                <w:rFonts w:ascii="Times New Roman" w:hAnsi="Times New Roman" w:cs="Times New Roman"/>
                <w:color w:val="auto"/>
                <w:sz w:val="21"/>
                <w:szCs w:val="21"/>
                <w:highlight w:val="none"/>
                <w:lang w:eastAsia="zh-CN"/>
              </w:rPr>
              <w:t>用水依托市政管网供给，用水量约为</w:t>
            </w:r>
            <w:r>
              <w:rPr>
                <w:rFonts w:hint="eastAsia" w:ascii="Times New Roman" w:hAnsi="Times New Roman" w:cs="Times New Roman"/>
                <w:color w:val="auto"/>
                <w:sz w:val="21"/>
                <w:szCs w:val="21"/>
                <w:highlight w:val="none"/>
                <w:lang w:val="en-US" w:eastAsia="zh-CN"/>
              </w:rPr>
              <w:t>240228.21</w:t>
            </w:r>
            <w:r>
              <w:rPr>
                <w:rFonts w:ascii="Times New Roman" w:hAnsi="Times New Roman" w:cs="Times New Roman"/>
                <w:color w:val="auto"/>
                <w:sz w:val="21"/>
                <w:szCs w:val="21"/>
                <w:highlight w:val="none"/>
              </w:rPr>
              <w:t>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rPr>
              <w:t>/</w:t>
            </w:r>
            <w:r>
              <w:rPr>
                <w:rFonts w:ascii="Times New Roman" w:hAnsi="Times New Roman" w:cs="Times New Roman"/>
                <w:color w:val="auto"/>
                <w:sz w:val="21"/>
                <w:szCs w:val="21"/>
                <w:highlight w:val="none"/>
                <w:lang w:val="en-US" w:eastAsia="zh-CN"/>
              </w:rPr>
              <w:t>a</w:t>
            </w:r>
            <w:r>
              <w:rPr>
                <w:rFonts w:ascii="Times New Roman" w:hAnsi="Times New Roman" w:cs="Times New Roman"/>
                <w:color w:val="auto"/>
                <w:sz w:val="21"/>
                <w:szCs w:val="21"/>
                <w:highlight w:val="none"/>
                <w:lang w:eastAsia="zh-CN"/>
              </w:rPr>
              <w:t>。</w:t>
            </w:r>
          </w:p>
        </w:tc>
        <w:tc>
          <w:tcPr>
            <w:tcW w:w="393" w:type="pct"/>
            <w:shd w:val="clear" w:color="auto" w:fill="FFFFFF"/>
            <w:noWrap w:val="0"/>
            <w:vAlign w:val="center"/>
          </w:tcPr>
          <w:p w14:paraId="33C5B417">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依托</w:t>
            </w:r>
          </w:p>
        </w:tc>
      </w:tr>
      <w:tr w14:paraId="671893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7352423E">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7DBFAD00">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排水系统</w:t>
            </w:r>
          </w:p>
        </w:tc>
        <w:tc>
          <w:tcPr>
            <w:tcW w:w="3184" w:type="pct"/>
            <w:shd w:val="clear" w:color="auto" w:fill="FFFFFF"/>
            <w:noWrap w:val="0"/>
            <w:vAlign w:val="center"/>
          </w:tcPr>
          <w:p w14:paraId="5F66BB6B">
            <w:pPr>
              <w:pStyle w:val="25"/>
              <w:spacing w:after="0" w:line="240" w:lineRule="auto"/>
              <w:ind w:firstLine="0"/>
              <w:jc w:val="center"/>
              <w:rPr>
                <w:rFonts w:ascii="Times New Roman" w:hAnsi="Times New Roman" w:cs="Times New Roman"/>
                <w:color w:val="auto"/>
                <w:sz w:val="21"/>
                <w:szCs w:val="21"/>
                <w:highlight w:val="none"/>
                <w:lang w:val="en-US" w:eastAsia="zh-CN"/>
              </w:rPr>
            </w:pPr>
            <w:r>
              <w:rPr>
                <w:rFonts w:ascii="Times New Roman" w:hAnsi="Times New Roman" w:cs="Times New Roman"/>
                <w:color w:val="auto"/>
                <w:sz w:val="21"/>
                <w:szCs w:val="21"/>
                <w:highlight w:val="none"/>
              </w:rPr>
              <w:t>厂区内排水系统采用分流制：雨水排水系统</w:t>
            </w:r>
            <w:r>
              <w:rPr>
                <w:rFonts w:ascii="Times New Roman" w:hAnsi="Times New Roman" w:cs="Times New Roman"/>
                <w:color w:val="auto"/>
                <w:sz w:val="21"/>
                <w:szCs w:val="21"/>
                <w:highlight w:val="none"/>
                <w:lang w:eastAsia="zh-CN"/>
              </w:rPr>
              <w:t>；</w:t>
            </w:r>
            <w:r>
              <w:rPr>
                <w:rFonts w:ascii="Times New Roman" w:hAnsi="Times New Roman" w:cs="Times New Roman"/>
                <w:color w:val="auto"/>
                <w:sz w:val="21"/>
                <w:szCs w:val="21"/>
                <w:highlight w:val="none"/>
                <w:lang w:val="en-US" w:eastAsia="zh-CN"/>
              </w:rPr>
              <w:t>生产废水回用，不外排。</w:t>
            </w:r>
            <w:r>
              <w:rPr>
                <w:rFonts w:hint="eastAsia" w:ascii="Times New Roman" w:hAnsi="Times New Roman" w:cs="Times New Roman"/>
                <w:color w:val="auto"/>
                <w:sz w:val="21"/>
                <w:szCs w:val="21"/>
                <w:highlight w:val="none"/>
                <w:lang w:val="en-US" w:eastAsia="zh-CN"/>
              </w:rPr>
              <w:t>生活污水排入市政管网，经污水管网排入绥芬河中环污水处理有限公司，处理达到《城镇污水处理厂污染物排放标准》(GB18918—2002)一级B标准后最终汇入小绥芬河。</w:t>
            </w:r>
          </w:p>
        </w:tc>
        <w:tc>
          <w:tcPr>
            <w:tcW w:w="393" w:type="pct"/>
            <w:shd w:val="clear" w:color="auto" w:fill="FFFFFF"/>
            <w:noWrap w:val="0"/>
            <w:vAlign w:val="center"/>
          </w:tcPr>
          <w:p w14:paraId="3E164065">
            <w:pPr>
              <w:pStyle w:val="25"/>
              <w:spacing w:after="0" w:line="240" w:lineRule="auto"/>
              <w:ind w:firstLine="0"/>
              <w:jc w:val="center"/>
              <w:rPr>
                <w:rFonts w:ascii="Times New Roman" w:hAnsi="Times New Roman" w:cs="Times New Roman"/>
                <w:color w:val="auto"/>
                <w:sz w:val="21"/>
                <w:szCs w:val="21"/>
                <w:highlight w:val="none"/>
                <w:lang w:val="en-US" w:eastAsia="zh-CN"/>
              </w:rPr>
            </w:pPr>
            <w:r>
              <w:rPr>
                <w:rFonts w:ascii="Times New Roman" w:hAnsi="Times New Roman" w:cs="Times New Roman"/>
                <w:color w:val="auto"/>
                <w:sz w:val="21"/>
                <w:szCs w:val="21"/>
                <w:highlight w:val="none"/>
                <w:lang w:val="en-US" w:eastAsia="zh-CN"/>
              </w:rPr>
              <w:t>依托</w:t>
            </w:r>
          </w:p>
        </w:tc>
      </w:tr>
      <w:tr w14:paraId="2CF6BC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A785E88">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27A8B6D1">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消防系统</w:t>
            </w:r>
          </w:p>
        </w:tc>
        <w:tc>
          <w:tcPr>
            <w:tcW w:w="3184" w:type="pct"/>
            <w:shd w:val="clear" w:color="auto" w:fill="FFFFFF"/>
            <w:noWrap w:val="0"/>
            <w:vAlign w:val="center"/>
          </w:tcPr>
          <w:p w14:paraId="4B97D3CA">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本工程生产、生活及消防用水都分别由现有工程的给水管网供给；</w:t>
            </w:r>
            <w:r>
              <w:rPr>
                <w:rFonts w:hint="eastAsia" w:ascii="Times New Roman" w:hAnsi="Times New Roman" w:cs="Times New Roman"/>
                <w:color w:val="auto"/>
                <w:sz w:val="21"/>
                <w:szCs w:val="21"/>
                <w:highlight w:val="none"/>
                <w:lang w:val="en-US" w:eastAsia="zh-CN"/>
              </w:rPr>
              <w:t>从</w:t>
            </w:r>
            <w:r>
              <w:rPr>
                <w:rFonts w:hint="eastAsia" w:ascii="Times New Roman" w:hAnsi="Times New Roman" w:cs="Times New Roman"/>
                <w:color w:val="auto"/>
                <w:sz w:val="21"/>
                <w:szCs w:val="21"/>
                <w:highlight w:val="none"/>
              </w:rPr>
              <w:t>市政给水管道</w:t>
            </w:r>
            <w:r>
              <w:rPr>
                <w:rFonts w:hint="eastAsia" w:ascii="Times New Roman" w:hAnsi="Times New Roman" w:cs="Times New Roman"/>
                <w:color w:val="auto"/>
                <w:sz w:val="21"/>
                <w:szCs w:val="21"/>
                <w:highlight w:val="none"/>
                <w:lang w:val="en-US" w:eastAsia="zh-CN"/>
              </w:rPr>
              <w:t>引入</w:t>
            </w:r>
            <w:r>
              <w:rPr>
                <w:rFonts w:hint="eastAsia" w:ascii="Times New Roman" w:hAnsi="Times New Roman" w:cs="Times New Roman"/>
                <w:color w:val="auto"/>
                <w:sz w:val="21"/>
                <w:szCs w:val="21"/>
                <w:highlight w:val="none"/>
              </w:rPr>
              <w:t>厂</w:t>
            </w:r>
            <w:r>
              <w:rPr>
                <w:rFonts w:hint="eastAsia" w:ascii="Times New Roman" w:hAnsi="Times New Roman" w:cs="Times New Roman"/>
                <w:color w:val="auto"/>
                <w:sz w:val="21"/>
                <w:szCs w:val="21"/>
                <w:highlight w:val="none"/>
                <w:lang w:val="en-US" w:eastAsia="zh-CN"/>
              </w:rPr>
              <w:t>区四楼200</w:t>
            </w:r>
            <w:r>
              <w:rPr>
                <w:rFonts w:hint="eastAsia" w:ascii="Times New Roman" w:hAnsi="Times New Roman" w:cs="Times New Roman"/>
                <w:color w:val="auto"/>
                <w:sz w:val="21"/>
                <w:szCs w:val="21"/>
                <w:highlight w:val="none"/>
              </w:rPr>
              <w:t>m</w:t>
            </w:r>
            <w:r>
              <w:rPr>
                <w:rFonts w:hint="eastAsia" w:ascii="Times New Roman" w:hAnsi="Times New Roman" w:cs="Times New Roman"/>
                <w:color w:val="auto"/>
                <w:sz w:val="21"/>
                <w:szCs w:val="21"/>
                <w:highlight w:val="none"/>
                <w:vertAlign w:val="superscript"/>
              </w:rPr>
              <w:t>3</w:t>
            </w:r>
            <w:r>
              <w:rPr>
                <w:rFonts w:hint="eastAsia" w:ascii="Times New Roman" w:hAnsi="Times New Roman" w:cs="Times New Roman"/>
                <w:color w:val="auto"/>
                <w:sz w:val="21"/>
                <w:szCs w:val="21"/>
                <w:highlight w:val="none"/>
              </w:rPr>
              <w:t>储水池，经综合水泵房二次加压后供给全厂的生产，生活及消防用水</w:t>
            </w:r>
            <w:r>
              <w:rPr>
                <w:rFonts w:ascii="Times New Roman" w:hAnsi="Times New Roman" w:cs="Times New Roman"/>
                <w:color w:val="auto"/>
                <w:sz w:val="21"/>
                <w:szCs w:val="21"/>
                <w:highlight w:val="none"/>
              </w:rPr>
              <w:t>。</w:t>
            </w:r>
          </w:p>
        </w:tc>
        <w:tc>
          <w:tcPr>
            <w:tcW w:w="393" w:type="pct"/>
            <w:shd w:val="clear" w:color="auto" w:fill="FFFFFF"/>
            <w:noWrap w:val="0"/>
            <w:vAlign w:val="center"/>
          </w:tcPr>
          <w:p w14:paraId="501ED1E9">
            <w:pPr>
              <w:pStyle w:val="25"/>
              <w:spacing w:after="0" w:line="240" w:lineRule="auto"/>
              <w:ind w:firstLine="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已建</w:t>
            </w:r>
          </w:p>
        </w:tc>
      </w:tr>
      <w:tr w14:paraId="534036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4753F427">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1378E09A">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供电系统</w:t>
            </w:r>
          </w:p>
        </w:tc>
        <w:tc>
          <w:tcPr>
            <w:tcW w:w="3184" w:type="pct"/>
            <w:shd w:val="clear" w:color="auto" w:fill="FFFFFF"/>
            <w:noWrap w:val="0"/>
            <w:vAlign w:val="center"/>
          </w:tcPr>
          <w:p w14:paraId="2B4F51CA">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市政供电</w:t>
            </w:r>
          </w:p>
        </w:tc>
        <w:tc>
          <w:tcPr>
            <w:tcW w:w="393" w:type="pct"/>
            <w:shd w:val="clear" w:color="auto" w:fill="FFFFFF"/>
            <w:noWrap w:val="0"/>
            <w:vAlign w:val="center"/>
          </w:tcPr>
          <w:p w14:paraId="3CB5B77E">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依托</w:t>
            </w:r>
          </w:p>
        </w:tc>
      </w:tr>
      <w:tr w14:paraId="2F954E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restart"/>
            <w:shd w:val="clear" w:color="auto" w:fill="FFFFFF"/>
            <w:noWrap w:val="0"/>
            <w:vAlign w:val="center"/>
          </w:tcPr>
          <w:p w14:paraId="446D6A83">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储运工程</w:t>
            </w:r>
          </w:p>
        </w:tc>
        <w:tc>
          <w:tcPr>
            <w:tcW w:w="1044" w:type="pct"/>
            <w:gridSpan w:val="2"/>
            <w:shd w:val="clear" w:color="auto" w:fill="FFFFFF"/>
            <w:noWrap w:val="0"/>
            <w:vAlign w:val="center"/>
          </w:tcPr>
          <w:p w14:paraId="65825FFB">
            <w:pPr>
              <w:pStyle w:val="25"/>
              <w:spacing w:after="0" w:line="240" w:lineRule="auto"/>
              <w:ind w:firstLine="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储煤</w:t>
            </w:r>
            <w:r>
              <w:rPr>
                <w:rFonts w:hint="eastAsia" w:ascii="Times New Roman" w:hAnsi="Times New Roman" w:cs="Times New Roman"/>
                <w:color w:val="auto"/>
                <w:sz w:val="21"/>
                <w:szCs w:val="21"/>
                <w:highlight w:val="none"/>
                <w:lang w:val="en-US" w:eastAsia="zh-CN"/>
              </w:rPr>
              <w:t>厂</w:t>
            </w:r>
          </w:p>
        </w:tc>
        <w:tc>
          <w:tcPr>
            <w:tcW w:w="3184" w:type="pct"/>
            <w:shd w:val="clear" w:color="auto" w:fill="FFFFFF"/>
            <w:noWrap w:val="0"/>
            <w:vAlign w:val="center"/>
          </w:tcPr>
          <w:p w14:paraId="18E9D33A">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厂</w:t>
            </w:r>
            <w:r>
              <w:rPr>
                <w:rFonts w:hint="eastAsia" w:ascii="Times New Roman" w:hAnsi="Times New Roman" w:cs="Times New Roman"/>
                <w:color w:val="auto"/>
                <w:sz w:val="21"/>
                <w:szCs w:val="21"/>
                <w:highlight w:val="none"/>
                <w:lang w:eastAsia="zh-CN"/>
              </w:rPr>
              <w:t>界</w:t>
            </w:r>
            <w:r>
              <w:rPr>
                <w:rFonts w:ascii="Times New Roman" w:hAnsi="Times New Roman" w:cs="Times New Roman"/>
                <w:color w:val="auto"/>
                <w:sz w:val="21"/>
                <w:szCs w:val="21"/>
                <w:highlight w:val="none"/>
              </w:rPr>
              <w:t>北侧地块，建设储煤</w:t>
            </w:r>
            <w:r>
              <w:rPr>
                <w:rFonts w:hint="eastAsia" w:ascii="Times New Roman" w:hAnsi="Times New Roman" w:cs="Times New Roman"/>
                <w:color w:val="auto"/>
                <w:sz w:val="21"/>
                <w:szCs w:val="21"/>
                <w:highlight w:val="none"/>
                <w:lang w:val="en-US" w:eastAsia="zh-CN"/>
              </w:rPr>
              <w:t>厂</w:t>
            </w:r>
            <w:r>
              <w:rPr>
                <w:rFonts w:ascii="Times New Roman" w:hAnsi="Times New Roman" w:cs="Times New Roman"/>
                <w:color w:val="auto"/>
                <w:sz w:val="21"/>
                <w:szCs w:val="21"/>
                <w:highlight w:val="none"/>
              </w:rPr>
              <w:t>一座，</w:t>
            </w:r>
            <w:r>
              <w:rPr>
                <w:rFonts w:hint="eastAsia" w:ascii="Times New Roman" w:hAnsi="Times New Roman" w:cs="Times New Roman"/>
                <w:color w:val="auto"/>
                <w:sz w:val="21"/>
                <w:szCs w:val="21"/>
                <w:highlight w:val="none"/>
                <w:lang w:eastAsia="zh-CN"/>
              </w:rPr>
              <w:t>占地</w:t>
            </w:r>
            <w:r>
              <w:rPr>
                <w:rFonts w:ascii="Times New Roman" w:hAnsi="Times New Roman" w:cs="Times New Roman"/>
                <w:color w:val="auto"/>
                <w:sz w:val="21"/>
                <w:szCs w:val="21"/>
                <w:highlight w:val="none"/>
              </w:rPr>
              <w:t>面积</w:t>
            </w:r>
            <w:r>
              <w:rPr>
                <w:rFonts w:hint="eastAsia" w:ascii="Times New Roman" w:hAnsi="Times New Roman" w:cs="Times New Roman"/>
                <w:color w:val="auto"/>
                <w:sz w:val="21"/>
                <w:szCs w:val="21"/>
                <w:highlight w:val="none"/>
                <w:lang w:val="en-US" w:eastAsia="zh-CN"/>
              </w:rPr>
              <w:t>4250</w:t>
            </w:r>
            <w:r>
              <w:rPr>
                <w:rFonts w:ascii="Times New Roman" w:hAnsi="Times New Roman" w:cs="Times New Roman"/>
                <w:color w:val="auto"/>
                <w:sz w:val="21"/>
                <w:szCs w:val="21"/>
                <w:highlight w:val="none"/>
              </w:rPr>
              <w:t>平方米，可存煤</w:t>
            </w:r>
            <w:r>
              <w:rPr>
                <w:rFonts w:hint="eastAsia" w:ascii="Times New Roman" w:hAnsi="Times New Roman" w:cs="Times New Roman"/>
                <w:color w:val="auto"/>
                <w:sz w:val="21"/>
                <w:szCs w:val="21"/>
                <w:highlight w:val="none"/>
                <w:lang w:val="en-US" w:eastAsia="zh-CN"/>
              </w:rPr>
              <w:t>2.55</w:t>
            </w:r>
            <w:r>
              <w:rPr>
                <w:rFonts w:ascii="Times New Roman" w:hAnsi="Times New Roman" w:cs="Times New Roman"/>
                <w:color w:val="auto"/>
                <w:sz w:val="21"/>
                <w:szCs w:val="21"/>
                <w:highlight w:val="none"/>
              </w:rPr>
              <w:t>万吨，满足</w:t>
            </w:r>
            <w:r>
              <w:rPr>
                <w:rFonts w:ascii="Times New Roman" w:hAnsi="Times New Roman" w:cs="Times New Roman"/>
                <w:color w:val="auto"/>
                <w:sz w:val="21"/>
                <w:szCs w:val="21"/>
                <w:highlight w:val="none"/>
                <w:lang w:val="en-US" w:eastAsia="zh-CN"/>
              </w:rPr>
              <w:t>全</w:t>
            </w:r>
            <w:r>
              <w:rPr>
                <w:rFonts w:ascii="Times New Roman" w:hAnsi="Times New Roman" w:cs="Times New Roman"/>
                <w:color w:val="auto"/>
                <w:sz w:val="21"/>
                <w:szCs w:val="21"/>
                <w:highlight w:val="none"/>
              </w:rPr>
              <w:t>厂</w:t>
            </w:r>
            <w:r>
              <w:rPr>
                <w:rFonts w:hint="eastAsia" w:ascii="Times New Roman" w:hAnsi="Times New Roman" w:cs="Times New Roman"/>
                <w:color w:val="auto"/>
                <w:sz w:val="21"/>
                <w:szCs w:val="21"/>
                <w:highlight w:val="none"/>
                <w:lang w:val="en-US" w:eastAsia="zh-CN"/>
              </w:rPr>
              <w:t>最大</w:t>
            </w:r>
            <w:r>
              <w:rPr>
                <w:rFonts w:ascii="Times New Roman" w:hAnsi="Times New Roman" w:cs="Times New Roman"/>
                <w:color w:val="auto"/>
                <w:sz w:val="21"/>
                <w:szCs w:val="21"/>
                <w:highlight w:val="none"/>
              </w:rPr>
              <w:t>满负荷运行</w:t>
            </w:r>
            <w:r>
              <w:rPr>
                <w:rFonts w:hint="eastAsia" w:ascii="Times New Roman" w:hAnsi="Times New Roman" w:cs="Times New Roman"/>
                <w:color w:val="auto"/>
                <w:sz w:val="21"/>
                <w:szCs w:val="21"/>
                <w:highlight w:val="none"/>
                <w:lang w:val="en-US" w:eastAsia="zh-CN"/>
              </w:rPr>
              <w:t>33天</w:t>
            </w:r>
            <w:r>
              <w:rPr>
                <w:rFonts w:ascii="Times New Roman" w:hAnsi="Times New Roman" w:cs="Times New Roman"/>
                <w:color w:val="auto"/>
                <w:sz w:val="21"/>
                <w:szCs w:val="21"/>
                <w:highlight w:val="none"/>
              </w:rPr>
              <w:t>耗煤量</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770.0448</w:t>
            </w:r>
            <w:r>
              <w:rPr>
                <w:rFonts w:hint="eastAsia" w:ascii="Times New Roman" w:hAnsi="Times New Roman" w:cs="Times New Roman"/>
                <w:color w:val="auto"/>
                <w:sz w:val="21"/>
                <w:szCs w:val="21"/>
                <w:highlight w:val="none"/>
                <w:lang w:eastAsia="zh-CN"/>
              </w:rPr>
              <w:t>t）。</w:t>
            </w:r>
          </w:p>
        </w:tc>
        <w:tc>
          <w:tcPr>
            <w:tcW w:w="393" w:type="pct"/>
            <w:shd w:val="clear" w:color="auto" w:fill="FFFFFF"/>
            <w:noWrap w:val="0"/>
            <w:vAlign w:val="center"/>
          </w:tcPr>
          <w:p w14:paraId="1F4C6658">
            <w:pPr>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已建</w:t>
            </w:r>
          </w:p>
        </w:tc>
      </w:tr>
      <w:tr w14:paraId="2F39B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B9F92AE">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32A6DA7E">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渣仓</w:t>
            </w:r>
          </w:p>
        </w:tc>
        <w:tc>
          <w:tcPr>
            <w:tcW w:w="3184" w:type="pct"/>
            <w:shd w:val="clear" w:color="auto" w:fill="FFFFFF"/>
            <w:noWrap w:val="0"/>
            <w:vAlign w:val="center"/>
          </w:tcPr>
          <w:p w14:paraId="11CECA0A">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val="en-US" w:eastAsia="zh-CN"/>
              </w:rPr>
              <w:t>建</w:t>
            </w:r>
            <w:r>
              <w:rPr>
                <w:rFonts w:hint="eastAsia" w:ascii="Times New Roman" w:hAnsi="Times New Roman" w:cs="Times New Roman"/>
                <w:color w:val="auto"/>
                <w:sz w:val="21"/>
                <w:szCs w:val="21"/>
                <w:highlight w:val="none"/>
                <w:lang w:val="en-US" w:eastAsia="zh-CN"/>
              </w:rPr>
              <w:t>1</w:t>
            </w:r>
            <w:r>
              <w:rPr>
                <w:rFonts w:ascii="Times New Roman" w:hAnsi="Times New Roman" w:cs="Times New Roman"/>
                <w:color w:val="auto"/>
                <w:sz w:val="21"/>
                <w:szCs w:val="21"/>
                <w:highlight w:val="none"/>
                <w:lang w:val="en-US" w:eastAsia="zh-CN"/>
              </w:rPr>
              <w:t>座</w:t>
            </w:r>
            <w:r>
              <w:rPr>
                <w:rFonts w:ascii="Times New Roman" w:hAnsi="Times New Roman" w:cs="Times New Roman"/>
                <w:color w:val="auto"/>
                <w:sz w:val="21"/>
                <w:szCs w:val="21"/>
                <w:highlight w:val="none"/>
              </w:rPr>
              <w:t>设计容积为</w:t>
            </w:r>
            <w:r>
              <w:rPr>
                <w:rFonts w:hint="eastAsia" w:ascii="Times New Roman" w:hAnsi="Times New Roman" w:cs="Times New Roman"/>
                <w:color w:val="auto"/>
                <w:sz w:val="21"/>
                <w:szCs w:val="21"/>
                <w:highlight w:val="none"/>
                <w:lang w:val="en-US" w:eastAsia="zh-CN"/>
              </w:rPr>
              <w:t>300</w:t>
            </w:r>
            <w:r>
              <w:rPr>
                <w:rFonts w:ascii="Times New Roman" w:hAnsi="Times New Roman" w:cs="Times New Roman"/>
                <w:color w:val="auto"/>
                <w:sz w:val="21"/>
                <w:szCs w:val="21"/>
                <w:highlight w:val="none"/>
              </w:rPr>
              <w:t>m</w:t>
            </w:r>
            <w:r>
              <w:rPr>
                <w:rFonts w:ascii="Times New Roman" w:hAnsi="Times New Roman" w:cs="Times New Roman"/>
                <w:color w:val="auto"/>
                <w:sz w:val="21"/>
                <w:szCs w:val="21"/>
                <w:highlight w:val="none"/>
                <w:vertAlign w:val="superscript"/>
              </w:rPr>
              <w:t>3</w:t>
            </w:r>
            <w:r>
              <w:rPr>
                <w:rFonts w:ascii="Times New Roman" w:hAnsi="Times New Roman" w:cs="Times New Roman"/>
                <w:color w:val="auto"/>
                <w:sz w:val="21"/>
                <w:szCs w:val="21"/>
                <w:highlight w:val="none"/>
                <w:lang w:val="en-US" w:eastAsia="zh-CN"/>
              </w:rPr>
              <w:t>渣</w:t>
            </w:r>
            <w:r>
              <w:rPr>
                <w:rFonts w:hint="eastAsia" w:ascii="Times New Roman" w:hAnsi="Times New Roman" w:cs="Times New Roman"/>
                <w:color w:val="auto"/>
                <w:sz w:val="21"/>
                <w:szCs w:val="21"/>
                <w:highlight w:val="none"/>
                <w:lang w:val="en-US" w:eastAsia="zh-CN"/>
              </w:rPr>
              <w:t>仓</w:t>
            </w:r>
            <w:r>
              <w:rPr>
                <w:rFonts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eastAsia="zh-CN"/>
              </w:rPr>
              <w:t>高度为8m</w:t>
            </w:r>
            <w:r>
              <w:rPr>
                <w:rFonts w:ascii="Times New Roman" w:hAnsi="Times New Roman" w:cs="Times New Roman"/>
                <w:color w:val="auto"/>
                <w:sz w:val="21"/>
                <w:szCs w:val="21"/>
                <w:highlight w:val="none"/>
                <w:lang w:val="en-US" w:eastAsia="zh-CN"/>
              </w:rPr>
              <w:t>。</w:t>
            </w:r>
            <w:r>
              <w:rPr>
                <w:rFonts w:ascii="Times New Roman" w:hAnsi="Times New Roman" w:cs="Times New Roman"/>
                <w:color w:val="auto"/>
                <w:sz w:val="21"/>
                <w:szCs w:val="21"/>
                <w:highlight w:val="none"/>
              </w:rPr>
              <w:t>钢渣仓设有检修设备、排尘设备和卸料装置。</w:t>
            </w:r>
          </w:p>
        </w:tc>
        <w:tc>
          <w:tcPr>
            <w:tcW w:w="393" w:type="pct"/>
            <w:shd w:val="clear" w:color="auto" w:fill="FFFFFF"/>
            <w:noWrap w:val="0"/>
            <w:vAlign w:val="center"/>
          </w:tcPr>
          <w:p w14:paraId="397629AF">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43A900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1E63341A">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63BF8C2D">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灰仓</w:t>
            </w:r>
          </w:p>
        </w:tc>
        <w:tc>
          <w:tcPr>
            <w:tcW w:w="3184" w:type="pct"/>
            <w:shd w:val="clear" w:color="auto" w:fill="FFFFFF"/>
            <w:noWrap w:val="0"/>
            <w:vAlign w:val="center"/>
          </w:tcPr>
          <w:p w14:paraId="5BFEDFA1">
            <w:pPr>
              <w:pStyle w:val="25"/>
              <w:spacing w:after="0" w:line="240" w:lineRule="auto"/>
              <w:ind w:firstLine="0"/>
              <w:jc w:val="center"/>
              <w:rPr>
                <w:rFonts w:hint="default" w:ascii="Times New Roman" w:hAnsi="Times New Roman" w:cs="Times New Roman"/>
                <w:color w:val="auto"/>
                <w:sz w:val="21"/>
                <w:szCs w:val="21"/>
                <w:highlight w:val="none"/>
                <w:lang w:val="en-US" w:eastAsia="zh-CN"/>
              </w:rPr>
            </w:pPr>
            <w:r>
              <w:rPr>
                <w:rFonts w:ascii="Times New Roman" w:hAnsi="Times New Roman" w:cs="Times New Roman"/>
                <w:color w:val="auto"/>
                <w:sz w:val="21"/>
                <w:szCs w:val="21"/>
                <w:highlight w:val="none"/>
                <w:lang w:val="en-US" w:eastAsia="zh-CN"/>
              </w:rPr>
              <w:t>建</w:t>
            </w:r>
            <w:r>
              <w:rPr>
                <w:rFonts w:hint="eastAsia" w:ascii="Times New Roman" w:hAnsi="Times New Roman" w:cs="Times New Roman"/>
                <w:color w:val="auto"/>
                <w:sz w:val="21"/>
                <w:szCs w:val="21"/>
                <w:highlight w:val="none"/>
                <w:lang w:val="en-US" w:eastAsia="zh-CN"/>
              </w:rPr>
              <w:t>1</w:t>
            </w:r>
            <w:r>
              <w:rPr>
                <w:rFonts w:ascii="Times New Roman" w:hAnsi="Times New Roman" w:cs="Times New Roman"/>
                <w:color w:val="auto"/>
                <w:sz w:val="21"/>
                <w:szCs w:val="21"/>
                <w:highlight w:val="none"/>
                <w:lang w:val="en-US" w:eastAsia="zh-CN"/>
              </w:rPr>
              <w:t>座</w:t>
            </w:r>
            <w:r>
              <w:rPr>
                <w:rFonts w:hint="eastAsia" w:ascii="Times New Roman" w:hAnsi="Times New Roman" w:cs="Times New Roman"/>
                <w:color w:val="auto"/>
                <w:sz w:val="21"/>
                <w:szCs w:val="21"/>
                <w:highlight w:val="none"/>
                <w:lang w:val="en-US" w:eastAsia="zh-CN"/>
              </w:rPr>
              <w:t>3</w:t>
            </w:r>
            <w:r>
              <w:rPr>
                <w:rFonts w:ascii="Times New Roman" w:hAnsi="Times New Roman" w:cs="Times New Roman"/>
                <w:color w:val="auto"/>
                <w:sz w:val="21"/>
                <w:szCs w:val="21"/>
                <w:highlight w:val="none"/>
                <w:lang w:val="en-US" w:eastAsia="zh-CN"/>
              </w:rPr>
              <w:t>00m</w:t>
            </w:r>
            <w:r>
              <w:rPr>
                <w:rFonts w:ascii="Times New Roman" w:hAnsi="Times New Roman" w:cs="Times New Roman"/>
                <w:color w:val="auto"/>
                <w:sz w:val="21"/>
                <w:szCs w:val="21"/>
                <w:highlight w:val="none"/>
                <w:vertAlign w:val="superscript"/>
                <w:lang w:val="en-US" w:eastAsia="zh-CN"/>
              </w:rPr>
              <w:t>3</w:t>
            </w:r>
            <w:r>
              <w:rPr>
                <w:rFonts w:ascii="Times New Roman" w:hAnsi="Times New Roman" w:cs="Times New Roman"/>
                <w:color w:val="auto"/>
                <w:sz w:val="21"/>
                <w:szCs w:val="21"/>
                <w:highlight w:val="none"/>
                <w:lang w:val="en-US" w:eastAsia="zh-CN"/>
              </w:rPr>
              <w:t>灰</w:t>
            </w:r>
            <w:r>
              <w:rPr>
                <w:rFonts w:ascii="Times New Roman" w:hAnsi="Times New Roman" w:cs="Times New Roman"/>
                <w:color w:val="auto"/>
                <w:sz w:val="21"/>
                <w:szCs w:val="21"/>
                <w:highlight w:val="none"/>
              </w:rPr>
              <w:t>仓</w:t>
            </w:r>
            <w:r>
              <w:rPr>
                <w:rFonts w:hint="eastAsia" w:ascii="Times New Roman" w:hAnsi="Times New Roman" w:cs="Times New Roman"/>
                <w:color w:val="auto"/>
                <w:sz w:val="21"/>
                <w:szCs w:val="21"/>
                <w:highlight w:val="none"/>
                <w:lang w:eastAsia="zh-CN"/>
              </w:rPr>
              <w:t>、高度为8m</w:t>
            </w:r>
            <w:r>
              <w:rPr>
                <w:rFonts w:ascii="Times New Roman" w:hAnsi="Times New Roman" w:cs="Times New Roman"/>
                <w:color w:val="auto"/>
                <w:sz w:val="21"/>
                <w:szCs w:val="21"/>
                <w:highlight w:val="none"/>
                <w:lang w:val="en-US" w:eastAsia="zh-CN"/>
              </w:rPr>
              <w:t>。灰</w:t>
            </w:r>
            <w:r>
              <w:rPr>
                <w:rFonts w:ascii="Times New Roman" w:hAnsi="Times New Roman" w:cs="Times New Roman"/>
                <w:color w:val="auto"/>
                <w:sz w:val="21"/>
                <w:szCs w:val="21"/>
                <w:highlight w:val="none"/>
              </w:rPr>
              <w:t>仓</w:t>
            </w:r>
            <w:r>
              <w:rPr>
                <w:rFonts w:ascii="Times New Roman" w:hAnsi="Times New Roman" w:cs="Times New Roman"/>
                <w:color w:val="auto"/>
                <w:sz w:val="21"/>
                <w:szCs w:val="21"/>
                <w:highlight w:val="none"/>
                <w:lang w:val="en-US" w:eastAsia="zh-CN"/>
              </w:rPr>
              <w:t>的</w:t>
            </w:r>
            <w:r>
              <w:rPr>
                <w:rFonts w:ascii="Times New Roman" w:hAnsi="Times New Roman" w:cs="Times New Roman"/>
                <w:color w:val="auto"/>
                <w:sz w:val="21"/>
                <w:szCs w:val="21"/>
                <w:highlight w:val="none"/>
              </w:rPr>
              <w:t>仓</w:t>
            </w:r>
            <w:r>
              <w:rPr>
                <w:rFonts w:ascii="Times New Roman" w:hAnsi="Times New Roman" w:cs="Times New Roman"/>
                <w:color w:val="auto"/>
                <w:sz w:val="21"/>
                <w:szCs w:val="21"/>
                <w:highlight w:val="none"/>
                <w:lang w:val="en-US" w:eastAsia="zh-CN"/>
              </w:rPr>
              <w:t>顶均设有脉冲布袋除尘器、压力真空释放阀。灰</w:t>
            </w:r>
            <w:r>
              <w:rPr>
                <w:rFonts w:ascii="Times New Roman" w:hAnsi="Times New Roman" w:cs="Times New Roman"/>
                <w:color w:val="auto"/>
                <w:sz w:val="21"/>
                <w:szCs w:val="21"/>
                <w:highlight w:val="none"/>
              </w:rPr>
              <w:t>仓</w:t>
            </w:r>
            <w:r>
              <w:rPr>
                <w:rFonts w:ascii="Times New Roman" w:hAnsi="Times New Roman" w:cs="Times New Roman"/>
                <w:color w:val="auto"/>
                <w:sz w:val="21"/>
                <w:szCs w:val="21"/>
                <w:highlight w:val="none"/>
                <w:lang w:val="en-US" w:eastAsia="zh-CN"/>
              </w:rPr>
              <w:t>下设2个排放口，1个排放口下设汽车散装机用于干灰装罐车，可供装车外运</w:t>
            </w:r>
            <w:r>
              <w:rPr>
                <w:rFonts w:hint="eastAsia" w:ascii="Times New Roman" w:hAnsi="Times New Roman" w:cs="Times New Roman"/>
                <w:color w:val="auto"/>
                <w:sz w:val="21"/>
                <w:szCs w:val="21"/>
                <w:highlight w:val="none"/>
                <w:lang w:val="en-US" w:eastAsia="zh-CN"/>
              </w:rPr>
              <w:t>至采矿区回填。</w:t>
            </w:r>
          </w:p>
        </w:tc>
        <w:tc>
          <w:tcPr>
            <w:tcW w:w="393" w:type="pct"/>
            <w:shd w:val="clear" w:color="auto" w:fill="FFFFFF"/>
            <w:noWrap w:val="0"/>
            <w:vAlign w:val="center"/>
          </w:tcPr>
          <w:p w14:paraId="30F828C7">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lang w:val="en-US" w:eastAsia="zh-CN"/>
              </w:rPr>
              <w:t>已</w:t>
            </w:r>
            <w:r>
              <w:rPr>
                <w:rFonts w:ascii="Times New Roman" w:hAnsi="Times New Roman"/>
                <w:kern w:val="0"/>
                <w:sz w:val="21"/>
                <w:szCs w:val="21"/>
                <w:highlight w:val="none"/>
              </w:rPr>
              <w:t>建</w:t>
            </w:r>
          </w:p>
        </w:tc>
      </w:tr>
      <w:tr w14:paraId="5D9A8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9CE947F">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0A013B87">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石灰石粉仓</w:t>
            </w:r>
          </w:p>
        </w:tc>
        <w:tc>
          <w:tcPr>
            <w:tcW w:w="3184" w:type="pct"/>
            <w:shd w:val="clear" w:color="auto" w:fill="FFFFFF"/>
            <w:noWrap w:val="0"/>
            <w:vAlign w:val="center"/>
          </w:tcPr>
          <w:p w14:paraId="5B269680">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eastAsia="zh-CN"/>
              </w:rPr>
              <w:t>位于</w:t>
            </w:r>
            <w:r>
              <w:rPr>
                <w:rFonts w:ascii="Times New Roman" w:hAnsi="Times New Roman" w:cs="Times New Roman"/>
                <w:color w:val="auto"/>
                <w:sz w:val="21"/>
                <w:szCs w:val="21"/>
                <w:highlight w:val="none"/>
                <w:lang w:val="en-US" w:eastAsia="zh-CN"/>
              </w:rPr>
              <w:t>脱硫间</w:t>
            </w:r>
            <w:r>
              <w:rPr>
                <w:rFonts w:ascii="Times New Roman" w:hAnsi="Times New Roman" w:cs="Times New Roman"/>
                <w:color w:val="auto"/>
                <w:sz w:val="21"/>
                <w:szCs w:val="21"/>
                <w:highlight w:val="none"/>
                <w:lang w:eastAsia="zh-CN"/>
              </w:rPr>
              <w:t>内，有效容积约1</w:t>
            </w:r>
            <w:r>
              <w:rPr>
                <w:rFonts w:ascii="Times New Roman" w:hAnsi="Times New Roman" w:cs="Times New Roman"/>
                <w:color w:val="auto"/>
                <w:sz w:val="21"/>
                <w:szCs w:val="21"/>
                <w:highlight w:val="none"/>
                <w:lang w:val="en-US" w:eastAsia="zh-CN"/>
              </w:rPr>
              <w:t>50</w:t>
            </w:r>
            <w:r>
              <w:rPr>
                <w:rFonts w:ascii="Times New Roman" w:hAnsi="Times New Roman" w:cs="Times New Roman"/>
                <w:color w:val="auto"/>
                <w:sz w:val="21"/>
                <w:szCs w:val="21"/>
                <w:highlight w:val="none"/>
                <w:lang w:eastAsia="zh-CN"/>
              </w:rPr>
              <w:t>m</w:t>
            </w:r>
            <w:r>
              <w:rPr>
                <w:rFonts w:ascii="Times New Roman" w:hAnsi="Times New Roman" w:cs="Times New Roman"/>
                <w:color w:val="auto"/>
                <w:sz w:val="21"/>
                <w:szCs w:val="21"/>
                <w:highlight w:val="none"/>
                <w:vertAlign w:val="superscript"/>
                <w:lang w:eastAsia="zh-CN"/>
              </w:rPr>
              <w:t>3</w:t>
            </w:r>
            <w:r>
              <w:rPr>
                <w:rFonts w:ascii="Times New Roman" w:hAnsi="Times New Roman" w:cs="Times New Roman"/>
                <w:color w:val="auto"/>
                <w:sz w:val="21"/>
                <w:szCs w:val="21"/>
                <w:highlight w:val="none"/>
                <w:lang w:eastAsia="zh-CN"/>
              </w:rPr>
              <w:t>的石灰石仓</w:t>
            </w:r>
            <w:r>
              <w:rPr>
                <w:rFonts w:hint="eastAsia" w:ascii="Times New Roman" w:hAnsi="Times New Roman" w:cs="Times New Roman"/>
                <w:color w:val="auto"/>
                <w:sz w:val="21"/>
                <w:szCs w:val="21"/>
                <w:highlight w:val="none"/>
                <w:lang w:eastAsia="zh-CN"/>
              </w:rPr>
              <w:t>，高度为8m，仓顶均设有脉冲布袋除尘器。</w:t>
            </w:r>
          </w:p>
        </w:tc>
        <w:tc>
          <w:tcPr>
            <w:tcW w:w="393" w:type="pct"/>
            <w:shd w:val="clear" w:color="auto" w:fill="FFFFFF"/>
            <w:noWrap w:val="0"/>
            <w:vAlign w:val="center"/>
          </w:tcPr>
          <w:p w14:paraId="63DEC694">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lang w:val="en-US" w:eastAsia="zh-CN"/>
              </w:rPr>
              <w:t>建</w:t>
            </w:r>
          </w:p>
        </w:tc>
      </w:tr>
      <w:tr w14:paraId="595A38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710" w:hRule="atLeast"/>
          <w:jc w:val="center"/>
        </w:trPr>
        <w:tc>
          <w:tcPr>
            <w:tcW w:w="378" w:type="pct"/>
            <w:vMerge w:val="continue"/>
            <w:shd w:val="clear" w:color="auto" w:fill="FFFFFF"/>
            <w:noWrap w:val="0"/>
            <w:vAlign w:val="center"/>
          </w:tcPr>
          <w:p w14:paraId="1F4B6626">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34389535">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脱硫石膏库</w:t>
            </w:r>
          </w:p>
        </w:tc>
        <w:tc>
          <w:tcPr>
            <w:tcW w:w="3184" w:type="pct"/>
            <w:shd w:val="clear" w:color="auto" w:fill="FFFFFF"/>
            <w:noWrap w:val="0"/>
            <w:vAlign w:val="center"/>
          </w:tcPr>
          <w:p w14:paraId="5BC50111">
            <w:pPr>
              <w:pStyle w:val="25"/>
              <w:spacing w:after="0" w:line="240" w:lineRule="auto"/>
              <w:ind w:firstLine="0"/>
              <w:jc w:val="center"/>
              <w:rPr>
                <w:rFonts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建设1座50m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脱硫石膏库，</w:t>
            </w:r>
            <w:r>
              <w:rPr>
                <w:rFonts w:hint="eastAsia" w:ascii="Times New Roman" w:hAnsi="Times New Roman" w:cs="Times New Roman"/>
                <w:color w:val="auto"/>
                <w:sz w:val="21"/>
                <w:szCs w:val="21"/>
                <w:highlight w:val="none"/>
                <w:lang w:eastAsia="zh-CN"/>
              </w:rPr>
              <w:t>设置2台石膏浆液排出泵，将反应后的石膏送至石膏浆液脱水系统进行脱水处理，处理后送至</w:t>
            </w:r>
            <w:r>
              <w:rPr>
                <w:rFonts w:ascii="Times New Roman" w:hAnsi="Times New Roman" w:cs="Times New Roman"/>
                <w:color w:val="auto"/>
                <w:sz w:val="21"/>
                <w:szCs w:val="21"/>
                <w:highlight w:val="none"/>
                <w:lang w:eastAsia="zh-CN"/>
              </w:rPr>
              <w:t>脱硫石膏库</w:t>
            </w:r>
            <w:r>
              <w:rPr>
                <w:rFonts w:hint="eastAsia" w:ascii="Times New Roman" w:hAnsi="Times New Roman" w:cs="Times New Roman"/>
                <w:color w:val="auto"/>
                <w:sz w:val="21"/>
                <w:szCs w:val="21"/>
                <w:highlight w:val="none"/>
                <w:lang w:eastAsia="zh-CN"/>
              </w:rPr>
              <w:t>贮存。</w:t>
            </w:r>
          </w:p>
        </w:tc>
        <w:tc>
          <w:tcPr>
            <w:tcW w:w="393" w:type="pct"/>
            <w:shd w:val="clear" w:color="auto" w:fill="FFFFFF"/>
            <w:noWrap w:val="0"/>
            <w:vAlign w:val="center"/>
          </w:tcPr>
          <w:p w14:paraId="316A5E2E">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3EC86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77F8638">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62655881">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尿素存储间</w:t>
            </w:r>
          </w:p>
        </w:tc>
        <w:tc>
          <w:tcPr>
            <w:tcW w:w="3184" w:type="pct"/>
            <w:shd w:val="clear" w:color="auto" w:fill="FFFFFF"/>
            <w:noWrap w:val="0"/>
            <w:vAlign w:val="center"/>
          </w:tcPr>
          <w:p w14:paraId="0CF8D956">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val="en-US" w:eastAsia="zh-CN"/>
              </w:rPr>
              <w:t>尿素间，用于堆放袋装尿素，脱硝剂采用尿素，采用汽车运输方式，由汽车运至厂内，尿素制备储罐10m</w:t>
            </w:r>
            <w:r>
              <w:rPr>
                <w:rFonts w:ascii="Times New Roman" w:hAnsi="Times New Roman" w:cs="Times New Roman"/>
                <w:color w:val="auto"/>
                <w:sz w:val="21"/>
                <w:szCs w:val="21"/>
                <w:highlight w:val="none"/>
                <w:vertAlign w:val="superscript"/>
                <w:lang w:val="en-US" w:eastAsia="zh-CN"/>
              </w:rPr>
              <w:t>3</w:t>
            </w:r>
            <w:r>
              <w:rPr>
                <w:rFonts w:ascii="Times New Roman" w:hAnsi="Times New Roman" w:cs="Times New Roman"/>
                <w:color w:val="auto"/>
                <w:sz w:val="21"/>
                <w:szCs w:val="21"/>
                <w:highlight w:val="none"/>
                <w:lang w:val="en-US" w:eastAsia="zh-CN"/>
              </w:rPr>
              <w:t>，尿素溶液储罐80m</w:t>
            </w:r>
            <w:r>
              <w:rPr>
                <w:rFonts w:ascii="Times New Roman" w:hAnsi="Times New Roman" w:cs="Times New Roman"/>
                <w:color w:val="auto"/>
                <w:sz w:val="21"/>
                <w:szCs w:val="21"/>
                <w:highlight w:val="none"/>
                <w:vertAlign w:val="superscript"/>
                <w:lang w:val="en-US" w:eastAsia="zh-CN"/>
              </w:rPr>
              <w:t>3</w:t>
            </w:r>
            <w:r>
              <w:rPr>
                <w:rFonts w:ascii="Times New Roman" w:hAnsi="Times New Roman" w:cs="Times New Roman"/>
                <w:color w:val="auto"/>
                <w:sz w:val="21"/>
                <w:szCs w:val="21"/>
                <w:highlight w:val="none"/>
                <w:lang w:val="en-US" w:eastAsia="zh-CN"/>
              </w:rPr>
              <w:t>，用于储存配制好的尿素溶剂。</w:t>
            </w:r>
          </w:p>
        </w:tc>
        <w:tc>
          <w:tcPr>
            <w:tcW w:w="393" w:type="pct"/>
            <w:shd w:val="clear" w:color="auto" w:fill="FFFFFF"/>
            <w:noWrap w:val="0"/>
            <w:vAlign w:val="center"/>
          </w:tcPr>
          <w:p w14:paraId="7B2F7B1D">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6B3EA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restart"/>
            <w:shd w:val="clear" w:color="auto" w:fill="FFFFFF"/>
            <w:noWrap w:val="0"/>
            <w:vAlign w:val="center"/>
          </w:tcPr>
          <w:p w14:paraId="179E7E5F">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环保工程</w:t>
            </w:r>
          </w:p>
        </w:tc>
        <w:tc>
          <w:tcPr>
            <w:tcW w:w="1044" w:type="pct"/>
            <w:gridSpan w:val="2"/>
            <w:vMerge w:val="restart"/>
            <w:shd w:val="clear" w:color="auto" w:fill="FFFFFF"/>
            <w:noWrap w:val="0"/>
            <w:vAlign w:val="center"/>
          </w:tcPr>
          <w:p w14:paraId="587D1A19">
            <w:pPr>
              <w:pStyle w:val="25"/>
              <w:spacing w:after="0" w:line="240" w:lineRule="auto"/>
              <w:ind w:firstLine="0"/>
              <w:jc w:val="center"/>
              <w:rPr>
                <w:rFonts w:hint="eastAsia"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rPr>
              <w:t>烟气</w:t>
            </w:r>
            <w:r>
              <w:rPr>
                <w:rFonts w:hint="eastAsia" w:ascii="Times New Roman" w:hAnsi="Times New Roman" w:cs="Times New Roman"/>
                <w:color w:val="auto"/>
                <w:sz w:val="21"/>
                <w:szCs w:val="21"/>
                <w:highlight w:val="none"/>
              </w:rPr>
              <w:t>治理措施</w:t>
            </w:r>
          </w:p>
        </w:tc>
        <w:tc>
          <w:tcPr>
            <w:tcW w:w="3184" w:type="pct"/>
            <w:shd w:val="clear" w:color="auto" w:fill="FFFFFF"/>
            <w:noWrap w:val="0"/>
            <w:vAlign w:val="center"/>
          </w:tcPr>
          <w:p w14:paraId="054D4151">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每台锅炉配套建设</w:t>
            </w:r>
            <w:r>
              <w:rPr>
                <w:rFonts w:hint="eastAsia" w:ascii="Times New Roman" w:hAnsi="Times New Roman" w:cs="Times New Roman"/>
                <w:color w:val="auto"/>
                <w:sz w:val="21"/>
                <w:szCs w:val="21"/>
                <w:highlight w:val="none"/>
              </w:rPr>
              <w:t>袋除尘器除尘</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除尘效率≥99.9</w:t>
            </w:r>
            <w:r>
              <w:rPr>
                <w:rFonts w:hint="eastAsia" w:ascii="Times New Roman" w:hAnsi="Times New Roman" w:cs="Times New Roman"/>
                <w:color w:val="auto"/>
                <w:sz w:val="21"/>
                <w:szCs w:val="21"/>
                <w:highlight w:val="none"/>
                <w:lang w:eastAsia="zh-CN"/>
              </w:rPr>
              <w:t>2</w:t>
            </w:r>
            <w:r>
              <w:rPr>
                <w:rFonts w:hint="eastAsia" w:ascii="Times New Roman" w:hAnsi="Times New Roman" w:cs="Times New Roman"/>
                <w:color w:val="auto"/>
                <w:sz w:val="21"/>
                <w:szCs w:val="21"/>
                <w:highlight w:val="none"/>
              </w:rPr>
              <w:t>%、石灰石-石膏湿法脱硫协同除尘效率50%</w:t>
            </w:r>
            <w:r>
              <w:rPr>
                <w:rFonts w:hint="eastAsia" w:ascii="Times New Roman" w:hAnsi="Times New Roman" w:cs="Times New Roman"/>
                <w:color w:val="auto"/>
                <w:sz w:val="21"/>
                <w:szCs w:val="21"/>
                <w:highlight w:val="none"/>
                <w:lang w:eastAsia="zh-CN"/>
              </w:rPr>
              <w:t>，综合除尘效率可达99.96%以上。</w:t>
            </w:r>
          </w:p>
        </w:tc>
        <w:tc>
          <w:tcPr>
            <w:tcW w:w="393" w:type="pct"/>
            <w:shd w:val="clear" w:color="auto" w:fill="FFFFFF"/>
            <w:noWrap w:val="0"/>
            <w:vAlign w:val="center"/>
          </w:tcPr>
          <w:p w14:paraId="56AB78C0">
            <w:pPr>
              <w:pStyle w:val="25"/>
              <w:spacing w:after="0" w:line="240" w:lineRule="auto"/>
              <w:ind w:firstLine="0"/>
              <w:jc w:val="center"/>
              <w:rPr>
                <w:rFonts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lang w:val="en-US" w:eastAsia="zh-CN"/>
              </w:rPr>
              <w:t>建</w:t>
            </w:r>
          </w:p>
        </w:tc>
      </w:tr>
      <w:tr w14:paraId="49ECB7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54E8672B">
            <w:pPr>
              <w:spacing w:line="240" w:lineRule="auto"/>
              <w:ind w:firstLine="0" w:firstLineChars="0"/>
              <w:jc w:val="center"/>
              <w:rPr>
                <w:rFonts w:ascii="Times New Roman" w:hAnsi="Times New Roman" w:eastAsia="Times New Roman"/>
                <w:kern w:val="0"/>
                <w:sz w:val="21"/>
                <w:szCs w:val="21"/>
                <w:highlight w:val="none"/>
                <w:lang w:eastAsia="zh-TW" w:bidi="en-US"/>
              </w:rPr>
            </w:pPr>
          </w:p>
        </w:tc>
        <w:tc>
          <w:tcPr>
            <w:tcW w:w="1044" w:type="pct"/>
            <w:gridSpan w:val="2"/>
            <w:vMerge w:val="continue"/>
            <w:shd w:val="clear" w:color="auto" w:fill="FFFFFF"/>
            <w:noWrap w:val="0"/>
            <w:vAlign w:val="center"/>
          </w:tcPr>
          <w:p w14:paraId="7B903E4A">
            <w:pPr>
              <w:pStyle w:val="25"/>
              <w:spacing w:after="0" w:line="240" w:lineRule="auto"/>
              <w:ind w:firstLine="0"/>
              <w:jc w:val="center"/>
              <w:rPr>
                <w:rFonts w:ascii="Times New Roman" w:hAnsi="Times New Roman" w:cs="Times New Roman"/>
                <w:color w:val="auto"/>
                <w:sz w:val="21"/>
                <w:szCs w:val="21"/>
                <w:highlight w:val="none"/>
              </w:rPr>
            </w:pPr>
          </w:p>
        </w:tc>
        <w:tc>
          <w:tcPr>
            <w:tcW w:w="3184" w:type="pct"/>
            <w:shd w:val="clear" w:color="auto" w:fill="FFFFFF"/>
            <w:noWrap w:val="0"/>
            <w:vAlign w:val="center"/>
          </w:tcPr>
          <w:p w14:paraId="2580BDAF">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eastAsia="zh-CN"/>
              </w:rPr>
              <w:t>石灰石</w:t>
            </w:r>
            <w:r>
              <w:rPr>
                <w:rFonts w:ascii="Times New Roman" w:hAnsi="Times New Roman" w:cs="Times New Roman"/>
                <w:color w:val="auto"/>
                <w:sz w:val="21"/>
                <w:szCs w:val="21"/>
                <w:highlight w:val="none"/>
                <w:lang w:val="en-US" w:eastAsia="zh-CN"/>
              </w:rPr>
              <w:t>-石膏湿法脱硫</w:t>
            </w:r>
            <w:r>
              <w:rPr>
                <w:rFonts w:ascii="Times New Roman" w:hAnsi="Times New Roman" w:cs="Times New Roman"/>
                <w:color w:val="auto"/>
                <w:sz w:val="21"/>
                <w:szCs w:val="21"/>
                <w:highlight w:val="none"/>
              </w:rPr>
              <w:t>，</w:t>
            </w:r>
            <w:r>
              <w:rPr>
                <w:rFonts w:ascii="Times New Roman" w:hAnsi="Times New Roman" w:cs="Times New Roman"/>
                <w:color w:val="auto"/>
                <w:sz w:val="21"/>
                <w:szCs w:val="21"/>
                <w:highlight w:val="none"/>
                <w:lang w:eastAsia="zh-CN"/>
              </w:rPr>
              <w:t>共</w:t>
            </w:r>
            <w:r>
              <w:rPr>
                <w:rFonts w:hint="eastAsia" w:ascii="Times New Roman" w:hAnsi="Times New Roman" w:cs="Times New Roman"/>
                <w:color w:val="auto"/>
                <w:sz w:val="21"/>
                <w:szCs w:val="21"/>
                <w:highlight w:val="none"/>
                <w:lang w:val="en-US" w:eastAsia="zh-CN"/>
              </w:rPr>
              <w:t>1</w:t>
            </w:r>
            <w:r>
              <w:rPr>
                <w:rFonts w:ascii="Times New Roman" w:hAnsi="Times New Roman" w:cs="Times New Roman"/>
                <w:color w:val="auto"/>
                <w:sz w:val="21"/>
                <w:szCs w:val="21"/>
                <w:highlight w:val="none"/>
                <w:lang w:eastAsia="zh-CN"/>
              </w:rPr>
              <w:t>座脱硫塔，</w:t>
            </w:r>
            <w:r>
              <w:rPr>
                <w:rFonts w:hint="eastAsia" w:ascii="Times New Roman" w:hAnsi="Times New Roman" w:cs="Times New Roman"/>
                <w:color w:val="auto"/>
                <w:sz w:val="21"/>
                <w:szCs w:val="21"/>
                <w:highlight w:val="none"/>
              </w:rPr>
              <w:t>吸收塔采用托盘配四层喷淋层、三层除雾器的高效除尘脱硫一体化技术，脱硫效率不小于97%，除尘效率按50%考虑</w:t>
            </w:r>
            <w:r>
              <w:rPr>
                <w:rFonts w:ascii="Times New Roman" w:hAnsi="Times New Roman" w:cs="Times New Roman"/>
                <w:color w:val="auto"/>
                <w:sz w:val="21"/>
                <w:szCs w:val="21"/>
                <w:highlight w:val="none"/>
              </w:rPr>
              <w:t>。</w:t>
            </w:r>
          </w:p>
        </w:tc>
        <w:tc>
          <w:tcPr>
            <w:tcW w:w="393" w:type="pct"/>
            <w:shd w:val="clear" w:color="auto" w:fill="FFFFFF"/>
            <w:noWrap w:val="0"/>
            <w:vAlign w:val="center"/>
          </w:tcPr>
          <w:p w14:paraId="49E89652">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5E6271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42056340">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vMerge w:val="continue"/>
            <w:shd w:val="clear" w:color="auto" w:fill="FFFFFF"/>
            <w:noWrap w:val="0"/>
            <w:vAlign w:val="center"/>
          </w:tcPr>
          <w:p w14:paraId="2D87453F">
            <w:pPr>
              <w:pStyle w:val="25"/>
              <w:spacing w:after="0" w:line="240" w:lineRule="auto"/>
              <w:ind w:firstLine="0"/>
              <w:jc w:val="center"/>
              <w:rPr>
                <w:rFonts w:ascii="Times New Roman" w:hAnsi="Times New Roman" w:cs="Times New Roman"/>
                <w:color w:val="auto"/>
                <w:sz w:val="21"/>
                <w:szCs w:val="21"/>
                <w:highlight w:val="none"/>
              </w:rPr>
            </w:pPr>
          </w:p>
        </w:tc>
        <w:tc>
          <w:tcPr>
            <w:tcW w:w="3184" w:type="pct"/>
            <w:shd w:val="clear" w:color="auto" w:fill="FFFFFF"/>
            <w:noWrap w:val="0"/>
            <w:vAlign w:val="center"/>
          </w:tcPr>
          <w:p w14:paraId="4D701EB5">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循环流化床低氮燃烧技术</w:t>
            </w:r>
            <w:r>
              <w:rPr>
                <w:rFonts w:hint="eastAsia" w:ascii="Times New Roman" w:hAnsi="Times New Roman" w:cs="Times New Roman"/>
                <w:color w:val="auto"/>
                <w:sz w:val="21"/>
                <w:szCs w:val="21"/>
                <w:highlight w:val="none"/>
                <w:lang w:val="en-US" w:eastAsia="zh-CN"/>
              </w:rPr>
              <w:t>+</w:t>
            </w:r>
            <w:r>
              <w:rPr>
                <w:rFonts w:ascii="Times New Roman" w:hAnsi="Times New Roman" w:eastAsia="Times New Roman" w:cs="Times New Roman"/>
                <w:color w:val="auto"/>
                <w:sz w:val="21"/>
                <w:szCs w:val="21"/>
                <w:highlight w:val="none"/>
                <w:lang w:val="en-US" w:eastAsia="zh-CN" w:bidi="en-US"/>
              </w:rPr>
              <w:t>SNCR-SCR</w:t>
            </w:r>
            <w:r>
              <w:rPr>
                <w:rFonts w:ascii="Times New Roman" w:hAnsi="Times New Roman" w:cs="Times New Roman"/>
                <w:color w:val="auto"/>
                <w:sz w:val="21"/>
                <w:szCs w:val="21"/>
                <w:highlight w:val="none"/>
              </w:rPr>
              <w:t>法脱硝</w:t>
            </w:r>
            <w:r>
              <w:rPr>
                <w:rFonts w:ascii="Times New Roman" w:hAnsi="Times New Roman" w:cs="Times New Roman"/>
                <w:color w:val="auto"/>
                <w:sz w:val="21"/>
                <w:szCs w:val="21"/>
                <w:highlight w:val="none"/>
                <w:lang w:eastAsia="zh-CN"/>
              </w:rPr>
              <w:t>，脱硝效率为</w:t>
            </w:r>
            <w:r>
              <w:rPr>
                <w:rFonts w:hint="eastAsia" w:ascii="Times New Roman" w:hAnsi="Times New Roman" w:cs="Times New Roman"/>
                <w:color w:val="auto"/>
                <w:sz w:val="21"/>
                <w:szCs w:val="21"/>
                <w:highlight w:val="none"/>
                <w:lang w:val="en-US" w:eastAsia="zh-CN"/>
              </w:rPr>
              <w:t>99</w:t>
            </w:r>
            <w:r>
              <w:rPr>
                <w:rFonts w:ascii="Times New Roman" w:hAnsi="Times New Roman" w:cs="Times New Roman"/>
                <w:color w:val="auto"/>
                <w:sz w:val="21"/>
                <w:szCs w:val="21"/>
                <w:highlight w:val="none"/>
                <w:lang w:eastAsia="zh-CN"/>
              </w:rPr>
              <w:t>%</w:t>
            </w:r>
            <w:r>
              <w:rPr>
                <w:rFonts w:ascii="Times New Roman" w:hAnsi="Times New Roman" w:cs="Times New Roman"/>
                <w:color w:val="auto"/>
                <w:sz w:val="21"/>
                <w:szCs w:val="21"/>
                <w:highlight w:val="none"/>
              </w:rPr>
              <w:t>。</w:t>
            </w:r>
          </w:p>
        </w:tc>
        <w:tc>
          <w:tcPr>
            <w:tcW w:w="393" w:type="pct"/>
            <w:shd w:val="clear" w:color="auto" w:fill="FFFFFF"/>
            <w:noWrap w:val="0"/>
            <w:vAlign w:val="center"/>
          </w:tcPr>
          <w:p w14:paraId="423C1313">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18331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30791A14">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vMerge w:val="continue"/>
            <w:shd w:val="clear" w:color="auto" w:fill="FFFFFF"/>
            <w:noWrap w:val="0"/>
            <w:vAlign w:val="center"/>
          </w:tcPr>
          <w:p w14:paraId="562E69E0">
            <w:pPr>
              <w:pStyle w:val="25"/>
              <w:spacing w:after="0" w:line="240" w:lineRule="auto"/>
              <w:ind w:firstLine="0"/>
              <w:jc w:val="center"/>
              <w:rPr>
                <w:rFonts w:ascii="Times New Roman" w:hAnsi="Times New Roman" w:cs="Times New Roman"/>
                <w:color w:val="auto"/>
                <w:sz w:val="21"/>
                <w:szCs w:val="21"/>
                <w:highlight w:val="none"/>
              </w:rPr>
            </w:pPr>
          </w:p>
        </w:tc>
        <w:tc>
          <w:tcPr>
            <w:tcW w:w="3184" w:type="pct"/>
            <w:shd w:val="clear" w:color="auto" w:fill="FFFFFF"/>
            <w:noWrap w:val="0"/>
            <w:vAlign w:val="center"/>
          </w:tcPr>
          <w:p w14:paraId="2E18DD45">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本项目锅炉烟气汞及其化合物采用协同去除，去除效率可达70%以上。</w:t>
            </w:r>
          </w:p>
        </w:tc>
        <w:tc>
          <w:tcPr>
            <w:tcW w:w="393" w:type="pct"/>
            <w:shd w:val="clear" w:color="auto" w:fill="FFFFFF"/>
            <w:noWrap w:val="0"/>
            <w:vAlign w:val="center"/>
          </w:tcPr>
          <w:p w14:paraId="44714DC1">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02BB96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BCEE23C">
            <w:pPr>
              <w:spacing w:line="240" w:lineRule="auto"/>
              <w:ind w:firstLine="0" w:firstLineChars="0"/>
              <w:jc w:val="center"/>
              <w:rPr>
                <w:rFonts w:ascii="Times New Roman" w:hAnsi="Times New Roman" w:eastAsia="Times New Roman"/>
                <w:kern w:val="0"/>
                <w:sz w:val="21"/>
                <w:szCs w:val="21"/>
                <w:highlight w:val="none"/>
                <w:lang w:bidi="en-US"/>
              </w:rPr>
            </w:pPr>
          </w:p>
        </w:tc>
        <w:tc>
          <w:tcPr>
            <w:tcW w:w="1044" w:type="pct"/>
            <w:gridSpan w:val="2"/>
            <w:shd w:val="clear" w:color="auto" w:fill="FFFFFF"/>
            <w:noWrap w:val="0"/>
            <w:vAlign w:val="center"/>
          </w:tcPr>
          <w:p w14:paraId="4B1AA445">
            <w:pPr>
              <w:pStyle w:val="25"/>
              <w:spacing w:after="0" w:line="240" w:lineRule="auto"/>
              <w:ind w:firstLine="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粉尘治理工程</w:t>
            </w:r>
          </w:p>
        </w:tc>
        <w:tc>
          <w:tcPr>
            <w:tcW w:w="3184" w:type="pct"/>
            <w:shd w:val="clear" w:color="auto" w:fill="FFFFFF"/>
            <w:noWrap w:val="0"/>
            <w:vAlign w:val="center"/>
          </w:tcPr>
          <w:p w14:paraId="0B72F1A2">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rPr>
              <w:t>石灰石粉仓、灰仓</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渣仓</w:t>
            </w:r>
            <w:r>
              <w:rPr>
                <w:rFonts w:hint="eastAsia" w:ascii="Times New Roman" w:hAnsi="Times New Roman" w:cs="Times New Roman"/>
                <w:color w:val="auto"/>
                <w:sz w:val="21"/>
                <w:szCs w:val="21"/>
                <w:highlight w:val="none"/>
              </w:rPr>
              <w:t>仓顶设脉冲布袋除尘</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仓顶排放</w:t>
            </w:r>
            <w:r>
              <w:rPr>
                <w:rFonts w:hint="eastAsia"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eastAsia="zh-CN"/>
              </w:rPr>
              <w:t>碎煤机室设置布袋除尘器</w:t>
            </w:r>
            <w:r>
              <w:rPr>
                <w:rFonts w:hint="eastAsia" w:ascii="Times New Roman" w:hAnsi="Times New Roman" w:cs="Times New Roman"/>
                <w:color w:val="auto"/>
                <w:sz w:val="21"/>
                <w:szCs w:val="21"/>
                <w:highlight w:val="none"/>
                <w:lang w:val="en-US" w:eastAsia="zh-CN"/>
              </w:rPr>
              <w:t>除尘，经15m高排气筒排放</w:t>
            </w:r>
            <w:r>
              <w:rPr>
                <w:rFonts w:hint="eastAsia" w:ascii="Times New Roman" w:hAnsi="Times New Roman" w:cs="Times New Roman"/>
                <w:color w:val="auto"/>
                <w:sz w:val="21"/>
                <w:szCs w:val="21"/>
                <w:highlight w:val="none"/>
                <w:lang w:eastAsia="zh-CN"/>
              </w:rPr>
              <w:t>。</w:t>
            </w:r>
          </w:p>
        </w:tc>
        <w:tc>
          <w:tcPr>
            <w:tcW w:w="393" w:type="pct"/>
            <w:shd w:val="clear" w:color="auto" w:fill="FFFFFF"/>
            <w:noWrap w:val="0"/>
            <w:vAlign w:val="center"/>
          </w:tcPr>
          <w:p w14:paraId="47EFF87F">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7C487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710" w:hRule="atLeast"/>
          <w:jc w:val="center"/>
        </w:trPr>
        <w:tc>
          <w:tcPr>
            <w:tcW w:w="378" w:type="pct"/>
            <w:vMerge w:val="continue"/>
            <w:shd w:val="clear" w:color="auto" w:fill="FFFFFF"/>
            <w:noWrap w:val="0"/>
            <w:vAlign w:val="center"/>
          </w:tcPr>
          <w:p w14:paraId="1A661A6A">
            <w:pPr>
              <w:spacing w:line="240" w:lineRule="auto"/>
              <w:ind w:firstLine="0" w:firstLineChars="0"/>
              <w:jc w:val="center"/>
              <w:rPr>
                <w:rFonts w:ascii="Times New Roman" w:hAnsi="Times New Roman" w:eastAsia="Times New Roman"/>
                <w:kern w:val="0"/>
                <w:sz w:val="21"/>
                <w:szCs w:val="21"/>
                <w:highlight w:val="none"/>
                <w:lang w:bidi="en-US"/>
              </w:rPr>
            </w:pPr>
          </w:p>
        </w:tc>
        <w:tc>
          <w:tcPr>
            <w:tcW w:w="303" w:type="pct"/>
            <w:vMerge w:val="restart"/>
            <w:shd w:val="clear" w:color="auto" w:fill="FFFFFF"/>
            <w:noWrap w:val="0"/>
            <w:vAlign w:val="center"/>
          </w:tcPr>
          <w:p w14:paraId="28F272CD">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废水 处理</w:t>
            </w:r>
          </w:p>
        </w:tc>
        <w:tc>
          <w:tcPr>
            <w:tcW w:w="741" w:type="pct"/>
            <w:shd w:val="clear" w:color="auto" w:fill="FFFFFF"/>
            <w:noWrap w:val="0"/>
            <w:vAlign w:val="center"/>
          </w:tcPr>
          <w:p w14:paraId="6DB0AA6C">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lang w:eastAsia="zh-CN"/>
              </w:rPr>
              <w:t>脱硫废水</w:t>
            </w:r>
          </w:p>
        </w:tc>
        <w:tc>
          <w:tcPr>
            <w:tcW w:w="3184" w:type="pct"/>
            <w:shd w:val="clear" w:color="auto" w:fill="FFFFFF"/>
            <w:noWrap w:val="0"/>
            <w:vAlign w:val="center"/>
          </w:tcPr>
          <w:p w14:paraId="0CD2E4AD">
            <w:pPr>
              <w:pStyle w:val="25"/>
              <w:spacing w:after="0" w:line="240" w:lineRule="auto"/>
              <w:ind w:firstLine="0"/>
              <w:jc w:val="cente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脱硫废水采用回流水池→一体化污水处理装置→高效旋流分离器→生物净化装置→多介质净化装置→多功能处理剂→净水箱处理工艺；</w:t>
            </w:r>
            <w:r>
              <w:rPr>
                <w:rFonts w:ascii="Times New Roman" w:hAnsi="Times New Roman" w:cs="Times New Roman"/>
                <w:color w:val="auto"/>
                <w:sz w:val="21"/>
                <w:szCs w:val="21"/>
                <w:highlight w:val="none"/>
                <w:lang w:eastAsia="zh-CN"/>
              </w:rPr>
              <w:t>脱硫废水</w:t>
            </w:r>
            <w:r>
              <w:rPr>
                <w:rFonts w:ascii="Times New Roman" w:hAnsi="Times New Roman" w:cs="Times New Roman"/>
                <w:color w:val="auto"/>
                <w:sz w:val="21"/>
                <w:szCs w:val="21"/>
                <w:highlight w:val="none"/>
                <w:lang w:val="en-US" w:eastAsia="zh-CN"/>
              </w:rPr>
              <w:t>经处理后用于灰渣加湿、煤场喷洒，不外排</w:t>
            </w:r>
            <w:r>
              <w:rPr>
                <w:rFonts w:hint="eastAsia" w:ascii="Times New Roman" w:hAnsi="Times New Roman" w:cs="Times New Roman"/>
                <w:color w:val="auto"/>
                <w:sz w:val="21"/>
                <w:szCs w:val="21"/>
                <w:highlight w:val="none"/>
                <w:lang w:val="en-US" w:eastAsia="zh-CN"/>
              </w:rPr>
              <w:t>。</w:t>
            </w:r>
          </w:p>
        </w:tc>
        <w:tc>
          <w:tcPr>
            <w:tcW w:w="393" w:type="pct"/>
            <w:shd w:val="clear" w:color="auto" w:fill="FFFFFF"/>
            <w:noWrap w:val="0"/>
            <w:vAlign w:val="center"/>
          </w:tcPr>
          <w:p w14:paraId="36432488">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lang w:eastAsia="zh-CN"/>
              </w:rPr>
              <w:t>建</w:t>
            </w:r>
          </w:p>
        </w:tc>
      </w:tr>
      <w:tr w14:paraId="71EA1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F764B1F">
            <w:pPr>
              <w:spacing w:line="240" w:lineRule="auto"/>
              <w:ind w:firstLine="0" w:firstLineChars="0"/>
              <w:jc w:val="center"/>
              <w:rPr>
                <w:rFonts w:ascii="Times New Roman" w:hAnsi="Times New Roman" w:eastAsia="Times New Roman"/>
                <w:kern w:val="0"/>
                <w:sz w:val="21"/>
                <w:szCs w:val="21"/>
                <w:highlight w:val="none"/>
                <w:lang w:bidi="en-US"/>
              </w:rPr>
            </w:pPr>
          </w:p>
        </w:tc>
        <w:tc>
          <w:tcPr>
            <w:tcW w:w="303" w:type="pct"/>
            <w:vMerge w:val="continue"/>
            <w:shd w:val="clear" w:color="auto" w:fill="FFFFFF"/>
            <w:noWrap w:val="0"/>
            <w:vAlign w:val="center"/>
          </w:tcPr>
          <w:p w14:paraId="58C9664D">
            <w:pPr>
              <w:spacing w:line="240" w:lineRule="auto"/>
              <w:ind w:firstLine="0" w:firstLineChars="0"/>
              <w:jc w:val="center"/>
              <w:rPr>
                <w:rFonts w:ascii="Times New Roman" w:hAnsi="Times New Roman" w:eastAsia="Times New Roman"/>
                <w:kern w:val="0"/>
                <w:sz w:val="21"/>
                <w:szCs w:val="21"/>
                <w:highlight w:val="none"/>
                <w:lang w:bidi="en-US"/>
              </w:rPr>
            </w:pPr>
          </w:p>
        </w:tc>
        <w:tc>
          <w:tcPr>
            <w:tcW w:w="741" w:type="pct"/>
            <w:shd w:val="clear" w:color="auto" w:fill="FFFFFF"/>
            <w:noWrap w:val="0"/>
            <w:vAlign w:val="center"/>
          </w:tcPr>
          <w:p w14:paraId="0EACFE5F">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rPr>
              <w:t>锅炉排污水</w:t>
            </w:r>
          </w:p>
        </w:tc>
        <w:tc>
          <w:tcPr>
            <w:tcW w:w="3184" w:type="pct"/>
            <w:shd w:val="clear" w:color="auto" w:fill="FFFFFF"/>
            <w:noWrap w:val="0"/>
            <w:vAlign w:val="center"/>
          </w:tcPr>
          <w:p w14:paraId="0DEA0A88">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锅炉排污水回用于脱硫系统，不外排。</w:t>
            </w:r>
          </w:p>
        </w:tc>
        <w:tc>
          <w:tcPr>
            <w:tcW w:w="393" w:type="pct"/>
            <w:shd w:val="clear" w:color="auto" w:fill="FFFFFF"/>
            <w:noWrap w:val="0"/>
            <w:vAlign w:val="center"/>
          </w:tcPr>
          <w:p w14:paraId="777C8AFD">
            <w:pPr>
              <w:spacing w:line="240" w:lineRule="auto"/>
              <w:ind w:firstLine="0" w:firstLineChars="0"/>
              <w:jc w:val="center"/>
              <w:rPr>
                <w:rFonts w:ascii="Times New Roman" w:hAnsi="Times New Roman" w:eastAsia="Times New Roman"/>
                <w:kern w:val="0"/>
                <w:sz w:val="21"/>
                <w:szCs w:val="21"/>
                <w:highlight w:val="none"/>
                <w:lang w:bidi="en-US"/>
              </w:rPr>
            </w:pPr>
            <w:r>
              <w:rPr>
                <w:rFonts w:hint="eastAsia" w:ascii="Times New Roman" w:hAnsi="Times New Roman"/>
                <w:sz w:val="21"/>
                <w:szCs w:val="21"/>
                <w:highlight w:val="none"/>
                <w:lang w:val="en-US" w:eastAsia="zh-CN"/>
              </w:rPr>
              <w:t>已</w:t>
            </w:r>
            <w:r>
              <w:rPr>
                <w:rFonts w:ascii="Times New Roman" w:hAnsi="Times New Roman"/>
                <w:sz w:val="21"/>
                <w:szCs w:val="21"/>
                <w:highlight w:val="none"/>
              </w:rPr>
              <w:t>建</w:t>
            </w:r>
          </w:p>
        </w:tc>
      </w:tr>
      <w:tr w14:paraId="1297F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36D40261">
            <w:pPr>
              <w:spacing w:line="240" w:lineRule="auto"/>
              <w:ind w:firstLine="0" w:firstLineChars="0"/>
              <w:jc w:val="center"/>
              <w:rPr>
                <w:rFonts w:ascii="Times New Roman" w:hAnsi="Times New Roman" w:eastAsia="Times New Roman"/>
                <w:kern w:val="0"/>
                <w:sz w:val="21"/>
                <w:szCs w:val="21"/>
                <w:highlight w:val="none"/>
                <w:lang w:bidi="en-US"/>
              </w:rPr>
            </w:pPr>
          </w:p>
        </w:tc>
        <w:tc>
          <w:tcPr>
            <w:tcW w:w="303" w:type="pct"/>
            <w:vMerge w:val="continue"/>
            <w:shd w:val="clear" w:color="auto" w:fill="FFFFFF"/>
            <w:noWrap w:val="0"/>
            <w:vAlign w:val="center"/>
          </w:tcPr>
          <w:p w14:paraId="4ACAB4F8">
            <w:pPr>
              <w:spacing w:line="240" w:lineRule="auto"/>
              <w:ind w:firstLine="0" w:firstLineChars="0"/>
              <w:jc w:val="center"/>
              <w:rPr>
                <w:rFonts w:ascii="Times New Roman" w:hAnsi="Times New Roman" w:eastAsia="Times New Roman"/>
                <w:kern w:val="0"/>
                <w:sz w:val="21"/>
                <w:szCs w:val="21"/>
                <w:highlight w:val="none"/>
                <w:lang w:bidi="en-US"/>
              </w:rPr>
            </w:pPr>
          </w:p>
        </w:tc>
        <w:tc>
          <w:tcPr>
            <w:tcW w:w="741" w:type="pct"/>
            <w:shd w:val="clear" w:color="auto" w:fill="FFFFFF"/>
            <w:noWrap w:val="0"/>
            <w:vAlign w:val="center"/>
          </w:tcPr>
          <w:p w14:paraId="3EF9C490">
            <w:pPr>
              <w:pStyle w:val="25"/>
              <w:spacing w:after="0" w:line="240" w:lineRule="auto"/>
              <w:ind w:firstLine="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生活污水</w:t>
            </w:r>
          </w:p>
        </w:tc>
        <w:tc>
          <w:tcPr>
            <w:tcW w:w="3184" w:type="pct"/>
            <w:shd w:val="clear" w:color="auto" w:fill="FFFFFF"/>
            <w:noWrap w:val="0"/>
            <w:vAlign w:val="center"/>
          </w:tcPr>
          <w:p w14:paraId="056CBAD6">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生活污水排入市政管网，经污水管网排入绥芬河中环污水处理有限公司，处理达到《城镇污水处理厂污染物排放标准》(GB18918—2002)一级B标准后最终汇入小绥芬河。</w:t>
            </w:r>
          </w:p>
        </w:tc>
        <w:tc>
          <w:tcPr>
            <w:tcW w:w="393" w:type="pct"/>
            <w:shd w:val="clear" w:color="auto" w:fill="FFFFFF"/>
            <w:noWrap w:val="0"/>
            <w:vAlign w:val="center"/>
          </w:tcPr>
          <w:p w14:paraId="671C6B60">
            <w:pPr>
              <w:spacing w:line="240" w:lineRule="auto"/>
              <w:ind w:firstLine="0" w:firstLineChars="0"/>
              <w:jc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依托</w:t>
            </w:r>
          </w:p>
        </w:tc>
      </w:tr>
      <w:tr w14:paraId="2DFE8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72C57449">
            <w:pPr>
              <w:spacing w:line="240" w:lineRule="auto"/>
              <w:ind w:firstLine="0" w:firstLineChars="0"/>
              <w:jc w:val="center"/>
              <w:rPr>
                <w:rFonts w:ascii="Times New Roman" w:hAnsi="Times New Roman" w:eastAsia="Times New Roman"/>
                <w:kern w:val="0"/>
                <w:sz w:val="21"/>
                <w:szCs w:val="21"/>
                <w:highlight w:val="none"/>
                <w:lang w:bidi="en-US"/>
              </w:rPr>
            </w:pPr>
          </w:p>
        </w:tc>
        <w:tc>
          <w:tcPr>
            <w:tcW w:w="1044" w:type="pct"/>
            <w:gridSpan w:val="2"/>
            <w:shd w:val="clear" w:color="auto" w:fill="FFFFFF"/>
            <w:noWrap w:val="0"/>
            <w:vAlign w:val="center"/>
          </w:tcPr>
          <w:p w14:paraId="7B5830F2">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噪声治理</w:t>
            </w:r>
          </w:p>
        </w:tc>
        <w:tc>
          <w:tcPr>
            <w:tcW w:w="3184" w:type="pct"/>
            <w:shd w:val="clear" w:color="auto" w:fill="FFFFFF"/>
            <w:noWrap w:val="0"/>
            <w:vAlign w:val="center"/>
          </w:tcPr>
          <w:p w14:paraId="5975E91C">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选用</w:t>
            </w:r>
            <w:r>
              <w:rPr>
                <w:rFonts w:hint="eastAsia" w:ascii="Times New Roman" w:hAnsi="Times New Roman" w:cs="Times New Roman"/>
                <w:color w:val="auto"/>
                <w:sz w:val="21"/>
                <w:szCs w:val="21"/>
                <w:highlight w:val="none"/>
              </w:rPr>
              <w:t>低噪声设备，</w:t>
            </w:r>
            <w:r>
              <w:rPr>
                <w:rFonts w:hint="eastAsia" w:ascii="Times New Roman" w:hAnsi="Times New Roman" w:cs="Times New Roman"/>
                <w:color w:val="auto"/>
                <w:sz w:val="21"/>
                <w:szCs w:val="21"/>
                <w:highlight w:val="none"/>
                <w:lang w:eastAsia="zh-CN"/>
              </w:rPr>
              <w:t>噪声较大设备增设</w:t>
            </w:r>
            <w:r>
              <w:rPr>
                <w:rFonts w:hint="eastAsia" w:ascii="Times New Roman" w:hAnsi="Times New Roman" w:cs="Times New Roman"/>
                <w:color w:val="auto"/>
                <w:sz w:val="21"/>
                <w:szCs w:val="21"/>
                <w:highlight w:val="none"/>
              </w:rPr>
              <w:t>隔声</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减震措施。</w:t>
            </w:r>
          </w:p>
        </w:tc>
        <w:tc>
          <w:tcPr>
            <w:tcW w:w="393" w:type="pct"/>
            <w:shd w:val="clear" w:color="auto" w:fill="FFFFFF"/>
            <w:noWrap w:val="0"/>
            <w:vAlign w:val="center"/>
          </w:tcPr>
          <w:p w14:paraId="67148942">
            <w:pPr>
              <w:pStyle w:val="25"/>
              <w:spacing w:after="0" w:line="240" w:lineRule="auto"/>
              <w:ind w:firstLine="0"/>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r w14:paraId="2B49B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04592622">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43AF8F76">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固体废物</w:t>
            </w:r>
          </w:p>
        </w:tc>
        <w:tc>
          <w:tcPr>
            <w:tcW w:w="3184" w:type="pct"/>
            <w:shd w:val="clear" w:color="auto" w:fill="FFFFFF"/>
            <w:noWrap w:val="0"/>
            <w:vAlign w:val="center"/>
          </w:tcPr>
          <w:p w14:paraId="1E4DCDD6">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val="en-US" w:eastAsia="zh-CN"/>
              </w:rPr>
              <w:t>炉渣</w:t>
            </w:r>
            <w:r>
              <w:rPr>
                <w:rFonts w:ascii="Times New Roman" w:hAnsi="Times New Roman" w:cs="Times New Roman"/>
                <w:color w:val="auto"/>
                <w:sz w:val="21"/>
                <w:szCs w:val="21"/>
                <w:highlight w:val="none"/>
                <w:lang w:eastAsia="zh-CN"/>
              </w:rPr>
              <w:t>、炉灰、</w:t>
            </w:r>
            <w:r>
              <w:rPr>
                <w:rFonts w:hint="eastAsia" w:ascii="Times New Roman" w:hAnsi="Times New Roman" w:cs="Times New Roman"/>
                <w:color w:val="auto"/>
                <w:sz w:val="21"/>
                <w:szCs w:val="21"/>
                <w:highlight w:val="none"/>
                <w:lang w:eastAsia="zh-CN"/>
              </w:rPr>
              <w:t>脱硫石膏</w:t>
            </w:r>
            <w:r>
              <w:rPr>
                <w:rFonts w:hint="eastAsia" w:ascii="Times New Roman" w:hAnsi="Times New Roman" w:cs="Times New Roman"/>
                <w:color w:val="auto"/>
                <w:sz w:val="21"/>
                <w:szCs w:val="21"/>
                <w:highlight w:val="none"/>
                <w:lang w:val="en-US" w:eastAsia="zh-CN"/>
              </w:rPr>
              <w:t>运至采矿区回填</w:t>
            </w:r>
            <w:r>
              <w:rPr>
                <w:rFonts w:ascii="Times New Roman" w:hAnsi="Times New Roman" w:cs="Times New Roman"/>
                <w:color w:val="auto"/>
                <w:sz w:val="21"/>
                <w:szCs w:val="21"/>
                <w:highlight w:val="none"/>
                <w:lang w:eastAsia="zh-CN"/>
              </w:rPr>
              <w:t>；生活垃圾、废离子交换树脂</w:t>
            </w:r>
            <w:r>
              <w:rPr>
                <w:rFonts w:hint="eastAsia" w:ascii="Times New Roman" w:hAnsi="Times New Roman" w:cs="Times New Roman"/>
                <w:color w:val="auto"/>
                <w:sz w:val="21"/>
                <w:szCs w:val="21"/>
                <w:highlight w:val="none"/>
                <w:lang w:val="en-US" w:eastAsia="zh-CN"/>
              </w:rPr>
              <w:t>和反渗透膜</w:t>
            </w:r>
            <w:r>
              <w:rPr>
                <w:rFonts w:ascii="Times New Roman" w:hAnsi="Times New Roman" w:cs="Times New Roman"/>
                <w:color w:val="auto"/>
                <w:sz w:val="21"/>
                <w:szCs w:val="21"/>
                <w:highlight w:val="none"/>
                <w:lang w:eastAsia="zh-CN"/>
              </w:rPr>
              <w:t>交由</w:t>
            </w:r>
            <w:r>
              <w:rPr>
                <w:rFonts w:hint="eastAsia" w:ascii="Times New Roman" w:hAnsi="Times New Roman" w:cs="Times New Roman"/>
                <w:color w:val="auto"/>
                <w:sz w:val="21"/>
                <w:szCs w:val="21"/>
                <w:highlight w:val="none"/>
                <w:lang w:val="en-US" w:eastAsia="zh-CN"/>
              </w:rPr>
              <w:t>厂家回家</w:t>
            </w:r>
            <w:r>
              <w:rPr>
                <w:rFonts w:ascii="Times New Roman" w:hAnsi="Times New Roman" w:cs="Times New Roman"/>
                <w:color w:val="auto"/>
                <w:sz w:val="21"/>
                <w:szCs w:val="21"/>
                <w:highlight w:val="none"/>
                <w:lang w:eastAsia="zh-CN"/>
              </w:rPr>
              <w:t>处</w:t>
            </w:r>
            <w:r>
              <w:rPr>
                <w:rFonts w:hint="eastAsia" w:ascii="Times New Roman" w:hAnsi="Times New Roman" w:cs="Times New Roman"/>
                <w:color w:val="auto"/>
                <w:sz w:val="21"/>
                <w:szCs w:val="21"/>
                <w:highlight w:val="none"/>
                <w:lang w:val="en-US" w:eastAsia="zh-CN"/>
              </w:rPr>
              <w:t>置</w:t>
            </w:r>
            <w:r>
              <w:rPr>
                <w:rFonts w:ascii="Times New Roman" w:hAnsi="Times New Roman" w:cs="Times New Roman"/>
                <w:color w:val="auto"/>
                <w:sz w:val="21"/>
                <w:szCs w:val="21"/>
                <w:highlight w:val="none"/>
                <w:lang w:eastAsia="zh-CN"/>
              </w:rPr>
              <w:t>；废催化剂、</w:t>
            </w:r>
            <w:r>
              <w:rPr>
                <w:rFonts w:hint="eastAsia" w:ascii="Times New Roman" w:hAnsi="Times New Roman" w:cs="Times New Roman"/>
                <w:color w:val="auto"/>
                <w:sz w:val="21"/>
                <w:szCs w:val="21"/>
                <w:highlight w:val="none"/>
                <w:lang w:val="en-US" w:eastAsia="zh-CN"/>
              </w:rPr>
              <w:t>废机油、</w:t>
            </w:r>
            <w:r>
              <w:rPr>
                <w:rFonts w:ascii="Times New Roman" w:hAnsi="Times New Roman" w:cs="Times New Roman"/>
                <w:color w:val="auto"/>
                <w:sz w:val="21"/>
                <w:szCs w:val="21"/>
                <w:highlight w:val="none"/>
                <w:lang w:eastAsia="zh-CN"/>
              </w:rPr>
              <w:t>餐厨垃圾及废油脂</w:t>
            </w:r>
            <w:r>
              <w:rPr>
                <w:rFonts w:ascii="Times New Roman" w:hAnsi="Times New Roman" w:cs="Times New Roman"/>
                <w:color w:val="auto"/>
                <w:sz w:val="21"/>
                <w:szCs w:val="21"/>
                <w:highlight w:val="none"/>
                <w:lang w:val="en-US" w:eastAsia="zh-CN"/>
              </w:rPr>
              <w:t>交由有资质单位处置。</w:t>
            </w:r>
          </w:p>
        </w:tc>
        <w:tc>
          <w:tcPr>
            <w:tcW w:w="393" w:type="pct"/>
            <w:shd w:val="clear" w:color="auto" w:fill="FFFFFF"/>
            <w:noWrap w:val="0"/>
            <w:vAlign w:val="center"/>
          </w:tcPr>
          <w:p w14:paraId="2962B196">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w:t>
            </w:r>
          </w:p>
        </w:tc>
      </w:tr>
      <w:tr w14:paraId="1AAA3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1AC6484F">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084C3EAC">
            <w:pPr>
              <w:pStyle w:val="25"/>
              <w:spacing w:after="0" w:line="240" w:lineRule="auto"/>
              <w:ind w:firstLine="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危险废物</w:t>
            </w:r>
          </w:p>
        </w:tc>
        <w:tc>
          <w:tcPr>
            <w:tcW w:w="3184" w:type="pct"/>
            <w:shd w:val="clear" w:color="auto" w:fill="FFFFFF"/>
            <w:noWrap w:val="0"/>
            <w:vAlign w:val="center"/>
          </w:tcPr>
          <w:p w14:paraId="6FD4B4A8">
            <w:pPr>
              <w:pStyle w:val="25"/>
              <w:spacing w:after="0" w:line="240" w:lineRule="auto"/>
              <w:ind w:firstLine="0"/>
              <w:jc w:val="center"/>
              <w:rPr>
                <w:rFonts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本项目产生的危险废物主要包括废机油、废脱硝催化剂</w:t>
            </w:r>
            <w:r>
              <w:rPr>
                <w:rFonts w:ascii="Times New Roman" w:hAnsi="Times New Roman" w:cs="Times New Roman"/>
                <w:color w:val="auto"/>
                <w:sz w:val="21"/>
                <w:szCs w:val="21"/>
                <w:highlight w:val="none"/>
                <w:lang w:val="en-US" w:eastAsia="zh-CN"/>
              </w:rPr>
              <w:t>，由具有相应处理处置资质的单位进行统一清运处置，做到安全处置。建</w:t>
            </w:r>
            <w:r>
              <w:rPr>
                <w:rFonts w:hint="eastAsia" w:ascii="Times New Roman" w:hAnsi="Times New Roman" w:cs="Times New Roman"/>
                <w:color w:val="auto"/>
                <w:sz w:val="21"/>
                <w:szCs w:val="21"/>
                <w:highlight w:val="none"/>
                <w:lang w:val="en-US" w:eastAsia="zh-CN"/>
              </w:rPr>
              <w:t>设</w:t>
            </w:r>
            <w:r>
              <w:rPr>
                <w:rFonts w:ascii="Times New Roman" w:hAnsi="Times New Roman" w:cs="Times New Roman"/>
                <w:color w:val="auto"/>
                <w:sz w:val="21"/>
                <w:szCs w:val="21"/>
                <w:highlight w:val="none"/>
                <w:lang w:val="en-US" w:eastAsia="zh-CN"/>
              </w:rPr>
              <w:t>1座10m</w:t>
            </w:r>
            <w:r>
              <w:rPr>
                <w:rFonts w:ascii="Times New Roman" w:hAnsi="Times New Roman" w:cs="Times New Roman"/>
                <w:color w:val="auto"/>
                <w:sz w:val="21"/>
                <w:szCs w:val="21"/>
                <w:highlight w:val="none"/>
                <w:vertAlign w:val="superscript"/>
                <w:lang w:val="en-US" w:eastAsia="zh-CN"/>
              </w:rPr>
              <w:t>2</w:t>
            </w:r>
            <w:r>
              <w:rPr>
                <w:rFonts w:ascii="Times New Roman" w:hAnsi="Times New Roman" w:cs="Times New Roman"/>
                <w:color w:val="auto"/>
                <w:sz w:val="21"/>
                <w:szCs w:val="21"/>
                <w:highlight w:val="none"/>
                <w:lang w:val="en-US" w:eastAsia="zh-CN"/>
              </w:rPr>
              <w:t>的危险废物贮存</w:t>
            </w:r>
            <w:r>
              <w:rPr>
                <w:rFonts w:hint="eastAsia" w:ascii="Times New Roman" w:hAnsi="Times New Roman" w:cs="Times New Roman"/>
                <w:color w:val="auto"/>
                <w:sz w:val="21"/>
                <w:szCs w:val="21"/>
                <w:highlight w:val="none"/>
                <w:lang w:val="en-US" w:eastAsia="zh-CN"/>
              </w:rPr>
              <w:t>点</w:t>
            </w:r>
            <w:r>
              <w:rPr>
                <w:rFonts w:ascii="Times New Roman" w:hAnsi="Times New Roman" w:cs="Times New Roman"/>
                <w:color w:val="auto"/>
                <w:sz w:val="21"/>
                <w:szCs w:val="21"/>
                <w:highlight w:val="none"/>
                <w:lang w:val="en-US" w:eastAsia="zh-CN"/>
              </w:rPr>
              <w:t>。危废</w:t>
            </w:r>
            <w:r>
              <w:rPr>
                <w:rFonts w:hint="eastAsia" w:ascii="Times New Roman" w:hAnsi="Times New Roman" w:cs="Times New Roman"/>
                <w:color w:val="auto"/>
                <w:sz w:val="21"/>
                <w:szCs w:val="21"/>
                <w:highlight w:val="none"/>
                <w:lang w:val="en-US" w:eastAsia="zh-CN"/>
              </w:rPr>
              <w:t>贮存点</w:t>
            </w:r>
            <w:r>
              <w:rPr>
                <w:rFonts w:ascii="Times New Roman" w:hAnsi="Times New Roman" w:cs="Times New Roman"/>
                <w:color w:val="auto"/>
                <w:sz w:val="21"/>
                <w:szCs w:val="21"/>
                <w:highlight w:val="none"/>
                <w:lang w:val="en-US" w:eastAsia="zh-CN"/>
              </w:rPr>
              <w:t>按照《危险废物贮存污染控制标准》（GB 18597—2023）要求，应符合以下要求：</w:t>
            </w:r>
            <w:r>
              <w:rPr>
                <w:rFonts w:hint="eastAsia" w:ascii="Times New Roman" w:hAnsi="Times New Roman" w:cs="Times New Roman"/>
                <w:color w:val="auto"/>
                <w:sz w:val="21"/>
                <w:szCs w:val="21"/>
                <w:highlight w:val="none"/>
                <w:lang w:val="en-US" w:eastAsia="zh-CN"/>
              </w:rPr>
              <w:t>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eastAsia" w:ascii="Times New Roman" w:hAnsi="Times New Roman" w:cs="Times New Roman"/>
                <w:color w:val="auto"/>
                <w:sz w:val="21"/>
                <w:szCs w:val="21"/>
                <w:highlight w:val="none"/>
                <w:vertAlign w:val="superscript"/>
                <w:lang w:val="en-US" w:eastAsia="zh-CN"/>
              </w:rPr>
              <w:t>-7</w:t>
            </w:r>
            <w:r>
              <w:rPr>
                <w:rFonts w:hint="eastAsia" w:ascii="Times New Roman" w:hAnsi="Times New Roman" w:cs="Times New Roman"/>
                <w:color w:val="auto"/>
                <w:sz w:val="21"/>
                <w:szCs w:val="21"/>
                <w:highlight w:val="none"/>
                <w:lang w:val="en-US" w:eastAsia="zh-CN"/>
              </w:rPr>
              <w:t>cm/s），或至少2mm厚高密度聚乙烯膜等人工防渗材料（渗透系数不大于10</w:t>
            </w:r>
            <w:r>
              <w:rPr>
                <w:rFonts w:hint="eastAsia" w:ascii="Times New Roman" w:hAnsi="Times New Roman" w:cs="Times New Roman"/>
                <w:color w:val="auto"/>
                <w:sz w:val="21"/>
                <w:szCs w:val="21"/>
                <w:highlight w:val="none"/>
                <w:vertAlign w:val="superscript"/>
                <w:lang w:val="en-US" w:eastAsia="zh-CN"/>
              </w:rPr>
              <w:t>-10</w:t>
            </w:r>
            <w:r>
              <w:rPr>
                <w:rFonts w:hint="eastAsia" w:ascii="Times New Roman" w:hAnsi="Times New Roman" w:cs="Times New Roman"/>
                <w:color w:val="auto"/>
                <w:sz w:val="21"/>
                <w:szCs w:val="21"/>
                <w:highlight w:val="none"/>
                <w:lang w:val="en-US" w:eastAsia="zh-CN"/>
              </w:rPr>
              <w:t xml:space="preserve"> cm/s），或其他防渗性能等效的材料。</w:t>
            </w:r>
          </w:p>
        </w:tc>
        <w:tc>
          <w:tcPr>
            <w:tcW w:w="393" w:type="pct"/>
            <w:shd w:val="clear" w:color="auto" w:fill="FFFFFF"/>
            <w:noWrap w:val="0"/>
            <w:vAlign w:val="center"/>
          </w:tcPr>
          <w:p w14:paraId="31AA4BDC">
            <w:pPr>
              <w:pStyle w:val="25"/>
              <w:spacing w:after="0" w:line="240" w:lineRule="auto"/>
              <w:ind w:firstLine="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已建</w:t>
            </w:r>
          </w:p>
        </w:tc>
      </w:tr>
      <w:tr w14:paraId="65323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2DC5F6FA">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637F5203">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风险防控</w:t>
            </w:r>
          </w:p>
        </w:tc>
        <w:tc>
          <w:tcPr>
            <w:tcW w:w="3184" w:type="pct"/>
            <w:shd w:val="clear" w:color="auto" w:fill="FFFFFF"/>
            <w:noWrap w:val="0"/>
            <w:vAlign w:val="center"/>
          </w:tcPr>
          <w:p w14:paraId="4D1A2774">
            <w:pPr>
              <w:pStyle w:val="25"/>
              <w:spacing w:after="0" w:line="240" w:lineRule="auto"/>
              <w:ind w:firstLine="0"/>
              <w:jc w:val="center"/>
              <w:rPr>
                <w:rFonts w:ascii="Times New Roman" w:hAnsi="Times New Roman" w:cs="Times New Roman"/>
                <w:color w:val="auto"/>
                <w:sz w:val="21"/>
                <w:szCs w:val="21"/>
                <w:highlight w:val="none"/>
                <w:lang w:eastAsia="zh-CN"/>
              </w:rPr>
            </w:pPr>
            <w:r>
              <w:rPr>
                <w:rFonts w:cs="Times New Roman"/>
                <w:sz w:val="21"/>
                <w:szCs w:val="21"/>
                <w:highlight w:val="none"/>
              </w:rPr>
              <w:t>本项目根据环境风险监控要求，设置应急疏散通道、安置场所；根据生产单元-厂区-园区的环境风险防控体系要求，设置</w:t>
            </w:r>
            <w:r>
              <w:rPr>
                <w:rFonts w:hint="eastAsia" w:cs="Times New Roman"/>
                <w:sz w:val="21"/>
                <w:szCs w:val="21"/>
                <w:highlight w:val="none"/>
              </w:rPr>
              <w:t>360m</w:t>
            </w:r>
            <w:r>
              <w:rPr>
                <w:rFonts w:hint="eastAsia" w:cs="Times New Roman"/>
                <w:sz w:val="21"/>
                <w:szCs w:val="21"/>
                <w:highlight w:val="none"/>
                <w:vertAlign w:val="superscript"/>
              </w:rPr>
              <w:t>3</w:t>
            </w:r>
            <w:r>
              <w:rPr>
                <w:rFonts w:hint="eastAsia" w:cs="Times New Roman"/>
                <w:sz w:val="21"/>
                <w:szCs w:val="21"/>
                <w:highlight w:val="none"/>
              </w:rPr>
              <w:t>脱硫废水事故池</w:t>
            </w:r>
            <w:r>
              <w:rPr>
                <w:rFonts w:cs="Times New Roman"/>
                <w:sz w:val="21"/>
                <w:szCs w:val="21"/>
                <w:highlight w:val="none"/>
              </w:rPr>
              <w:t>和应急储存设施，以及防止事故水进入外环境的控制和封堵系统。地下水环境风险防范采取源头控制和分区防渗措施，加强地下水环境的监控和预警。</w:t>
            </w:r>
          </w:p>
        </w:tc>
        <w:tc>
          <w:tcPr>
            <w:tcW w:w="393" w:type="pct"/>
            <w:shd w:val="clear" w:color="auto" w:fill="FFFFFF"/>
            <w:noWrap w:val="0"/>
            <w:vAlign w:val="center"/>
          </w:tcPr>
          <w:p w14:paraId="30B812A0">
            <w:pPr>
              <w:pStyle w:val="25"/>
              <w:spacing w:after="0" w:line="240" w:lineRule="auto"/>
              <w:ind w:firstLine="0"/>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lang w:eastAsia="zh-CN"/>
              </w:rPr>
              <w:t>/</w:t>
            </w:r>
          </w:p>
        </w:tc>
      </w:tr>
      <w:tr w14:paraId="2BF477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378" w:type="pct"/>
            <w:vMerge w:val="continue"/>
            <w:shd w:val="clear" w:color="auto" w:fill="FFFFFF"/>
            <w:noWrap w:val="0"/>
            <w:vAlign w:val="center"/>
          </w:tcPr>
          <w:p w14:paraId="60ED5237">
            <w:pPr>
              <w:spacing w:line="240" w:lineRule="auto"/>
              <w:ind w:firstLine="0" w:firstLineChars="0"/>
              <w:jc w:val="center"/>
              <w:rPr>
                <w:rFonts w:ascii="Times New Roman" w:hAnsi="Times New Roman" w:eastAsia="Times New Roman"/>
                <w:kern w:val="0"/>
                <w:sz w:val="21"/>
                <w:szCs w:val="21"/>
                <w:highlight w:val="none"/>
                <w:lang w:eastAsia="en-US" w:bidi="en-US"/>
              </w:rPr>
            </w:pPr>
          </w:p>
        </w:tc>
        <w:tc>
          <w:tcPr>
            <w:tcW w:w="1044" w:type="pct"/>
            <w:gridSpan w:val="2"/>
            <w:shd w:val="clear" w:color="auto" w:fill="FFFFFF"/>
            <w:noWrap w:val="0"/>
            <w:vAlign w:val="center"/>
          </w:tcPr>
          <w:p w14:paraId="070DDEF0">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连续监测装置</w:t>
            </w:r>
          </w:p>
        </w:tc>
        <w:tc>
          <w:tcPr>
            <w:tcW w:w="3184" w:type="pct"/>
            <w:shd w:val="clear" w:color="auto" w:fill="FFFFFF"/>
            <w:noWrap w:val="0"/>
            <w:vAlign w:val="center"/>
          </w:tcPr>
          <w:p w14:paraId="299737D0">
            <w:pPr>
              <w:pStyle w:val="25"/>
              <w:spacing w:after="0" w:line="240" w:lineRule="auto"/>
              <w:ind w:firstLine="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连续监测装置安装在烟囱上</w:t>
            </w:r>
            <w:r>
              <w:rPr>
                <w:rFonts w:hint="eastAsia" w:ascii="Times New Roman" w:hAnsi="Times New Roman" w:cs="Times New Roman"/>
                <w:color w:val="auto"/>
                <w:sz w:val="21"/>
                <w:szCs w:val="21"/>
                <w:highlight w:val="none"/>
                <w:lang w:eastAsia="zh-CN"/>
              </w:rPr>
              <w:t>，并与</w:t>
            </w:r>
            <w:r>
              <w:rPr>
                <w:rFonts w:hint="eastAsia" w:ascii="Times New Roman" w:hAnsi="Times New Roman" w:cs="Times New Roman"/>
                <w:color w:val="auto"/>
                <w:sz w:val="21"/>
                <w:szCs w:val="21"/>
                <w:highlight w:val="none"/>
                <w:lang w:val="en-US" w:eastAsia="zh-CN"/>
              </w:rPr>
              <w:t>绥芬河</w:t>
            </w:r>
            <w:r>
              <w:rPr>
                <w:rFonts w:hint="eastAsia" w:ascii="Times New Roman" w:hAnsi="Times New Roman" w:cs="Times New Roman"/>
                <w:color w:val="auto"/>
                <w:sz w:val="21"/>
                <w:szCs w:val="21"/>
                <w:highlight w:val="none"/>
                <w:lang w:eastAsia="zh-CN"/>
              </w:rPr>
              <w:t>市生态环境局联网</w:t>
            </w:r>
            <w:r>
              <w:rPr>
                <w:rFonts w:ascii="Times New Roman" w:hAnsi="Times New Roman" w:cs="Times New Roman"/>
                <w:color w:val="auto"/>
                <w:sz w:val="21"/>
                <w:szCs w:val="21"/>
                <w:highlight w:val="none"/>
              </w:rPr>
              <w:t>。</w:t>
            </w:r>
          </w:p>
        </w:tc>
        <w:tc>
          <w:tcPr>
            <w:tcW w:w="393" w:type="pct"/>
            <w:shd w:val="clear" w:color="auto" w:fill="FFFFFF"/>
            <w:noWrap w:val="0"/>
            <w:vAlign w:val="center"/>
          </w:tcPr>
          <w:p w14:paraId="39BEBB2F">
            <w:pPr>
              <w:pStyle w:val="25"/>
              <w:spacing w:after="0" w:line="240" w:lineRule="auto"/>
              <w:ind w:firstLine="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已</w:t>
            </w:r>
            <w:r>
              <w:rPr>
                <w:rFonts w:ascii="Times New Roman" w:hAnsi="Times New Roman" w:cs="Times New Roman"/>
                <w:color w:val="auto"/>
                <w:sz w:val="21"/>
                <w:szCs w:val="21"/>
                <w:highlight w:val="none"/>
              </w:rPr>
              <w:t>建</w:t>
            </w:r>
          </w:p>
        </w:tc>
      </w:tr>
    </w:tbl>
    <w:p w14:paraId="52B7B81B">
      <w:pPr>
        <w:pStyle w:val="5"/>
        <w:bidi w:val="0"/>
        <w:ind w:left="0" w:leftChars="0" w:firstLine="0" w:firstLineChars="0"/>
        <w:rPr>
          <w:rFonts w:hint="eastAsia"/>
          <w:sz w:val="30"/>
          <w:szCs w:val="30"/>
          <w:highlight w:val="none"/>
          <w:lang w:val="en-US" w:eastAsia="zh-CN"/>
        </w:rPr>
      </w:pPr>
      <w:bookmarkStart w:id="59" w:name="_Toc17211"/>
      <w:r>
        <w:rPr>
          <w:rFonts w:hint="default" w:ascii="Times New Roman" w:hAnsi="Times New Roman" w:cs="Times New Roman"/>
          <w:highlight w:val="none"/>
          <w:lang w:val="en-US" w:eastAsia="zh-CN"/>
        </w:rPr>
        <w:t>3.1.</w:t>
      </w:r>
      <w:r>
        <w:rPr>
          <w:rFonts w:hint="eastAsia" w:ascii="Times New Roman" w:hAnsi="Times New Roman" w:cs="Times New Roman"/>
          <w:highlight w:val="none"/>
          <w:lang w:val="en-US" w:eastAsia="zh-CN"/>
        </w:rPr>
        <w:t>4</w:t>
      </w:r>
      <w:r>
        <w:rPr>
          <w:rFonts w:hint="eastAsia"/>
          <w:sz w:val="30"/>
          <w:szCs w:val="30"/>
          <w:highlight w:val="none"/>
          <w:lang w:val="en-US" w:eastAsia="zh-CN"/>
        </w:rPr>
        <w:t>设备方案</w:t>
      </w:r>
      <w:bookmarkEnd w:id="59"/>
    </w:p>
    <w:p w14:paraId="501B8151">
      <w:pPr>
        <w:rPr>
          <w:rFonts w:hint="eastAsia"/>
          <w:sz w:val="24"/>
          <w:highlight w:val="none"/>
        </w:rPr>
      </w:pPr>
      <w:r>
        <w:rPr>
          <w:rFonts w:hint="eastAsia"/>
          <w:sz w:val="24"/>
          <w:highlight w:val="none"/>
        </w:rPr>
        <w:t>项目主要设备清单见表</w:t>
      </w:r>
      <w:r>
        <w:rPr>
          <w:rFonts w:hint="default" w:ascii="Times New Roman" w:hAnsi="Times New Roman" w:cs="Times New Roman"/>
          <w:sz w:val="24"/>
          <w:highlight w:val="none"/>
        </w:rPr>
        <w:t>3.1-</w:t>
      </w:r>
      <w:r>
        <w:rPr>
          <w:rFonts w:hint="default" w:ascii="Times New Roman" w:hAnsi="Times New Roman" w:cs="Times New Roman"/>
          <w:sz w:val="24"/>
          <w:highlight w:val="none"/>
          <w:lang w:val="en-US" w:eastAsia="zh-CN"/>
        </w:rPr>
        <w:t>2</w:t>
      </w:r>
      <w:r>
        <w:rPr>
          <w:rFonts w:hint="eastAsia"/>
          <w:sz w:val="24"/>
          <w:highlight w:val="none"/>
        </w:rPr>
        <w:t>。</w:t>
      </w:r>
    </w:p>
    <w:p w14:paraId="51C5A235">
      <w:pPr>
        <w:pStyle w:val="23"/>
        <w:jc w:val="center"/>
        <w:rPr>
          <w:rFonts w:hint="eastAsia"/>
          <w:highlight w:val="none"/>
        </w:rPr>
      </w:pPr>
      <w:r>
        <w:rPr>
          <w:rFonts w:ascii="Times New Roman" w:hAnsi="Times New Roman"/>
          <w:b/>
          <w:bCs/>
          <w:highlight w:val="none"/>
        </w:rPr>
        <w:t>表</w:t>
      </w:r>
      <w:r>
        <w:rPr>
          <w:rFonts w:hint="eastAsia" w:ascii="Times New Roman" w:hAnsi="Times New Roman"/>
          <w:b/>
          <w:bCs/>
          <w:highlight w:val="none"/>
          <w:lang w:val="en-US" w:eastAsia="zh-CN"/>
        </w:rPr>
        <w:t xml:space="preserve"> </w:t>
      </w:r>
      <w:r>
        <w:rPr>
          <w:rFonts w:ascii="Times New Roman" w:hAnsi="Times New Roman"/>
          <w:b/>
          <w:bCs/>
          <w:highlight w:val="none"/>
        </w:rPr>
        <w:t>3.1-</w:t>
      </w:r>
      <w:r>
        <w:rPr>
          <w:rFonts w:hint="eastAsia" w:ascii="Times New Roman" w:hAnsi="Times New Roman"/>
          <w:b/>
          <w:bCs/>
          <w:highlight w:val="none"/>
          <w:lang w:val="en-US" w:eastAsia="zh-CN"/>
        </w:rPr>
        <w:t xml:space="preserve">2 </w:t>
      </w:r>
      <w:r>
        <w:rPr>
          <w:rFonts w:ascii="Times New Roman" w:hAnsi="Times New Roman"/>
          <w:b/>
          <w:bCs/>
          <w:highlight w:val="none"/>
        </w:rPr>
        <w:t>本工程主要设备一览表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2431"/>
        <w:gridCol w:w="1754"/>
        <w:gridCol w:w="4337"/>
      </w:tblGrid>
      <w:tr w14:paraId="6581C1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18" w:hRule="atLeast"/>
          <w:jc w:val="center"/>
        </w:trPr>
        <w:tc>
          <w:tcPr>
            <w:tcW w:w="1426" w:type="pct"/>
            <w:vMerge w:val="restart"/>
            <w:noWrap/>
            <w:vAlign w:val="center"/>
          </w:tcPr>
          <w:p w14:paraId="0FAAD896">
            <w:pPr>
              <w:pStyle w:val="27"/>
              <w:rPr>
                <w:rFonts w:ascii="Times New Roman" w:hAnsi="Times New Roman"/>
                <w:sz w:val="21"/>
                <w:szCs w:val="21"/>
                <w:highlight w:val="none"/>
              </w:rPr>
            </w:pPr>
            <w:r>
              <w:rPr>
                <w:rFonts w:hint="eastAsia" w:ascii="Times New Roman" w:hAnsi="Times New Roman"/>
                <w:sz w:val="21"/>
                <w:szCs w:val="21"/>
                <w:highlight w:val="none"/>
                <w:lang w:val="en-US" w:eastAsia="zh-CN"/>
              </w:rPr>
              <w:t>35t/h</w:t>
            </w:r>
            <w:r>
              <w:rPr>
                <w:rFonts w:hint="eastAsia" w:ascii="宋体" w:hAnsi="宋体" w:eastAsia="宋体" w:cs="宋体"/>
                <w:sz w:val="21"/>
                <w:szCs w:val="21"/>
                <w:highlight w:val="none"/>
                <w:lang w:val="en-US" w:eastAsia="zh-CN"/>
              </w:rPr>
              <w:t>蒸汽锅</w:t>
            </w:r>
            <w:r>
              <w:rPr>
                <w:rFonts w:hint="eastAsia" w:ascii="宋体" w:hAnsi="宋体" w:eastAsia="宋体" w:cs="宋体"/>
                <w:sz w:val="21"/>
                <w:szCs w:val="21"/>
                <w:highlight w:val="none"/>
              </w:rPr>
              <w:t>炉</w:t>
            </w:r>
          </w:p>
        </w:tc>
        <w:tc>
          <w:tcPr>
            <w:tcW w:w="1029" w:type="pct"/>
            <w:noWrap/>
            <w:vAlign w:val="center"/>
          </w:tcPr>
          <w:p w14:paraId="20FF8777">
            <w:pPr>
              <w:pStyle w:val="27"/>
              <w:rPr>
                <w:rFonts w:ascii="Times New Roman" w:hAnsi="Times New Roman"/>
                <w:sz w:val="21"/>
                <w:szCs w:val="21"/>
                <w:highlight w:val="none"/>
              </w:rPr>
            </w:pPr>
            <w:r>
              <w:rPr>
                <w:rFonts w:ascii="Times New Roman" w:hAnsi="Times New Roman"/>
                <w:sz w:val="21"/>
                <w:szCs w:val="21"/>
                <w:highlight w:val="none"/>
              </w:rPr>
              <w:t>型号</w:t>
            </w:r>
          </w:p>
        </w:tc>
        <w:tc>
          <w:tcPr>
            <w:tcW w:w="2544" w:type="pct"/>
            <w:noWrap/>
            <w:vAlign w:val="center"/>
          </w:tcPr>
          <w:p w14:paraId="1A47AB98">
            <w:pPr>
              <w:pStyle w:val="27"/>
              <w:rPr>
                <w:rFonts w:ascii="Times New Roman" w:hAnsi="Times New Roman"/>
                <w:sz w:val="21"/>
                <w:szCs w:val="21"/>
                <w:highlight w:val="none"/>
              </w:rPr>
            </w:pPr>
            <w:r>
              <w:rPr>
                <w:rFonts w:hint="eastAsia" w:ascii="Times New Roman" w:hAnsi="Times New Roman"/>
                <w:sz w:val="21"/>
                <w:szCs w:val="21"/>
                <w:highlight w:val="none"/>
                <w:lang w:val="en-US" w:eastAsia="zh-CN"/>
              </w:rPr>
              <w:t>SHL35</w:t>
            </w:r>
            <w:r>
              <w:rPr>
                <w:rFonts w:ascii="Times New Roman" w:hAnsi="Times New Roman"/>
                <w:sz w:val="21"/>
                <w:szCs w:val="21"/>
                <w:highlight w:val="none"/>
              </w:rPr>
              <w:t>-1.6/</w:t>
            </w:r>
            <w:r>
              <w:rPr>
                <w:rFonts w:hint="eastAsia" w:ascii="Times New Roman" w:hAnsi="Times New Roman"/>
                <w:sz w:val="21"/>
                <w:szCs w:val="21"/>
                <w:highlight w:val="none"/>
                <w:lang w:val="en-US" w:eastAsia="zh-CN"/>
              </w:rPr>
              <w:t>300</w:t>
            </w:r>
            <w:r>
              <w:rPr>
                <w:rFonts w:ascii="Times New Roman" w:hAnsi="Times New Roman"/>
                <w:sz w:val="21"/>
                <w:szCs w:val="21"/>
                <w:highlight w:val="none"/>
              </w:rPr>
              <w:t>-</w:t>
            </w:r>
            <w:r>
              <w:rPr>
                <w:rFonts w:hint="eastAsia" w:ascii="Times New Roman" w:hAnsi="Times New Roman"/>
                <w:sz w:val="21"/>
                <w:szCs w:val="21"/>
                <w:highlight w:val="none"/>
                <w:lang w:val="en-US" w:eastAsia="zh-CN"/>
              </w:rPr>
              <w:t>A</w:t>
            </w:r>
            <w:r>
              <w:rPr>
                <w:rFonts w:hint="default" w:ascii="Times New Roman" w:hAnsi="Times New Roman" w:eastAsia="宋体" w:cs="Times New Roman"/>
                <w:sz w:val="21"/>
                <w:szCs w:val="21"/>
                <w:highlight w:val="none"/>
              </w:rPr>
              <w:t>Ⅱ</w:t>
            </w:r>
            <w:r>
              <w:rPr>
                <w:rFonts w:ascii="Times New Roman" w:hAnsi="Times New Roman"/>
                <w:sz w:val="21"/>
                <w:szCs w:val="21"/>
                <w:highlight w:val="none"/>
              </w:rPr>
              <w:t xml:space="preserve">  </w:t>
            </w:r>
            <w:r>
              <w:rPr>
                <w:rFonts w:hint="eastAsia" w:ascii="Times New Roman" w:hAnsi="Times New Roman"/>
                <w:sz w:val="21"/>
                <w:szCs w:val="21"/>
                <w:highlight w:val="none"/>
                <w:lang w:val="en-US" w:eastAsia="zh-CN"/>
              </w:rPr>
              <w:t>35t/h</w:t>
            </w:r>
            <w:r>
              <w:rPr>
                <w:rFonts w:ascii="Times New Roman" w:hAnsi="Times New Roman"/>
                <w:sz w:val="21"/>
                <w:szCs w:val="21"/>
                <w:highlight w:val="none"/>
              </w:rPr>
              <w:t xml:space="preserve">  1.6MPa</w:t>
            </w:r>
          </w:p>
        </w:tc>
      </w:tr>
      <w:tr w14:paraId="2160C4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426" w:type="pct"/>
            <w:vMerge w:val="continue"/>
            <w:noWrap/>
            <w:vAlign w:val="center"/>
          </w:tcPr>
          <w:p w14:paraId="70FD66FC">
            <w:pPr>
              <w:pStyle w:val="27"/>
              <w:rPr>
                <w:rFonts w:ascii="Times New Roman" w:hAnsi="Times New Roman"/>
                <w:sz w:val="21"/>
                <w:szCs w:val="21"/>
                <w:highlight w:val="none"/>
              </w:rPr>
            </w:pPr>
          </w:p>
        </w:tc>
        <w:tc>
          <w:tcPr>
            <w:tcW w:w="1029" w:type="pct"/>
            <w:noWrap/>
            <w:vAlign w:val="center"/>
          </w:tcPr>
          <w:p w14:paraId="7B29EE6E">
            <w:pPr>
              <w:pStyle w:val="27"/>
              <w:rPr>
                <w:rFonts w:ascii="Times New Roman" w:hAnsi="Times New Roman"/>
                <w:sz w:val="21"/>
                <w:szCs w:val="21"/>
                <w:highlight w:val="none"/>
              </w:rPr>
            </w:pPr>
            <w:r>
              <w:rPr>
                <w:rFonts w:ascii="Times New Roman" w:hAnsi="Times New Roman"/>
                <w:sz w:val="21"/>
                <w:szCs w:val="21"/>
                <w:highlight w:val="none"/>
              </w:rPr>
              <w:t>热功率</w:t>
            </w:r>
          </w:p>
        </w:tc>
        <w:tc>
          <w:tcPr>
            <w:tcW w:w="2544" w:type="pct"/>
            <w:noWrap/>
            <w:vAlign w:val="center"/>
          </w:tcPr>
          <w:p w14:paraId="6C8426A8">
            <w:pPr>
              <w:pStyle w:val="27"/>
              <w:rPr>
                <w:rFonts w:ascii="Times New Roman" w:hAnsi="Times New Roman"/>
                <w:sz w:val="21"/>
                <w:szCs w:val="21"/>
                <w:highlight w:val="none"/>
              </w:rPr>
            </w:pPr>
            <w:r>
              <w:rPr>
                <w:rFonts w:hint="eastAsia" w:ascii="Times New Roman" w:hAnsi="Times New Roman"/>
                <w:sz w:val="21"/>
                <w:szCs w:val="21"/>
                <w:highlight w:val="none"/>
                <w:lang w:val="en-US" w:eastAsia="zh-CN"/>
              </w:rPr>
              <w:t>35t/h</w:t>
            </w:r>
          </w:p>
        </w:tc>
      </w:tr>
      <w:tr w14:paraId="61D344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4ABB104A">
            <w:pPr>
              <w:pStyle w:val="27"/>
              <w:rPr>
                <w:rFonts w:ascii="Times New Roman" w:hAnsi="Times New Roman"/>
                <w:sz w:val="21"/>
                <w:szCs w:val="21"/>
                <w:highlight w:val="none"/>
              </w:rPr>
            </w:pPr>
          </w:p>
        </w:tc>
        <w:tc>
          <w:tcPr>
            <w:tcW w:w="1029" w:type="pct"/>
            <w:noWrap/>
            <w:vAlign w:val="center"/>
          </w:tcPr>
          <w:p w14:paraId="354B7418">
            <w:pPr>
              <w:pStyle w:val="27"/>
              <w:rPr>
                <w:rFonts w:ascii="Times New Roman" w:hAnsi="Times New Roman"/>
                <w:sz w:val="21"/>
                <w:szCs w:val="21"/>
                <w:highlight w:val="none"/>
              </w:rPr>
            </w:pPr>
            <w:r>
              <w:rPr>
                <w:rFonts w:ascii="Times New Roman" w:hAnsi="Times New Roman"/>
                <w:sz w:val="21"/>
                <w:szCs w:val="21"/>
                <w:highlight w:val="none"/>
              </w:rPr>
              <w:t>锅炉</w:t>
            </w:r>
            <w:r>
              <w:rPr>
                <w:rFonts w:hint="eastAsia" w:ascii="Times New Roman" w:hAnsi="Times New Roman"/>
                <w:sz w:val="21"/>
                <w:szCs w:val="21"/>
                <w:highlight w:val="none"/>
                <w:lang w:val="en-US" w:eastAsia="zh-CN"/>
              </w:rPr>
              <w:t>蒸汽</w:t>
            </w:r>
            <w:r>
              <w:rPr>
                <w:rFonts w:ascii="Times New Roman" w:hAnsi="Times New Roman"/>
                <w:sz w:val="21"/>
                <w:szCs w:val="21"/>
                <w:highlight w:val="none"/>
              </w:rPr>
              <w:t>温度</w:t>
            </w:r>
          </w:p>
        </w:tc>
        <w:tc>
          <w:tcPr>
            <w:tcW w:w="2544" w:type="pct"/>
            <w:noWrap/>
            <w:vAlign w:val="center"/>
          </w:tcPr>
          <w:p w14:paraId="009B3810">
            <w:pPr>
              <w:pStyle w:val="27"/>
              <w:rPr>
                <w:rFonts w:ascii="Times New Roman" w:hAnsi="Times New Roman"/>
                <w:sz w:val="21"/>
                <w:szCs w:val="21"/>
                <w:highlight w:val="none"/>
              </w:rPr>
            </w:pPr>
            <w:r>
              <w:rPr>
                <w:rFonts w:hint="eastAsia" w:ascii="Times New Roman" w:hAnsi="Times New Roman" w:eastAsia="宋体"/>
                <w:sz w:val="21"/>
                <w:szCs w:val="21"/>
                <w:highlight w:val="none"/>
                <w:lang w:val="en-US" w:eastAsia="zh-CN"/>
              </w:rPr>
              <w:t>300</w:t>
            </w:r>
            <w:r>
              <w:rPr>
                <w:rFonts w:hint="eastAsia" w:ascii="宋体" w:hAnsi="宋体" w:eastAsia="宋体" w:cs="宋体"/>
                <w:sz w:val="21"/>
                <w:szCs w:val="21"/>
                <w:highlight w:val="none"/>
              </w:rPr>
              <w:t>℃</w:t>
            </w:r>
          </w:p>
        </w:tc>
      </w:tr>
      <w:tr w14:paraId="0CF663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53D7A81F">
            <w:pPr>
              <w:pStyle w:val="27"/>
              <w:rPr>
                <w:rFonts w:ascii="Times New Roman" w:hAnsi="Times New Roman"/>
                <w:sz w:val="21"/>
                <w:szCs w:val="21"/>
                <w:highlight w:val="none"/>
              </w:rPr>
            </w:pPr>
          </w:p>
        </w:tc>
        <w:tc>
          <w:tcPr>
            <w:tcW w:w="1029" w:type="pct"/>
            <w:noWrap/>
            <w:vAlign w:val="center"/>
          </w:tcPr>
          <w:p w14:paraId="0E8C5829">
            <w:pPr>
              <w:pStyle w:val="27"/>
              <w:rPr>
                <w:rFonts w:ascii="Times New Roman" w:hAnsi="Times New Roman"/>
                <w:sz w:val="21"/>
                <w:szCs w:val="21"/>
                <w:highlight w:val="none"/>
              </w:rPr>
            </w:pPr>
            <w:r>
              <w:rPr>
                <w:rFonts w:ascii="Times New Roman" w:hAnsi="Times New Roman"/>
                <w:sz w:val="21"/>
                <w:szCs w:val="21"/>
                <w:highlight w:val="none"/>
              </w:rPr>
              <w:t>设计压力</w:t>
            </w:r>
          </w:p>
        </w:tc>
        <w:tc>
          <w:tcPr>
            <w:tcW w:w="2544" w:type="pct"/>
            <w:noWrap/>
            <w:vAlign w:val="center"/>
          </w:tcPr>
          <w:p w14:paraId="67D46841">
            <w:pPr>
              <w:pStyle w:val="27"/>
              <w:rPr>
                <w:rFonts w:ascii="Times New Roman" w:hAnsi="Times New Roman"/>
                <w:sz w:val="21"/>
                <w:szCs w:val="21"/>
                <w:highlight w:val="none"/>
              </w:rPr>
            </w:pPr>
            <w:r>
              <w:rPr>
                <w:rFonts w:ascii="Times New Roman" w:hAnsi="Times New Roman"/>
                <w:sz w:val="21"/>
                <w:szCs w:val="21"/>
                <w:highlight w:val="none"/>
              </w:rPr>
              <w:t>1.6MPa</w:t>
            </w:r>
          </w:p>
        </w:tc>
      </w:tr>
      <w:tr w14:paraId="78AAB3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66769186">
            <w:pPr>
              <w:pStyle w:val="27"/>
              <w:rPr>
                <w:rFonts w:ascii="Times New Roman" w:hAnsi="Times New Roman"/>
                <w:sz w:val="21"/>
                <w:szCs w:val="21"/>
                <w:highlight w:val="none"/>
              </w:rPr>
            </w:pPr>
          </w:p>
        </w:tc>
        <w:tc>
          <w:tcPr>
            <w:tcW w:w="1029" w:type="pct"/>
            <w:noWrap/>
            <w:vAlign w:val="center"/>
          </w:tcPr>
          <w:p w14:paraId="72EDFF64">
            <w:pPr>
              <w:pStyle w:val="27"/>
              <w:rPr>
                <w:rFonts w:ascii="Times New Roman" w:hAnsi="Times New Roman"/>
                <w:sz w:val="21"/>
                <w:szCs w:val="21"/>
                <w:highlight w:val="none"/>
              </w:rPr>
            </w:pPr>
            <w:r>
              <w:rPr>
                <w:rFonts w:ascii="Times New Roman" w:hAnsi="Times New Roman"/>
                <w:sz w:val="21"/>
                <w:szCs w:val="21"/>
                <w:highlight w:val="none"/>
              </w:rPr>
              <w:t>排烟温度</w:t>
            </w:r>
          </w:p>
        </w:tc>
        <w:tc>
          <w:tcPr>
            <w:tcW w:w="2544" w:type="pct"/>
            <w:noWrap/>
            <w:vAlign w:val="center"/>
          </w:tcPr>
          <w:p w14:paraId="62797B6B">
            <w:pPr>
              <w:pStyle w:val="27"/>
              <w:rPr>
                <w:rFonts w:ascii="Times New Roman" w:hAnsi="Times New Roman"/>
                <w:sz w:val="21"/>
                <w:szCs w:val="21"/>
                <w:highlight w:val="none"/>
              </w:rPr>
            </w:pPr>
            <w:r>
              <w:rPr>
                <w:rFonts w:ascii="Times New Roman" w:hAnsi="Times New Roman"/>
                <w:sz w:val="21"/>
                <w:szCs w:val="21"/>
                <w:highlight w:val="none"/>
              </w:rPr>
              <w:t>130</w:t>
            </w:r>
            <w:r>
              <w:rPr>
                <w:rFonts w:hint="eastAsia" w:ascii="宋体" w:hAnsi="宋体" w:eastAsia="宋体" w:cs="宋体"/>
                <w:sz w:val="21"/>
                <w:szCs w:val="21"/>
                <w:highlight w:val="none"/>
              </w:rPr>
              <w:t>℃</w:t>
            </w:r>
          </w:p>
        </w:tc>
      </w:tr>
      <w:tr w14:paraId="744557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6C7ED269">
            <w:pPr>
              <w:pStyle w:val="27"/>
              <w:rPr>
                <w:rFonts w:ascii="Times New Roman" w:hAnsi="Times New Roman"/>
                <w:sz w:val="21"/>
                <w:szCs w:val="21"/>
                <w:highlight w:val="none"/>
              </w:rPr>
            </w:pPr>
          </w:p>
        </w:tc>
        <w:tc>
          <w:tcPr>
            <w:tcW w:w="1029" w:type="pct"/>
            <w:noWrap/>
            <w:vAlign w:val="center"/>
          </w:tcPr>
          <w:p w14:paraId="1952A386">
            <w:pPr>
              <w:pStyle w:val="27"/>
              <w:rPr>
                <w:rFonts w:ascii="Times New Roman" w:hAnsi="Times New Roman"/>
                <w:sz w:val="21"/>
                <w:szCs w:val="21"/>
                <w:highlight w:val="none"/>
              </w:rPr>
            </w:pPr>
            <w:r>
              <w:rPr>
                <w:rFonts w:ascii="Times New Roman" w:hAnsi="Times New Roman"/>
                <w:sz w:val="21"/>
                <w:szCs w:val="21"/>
                <w:highlight w:val="none"/>
              </w:rPr>
              <w:t>锅炉效率</w:t>
            </w:r>
          </w:p>
        </w:tc>
        <w:tc>
          <w:tcPr>
            <w:tcW w:w="2544" w:type="pct"/>
            <w:noWrap/>
            <w:vAlign w:val="center"/>
          </w:tcPr>
          <w:p w14:paraId="328C1207">
            <w:pPr>
              <w:pStyle w:val="27"/>
              <w:rPr>
                <w:rFonts w:ascii="Times New Roman" w:hAnsi="Times New Roman"/>
                <w:sz w:val="21"/>
                <w:szCs w:val="21"/>
                <w:highlight w:val="none"/>
              </w:rPr>
            </w:pPr>
            <w:r>
              <w:rPr>
                <w:rFonts w:ascii="Times New Roman" w:hAnsi="Times New Roman"/>
                <w:sz w:val="21"/>
                <w:szCs w:val="21"/>
                <w:highlight w:val="none"/>
              </w:rPr>
              <w:t>90%</w:t>
            </w:r>
          </w:p>
        </w:tc>
      </w:tr>
      <w:tr w14:paraId="31F2BA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restart"/>
            <w:noWrap/>
            <w:vAlign w:val="center"/>
          </w:tcPr>
          <w:p w14:paraId="0ABEDF44">
            <w:pPr>
              <w:pStyle w:val="27"/>
              <w:rPr>
                <w:rFonts w:hint="default" w:ascii="Times New Roman" w:hAnsi="Times New Roman" w:eastAsia="新宋体"/>
                <w:sz w:val="21"/>
                <w:szCs w:val="21"/>
                <w:highlight w:val="none"/>
                <w:lang w:val="en-US" w:eastAsia="zh-CN"/>
              </w:rPr>
            </w:pPr>
            <w:r>
              <w:rPr>
                <w:rFonts w:hint="eastAsia" w:ascii="Times New Roman" w:hAnsi="Times New Roman"/>
                <w:sz w:val="21"/>
                <w:szCs w:val="21"/>
                <w:highlight w:val="none"/>
                <w:lang w:val="en-US" w:eastAsia="zh-CN"/>
              </w:rPr>
              <w:t>116MW</w:t>
            </w:r>
            <w:r>
              <w:rPr>
                <w:rFonts w:hint="eastAsia" w:ascii="宋体" w:hAnsi="宋体" w:eastAsia="宋体" w:cs="宋体"/>
                <w:sz w:val="21"/>
                <w:szCs w:val="21"/>
                <w:highlight w:val="none"/>
                <w:lang w:val="en-US" w:eastAsia="zh-CN"/>
              </w:rPr>
              <w:t>链条式热水锅炉</w:t>
            </w:r>
          </w:p>
        </w:tc>
        <w:tc>
          <w:tcPr>
            <w:tcW w:w="1029" w:type="pct"/>
            <w:noWrap/>
            <w:vAlign w:val="center"/>
          </w:tcPr>
          <w:p w14:paraId="28F63D69">
            <w:pPr>
              <w:pStyle w:val="27"/>
              <w:ind w:firstLine="0" w:firstLineChars="0"/>
              <w:rPr>
                <w:rFonts w:ascii="Times New Roman" w:hAnsi="Times New Roman"/>
                <w:sz w:val="21"/>
                <w:szCs w:val="21"/>
                <w:highlight w:val="none"/>
              </w:rPr>
            </w:pPr>
            <w:r>
              <w:rPr>
                <w:rFonts w:ascii="Times New Roman" w:hAnsi="Times New Roman"/>
                <w:sz w:val="21"/>
                <w:szCs w:val="21"/>
                <w:highlight w:val="none"/>
              </w:rPr>
              <w:t>型号</w:t>
            </w:r>
          </w:p>
        </w:tc>
        <w:tc>
          <w:tcPr>
            <w:tcW w:w="2544" w:type="pct"/>
            <w:noWrap/>
            <w:vAlign w:val="center"/>
          </w:tcPr>
          <w:p w14:paraId="0B2F8A1D">
            <w:pPr>
              <w:pStyle w:val="27"/>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DZL116-1.6/130/70-A</w:t>
            </w:r>
            <w:r>
              <w:rPr>
                <w:rFonts w:hint="default" w:ascii="Times New Roman" w:hAnsi="Times New Roman" w:eastAsia="宋体" w:cs="Times New Roman"/>
                <w:sz w:val="21"/>
                <w:szCs w:val="21"/>
                <w:highlight w:val="none"/>
              </w:rPr>
              <w:t>Ⅱ</w:t>
            </w:r>
            <w:r>
              <w:rPr>
                <w:rFonts w:hint="eastAsia" w:ascii="Times New Roman" w:hAnsi="Times New Roman" w:cs="Times New Roman"/>
                <w:sz w:val="21"/>
                <w:szCs w:val="21"/>
                <w:highlight w:val="none"/>
                <w:lang w:val="en-US" w:eastAsia="zh-CN"/>
              </w:rPr>
              <w:t>3   116MW  1.6</w:t>
            </w:r>
            <w:r>
              <w:rPr>
                <w:rFonts w:ascii="Times New Roman" w:hAnsi="Times New Roman" w:cs="Times New Roman"/>
                <w:sz w:val="21"/>
                <w:szCs w:val="21"/>
                <w:highlight w:val="none"/>
              </w:rPr>
              <w:t>MPa</w:t>
            </w:r>
          </w:p>
        </w:tc>
      </w:tr>
      <w:tr w14:paraId="14E8F1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693A3D76">
            <w:pPr>
              <w:pStyle w:val="27"/>
              <w:rPr>
                <w:rFonts w:ascii="Times New Roman" w:hAnsi="Times New Roman"/>
                <w:sz w:val="21"/>
                <w:szCs w:val="21"/>
                <w:highlight w:val="none"/>
              </w:rPr>
            </w:pPr>
          </w:p>
        </w:tc>
        <w:tc>
          <w:tcPr>
            <w:tcW w:w="1029" w:type="pct"/>
            <w:noWrap/>
            <w:vAlign w:val="center"/>
          </w:tcPr>
          <w:p w14:paraId="746ABAC1">
            <w:pPr>
              <w:pStyle w:val="27"/>
              <w:ind w:firstLine="0" w:firstLineChars="0"/>
              <w:rPr>
                <w:rFonts w:ascii="Times New Roman" w:hAnsi="Times New Roman"/>
                <w:sz w:val="21"/>
                <w:szCs w:val="21"/>
                <w:highlight w:val="none"/>
              </w:rPr>
            </w:pPr>
            <w:r>
              <w:rPr>
                <w:rFonts w:ascii="Times New Roman" w:hAnsi="Times New Roman"/>
                <w:sz w:val="21"/>
                <w:szCs w:val="21"/>
                <w:highlight w:val="none"/>
              </w:rPr>
              <w:t>热功率</w:t>
            </w:r>
          </w:p>
        </w:tc>
        <w:tc>
          <w:tcPr>
            <w:tcW w:w="2544" w:type="pct"/>
            <w:noWrap/>
            <w:vAlign w:val="center"/>
          </w:tcPr>
          <w:p w14:paraId="6FF2E900">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168MW</w:t>
            </w:r>
          </w:p>
        </w:tc>
      </w:tr>
      <w:tr w14:paraId="55385B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74C9E7FC">
            <w:pPr>
              <w:pStyle w:val="27"/>
              <w:rPr>
                <w:rFonts w:ascii="Times New Roman" w:hAnsi="Times New Roman"/>
                <w:sz w:val="21"/>
                <w:szCs w:val="21"/>
                <w:highlight w:val="none"/>
              </w:rPr>
            </w:pPr>
          </w:p>
        </w:tc>
        <w:tc>
          <w:tcPr>
            <w:tcW w:w="1029" w:type="pct"/>
            <w:noWrap/>
            <w:vAlign w:val="center"/>
          </w:tcPr>
          <w:p w14:paraId="2750F89A">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锅炉供水温度</w:t>
            </w:r>
          </w:p>
        </w:tc>
        <w:tc>
          <w:tcPr>
            <w:tcW w:w="2544" w:type="pct"/>
            <w:noWrap/>
            <w:vAlign w:val="center"/>
          </w:tcPr>
          <w:p w14:paraId="3041C439">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130</w:t>
            </w:r>
            <w:r>
              <w:rPr>
                <w:rFonts w:hint="eastAsia" w:ascii="Times New Roman" w:hAnsi="Times New Roman" w:cs="Times New Roman"/>
                <w:sz w:val="21"/>
                <w:szCs w:val="21"/>
                <w:highlight w:val="none"/>
              </w:rPr>
              <w:t>℃</w:t>
            </w:r>
          </w:p>
        </w:tc>
      </w:tr>
      <w:tr w14:paraId="5CBD25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66441646">
            <w:pPr>
              <w:pStyle w:val="27"/>
              <w:rPr>
                <w:rFonts w:ascii="Times New Roman" w:hAnsi="Times New Roman"/>
                <w:sz w:val="21"/>
                <w:szCs w:val="21"/>
                <w:highlight w:val="none"/>
              </w:rPr>
            </w:pPr>
          </w:p>
        </w:tc>
        <w:tc>
          <w:tcPr>
            <w:tcW w:w="1029" w:type="pct"/>
            <w:noWrap/>
            <w:vAlign w:val="center"/>
          </w:tcPr>
          <w:p w14:paraId="62BC5ABD">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锅炉回水温度</w:t>
            </w:r>
          </w:p>
        </w:tc>
        <w:tc>
          <w:tcPr>
            <w:tcW w:w="2544" w:type="pct"/>
            <w:noWrap/>
            <w:vAlign w:val="center"/>
          </w:tcPr>
          <w:p w14:paraId="10E2ED9C">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70</w:t>
            </w:r>
            <w:r>
              <w:rPr>
                <w:rFonts w:hint="eastAsia" w:ascii="Times New Roman" w:hAnsi="Times New Roman" w:cs="Times New Roman"/>
                <w:sz w:val="21"/>
                <w:szCs w:val="21"/>
                <w:highlight w:val="none"/>
              </w:rPr>
              <w:t>℃</w:t>
            </w:r>
          </w:p>
        </w:tc>
      </w:tr>
      <w:tr w14:paraId="6D801B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007D310A">
            <w:pPr>
              <w:pStyle w:val="27"/>
              <w:rPr>
                <w:rFonts w:ascii="Times New Roman" w:hAnsi="Times New Roman"/>
                <w:sz w:val="21"/>
                <w:szCs w:val="21"/>
                <w:highlight w:val="none"/>
              </w:rPr>
            </w:pPr>
          </w:p>
        </w:tc>
        <w:tc>
          <w:tcPr>
            <w:tcW w:w="1029" w:type="pct"/>
            <w:noWrap/>
            <w:vAlign w:val="center"/>
          </w:tcPr>
          <w:p w14:paraId="38B78654">
            <w:pPr>
              <w:pStyle w:val="27"/>
              <w:ind w:firstLine="0" w:firstLineChars="0"/>
              <w:rPr>
                <w:rFonts w:ascii="Times New Roman" w:hAnsi="Times New Roman"/>
                <w:sz w:val="21"/>
                <w:szCs w:val="21"/>
                <w:highlight w:val="none"/>
              </w:rPr>
            </w:pPr>
            <w:r>
              <w:rPr>
                <w:rFonts w:ascii="Times New Roman" w:hAnsi="Times New Roman"/>
                <w:sz w:val="21"/>
                <w:szCs w:val="21"/>
                <w:highlight w:val="none"/>
              </w:rPr>
              <w:t>设计压力</w:t>
            </w:r>
          </w:p>
        </w:tc>
        <w:tc>
          <w:tcPr>
            <w:tcW w:w="2544" w:type="pct"/>
            <w:noWrap/>
            <w:vAlign w:val="center"/>
          </w:tcPr>
          <w:p w14:paraId="0671675E">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1.6MPa</w:t>
            </w:r>
          </w:p>
        </w:tc>
      </w:tr>
      <w:tr w14:paraId="799C2C6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35FE2669">
            <w:pPr>
              <w:pStyle w:val="27"/>
              <w:rPr>
                <w:rFonts w:ascii="Times New Roman" w:hAnsi="Times New Roman"/>
                <w:sz w:val="21"/>
                <w:szCs w:val="21"/>
                <w:highlight w:val="none"/>
              </w:rPr>
            </w:pPr>
          </w:p>
        </w:tc>
        <w:tc>
          <w:tcPr>
            <w:tcW w:w="1029" w:type="pct"/>
            <w:noWrap/>
            <w:vAlign w:val="center"/>
          </w:tcPr>
          <w:p w14:paraId="4CA81B76">
            <w:pPr>
              <w:pStyle w:val="27"/>
              <w:ind w:firstLine="0" w:firstLineChars="0"/>
              <w:rPr>
                <w:rFonts w:ascii="Times New Roman" w:hAnsi="Times New Roman"/>
                <w:sz w:val="21"/>
                <w:szCs w:val="21"/>
                <w:highlight w:val="none"/>
              </w:rPr>
            </w:pPr>
            <w:r>
              <w:rPr>
                <w:rFonts w:ascii="Times New Roman" w:hAnsi="Times New Roman"/>
                <w:sz w:val="21"/>
                <w:szCs w:val="21"/>
                <w:highlight w:val="none"/>
              </w:rPr>
              <w:t>排烟温度</w:t>
            </w:r>
          </w:p>
        </w:tc>
        <w:tc>
          <w:tcPr>
            <w:tcW w:w="2544" w:type="pct"/>
            <w:noWrap/>
            <w:vAlign w:val="center"/>
          </w:tcPr>
          <w:p w14:paraId="4F88937D">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130</w:t>
            </w:r>
            <w:r>
              <w:rPr>
                <w:rFonts w:hint="eastAsia" w:ascii="Times New Roman" w:hAnsi="Times New Roman" w:cs="Times New Roman"/>
                <w:sz w:val="21"/>
                <w:szCs w:val="21"/>
                <w:highlight w:val="none"/>
              </w:rPr>
              <w:t>℃</w:t>
            </w:r>
          </w:p>
        </w:tc>
      </w:tr>
      <w:tr w14:paraId="46CBF3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7C260BF4">
            <w:pPr>
              <w:pStyle w:val="27"/>
              <w:rPr>
                <w:rFonts w:ascii="Times New Roman" w:hAnsi="Times New Roman"/>
                <w:sz w:val="21"/>
                <w:szCs w:val="21"/>
                <w:highlight w:val="none"/>
              </w:rPr>
            </w:pPr>
          </w:p>
        </w:tc>
        <w:tc>
          <w:tcPr>
            <w:tcW w:w="1029" w:type="pct"/>
            <w:noWrap/>
            <w:vAlign w:val="center"/>
          </w:tcPr>
          <w:p w14:paraId="244B7076">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锅炉效率</w:t>
            </w:r>
          </w:p>
        </w:tc>
        <w:tc>
          <w:tcPr>
            <w:tcW w:w="2544" w:type="pct"/>
            <w:noWrap/>
            <w:vAlign w:val="center"/>
          </w:tcPr>
          <w:p w14:paraId="2EA6E2B5">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90%</w:t>
            </w:r>
          </w:p>
        </w:tc>
      </w:tr>
      <w:tr w14:paraId="5F0A7C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restart"/>
            <w:shd w:val="clear" w:color="auto" w:fill="auto"/>
            <w:noWrap/>
            <w:vAlign w:val="center"/>
          </w:tcPr>
          <w:p w14:paraId="20C018EE">
            <w:pPr>
              <w:pStyle w:val="27"/>
              <w:ind w:firstLine="0" w:firstLineChars="0"/>
              <w:rPr>
                <w:rFonts w:hint="default" w:ascii="Times New Roman" w:hAnsi="Times New Roman" w:eastAsia="新宋体" w:cs="Times New Roman"/>
                <w:kern w:val="2"/>
                <w:sz w:val="21"/>
                <w:szCs w:val="21"/>
                <w:highlight w:val="none"/>
                <w:lang w:val="en-US" w:eastAsia="zh-CN" w:bidi="ar-SA"/>
              </w:rPr>
            </w:pPr>
            <w:r>
              <w:rPr>
                <w:rFonts w:hint="eastAsia" w:ascii="Times New Roman" w:hAnsi="Times New Roman"/>
                <w:sz w:val="21"/>
                <w:szCs w:val="21"/>
                <w:highlight w:val="none"/>
                <w:lang w:val="en-US" w:eastAsia="zh-CN"/>
              </w:rPr>
              <w:t>58MW</w:t>
            </w:r>
            <w:r>
              <w:rPr>
                <w:rFonts w:hint="eastAsia" w:ascii="宋体" w:hAnsi="宋体" w:eastAsia="宋体" w:cs="宋体"/>
                <w:sz w:val="21"/>
                <w:szCs w:val="21"/>
                <w:highlight w:val="none"/>
                <w:lang w:val="en-US" w:eastAsia="zh-CN"/>
              </w:rPr>
              <w:t>链条式热水锅炉</w:t>
            </w:r>
          </w:p>
        </w:tc>
        <w:tc>
          <w:tcPr>
            <w:tcW w:w="1754" w:type="dxa"/>
            <w:noWrap/>
            <w:vAlign w:val="center"/>
          </w:tcPr>
          <w:p w14:paraId="0D47372F">
            <w:pPr>
              <w:pStyle w:val="27"/>
              <w:ind w:firstLine="0" w:firstLineChars="0"/>
              <w:rPr>
                <w:rFonts w:ascii="Times New Roman" w:hAnsi="Times New Roman"/>
                <w:sz w:val="21"/>
                <w:szCs w:val="21"/>
                <w:highlight w:val="none"/>
              </w:rPr>
            </w:pPr>
            <w:r>
              <w:rPr>
                <w:rFonts w:ascii="Times New Roman" w:hAnsi="Times New Roman"/>
                <w:sz w:val="21"/>
                <w:szCs w:val="21"/>
                <w:highlight w:val="none"/>
              </w:rPr>
              <w:t>型号</w:t>
            </w:r>
          </w:p>
        </w:tc>
        <w:tc>
          <w:tcPr>
            <w:tcW w:w="4337" w:type="dxa"/>
            <w:noWrap/>
            <w:vAlign w:val="center"/>
          </w:tcPr>
          <w:p w14:paraId="42394D88">
            <w:pPr>
              <w:pStyle w:val="27"/>
              <w:rPr>
                <w:rFonts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DZL58-1.25/130/70-A</w:t>
            </w:r>
            <w:r>
              <w:rPr>
                <w:rFonts w:hint="default" w:ascii="Times New Roman" w:hAnsi="Times New Roman" w:cs="Times New Roman"/>
                <w:sz w:val="21"/>
                <w:szCs w:val="21"/>
                <w:highlight w:val="none"/>
              </w:rPr>
              <w:t>Ⅱ</w:t>
            </w:r>
            <w:r>
              <w:rPr>
                <w:rFonts w:hint="eastAsia" w:ascii="Times New Roman" w:hAnsi="Times New Roman" w:cs="Times New Roman"/>
                <w:sz w:val="21"/>
                <w:szCs w:val="21"/>
                <w:highlight w:val="none"/>
                <w:lang w:val="en-US" w:eastAsia="zh-CN"/>
              </w:rPr>
              <w:t>3   58MW  1.25</w:t>
            </w:r>
            <w:r>
              <w:rPr>
                <w:rFonts w:ascii="Times New Roman" w:hAnsi="Times New Roman" w:cs="Times New Roman"/>
                <w:sz w:val="21"/>
                <w:szCs w:val="21"/>
                <w:highlight w:val="none"/>
              </w:rPr>
              <w:t>MPa</w:t>
            </w:r>
          </w:p>
        </w:tc>
      </w:tr>
      <w:tr w14:paraId="0ED15A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700F9A5D">
            <w:pPr>
              <w:pStyle w:val="27"/>
              <w:rPr>
                <w:rFonts w:ascii="Times New Roman" w:hAnsi="Times New Roman"/>
                <w:sz w:val="21"/>
                <w:szCs w:val="21"/>
                <w:highlight w:val="none"/>
              </w:rPr>
            </w:pPr>
          </w:p>
        </w:tc>
        <w:tc>
          <w:tcPr>
            <w:tcW w:w="1754" w:type="dxa"/>
            <w:noWrap/>
            <w:vAlign w:val="center"/>
          </w:tcPr>
          <w:p w14:paraId="5D08C12A">
            <w:pPr>
              <w:pStyle w:val="27"/>
              <w:ind w:firstLine="0" w:firstLineChars="0"/>
              <w:rPr>
                <w:rFonts w:ascii="Times New Roman" w:hAnsi="Times New Roman"/>
                <w:sz w:val="21"/>
                <w:szCs w:val="21"/>
                <w:highlight w:val="none"/>
              </w:rPr>
            </w:pPr>
            <w:r>
              <w:rPr>
                <w:rFonts w:ascii="Times New Roman" w:hAnsi="Times New Roman"/>
                <w:sz w:val="21"/>
                <w:szCs w:val="21"/>
                <w:highlight w:val="none"/>
              </w:rPr>
              <w:t>热功率</w:t>
            </w:r>
          </w:p>
        </w:tc>
        <w:tc>
          <w:tcPr>
            <w:tcW w:w="4337" w:type="dxa"/>
            <w:noWrap/>
            <w:vAlign w:val="center"/>
          </w:tcPr>
          <w:p w14:paraId="24F7904C">
            <w:pPr>
              <w:pStyle w:val="27"/>
              <w:rPr>
                <w:rFonts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58</w:t>
            </w:r>
            <w:r>
              <w:rPr>
                <w:rFonts w:ascii="Times New Roman" w:hAnsi="Times New Roman" w:cs="Times New Roman"/>
                <w:sz w:val="21"/>
                <w:szCs w:val="21"/>
                <w:highlight w:val="none"/>
              </w:rPr>
              <w:t>MW</w:t>
            </w:r>
          </w:p>
        </w:tc>
      </w:tr>
      <w:tr w14:paraId="4AFC92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3531E29D">
            <w:pPr>
              <w:pStyle w:val="27"/>
              <w:rPr>
                <w:rFonts w:ascii="Times New Roman" w:hAnsi="Times New Roman"/>
                <w:sz w:val="21"/>
                <w:szCs w:val="21"/>
                <w:highlight w:val="none"/>
              </w:rPr>
            </w:pPr>
          </w:p>
        </w:tc>
        <w:tc>
          <w:tcPr>
            <w:tcW w:w="1754" w:type="dxa"/>
            <w:noWrap/>
            <w:vAlign w:val="center"/>
          </w:tcPr>
          <w:p w14:paraId="67551499">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锅炉供水温度</w:t>
            </w:r>
          </w:p>
        </w:tc>
        <w:tc>
          <w:tcPr>
            <w:tcW w:w="4337" w:type="dxa"/>
            <w:noWrap/>
            <w:vAlign w:val="center"/>
          </w:tcPr>
          <w:p w14:paraId="12A23CF0">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130</w:t>
            </w:r>
            <w:r>
              <w:rPr>
                <w:rFonts w:hint="eastAsia" w:ascii="Times New Roman" w:hAnsi="Times New Roman" w:cs="Times New Roman"/>
                <w:sz w:val="21"/>
                <w:szCs w:val="21"/>
                <w:highlight w:val="none"/>
              </w:rPr>
              <w:t>℃</w:t>
            </w:r>
          </w:p>
        </w:tc>
      </w:tr>
      <w:tr w14:paraId="0912AF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25F0D759">
            <w:pPr>
              <w:pStyle w:val="27"/>
              <w:rPr>
                <w:rFonts w:ascii="Times New Roman" w:hAnsi="Times New Roman"/>
                <w:sz w:val="21"/>
                <w:szCs w:val="21"/>
                <w:highlight w:val="none"/>
              </w:rPr>
            </w:pPr>
          </w:p>
        </w:tc>
        <w:tc>
          <w:tcPr>
            <w:tcW w:w="1754" w:type="dxa"/>
            <w:noWrap/>
            <w:vAlign w:val="center"/>
          </w:tcPr>
          <w:p w14:paraId="7FA3F3B6">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锅炉回水温度</w:t>
            </w:r>
          </w:p>
        </w:tc>
        <w:tc>
          <w:tcPr>
            <w:tcW w:w="4337" w:type="dxa"/>
            <w:noWrap/>
            <w:vAlign w:val="center"/>
          </w:tcPr>
          <w:p w14:paraId="5D7ED4D2">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70</w:t>
            </w:r>
            <w:r>
              <w:rPr>
                <w:rFonts w:hint="eastAsia" w:ascii="Times New Roman" w:hAnsi="Times New Roman" w:cs="Times New Roman"/>
                <w:sz w:val="21"/>
                <w:szCs w:val="21"/>
                <w:highlight w:val="none"/>
              </w:rPr>
              <w:t>℃</w:t>
            </w:r>
          </w:p>
        </w:tc>
      </w:tr>
      <w:tr w14:paraId="4C97CA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778A5693">
            <w:pPr>
              <w:pStyle w:val="27"/>
              <w:rPr>
                <w:rFonts w:ascii="Times New Roman" w:hAnsi="Times New Roman"/>
                <w:sz w:val="21"/>
                <w:szCs w:val="21"/>
                <w:highlight w:val="none"/>
              </w:rPr>
            </w:pPr>
          </w:p>
        </w:tc>
        <w:tc>
          <w:tcPr>
            <w:tcW w:w="1754" w:type="dxa"/>
            <w:noWrap/>
            <w:vAlign w:val="center"/>
          </w:tcPr>
          <w:p w14:paraId="1975A826">
            <w:pPr>
              <w:pStyle w:val="27"/>
              <w:ind w:firstLine="0" w:firstLineChars="0"/>
              <w:rPr>
                <w:rFonts w:ascii="Times New Roman" w:hAnsi="Times New Roman"/>
                <w:sz w:val="21"/>
                <w:szCs w:val="21"/>
                <w:highlight w:val="none"/>
              </w:rPr>
            </w:pPr>
            <w:r>
              <w:rPr>
                <w:rFonts w:ascii="Times New Roman" w:hAnsi="Times New Roman"/>
                <w:sz w:val="21"/>
                <w:szCs w:val="21"/>
                <w:highlight w:val="none"/>
              </w:rPr>
              <w:t>设计压力</w:t>
            </w:r>
          </w:p>
        </w:tc>
        <w:tc>
          <w:tcPr>
            <w:tcW w:w="4337" w:type="dxa"/>
            <w:noWrap/>
            <w:vAlign w:val="center"/>
          </w:tcPr>
          <w:p w14:paraId="374AE95E">
            <w:pPr>
              <w:pStyle w:val="27"/>
              <w:rPr>
                <w:rFonts w:ascii="Times New Roman" w:hAnsi="Times New Roman" w:cs="Times New Roman"/>
                <w:sz w:val="21"/>
                <w:szCs w:val="21"/>
                <w:highlight w:val="none"/>
              </w:rPr>
            </w:pPr>
            <w:r>
              <w:rPr>
                <w:rFonts w:hint="eastAsia" w:ascii="Times New Roman" w:hAnsi="Times New Roman" w:cs="Times New Roman"/>
                <w:sz w:val="21"/>
                <w:szCs w:val="21"/>
                <w:highlight w:val="none"/>
                <w:lang w:val="en-US" w:eastAsia="zh-CN"/>
              </w:rPr>
              <w:t>1.25</w:t>
            </w:r>
            <w:r>
              <w:rPr>
                <w:rFonts w:ascii="Times New Roman" w:hAnsi="Times New Roman" w:cs="Times New Roman"/>
                <w:sz w:val="21"/>
                <w:szCs w:val="21"/>
                <w:highlight w:val="none"/>
              </w:rPr>
              <w:t>MPa</w:t>
            </w:r>
          </w:p>
        </w:tc>
      </w:tr>
      <w:tr w14:paraId="627F64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3EA26E4D">
            <w:pPr>
              <w:pStyle w:val="27"/>
              <w:rPr>
                <w:rFonts w:ascii="Times New Roman" w:hAnsi="Times New Roman"/>
                <w:sz w:val="21"/>
                <w:szCs w:val="21"/>
                <w:highlight w:val="none"/>
              </w:rPr>
            </w:pPr>
          </w:p>
        </w:tc>
        <w:tc>
          <w:tcPr>
            <w:tcW w:w="1754" w:type="dxa"/>
            <w:noWrap/>
            <w:vAlign w:val="center"/>
          </w:tcPr>
          <w:p w14:paraId="1CC166BF">
            <w:pPr>
              <w:pStyle w:val="27"/>
              <w:ind w:firstLine="0" w:firstLineChars="0"/>
              <w:rPr>
                <w:rFonts w:ascii="Times New Roman" w:hAnsi="Times New Roman"/>
                <w:sz w:val="21"/>
                <w:szCs w:val="21"/>
                <w:highlight w:val="none"/>
              </w:rPr>
            </w:pPr>
            <w:r>
              <w:rPr>
                <w:rFonts w:ascii="Times New Roman" w:hAnsi="Times New Roman"/>
                <w:sz w:val="21"/>
                <w:szCs w:val="21"/>
                <w:highlight w:val="none"/>
              </w:rPr>
              <w:t>排烟温度</w:t>
            </w:r>
          </w:p>
        </w:tc>
        <w:tc>
          <w:tcPr>
            <w:tcW w:w="4337" w:type="dxa"/>
            <w:noWrap/>
            <w:vAlign w:val="center"/>
          </w:tcPr>
          <w:p w14:paraId="3B654B87">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130</w:t>
            </w:r>
            <w:r>
              <w:rPr>
                <w:rFonts w:hint="eastAsia" w:ascii="Times New Roman" w:hAnsi="Times New Roman" w:cs="Times New Roman"/>
                <w:sz w:val="21"/>
                <w:szCs w:val="21"/>
                <w:highlight w:val="none"/>
              </w:rPr>
              <w:t>℃</w:t>
            </w:r>
          </w:p>
        </w:tc>
      </w:tr>
      <w:tr w14:paraId="24A2C3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18" w:hRule="atLeast"/>
          <w:jc w:val="center"/>
        </w:trPr>
        <w:tc>
          <w:tcPr>
            <w:tcW w:w="1426" w:type="pct"/>
            <w:vMerge w:val="continue"/>
            <w:noWrap/>
            <w:vAlign w:val="center"/>
          </w:tcPr>
          <w:p w14:paraId="04F458C4">
            <w:pPr>
              <w:pStyle w:val="27"/>
              <w:rPr>
                <w:rFonts w:ascii="Times New Roman" w:hAnsi="Times New Roman"/>
                <w:sz w:val="21"/>
                <w:szCs w:val="21"/>
                <w:highlight w:val="none"/>
              </w:rPr>
            </w:pPr>
          </w:p>
        </w:tc>
        <w:tc>
          <w:tcPr>
            <w:tcW w:w="1754" w:type="dxa"/>
            <w:noWrap/>
            <w:vAlign w:val="center"/>
          </w:tcPr>
          <w:p w14:paraId="77B2356B">
            <w:pPr>
              <w:pStyle w:val="27"/>
              <w:ind w:firstLine="0" w:firstLineChars="0"/>
              <w:rPr>
                <w:rFonts w:ascii="Times New Roman" w:hAnsi="Times New Roman"/>
                <w:sz w:val="21"/>
                <w:szCs w:val="21"/>
                <w:highlight w:val="none"/>
              </w:rPr>
            </w:pPr>
            <w:r>
              <w:rPr>
                <w:rFonts w:ascii="Times New Roman" w:hAnsi="Times New Roman"/>
                <w:sz w:val="21"/>
                <w:szCs w:val="21"/>
                <w:highlight w:val="none"/>
              </w:rPr>
              <w:t>锅炉效率</w:t>
            </w:r>
          </w:p>
        </w:tc>
        <w:tc>
          <w:tcPr>
            <w:tcW w:w="4337" w:type="dxa"/>
            <w:noWrap/>
            <w:vAlign w:val="center"/>
          </w:tcPr>
          <w:p w14:paraId="35AF46D7">
            <w:pPr>
              <w:pStyle w:val="27"/>
              <w:rPr>
                <w:rFonts w:ascii="Times New Roman" w:hAnsi="Times New Roman" w:cs="Times New Roman"/>
                <w:sz w:val="21"/>
                <w:szCs w:val="21"/>
                <w:highlight w:val="none"/>
              </w:rPr>
            </w:pPr>
            <w:r>
              <w:rPr>
                <w:rFonts w:ascii="Times New Roman" w:hAnsi="Times New Roman" w:cs="Times New Roman"/>
                <w:sz w:val="21"/>
                <w:szCs w:val="21"/>
                <w:highlight w:val="none"/>
              </w:rPr>
              <w:t>90%</w:t>
            </w:r>
          </w:p>
        </w:tc>
      </w:tr>
    </w:tbl>
    <w:p w14:paraId="42CDD444">
      <w:pPr>
        <w:pStyle w:val="5"/>
        <w:bidi w:val="0"/>
        <w:ind w:left="0" w:leftChars="0" w:firstLine="0" w:firstLineChars="0"/>
        <w:rPr>
          <w:rFonts w:hint="default"/>
          <w:sz w:val="30"/>
          <w:szCs w:val="30"/>
          <w:highlight w:val="none"/>
          <w:lang w:val="en-US" w:eastAsia="zh-CN"/>
        </w:rPr>
      </w:pPr>
      <w:bookmarkStart w:id="60" w:name="_Toc25148"/>
      <w:r>
        <w:rPr>
          <w:rFonts w:hint="default" w:ascii="Times New Roman" w:hAnsi="Times New Roman" w:eastAsia="宋体" w:cs="Times New Roman"/>
          <w:sz w:val="30"/>
          <w:szCs w:val="30"/>
          <w:highlight w:val="none"/>
          <w:lang w:val="en-US" w:eastAsia="zh-CN"/>
        </w:rPr>
        <w:t>3.1.</w:t>
      </w:r>
      <w:r>
        <w:rPr>
          <w:rFonts w:hint="eastAsia" w:ascii="Times New Roman" w:hAnsi="Times New Roman" w:cs="Times New Roman"/>
          <w:sz w:val="30"/>
          <w:szCs w:val="30"/>
          <w:highlight w:val="none"/>
          <w:lang w:val="en-US" w:eastAsia="zh-CN"/>
        </w:rPr>
        <w:t>5</w:t>
      </w:r>
      <w:r>
        <w:rPr>
          <w:rFonts w:hint="eastAsia"/>
          <w:sz w:val="30"/>
          <w:szCs w:val="30"/>
          <w:highlight w:val="none"/>
          <w:lang w:val="en-US" w:eastAsia="zh-CN"/>
        </w:rPr>
        <w:t>燃料消耗量及成分分析</w:t>
      </w:r>
      <w:bookmarkEnd w:id="60"/>
    </w:p>
    <w:p w14:paraId="196F8630">
      <w:pPr>
        <w:ind w:firstLine="480"/>
        <w:rPr>
          <w:rFonts w:ascii="Times New Roman" w:hAnsi="Times New Roman"/>
          <w:highlight w:val="none"/>
        </w:rPr>
      </w:pPr>
      <w:r>
        <w:rPr>
          <w:rFonts w:hint="eastAsia" w:ascii="Times New Roman" w:hAnsi="Times New Roman"/>
          <w:highlight w:val="none"/>
        </w:rPr>
        <w:t>1</w:t>
      </w:r>
      <w:r>
        <w:rPr>
          <w:rFonts w:ascii="Times New Roman" w:hAnsi="Times New Roman"/>
          <w:highlight w:val="none"/>
        </w:rPr>
        <w:t>）燃煤成分</w:t>
      </w:r>
    </w:p>
    <w:p w14:paraId="62E24AD9">
      <w:pPr>
        <w:ind w:firstLine="480"/>
        <w:rPr>
          <w:rFonts w:ascii="Times New Roman" w:hAnsi="Times New Roman"/>
          <w:highlight w:val="none"/>
        </w:rPr>
      </w:pPr>
      <w:r>
        <w:rPr>
          <w:rFonts w:ascii="Times New Roman" w:hAnsi="Times New Roman"/>
          <w:highlight w:val="none"/>
        </w:rPr>
        <w:t>本工程设计用燃料为燃煤，主要为</w:t>
      </w:r>
      <w:r>
        <w:rPr>
          <w:rFonts w:hint="eastAsia" w:ascii="Times New Roman" w:hAnsi="Times New Roman"/>
          <w:highlight w:val="none"/>
          <w:lang w:val="en-US" w:eastAsia="zh-CN"/>
        </w:rPr>
        <w:t>褐</w:t>
      </w:r>
      <w:r>
        <w:rPr>
          <w:rFonts w:hint="eastAsia" w:ascii="Times New Roman" w:hAnsi="Times New Roman"/>
          <w:highlight w:val="none"/>
        </w:rPr>
        <w:t>煤</w:t>
      </w:r>
      <w:r>
        <w:rPr>
          <w:rFonts w:ascii="Times New Roman" w:hAnsi="Times New Roman"/>
          <w:highlight w:val="none"/>
        </w:rPr>
        <w:t>，</w:t>
      </w:r>
      <w:r>
        <w:rPr>
          <w:rFonts w:hint="eastAsia" w:ascii="Times New Roman" w:hAnsi="Times New Roman"/>
          <w:highlight w:val="none"/>
          <w:lang w:val="en-US" w:eastAsia="zh-CN"/>
        </w:rPr>
        <w:t>主要来自鸡西煤矿</w:t>
      </w:r>
      <w:r>
        <w:rPr>
          <w:rFonts w:ascii="Times New Roman" w:hAnsi="Times New Roman"/>
          <w:highlight w:val="none"/>
        </w:rPr>
        <w:t>成分分析报告详见下表：</w:t>
      </w:r>
    </w:p>
    <w:p w14:paraId="31063007">
      <w:pPr>
        <w:ind w:firstLine="0" w:firstLineChars="0"/>
        <w:jc w:val="center"/>
        <w:rPr>
          <w:rFonts w:ascii="Times New Roman" w:hAnsi="Times New Roman"/>
          <w:highlight w:val="none"/>
        </w:rPr>
      </w:pPr>
    </w:p>
    <w:p w14:paraId="1D0A1E86">
      <w:pPr>
        <w:pStyle w:val="7"/>
        <w:rPr>
          <w:highlight w:val="none"/>
        </w:rPr>
      </w:pPr>
    </w:p>
    <w:p w14:paraId="6022E39A">
      <w:pPr>
        <w:ind w:firstLine="0" w:firstLineChars="0"/>
        <w:jc w:val="center"/>
        <w:rPr>
          <w:rFonts w:ascii="Times New Roman" w:hAnsi="Times New Roman"/>
          <w:highlight w:val="none"/>
        </w:rPr>
      </w:pPr>
      <w:r>
        <w:rPr>
          <w:rFonts w:ascii="Times New Roman" w:hAnsi="Times New Roman"/>
          <w:b/>
          <w:bCs/>
          <w:highlight w:val="none"/>
        </w:rPr>
        <w:t>表3.1-</w:t>
      </w:r>
      <w:r>
        <w:rPr>
          <w:rFonts w:hint="eastAsia" w:ascii="Times New Roman" w:hAnsi="Times New Roman"/>
          <w:b/>
          <w:bCs/>
          <w:highlight w:val="none"/>
          <w:lang w:val="en-US" w:eastAsia="zh-CN"/>
        </w:rPr>
        <w:t>3</w:t>
      </w:r>
      <w:r>
        <w:rPr>
          <w:rFonts w:ascii="Times New Roman" w:hAnsi="Times New Roman"/>
          <w:b/>
          <w:bCs/>
          <w:highlight w:val="none"/>
        </w:rPr>
        <w:t>燃煤成分分析报告</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377"/>
        <w:gridCol w:w="1456"/>
        <w:gridCol w:w="1456"/>
        <w:gridCol w:w="2233"/>
      </w:tblGrid>
      <w:tr w14:paraId="44C8FB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tblHeader/>
          <w:jc w:val="center"/>
        </w:trPr>
        <w:tc>
          <w:tcPr>
            <w:tcW w:w="1981" w:type="pct"/>
            <w:noWrap w:val="0"/>
            <w:vAlign w:val="center"/>
          </w:tcPr>
          <w:p w14:paraId="1353EF22">
            <w:pPr>
              <w:spacing w:line="240" w:lineRule="auto"/>
              <w:ind w:firstLine="0" w:firstLineChars="0"/>
              <w:jc w:val="center"/>
              <w:textAlignment w:val="center"/>
              <w:rPr>
                <w:rFonts w:ascii="Times New Roman" w:hAnsi="Times New Roman"/>
                <w:b/>
                <w:bCs/>
                <w:kern w:val="0"/>
                <w:sz w:val="21"/>
                <w:highlight w:val="none"/>
              </w:rPr>
            </w:pPr>
            <w:r>
              <w:rPr>
                <w:rFonts w:ascii="Times New Roman" w:hAnsi="Times New Roman"/>
                <w:b/>
                <w:bCs/>
                <w:kern w:val="0"/>
                <w:sz w:val="21"/>
                <w:highlight w:val="none"/>
              </w:rPr>
              <w:t>名称</w:t>
            </w:r>
          </w:p>
        </w:tc>
        <w:tc>
          <w:tcPr>
            <w:tcW w:w="854" w:type="pct"/>
            <w:noWrap w:val="0"/>
            <w:vAlign w:val="center"/>
          </w:tcPr>
          <w:p w14:paraId="1F1FE5C9">
            <w:pPr>
              <w:spacing w:line="240" w:lineRule="auto"/>
              <w:ind w:firstLine="0" w:firstLineChars="0"/>
              <w:jc w:val="center"/>
              <w:textAlignment w:val="center"/>
              <w:rPr>
                <w:rFonts w:ascii="Times New Roman" w:hAnsi="Times New Roman"/>
                <w:b/>
                <w:bCs/>
                <w:kern w:val="0"/>
                <w:sz w:val="21"/>
                <w:highlight w:val="none"/>
              </w:rPr>
            </w:pPr>
            <w:r>
              <w:rPr>
                <w:rFonts w:ascii="Times New Roman" w:hAnsi="Times New Roman"/>
                <w:b/>
                <w:bCs/>
                <w:kern w:val="0"/>
                <w:sz w:val="21"/>
                <w:highlight w:val="none"/>
              </w:rPr>
              <w:t>符  号</w:t>
            </w:r>
          </w:p>
        </w:tc>
        <w:tc>
          <w:tcPr>
            <w:tcW w:w="854" w:type="pct"/>
            <w:noWrap w:val="0"/>
            <w:vAlign w:val="center"/>
          </w:tcPr>
          <w:p w14:paraId="68CD04E7">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单位</w:t>
            </w:r>
          </w:p>
        </w:tc>
        <w:tc>
          <w:tcPr>
            <w:tcW w:w="1310" w:type="pct"/>
            <w:noWrap w:val="0"/>
            <w:vAlign w:val="center"/>
          </w:tcPr>
          <w:p w14:paraId="159751C5">
            <w:pPr>
              <w:spacing w:line="240" w:lineRule="auto"/>
              <w:ind w:firstLine="0" w:firstLineChars="0"/>
              <w:jc w:val="center"/>
              <w:textAlignment w:val="center"/>
              <w:rPr>
                <w:rFonts w:ascii="Times New Roman" w:hAnsi="Times New Roman"/>
                <w:b/>
                <w:bCs/>
                <w:kern w:val="0"/>
                <w:sz w:val="21"/>
                <w:highlight w:val="none"/>
              </w:rPr>
            </w:pPr>
            <w:r>
              <w:rPr>
                <w:rFonts w:ascii="Times New Roman" w:hAnsi="Times New Roman"/>
                <w:b/>
                <w:bCs/>
                <w:kern w:val="0"/>
                <w:sz w:val="21"/>
                <w:highlight w:val="none"/>
              </w:rPr>
              <w:t>实际煤种</w:t>
            </w:r>
          </w:p>
        </w:tc>
      </w:tr>
      <w:tr w14:paraId="1420C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3C6544EA">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收到基全水分</w:t>
            </w:r>
          </w:p>
        </w:tc>
        <w:tc>
          <w:tcPr>
            <w:tcW w:w="854" w:type="pct"/>
            <w:noWrap w:val="0"/>
            <w:vAlign w:val="center"/>
          </w:tcPr>
          <w:p w14:paraId="5D39CFE9">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bCs/>
                <w:kern w:val="0"/>
                <w:sz w:val="21"/>
                <w:highlight w:val="none"/>
              </w:rPr>
              <w:t>Mar</w:t>
            </w:r>
          </w:p>
        </w:tc>
        <w:tc>
          <w:tcPr>
            <w:tcW w:w="854" w:type="pct"/>
            <w:noWrap w:val="0"/>
            <w:vAlign w:val="center"/>
          </w:tcPr>
          <w:p w14:paraId="03610688">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2C8C82BC">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5.7</w:t>
            </w:r>
          </w:p>
        </w:tc>
      </w:tr>
      <w:tr w14:paraId="2D8BE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160B6167">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收到基灰分</w:t>
            </w:r>
          </w:p>
        </w:tc>
        <w:tc>
          <w:tcPr>
            <w:tcW w:w="854" w:type="pct"/>
            <w:noWrap w:val="0"/>
            <w:vAlign w:val="center"/>
          </w:tcPr>
          <w:p w14:paraId="6D72D704">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Aar</w:t>
            </w:r>
          </w:p>
        </w:tc>
        <w:tc>
          <w:tcPr>
            <w:tcW w:w="854" w:type="pct"/>
            <w:noWrap w:val="0"/>
            <w:vAlign w:val="center"/>
          </w:tcPr>
          <w:p w14:paraId="2DE0470F">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5AF81664">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33.71</w:t>
            </w:r>
          </w:p>
        </w:tc>
      </w:tr>
      <w:tr w14:paraId="10A4D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981" w:type="pct"/>
            <w:noWrap w:val="0"/>
            <w:vAlign w:val="center"/>
          </w:tcPr>
          <w:p w14:paraId="17F04F48">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挥发分</w:t>
            </w:r>
          </w:p>
        </w:tc>
        <w:tc>
          <w:tcPr>
            <w:tcW w:w="854" w:type="pct"/>
            <w:noWrap w:val="0"/>
            <w:vAlign w:val="center"/>
          </w:tcPr>
          <w:p w14:paraId="663C3E0F">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bCs/>
                <w:kern w:val="0"/>
                <w:sz w:val="21"/>
                <w:highlight w:val="none"/>
              </w:rPr>
              <w:t>Vdaf</w:t>
            </w:r>
          </w:p>
        </w:tc>
        <w:tc>
          <w:tcPr>
            <w:tcW w:w="854" w:type="pct"/>
            <w:noWrap w:val="0"/>
            <w:vAlign w:val="center"/>
          </w:tcPr>
          <w:p w14:paraId="384289E6">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5161F566">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27.90</w:t>
            </w:r>
          </w:p>
        </w:tc>
      </w:tr>
      <w:tr w14:paraId="29A353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6C3816B0">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收到基低位发热量</w:t>
            </w:r>
          </w:p>
        </w:tc>
        <w:tc>
          <w:tcPr>
            <w:tcW w:w="854" w:type="pct"/>
            <w:noWrap w:val="0"/>
            <w:vAlign w:val="center"/>
          </w:tcPr>
          <w:p w14:paraId="0F1C7057">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bCs/>
                <w:kern w:val="0"/>
                <w:sz w:val="21"/>
                <w:highlight w:val="none"/>
              </w:rPr>
              <w:t>Qnet,ar</w:t>
            </w:r>
          </w:p>
        </w:tc>
        <w:tc>
          <w:tcPr>
            <w:tcW w:w="854" w:type="pct"/>
            <w:noWrap w:val="0"/>
            <w:vAlign w:val="center"/>
          </w:tcPr>
          <w:p w14:paraId="3A348AD4">
            <w:pPr>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kern w:val="0"/>
                <w:sz w:val="21"/>
                <w:highlight w:val="none"/>
                <w:lang w:val="en-US" w:eastAsia="zh-CN"/>
              </w:rPr>
              <w:t>M</w:t>
            </w:r>
            <w:r>
              <w:rPr>
                <w:rFonts w:ascii="Times New Roman" w:hAnsi="Times New Roman"/>
                <w:kern w:val="0"/>
                <w:sz w:val="21"/>
                <w:highlight w:val="none"/>
              </w:rPr>
              <w:t>J/</w:t>
            </w:r>
            <w:r>
              <w:rPr>
                <w:rFonts w:hint="eastAsia" w:ascii="Times New Roman" w:hAnsi="Times New Roman"/>
                <w:kern w:val="0"/>
                <w:sz w:val="21"/>
                <w:highlight w:val="none"/>
                <w:lang w:val="en-US" w:eastAsia="zh-CN"/>
              </w:rPr>
              <w:t>k</w:t>
            </w:r>
            <w:r>
              <w:rPr>
                <w:rFonts w:ascii="Times New Roman" w:hAnsi="Times New Roman"/>
                <w:kern w:val="0"/>
                <w:sz w:val="21"/>
                <w:highlight w:val="none"/>
              </w:rPr>
              <w:t>g</w:t>
            </w:r>
          </w:p>
        </w:tc>
        <w:tc>
          <w:tcPr>
            <w:tcW w:w="1310" w:type="pct"/>
            <w:noWrap w:val="0"/>
            <w:vAlign w:val="center"/>
          </w:tcPr>
          <w:p w14:paraId="6F298E27">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19.44</w:t>
            </w:r>
          </w:p>
        </w:tc>
      </w:tr>
      <w:tr w14:paraId="2826C9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2F3EEF0B">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收到基全硫</w:t>
            </w:r>
          </w:p>
        </w:tc>
        <w:tc>
          <w:tcPr>
            <w:tcW w:w="854" w:type="pct"/>
            <w:noWrap w:val="0"/>
            <w:vAlign w:val="center"/>
          </w:tcPr>
          <w:p w14:paraId="4FFA39B1">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Sar</w:t>
            </w:r>
          </w:p>
        </w:tc>
        <w:tc>
          <w:tcPr>
            <w:tcW w:w="854" w:type="pct"/>
            <w:noWrap w:val="0"/>
            <w:vAlign w:val="center"/>
          </w:tcPr>
          <w:p w14:paraId="111B3901">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47678DBF">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0.21</w:t>
            </w:r>
          </w:p>
        </w:tc>
      </w:tr>
      <w:tr w14:paraId="19E27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265A152D">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收到基碳</w:t>
            </w:r>
          </w:p>
        </w:tc>
        <w:tc>
          <w:tcPr>
            <w:tcW w:w="854" w:type="pct"/>
            <w:noWrap w:val="0"/>
            <w:vAlign w:val="center"/>
          </w:tcPr>
          <w:p w14:paraId="11CC3A8B">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Car</w:t>
            </w:r>
          </w:p>
        </w:tc>
        <w:tc>
          <w:tcPr>
            <w:tcW w:w="854" w:type="pct"/>
            <w:noWrap w:val="0"/>
            <w:vAlign w:val="center"/>
          </w:tcPr>
          <w:p w14:paraId="56B44FFC">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119C2259">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49.21</w:t>
            </w:r>
          </w:p>
        </w:tc>
      </w:tr>
      <w:tr w14:paraId="7E564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3B642A43">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收到基氢</w:t>
            </w:r>
          </w:p>
        </w:tc>
        <w:tc>
          <w:tcPr>
            <w:tcW w:w="854" w:type="pct"/>
            <w:noWrap w:val="0"/>
            <w:vAlign w:val="center"/>
          </w:tcPr>
          <w:p w14:paraId="2AA8A665">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Har</w:t>
            </w:r>
          </w:p>
        </w:tc>
        <w:tc>
          <w:tcPr>
            <w:tcW w:w="854" w:type="pct"/>
            <w:noWrap w:val="0"/>
            <w:vAlign w:val="center"/>
          </w:tcPr>
          <w:p w14:paraId="129A31AB">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758DF919">
            <w:pPr>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kern w:val="0"/>
                <w:sz w:val="21"/>
                <w:highlight w:val="none"/>
              </w:rPr>
              <w:t>3.16</w:t>
            </w:r>
          </w:p>
        </w:tc>
      </w:tr>
      <w:tr w14:paraId="619F7A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46C879F6">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收到基氮</w:t>
            </w:r>
          </w:p>
        </w:tc>
        <w:tc>
          <w:tcPr>
            <w:tcW w:w="854" w:type="pct"/>
            <w:noWrap w:val="0"/>
            <w:vAlign w:val="center"/>
          </w:tcPr>
          <w:p w14:paraId="007AD6D3">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Nar</w:t>
            </w:r>
          </w:p>
        </w:tc>
        <w:tc>
          <w:tcPr>
            <w:tcW w:w="854" w:type="pct"/>
            <w:noWrap w:val="0"/>
            <w:vAlign w:val="center"/>
          </w:tcPr>
          <w:p w14:paraId="53FC731C">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5DE1A18A">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0.71</w:t>
            </w:r>
          </w:p>
        </w:tc>
      </w:tr>
      <w:tr w14:paraId="020B80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5E64E497">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收到基氧</w:t>
            </w:r>
          </w:p>
        </w:tc>
        <w:tc>
          <w:tcPr>
            <w:tcW w:w="854" w:type="pct"/>
            <w:noWrap w:val="0"/>
            <w:vAlign w:val="center"/>
          </w:tcPr>
          <w:p w14:paraId="737E4B32">
            <w:pPr>
              <w:spacing w:line="240" w:lineRule="auto"/>
              <w:ind w:firstLine="0" w:firstLineChars="0"/>
              <w:jc w:val="center"/>
              <w:textAlignment w:val="center"/>
              <w:rPr>
                <w:rFonts w:ascii="Times New Roman" w:hAnsi="Times New Roman"/>
                <w:bCs/>
                <w:kern w:val="0"/>
                <w:sz w:val="21"/>
                <w:highlight w:val="none"/>
              </w:rPr>
            </w:pPr>
            <w:r>
              <w:rPr>
                <w:rFonts w:ascii="Times New Roman" w:hAnsi="Times New Roman"/>
                <w:bCs/>
                <w:kern w:val="0"/>
                <w:sz w:val="21"/>
                <w:highlight w:val="none"/>
              </w:rPr>
              <w:t>Oar</w:t>
            </w:r>
          </w:p>
        </w:tc>
        <w:tc>
          <w:tcPr>
            <w:tcW w:w="854" w:type="pct"/>
            <w:noWrap w:val="0"/>
            <w:vAlign w:val="center"/>
          </w:tcPr>
          <w:p w14:paraId="407EB340">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w:t>
            </w:r>
          </w:p>
        </w:tc>
        <w:tc>
          <w:tcPr>
            <w:tcW w:w="1310" w:type="pct"/>
            <w:noWrap w:val="0"/>
            <w:vAlign w:val="center"/>
          </w:tcPr>
          <w:p w14:paraId="6E95D92E">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6.93</w:t>
            </w:r>
          </w:p>
        </w:tc>
      </w:tr>
      <w:tr w14:paraId="76563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981" w:type="pct"/>
            <w:noWrap w:val="0"/>
            <w:vAlign w:val="center"/>
          </w:tcPr>
          <w:p w14:paraId="36FB02BD">
            <w:pPr>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kern w:val="0"/>
                <w:sz w:val="21"/>
                <w:highlight w:val="none"/>
                <w:lang w:val="en-US" w:eastAsia="zh-CN"/>
              </w:rPr>
              <w:t>干燥</w:t>
            </w:r>
            <w:r>
              <w:rPr>
                <w:rFonts w:hint="eastAsia" w:ascii="Times New Roman" w:hAnsi="Times New Roman"/>
                <w:kern w:val="0"/>
                <w:sz w:val="21"/>
                <w:highlight w:val="none"/>
              </w:rPr>
              <w:t>基汞</w:t>
            </w:r>
          </w:p>
        </w:tc>
        <w:tc>
          <w:tcPr>
            <w:tcW w:w="854" w:type="pct"/>
            <w:noWrap w:val="0"/>
            <w:vAlign w:val="center"/>
          </w:tcPr>
          <w:p w14:paraId="0DB0C62F">
            <w:pPr>
              <w:spacing w:line="240" w:lineRule="auto"/>
              <w:ind w:firstLine="0" w:firstLineChars="0"/>
              <w:jc w:val="center"/>
              <w:textAlignment w:val="center"/>
              <w:rPr>
                <w:rFonts w:ascii="Times New Roman" w:hAnsi="Times New Roman"/>
                <w:bCs/>
                <w:kern w:val="0"/>
                <w:sz w:val="21"/>
                <w:highlight w:val="none"/>
              </w:rPr>
            </w:pPr>
            <w:r>
              <w:rPr>
                <w:rFonts w:hint="eastAsia" w:ascii="Times New Roman" w:hAnsi="Times New Roman"/>
                <w:bCs/>
                <w:kern w:val="0"/>
                <w:sz w:val="21"/>
                <w:highlight w:val="none"/>
              </w:rPr>
              <w:t>Hgd</w:t>
            </w:r>
          </w:p>
        </w:tc>
        <w:tc>
          <w:tcPr>
            <w:tcW w:w="854" w:type="pct"/>
            <w:noWrap w:val="0"/>
            <w:vAlign w:val="center"/>
          </w:tcPr>
          <w:p w14:paraId="0F00F3F2">
            <w:pPr>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μg/g</w:t>
            </w:r>
          </w:p>
        </w:tc>
        <w:tc>
          <w:tcPr>
            <w:tcW w:w="1310" w:type="pct"/>
            <w:noWrap w:val="0"/>
            <w:vAlign w:val="center"/>
          </w:tcPr>
          <w:p w14:paraId="4CD26A64">
            <w:pPr>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0.235</w:t>
            </w:r>
          </w:p>
        </w:tc>
      </w:tr>
    </w:tbl>
    <w:p w14:paraId="20171C1D">
      <w:pPr>
        <w:ind w:firstLine="480"/>
        <w:rPr>
          <w:rFonts w:ascii="Times New Roman" w:hAnsi="Times New Roman"/>
          <w:highlight w:val="none"/>
        </w:rPr>
      </w:pPr>
      <w:r>
        <w:rPr>
          <w:rFonts w:ascii="Times New Roman" w:hAnsi="Times New Roman"/>
          <w:highlight w:val="none"/>
        </w:rPr>
        <w:t>2）燃料消耗</w:t>
      </w:r>
    </w:p>
    <w:p w14:paraId="51C58C6A">
      <w:pPr>
        <w:ind w:firstLine="480"/>
        <w:rPr>
          <w:rFonts w:ascii="Times New Roman" w:hAnsi="Times New Roman"/>
          <w:highlight w:val="none"/>
        </w:rPr>
      </w:pPr>
      <w:r>
        <w:rPr>
          <w:rFonts w:ascii="Times New Roman" w:hAnsi="Times New Roman"/>
          <w:highlight w:val="none"/>
        </w:rPr>
        <w:t>本项目煤质收到基低位发热量为</w:t>
      </w:r>
      <w:r>
        <w:rPr>
          <w:rFonts w:hint="eastAsia" w:ascii="Times New Roman" w:hAnsi="Times New Roman"/>
          <w:highlight w:val="none"/>
          <w:lang w:val="en-US" w:eastAsia="zh-CN"/>
        </w:rPr>
        <w:t>19.44</w:t>
      </w:r>
      <w:r>
        <w:rPr>
          <w:rFonts w:ascii="Times New Roman" w:hAnsi="Times New Roman"/>
          <w:highlight w:val="none"/>
        </w:rPr>
        <w:t>MJ/kg，</w:t>
      </w:r>
      <w:r>
        <w:rPr>
          <w:rFonts w:hint="eastAsia" w:ascii="Times New Roman" w:hAnsi="Times New Roman"/>
          <w:highlight w:val="none"/>
        </w:rPr>
        <w:t>根据本项目</w:t>
      </w:r>
      <w:r>
        <w:rPr>
          <w:rFonts w:hint="eastAsia" w:ascii="Times New Roman" w:hAnsi="Times New Roman"/>
          <w:highlight w:val="none"/>
          <w:lang w:val="en-US" w:eastAsia="zh-CN"/>
        </w:rPr>
        <w:t>实际运行情况</w:t>
      </w:r>
      <w:r>
        <w:rPr>
          <w:rFonts w:hint="eastAsia" w:ascii="Times New Roman" w:hAnsi="Times New Roman"/>
          <w:highlight w:val="none"/>
        </w:rPr>
        <w:t>可知，</w:t>
      </w:r>
      <w:r>
        <w:rPr>
          <w:rFonts w:ascii="Times New Roman" w:hAnsi="Times New Roman"/>
          <w:highlight w:val="none"/>
        </w:rPr>
        <w:t>本项目</w:t>
      </w:r>
      <w:r>
        <w:rPr>
          <w:rFonts w:hint="eastAsia" w:ascii="Times New Roman" w:hAnsi="Times New Roman"/>
          <w:highlight w:val="none"/>
          <w:lang w:val="en-US" w:eastAsia="zh-CN"/>
        </w:rPr>
        <w:t>116MW+</w:t>
      </w:r>
      <w:r>
        <w:rPr>
          <w:rFonts w:hint="default" w:ascii="Times New Roman" w:hAnsi="Times New Roman"/>
          <w:highlight w:val="none"/>
          <w:lang w:val="en-US" w:eastAsia="zh-CN"/>
        </w:rPr>
        <w:t>58</w:t>
      </w:r>
      <w:r>
        <w:rPr>
          <w:rFonts w:hint="eastAsia" w:ascii="Times New Roman" w:hAnsi="Times New Roman"/>
          <w:highlight w:val="none"/>
          <w:lang w:val="en-US" w:eastAsia="zh-CN"/>
        </w:rPr>
        <w:t>MW</w:t>
      </w:r>
      <w:r>
        <w:rPr>
          <w:rFonts w:hint="eastAsia"/>
          <w:highlight w:val="none"/>
          <w:lang w:val="en-US" w:eastAsia="zh-CN"/>
        </w:rPr>
        <w:t>热水锅炉和</w:t>
      </w:r>
      <w:r>
        <w:rPr>
          <w:rFonts w:hint="eastAsia" w:ascii="Times New Roman" w:hAnsi="Times New Roman"/>
          <w:highlight w:val="none"/>
          <w:lang w:val="en-US" w:eastAsia="zh-CN"/>
        </w:rPr>
        <w:t>1</w:t>
      </w:r>
      <w:r>
        <w:rPr>
          <w:rFonts w:hint="eastAsia"/>
          <w:highlight w:val="none"/>
          <w:lang w:val="en-US" w:eastAsia="zh-CN"/>
        </w:rPr>
        <w:t>台</w:t>
      </w:r>
      <w:r>
        <w:rPr>
          <w:rFonts w:hint="eastAsia" w:ascii="Times New Roman" w:hAnsi="Times New Roman"/>
          <w:highlight w:val="none"/>
          <w:lang w:val="en-US" w:eastAsia="zh-CN"/>
        </w:rPr>
        <w:t>35t/h</w:t>
      </w:r>
      <w:r>
        <w:rPr>
          <w:rFonts w:hint="eastAsia"/>
          <w:highlight w:val="none"/>
          <w:lang w:val="en-US" w:eastAsia="zh-CN"/>
        </w:rPr>
        <w:t>蒸汽锅炉共三台，</w:t>
      </w:r>
      <w:r>
        <w:rPr>
          <w:rFonts w:ascii="Times New Roman" w:hAnsi="Times New Roman"/>
          <w:highlight w:val="none"/>
        </w:rPr>
        <w:t>耗煤量合计为年耗量为</w:t>
      </w:r>
      <w:r>
        <w:rPr>
          <w:rFonts w:hint="eastAsia" w:ascii="Times New Roman" w:hAnsi="Times New Roman"/>
          <w:highlight w:val="none"/>
          <w:lang w:val="en-US" w:eastAsia="zh-CN"/>
        </w:rPr>
        <w:t>81047.7024</w:t>
      </w:r>
      <w:r>
        <w:rPr>
          <w:rFonts w:ascii="Times New Roman" w:hAnsi="Times New Roman"/>
          <w:highlight w:val="none"/>
        </w:rPr>
        <w:t>t/a。</w:t>
      </w:r>
    </w:p>
    <w:p w14:paraId="791FA9C3">
      <w:pPr>
        <w:ind w:firstLine="0" w:firstLineChars="0"/>
        <w:jc w:val="center"/>
        <w:rPr>
          <w:rFonts w:ascii="Times New Roman" w:hAnsi="Times New Roman"/>
          <w:highlight w:val="none"/>
        </w:rPr>
      </w:pPr>
      <w:r>
        <w:rPr>
          <w:rFonts w:ascii="Times New Roman" w:hAnsi="Times New Roman"/>
          <w:b/>
          <w:bCs/>
          <w:highlight w:val="none"/>
        </w:rPr>
        <w:t>表3.1-</w:t>
      </w:r>
      <w:r>
        <w:rPr>
          <w:rFonts w:hint="eastAsia" w:ascii="Times New Roman" w:hAnsi="Times New Roman"/>
          <w:b/>
          <w:bCs/>
          <w:highlight w:val="none"/>
          <w:lang w:val="en-US" w:eastAsia="zh-CN"/>
        </w:rPr>
        <w:t>4</w:t>
      </w:r>
      <w:r>
        <w:rPr>
          <w:rFonts w:ascii="Times New Roman" w:hAnsi="Times New Roman"/>
          <w:b/>
          <w:bCs/>
          <w:highlight w:val="none"/>
        </w:rPr>
        <w:t>燃料计算</w:t>
      </w:r>
    </w:p>
    <w:tbl>
      <w:tblPr>
        <w:tblStyle w:val="17"/>
        <w:tblpPr w:leftFromText="180" w:rightFromText="180" w:vertAnchor="text" w:horzAnchor="margin" w:tblpXSpec="center" w:tblpY="4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3"/>
        <w:gridCol w:w="2161"/>
        <w:gridCol w:w="1265"/>
        <w:gridCol w:w="2028"/>
        <w:gridCol w:w="2115"/>
      </w:tblGrid>
      <w:tr w14:paraId="15858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9" w:type="pct"/>
            <w:tcBorders>
              <w:tl2br w:val="nil"/>
              <w:tr2bl w:val="nil"/>
            </w:tcBorders>
            <w:noWrap w:val="0"/>
            <w:vAlign w:val="center"/>
          </w:tcPr>
          <w:p w14:paraId="2A7B36B2">
            <w:pPr>
              <w:pStyle w:val="27"/>
              <w:rPr>
                <w:rFonts w:ascii="Times New Roman" w:hAnsi="Times New Roman"/>
                <w:highlight w:val="none"/>
              </w:rPr>
            </w:pPr>
            <w:r>
              <w:rPr>
                <w:rFonts w:ascii="Times New Roman" w:hAnsi="Times New Roman"/>
                <w:highlight w:val="none"/>
              </w:rPr>
              <w:t>燃料</w:t>
            </w:r>
          </w:p>
        </w:tc>
        <w:tc>
          <w:tcPr>
            <w:tcW w:w="1267" w:type="pct"/>
            <w:tcBorders>
              <w:tl2br w:val="nil"/>
              <w:tr2bl w:val="nil"/>
            </w:tcBorders>
            <w:noWrap w:val="0"/>
            <w:vAlign w:val="center"/>
          </w:tcPr>
          <w:p w14:paraId="56164724">
            <w:pPr>
              <w:pStyle w:val="27"/>
              <w:rPr>
                <w:rFonts w:ascii="Times New Roman" w:hAnsi="Times New Roman"/>
                <w:highlight w:val="none"/>
              </w:rPr>
            </w:pPr>
            <w:r>
              <w:rPr>
                <w:rFonts w:ascii="Times New Roman" w:hAnsi="Times New Roman"/>
                <w:highlight w:val="none"/>
              </w:rPr>
              <w:t>锅炉规模</w:t>
            </w:r>
          </w:p>
        </w:tc>
        <w:tc>
          <w:tcPr>
            <w:tcW w:w="742" w:type="pct"/>
            <w:tcBorders>
              <w:tl2br w:val="nil"/>
              <w:tr2bl w:val="nil"/>
            </w:tcBorders>
            <w:noWrap w:val="0"/>
            <w:vAlign w:val="center"/>
          </w:tcPr>
          <w:p w14:paraId="2CF0730F">
            <w:pPr>
              <w:pStyle w:val="27"/>
              <w:rPr>
                <w:rFonts w:ascii="Times New Roman" w:hAnsi="Times New Roman"/>
                <w:highlight w:val="none"/>
              </w:rPr>
            </w:pPr>
            <w:r>
              <w:rPr>
                <w:rFonts w:ascii="Times New Roman" w:hAnsi="Times New Roman"/>
                <w:highlight w:val="none"/>
              </w:rPr>
              <w:t>小时耗量(t)</w:t>
            </w:r>
          </w:p>
        </w:tc>
        <w:tc>
          <w:tcPr>
            <w:tcW w:w="1189" w:type="pct"/>
            <w:tcBorders>
              <w:tl2br w:val="nil"/>
              <w:tr2bl w:val="nil"/>
            </w:tcBorders>
            <w:noWrap w:val="0"/>
            <w:vAlign w:val="center"/>
          </w:tcPr>
          <w:p w14:paraId="0ED7AC53">
            <w:pPr>
              <w:pStyle w:val="27"/>
              <w:rPr>
                <w:rFonts w:ascii="Times New Roman" w:hAnsi="Times New Roman"/>
                <w:highlight w:val="none"/>
              </w:rPr>
            </w:pPr>
            <w:r>
              <w:rPr>
                <w:rFonts w:ascii="Times New Roman" w:hAnsi="Times New Roman"/>
                <w:highlight w:val="none"/>
              </w:rPr>
              <w:t>日耗量(t)</w:t>
            </w:r>
          </w:p>
        </w:tc>
        <w:tc>
          <w:tcPr>
            <w:tcW w:w="1240" w:type="pct"/>
            <w:tcBorders>
              <w:tl2br w:val="nil"/>
              <w:tr2bl w:val="nil"/>
            </w:tcBorders>
            <w:noWrap w:val="0"/>
            <w:vAlign w:val="center"/>
          </w:tcPr>
          <w:p w14:paraId="5850EAE1">
            <w:pPr>
              <w:pStyle w:val="27"/>
              <w:rPr>
                <w:rFonts w:ascii="Times New Roman" w:hAnsi="Times New Roman"/>
                <w:highlight w:val="none"/>
              </w:rPr>
            </w:pPr>
            <w:r>
              <w:rPr>
                <w:rFonts w:ascii="Times New Roman" w:hAnsi="Times New Roman"/>
                <w:highlight w:val="none"/>
              </w:rPr>
              <w:t>年耗量(t)</w:t>
            </w:r>
          </w:p>
        </w:tc>
      </w:tr>
      <w:tr w14:paraId="747BC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9" w:type="pct"/>
            <w:vMerge w:val="restart"/>
            <w:tcBorders>
              <w:tl2br w:val="nil"/>
              <w:tr2bl w:val="nil"/>
            </w:tcBorders>
            <w:noWrap w:val="0"/>
            <w:vAlign w:val="center"/>
          </w:tcPr>
          <w:p w14:paraId="2EBFC4E7">
            <w:pPr>
              <w:pStyle w:val="27"/>
              <w:rPr>
                <w:rFonts w:ascii="Times New Roman" w:hAnsi="Times New Roman"/>
                <w:highlight w:val="none"/>
              </w:rPr>
            </w:pPr>
            <w:r>
              <w:rPr>
                <w:rFonts w:ascii="Times New Roman" w:hAnsi="Times New Roman"/>
                <w:highlight w:val="none"/>
              </w:rPr>
              <w:t>燃煤</w:t>
            </w:r>
          </w:p>
        </w:tc>
        <w:tc>
          <w:tcPr>
            <w:tcW w:w="1267" w:type="pct"/>
            <w:tcBorders>
              <w:tl2br w:val="nil"/>
              <w:tr2bl w:val="nil"/>
            </w:tcBorders>
            <w:noWrap w:val="0"/>
            <w:vAlign w:val="center"/>
          </w:tcPr>
          <w:p w14:paraId="58939A4B">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116MW</w:t>
            </w:r>
          </w:p>
        </w:tc>
        <w:tc>
          <w:tcPr>
            <w:tcW w:w="742" w:type="pct"/>
            <w:tcBorders>
              <w:tl2br w:val="nil"/>
              <w:tr2bl w:val="nil"/>
            </w:tcBorders>
            <w:noWrap w:val="0"/>
            <w:vAlign w:val="center"/>
          </w:tcPr>
          <w:p w14:paraId="020AB0C0">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28.425</w:t>
            </w:r>
          </w:p>
        </w:tc>
        <w:tc>
          <w:tcPr>
            <w:tcW w:w="1189" w:type="pct"/>
            <w:tcBorders>
              <w:tl2br w:val="nil"/>
              <w:tr2bl w:val="nil"/>
            </w:tcBorders>
            <w:noWrap w:val="0"/>
            <w:vAlign w:val="center"/>
          </w:tcPr>
          <w:p w14:paraId="3A5A9905">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682.2</w:t>
            </w:r>
          </w:p>
        </w:tc>
        <w:tc>
          <w:tcPr>
            <w:tcW w:w="1240" w:type="pct"/>
            <w:tcBorders>
              <w:tl2br w:val="nil"/>
              <w:tr2bl w:val="nil"/>
            </w:tcBorders>
            <w:noWrap w:val="0"/>
            <w:vAlign w:val="center"/>
          </w:tcPr>
          <w:p w14:paraId="1B5C0D65">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34792.2</w:t>
            </w:r>
          </w:p>
        </w:tc>
      </w:tr>
      <w:tr w14:paraId="4619B8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9" w:type="pct"/>
            <w:vMerge w:val="continue"/>
            <w:tcBorders>
              <w:tl2br w:val="nil"/>
              <w:tr2bl w:val="nil"/>
            </w:tcBorders>
            <w:noWrap w:val="0"/>
            <w:vAlign w:val="center"/>
          </w:tcPr>
          <w:p w14:paraId="0B7710DA">
            <w:pPr>
              <w:pStyle w:val="27"/>
              <w:rPr>
                <w:rFonts w:ascii="Times New Roman" w:hAnsi="Times New Roman"/>
                <w:highlight w:val="none"/>
              </w:rPr>
            </w:pPr>
          </w:p>
        </w:tc>
        <w:tc>
          <w:tcPr>
            <w:tcW w:w="1267" w:type="pct"/>
            <w:tcBorders>
              <w:tl2br w:val="nil"/>
              <w:tr2bl w:val="nil"/>
            </w:tcBorders>
            <w:noWrap w:val="0"/>
            <w:vAlign w:val="center"/>
          </w:tcPr>
          <w:p w14:paraId="11FB6A14">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58MW</w:t>
            </w:r>
          </w:p>
        </w:tc>
        <w:tc>
          <w:tcPr>
            <w:tcW w:w="742" w:type="pct"/>
            <w:tcBorders>
              <w:tl2br w:val="nil"/>
              <w:tr2bl w:val="nil"/>
            </w:tcBorders>
            <w:noWrap w:val="0"/>
            <w:vAlign w:val="center"/>
          </w:tcPr>
          <w:p w14:paraId="04DBB3ED">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8.688</w:t>
            </w:r>
          </w:p>
        </w:tc>
        <w:tc>
          <w:tcPr>
            <w:tcW w:w="1189" w:type="pct"/>
            <w:tcBorders>
              <w:tl2br w:val="nil"/>
              <w:tr2bl w:val="nil"/>
            </w:tcBorders>
            <w:noWrap w:val="0"/>
            <w:vAlign w:val="center"/>
          </w:tcPr>
          <w:p w14:paraId="0DBE2389">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208.512</w:t>
            </w:r>
          </w:p>
        </w:tc>
        <w:tc>
          <w:tcPr>
            <w:tcW w:w="1240" w:type="pct"/>
            <w:tcBorders>
              <w:tl2br w:val="nil"/>
              <w:tr2bl w:val="nil"/>
            </w:tcBorders>
            <w:noWrap w:val="0"/>
            <w:vAlign w:val="center"/>
          </w:tcPr>
          <w:p w14:paraId="085DCFAD">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31693.824</w:t>
            </w:r>
          </w:p>
        </w:tc>
      </w:tr>
      <w:tr w14:paraId="183F56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9" w:type="pct"/>
            <w:vMerge w:val="continue"/>
            <w:tcBorders>
              <w:tl2br w:val="nil"/>
              <w:tr2bl w:val="nil"/>
            </w:tcBorders>
            <w:noWrap w:val="0"/>
            <w:vAlign w:val="center"/>
          </w:tcPr>
          <w:p w14:paraId="70F61941">
            <w:pPr>
              <w:pStyle w:val="27"/>
              <w:rPr>
                <w:rFonts w:ascii="Times New Roman" w:hAnsi="Times New Roman"/>
                <w:highlight w:val="none"/>
              </w:rPr>
            </w:pPr>
          </w:p>
        </w:tc>
        <w:tc>
          <w:tcPr>
            <w:tcW w:w="1267" w:type="pct"/>
            <w:tcBorders>
              <w:tl2br w:val="nil"/>
              <w:tr2bl w:val="nil"/>
            </w:tcBorders>
            <w:noWrap w:val="0"/>
            <w:vAlign w:val="center"/>
          </w:tcPr>
          <w:p w14:paraId="6A80D89C">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35t/h</w:t>
            </w:r>
          </w:p>
        </w:tc>
        <w:tc>
          <w:tcPr>
            <w:tcW w:w="742" w:type="pct"/>
            <w:tcBorders>
              <w:tl2br w:val="nil"/>
              <w:tr2bl w:val="nil"/>
            </w:tcBorders>
            <w:noWrap w:val="0"/>
            <w:vAlign w:val="center"/>
          </w:tcPr>
          <w:p w14:paraId="05C83907">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3.6602</w:t>
            </w:r>
          </w:p>
        </w:tc>
        <w:tc>
          <w:tcPr>
            <w:tcW w:w="1189" w:type="pct"/>
            <w:tcBorders>
              <w:tl2br w:val="nil"/>
              <w:tr2bl w:val="nil"/>
            </w:tcBorders>
            <w:noWrap w:val="0"/>
            <w:vAlign w:val="center"/>
          </w:tcPr>
          <w:p w14:paraId="15F77468">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87.8448</w:t>
            </w:r>
          </w:p>
        </w:tc>
        <w:tc>
          <w:tcPr>
            <w:tcW w:w="1240" w:type="pct"/>
            <w:tcBorders>
              <w:tl2br w:val="nil"/>
              <w:tr2bl w:val="nil"/>
            </w:tcBorders>
            <w:noWrap w:val="0"/>
            <w:vAlign w:val="center"/>
          </w:tcPr>
          <w:p w14:paraId="55049734">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16514.8224</w:t>
            </w:r>
          </w:p>
        </w:tc>
      </w:tr>
      <w:tr w14:paraId="34B461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9" w:type="pct"/>
            <w:vMerge w:val="continue"/>
            <w:tcBorders>
              <w:tl2br w:val="nil"/>
              <w:tr2bl w:val="nil"/>
            </w:tcBorders>
            <w:noWrap w:val="0"/>
            <w:vAlign w:val="center"/>
          </w:tcPr>
          <w:p w14:paraId="11768671">
            <w:pPr>
              <w:pStyle w:val="27"/>
              <w:rPr>
                <w:rFonts w:ascii="Times New Roman" w:hAnsi="Times New Roman"/>
                <w:highlight w:val="none"/>
              </w:rPr>
            </w:pPr>
          </w:p>
        </w:tc>
        <w:tc>
          <w:tcPr>
            <w:tcW w:w="1267" w:type="pct"/>
            <w:tcBorders>
              <w:tl2br w:val="nil"/>
              <w:tr2bl w:val="nil"/>
            </w:tcBorders>
            <w:noWrap w:val="0"/>
            <w:vAlign w:val="center"/>
          </w:tcPr>
          <w:p w14:paraId="3E8F574E">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企业锅炉实际运行</w:t>
            </w:r>
          </w:p>
        </w:tc>
        <w:tc>
          <w:tcPr>
            <w:tcW w:w="742" w:type="pct"/>
            <w:tcBorders>
              <w:tl2br w:val="nil"/>
              <w:tr2bl w:val="nil"/>
            </w:tcBorders>
            <w:noWrap w:val="0"/>
            <w:vAlign w:val="center"/>
          </w:tcPr>
          <w:p w14:paraId="18A2EECE">
            <w:pPr>
              <w:pStyle w:val="27"/>
              <w:ind w:firstLine="0" w:firstLineChars="0"/>
              <w:rPr>
                <w:rFonts w:hint="eastAsia" w:ascii="Times New Roman" w:hAnsi="Times New Roman"/>
                <w:highlight w:val="none"/>
                <w:lang w:val="en-US" w:eastAsia="zh-CN"/>
              </w:rPr>
            </w:pPr>
            <w:r>
              <w:rPr>
                <w:rFonts w:hint="eastAsia" w:ascii="Times New Roman" w:hAnsi="Times New Roman"/>
                <w:highlight w:val="none"/>
              </w:rPr>
              <w:t>最大</w:t>
            </w:r>
            <w:r>
              <w:rPr>
                <w:rFonts w:ascii="Times New Roman" w:hAnsi="Times New Roman"/>
                <w:highlight w:val="none"/>
              </w:rPr>
              <w:t>小时耗量(t)</w:t>
            </w:r>
          </w:p>
        </w:tc>
        <w:tc>
          <w:tcPr>
            <w:tcW w:w="1189" w:type="pct"/>
            <w:tcBorders>
              <w:tl2br w:val="nil"/>
              <w:tr2bl w:val="nil"/>
            </w:tcBorders>
            <w:noWrap w:val="0"/>
            <w:vAlign w:val="center"/>
          </w:tcPr>
          <w:p w14:paraId="4E206BDA">
            <w:pPr>
              <w:pStyle w:val="27"/>
              <w:ind w:firstLine="0" w:firstLineChars="0"/>
              <w:rPr>
                <w:rFonts w:hint="eastAsia" w:ascii="Times New Roman" w:hAnsi="Times New Roman"/>
                <w:highlight w:val="none"/>
                <w:lang w:val="en-US" w:eastAsia="zh-CN"/>
              </w:rPr>
            </w:pPr>
            <w:r>
              <w:rPr>
                <w:rFonts w:hint="eastAsia" w:ascii="Times New Roman" w:hAnsi="Times New Roman"/>
                <w:highlight w:val="none"/>
              </w:rPr>
              <w:t>最大</w:t>
            </w:r>
            <w:r>
              <w:rPr>
                <w:rFonts w:ascii="Times New Roman" w:hAnsi="Times New Roman"/>
                <w:highlight w:val="none"/>
              </w:rPr>
              <w:t>日耗量(t)</w:t>
            </w:r>
          </w:p>
        </w:tc>
        <w:tc>
          <w:tcPr>
            <w:tcW w:w="1240" w:type="pct"/>
            <w:tcBorders>
              <w:tl2br w:val="nil"/>
              <w:tr2bl w:val="nil"/>
            </w:tcBorders>
            <w:noWrap w:val="0"/>
            <w:vAlign w:val="center"/>
          </w:tcPr>
          <w:p w14:paraId="31827E99">
            <w:pPr>
              <w:pStyle w:val="27"/>
              <w:ind w:firstLine="0" w:firstLineChars="0"/>
              <w:rPr>
                <w:rFonts w:ascii="Times New Roman" w:hAnsi="Times New Roman"/>
                <w:highlight w:val="none"/>
              </w:rPr>
            </w:pPr>
            <w:r>
              <w:rPr>
                <w:rFonts w:ascii="Times New Roman" w:hAnsi="Times New Roman"/>
                <w:highlight w:val="none"/>
              </w:rPr>
              <w:t>年耗量(t)</w:t>
            </w:r>
          </w:p>
        </w:tc>
      </w:tr>
      <w:tr w14:paraId="1B0FB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559" w:type="pct"/>
            <w:vMerge w:val="continue"/>
            <w:tcBorders>
              <w:tl2br w:val="nil"/>
              <w:tr2bl w:val="nil"/>
            </w:tcBorders>
            <w:noWrap w:val="0"/>
            <w:vAlign w:val="center"/>
          </w:tcPr>
          <w:p w14:paraId="25EAA11C">
            <w:pPr>
              <w:pStyle w:val="27"/>
              <w:rPr>
                <w:rFonts w:ascii="Times New Roman" w:hAnsi="Times New Roman"/>
                <w:highlight w:val="none"/>
              </w:rPr>
            </w:pPr>
          </w:p>
        </w:tc>
        <w:tc>
          <w:tcPr>
            <w:tcW w:w="1267" w:type="pct"/>
            <w:tcBorders>
              <w:tl2br w:val="nil"/>
              <w:tr2bl w:val="nil"/>
            </w:tcBorders>
            <w:noWrap w:val="0"/>
            <w:vAlign w:val="center"/>
          </w:tcPr>
          <w:p w14:paraId="67AB305D">
            <w:pPr>
              <w:pStyle w:val="27"/>
              <w:rPr>
                <w:rFonts w:hint="eastAsia" w:ascii="Times New Roman" w:hAnsi="Times New Roman" w:eastAsia="新宋体"/>
                <w:highlight w:val="none"/>
                <w:lang w:eastAsia="zh-CN"/>
              </w:rPr>
            </w:pPr>
            <w:r>
              <w:rPr>
                <w:rFonts w:hint="eastAsia" w:ascii="Times New Roman" w:hAnsi="Times New Roman"/>
                <w:highlight w:val="none"/>
                <w:lang w:val="en-US" w:eastAsia="zh-CN"/>
              </w:rPr>
              <w:t>116</w:t>
            </w:r>
            <w:r>
              <w:rPr>
                <w:rFonts w:ascii="Times New Roman" w:hAnsi="Times New Roman"/>
                <w:highlight w:val="none"/>
              </w:rPr>
              <w:t>MW</w:t>
            </w:r>
            <w:r>
              <w:rPr>
                <w:rFonts w:hint="eastAsia" w:ascii="Times New Roman" w:hAnsi="Times New Roman"/>
                <w:highlight w:val="none"/>
                <w:lang w:eastAsia="zh-CN"/>
              </w:rPr>
              <w:t>（</w:t>
            </w:r>
            <w:r>
              <w:rPr>
                <w:rFonts w:hint="eastAsia" w:ascii="Times New Roman" w:hAnsi="Times New Roman"/>
                <w:highlight w:val="none"/>
                <w:lang w:val="en-US" w:eastAsia="zh-CN"/>
              </w:rPr>
              <w:t>10.10-10.25</w:t>
            </w:r>
            <w:r>
              <w:rPr>
                <w:rFonts w:hint="eastAsia" w:ascii="Times New Roman" w:hAnsi="Times New Roman"/>
                <w:highlight w:val="none"/>
                <w:lang w:eastAsia="zh-CN"/>
              </w:rPr>
              <w:t>）</w:t>
            </w:r>
          </w:p>
        </w:tc>
        <w:tc>
          <w:tcPr>
            <w:tcW w:w="742" w:type="pct"/>
            <w:tcBorders>
              <w:tl2br w:val="nil"/>
              <w:tr2bl w:val="nil"/>
            </w:tcBorders>
            <w:noWrap w:val="0"/>
            <w:vAlign w:val="center"/>
          </w:tcPr>
          <w:p w14:paraId="4931DA08">
            <w:pPr>
              <w:pStyle w:val="27"/>
              <w:ind w:firstLine="0" w:firstLineChars="0"/>
              <w:rPr>
                <w:rFonts w:ascii="Times New Roman" w:hAnsi="Times New Roman"/>
                <w:highlight w:val="none"/>
              </w:rPr>
            </w:pPr>
            <w:r>
              <w:rPr>
                <w:rFonts w:hint="eastAsia" w:ascii="Times New Roman" w:hAnsi="Times New Roman"/>
                <w:highlight w:val="none"/>
                <w:lang w:val="en-US" w:eastAsia="zh-CN"/>
              </w:rPr>
              <w:t>28.425</w:t>
            </w:r>
          </w:p>
        </w:tc>
        <w:tc>
          <w:tcPr>
            <w:tcW w:w="1189" w:type="pct"/>
            <w:tcBorders>
              <w:tl2br w:val="nil"/>
              <w:tr2bl w:val="nil"/>
            </w:tcBorders>
            <w:noWrap w:val="0"/>
            <w:vAlign w:val="center"/>
          </w:tcPr>
          <w:p w14:paraId="77513F73">
            <w:pPr>
              <w:pStyle w:val="27"/>
              <w:ind w:firstLine="0" w:firstLineChars="0"/>
              <w:rPr>
                <w:rFonts w:ascii="Times New Roman" w:hAnsi="Times New Roman"/>
                <w:highlight w:val="none"/>
              </w:rPr>
            </w:pPr>
            <w:r>
              <w:rPr>
                <w:rFonts w:hint="eastAsia" w:ascii="Times New Roman" w:hAnsi="Times New Roman"/>
                <w:highlight w:val="none"/>
                <w:lang w:val="en-US" w:eastAsia="zh-CN"/>
              </w:rPr>
              <w:t>682.2</w:t>
            </w:r>
          </w:p>
        </w:tc>
        <w:tc>
          <w:tcPr>
            <w:tcW w:w="1240" w:type="pct"/>
            <w:tcBorders>
              <w:tl2br w:val="nil"/>
              <w:tr2bl w:val="nil"/>
            </w:tcBorders>
            <w:noWrap w:val="0"/>
            <w:vAlign w:val="center"/>
          </w:tcPr>
          <w:p w14:paraId="3C549E27">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10915.2</w:t>
            </w:r>
          </w:p>
        </w:tc>
      </w:tr>
      <w:tr w14:paraId="5CA98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559" w:type="pct"/>
            <w:vMerge w:val="continue"/>
            <w:tcBorders>
              <w:tl2br w:val="nil"/>
              <w:tr2bl w:val="nil"/>
            </w:tcBorders>
            <w:noWrap w:val="0"/>
            <w:vAlign w:val="center"/>
          </w:tcPr>
          <w:p w14:paraId="2A4BAAAC">
            <w:pPr>
              <w:pStyle w:val="27"/>
              <w:rPr>
                <w:rFonts w:ascii="Times New Roman" w:hAnsi="Times New Roman"/>
                <w:highlight w:val="none"/>
              </w:rPr>
            </w:pPr>
          </w:p>
        </w:tc>
        <w:tc>
          <w:tcPr>
            <w:tcW w:w="1267" w:type="pct"/>
            <w:tcBorders>
              <w:tl2br w:val="nil"/>
              <w:tr2bl w:val="nil"/>
            </w:tcBorders>
            <w:noWrap w:val="0"/>
            <w:vAlign w:val="center"/>
          </w:tcPr>
          <w:p w14:paraId="6B28D3D5">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58MW+35t/h（10.25-12.15，次年1.20-4.1）</w:t>
            </w:r>
          </w:p>
        </w:tc>
        <w:tc>
          <w:tcPr>
            <w:tcW w:w="742" w:type="pct"/>
            <w:tcBorders>
              <w:tl2br w:val="nil"/>
              <w:tr2bl w:val="nil"/>
            </w:tcBorders>
            <w:noWrap w:val="0"/>
            <w:vAlign w:val="center"/>
          </w:tcPr>
          <w:p w14:paraId="1EF1F4FD">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12.3482</w:t>
            </w:r>
          </w:p>
        </w:tc>
        <w:tc>
          <w:tcPr>
            <w:tcW w:w="1189" w:type="pct"/>
            <w:tcBorders>
              <w:tl2br w:val="nil"/>
              <w:tr2bl w:val="nil"/>
            </w:tcBorders>
            <w:noWrap w:val="0"/>
            <w:vAlign w:val="center"/>
          </w:tcPr>
          <w:p w14:paraId="1DBFA96E">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296.3568</w:t>
            </w:r>
          </w:p>
        </w:tc>
        <w:tc>
          <w:tcPr>
            <w:tcW w:w="1240" w:type="pct"/>
            <w:tcBorders>
              <w:tl2br w:val="nil"/>
              <w:tr2bl w:val="nil"/>
            </w:tcBorders>
            <w:noWrap w:val="0"/>
            <w:vAlign w:val="center"/>
          </w:tcPr>
          <w:p w14:paraId="50D53983">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36155.5296</w:t>
            </w:r>
          </w:p>
        </w:tc>
      </w:tr>
      <w:tr w14:paraId="29356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559" w:type="pct"/>
            <w:vMerge w:val="continue"/>
            <w:tcBorders>
              <w:tl2br w:val="nil"/>
              <w:tr2bl w:val="nil"/>
            </w:tcBorders>
            <w:noWrap w:val="0"/>
            <w:vAlign w:val="center"/>
          </w:tcPr>
          <w:p w14:paraId="54572591">
            <w:pPr>
              <w:pStyle w:val="27"/>
              <w:rPr>
                <w:rFonts w:ascii="Times New Roman" w:hAnsi="Times New Roman"/>
                <w:highlight w:val="none"/>
              </w:rPr>
            </w:pPr>
          </w:p>
        </w:tc>
        <w:tc>
          <w:tcPr>
            <w:tcW w:w="1267" w:type="pct"/>
            <w:tcBorders>
              <w:tl2br w:val="nil"/>
              <w:tr2bl w:val="nil"/>
            </w:tcBorders>
            <w:noWrap w:val="0"/>
            <w:vAlign w:val="center"/>
          </w:tcPr>
          <w:p w14:paraId="0068BC84">
            <w:pPr>
              <w:pStyle w:val="27"/>
              <w:rPr>
                <w:rFonts w:hint="eastAsia" w:ascii="Times New Roman" w:hAnsi="Times New Roman"/>
                <w:highlight w:val="none"/>
                <w:lang w:val="en-US" w:eastAsia="zh-CN"/>
              </w:rPr>
            </w:pPr>
            <w:r>
              <w:rPr>
                <w:rFonts w:hint="eastAsia" w:ascii="Times New Roman" w:hAnsi="Times New Roman"/>
                <w:highlight w:val="none"/>
                <w:lang w:val="en-US" w:eastAsia="zh-CN"/>
              </w:rPr>
              <w:t>116MW+35t/h</w:t>
            </w:r>
          </w:p>
          <w:p w14:paraId="2938D44D">
            <w:pPr>
              <w:pStyle w:val="27"/>
              <w:jc w:val="both"/>
              <w:rPr>
                <w:rFonts w:hint="eastAsia"/>
                <w:highlight w:val="none"/>
                <w:lang w:val="en-US" w:eastAsia="zh-CN"/>
              </w:rPr>
            </w:pPr>
            <w:r>
              <w:rPr>
                <w:rFonts w:hint="eastAsia" w:ascii="Times New Roman" w:hAnsi="Times New Roman"/>
                <w:highlight w:val="none"/>
                <w:lang w:val="en-US" w:eastAsia="zh-CN"/>
              </w:rPr>
              <w:t>（12.15-次年1.20）</w:t>
            </w:r>
          </w:p>
        </w:tc>
        <w:tc>
          <w:tcPr>
            <w:tcW w:w="742" w:type="pct"/>
            <w:tcBorders>
              <w:tl2br w:val="nil"/>
              <w:tr2bl w:val="nil"/>
            </w:tcBorders>
            <w:noWrap w:val="0"/>
            <w:vAlign w:val="center"/>
          </w:tcPr>
          <w:p w14:paraId="0B216499">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32.0852</w:t>
            </w:r>
          </w:p>
        </w:tc>
        <w:tc>
          <w:tcPr>
            <w:tcW w:w="1189" w:type="pct"/>
            <w:tcBorders>
              <w:tl2br w:val="nil"/>
              <w:tr2bl w:val="nil"/>
            </w:tcBorders>
            <w:noWrap w:val="0"/>
            <w:vAlign w:val="center"/>
          </w:tcPr>
          <w:p w14:paraId="14D966F8">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770.0448</w:t>
            </w:r>
          </w:p>
        </w:tc>
        <w:tc>
          <w:tcPr>
            <w:tcW w:w="1240" w:type="pct"/>
            <w:tcBorders>
              <w:tl2br w:val="nil"/>
              <w:tr2bl w:val="nil"/>
            </w:tcBorders>
            <w:noWrap w:val="0"/>
            <w:vAlign w:val="center"/>
          </w:tcPr>
          <w:p w14:paraId="13167F43">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27721.6128</w:t>
            </w:r>
          </w:p>
        </w:tc>
      </w:tr>
      <w:tr w14:paraId="5253D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559" w:type="pct"/>
            <w:vMerge w:val="continue"/>
            <w:tcBorders>
              <w:tl2br w:val="nil"/>
              <w:tr2bl w:val="nil"/>
            </w:tcBorders>
            <w:noWrap w:val="0"/>
            <w:vAlign w:val="center"/>
          </w:tcPr>
          <w:p w14:paraId="5AEE58BC">
            <w:pPr>
              <w:pStyle w:val="27"/>
              <w:rPr>
                <w:rFonts w:ascii="Times New Roman" w:hAnsi="Times New Roman"/>
                <w:highlight w:val="none"/>
              </w:rPr>
            </w:pPr>
          </w:p>
        </w:tc>
        <w:tc>
          <w:tcPr>
            <w:tcW w:w="1267" w:type="pct"/>
            <w:tcBorders>
              <w:tl2br w:val="nil"/>
              <w:tr2bl w:val="nil"/>
            </w:tcBorders>
            <w:noWrap w:val="0"/>
            <w:vAlign w:val="center"/>
          </w:tcPr>
          <w:p w14:paraId="1BFFD70E">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58MW（次年4.1-4.30）</w:t>
            </w:r>
          </w:p>
        </w:tc>
        <w:tc>
          <w:tcPr>
            <w:tcW w:w="742" w:type="pct"/>
            <w:tcBorders>
              <w:tl2br w:val="nil"/>
              <w:tr2bl w:val="nil"/>
            </w:tcBorders>
            <w:noWrap w:val="0"/>
            <w:vAlign w:val="center"/>
          </w:tcPr>
          <w:p w14:paraId="12AF1C1A">
            <w:pPr>
              <w:pStyle w:val="27"/>
              <w:ind w:firstLine="0" w:firstLineChars="0"/>
              <w:rPr>
                <w:rFonts w:hint="eastAsia" w:ascii="Times New Roman" w:hAnsi="Times New Roman"/>
                <w:highlight w:val="none"/>
                <w:lang w:val="en-US" w:eastAsia="zh-CN"/>
              </w:rPr>
            </w:pPr>
            <w:r>
              <w:rPr>
                <w:rFonts w:hint="eastAsia" w:ascii="Times New Roman" w:hAnsi="Times New Roman"/>
                <w:highlight w:val="none"/>
                <w:lang w:val="en-US" w:eastAsia="zh-CN"/>
              </w:rPr>
              <w:t>8.688</w:t>
            </w:r>
          </w:p>
        </w:tc>
        <w:tc>
          <w:tcPr>
            <w:tcW w:w="1189" w:type="pct"/>
            <w:tcBorders>
              <w:tl2br w:val="nil"/>
              <w:tr2bl w:val="nil"/>
            </w:tcBorders>
            <w:noWrap w:val="0"/>
            <w:vAlign w:val="center"/>
          </w:tcPr>
          <w:p w14:paraId="6F4D9F66">
            <w:pPr>
              <w:pStyle w:val="27"/>
              <w:ind w:firstLine="0" w:firstLineChars="0"/>
              <w:rPr>
                <w:rFonts w:hint="eastAsia" w:ascii="Times New Roman" w:hAnsi="Times New Roman"/>
                <w:highlight w:val="none"/>
                <w:lang w:val="en-US" w:eastAsia="zh-CN"/>
              </w:rPr>
            </w:pPr>
            <w:r>
              <w:rPr>
                <w:rFonts w:hint="eastAsia" w:ascii="Times New Roman" w:hAnsi="Times New Roman"/>
                <w:highlight w:val="none"/>
                <w:lang w:val="en-US" w:eastAsia="zh-CN"/>
              </w:rPr>
              <w:t>208.512</w:t>
            </w:r>
          </w:p>
        </w:tc>
        <w:tc>
          <w:tcPr>
            <w:tcW w:w="1240" w:type="pct"/>
            <w:tcBorders>
              <w:tl2br w:val="nil"/>
              <w:tr2bl w:val="nil"/>
            </w:tcBorders>
            <w:noWrap w:val="0"/>
            <w:vAlign w:val="center"/>
          </w:tcPr>
          <w:p w14:paraId="449F7A20">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6255.36</w:t>
            </w:r>
          </w:p>
        </w:tc>
      </w:tr>
      <w:tr w14:paraId="69A82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559" w:type="pct"/>
            <w:vMerge w:val="continue"/>
            <w:tcBorders>
              <w:tl2br w:val="nil"/>
              <w:tr2bl w:val="nil"/>
            </w:tcBorders>
            <w:noWrap w:val="0"/>
            <w:vAlign w:val="center"/>
          </w:tcPr>
          <w:p w14:paraId="54A32EBD">
            <w:pPr>
              <w:pStyle w:val="27"/>
              <w:rPr>
                <w:rFonts w:ascii="Times New Roman" w:hAnsi="Times New Roman"/>
                <w:highlight w:val="none"/>
              </w:rPr>
            </w:pPr>
          </w:p>
        </w:tc>
        <w:tc>
          <w:tcPr>
            <w:tcW w:w="1267" w:type="pct"/>
            <w:tcBorders>
              <w:tl2br w:val="nil"/>
              <w:tr2bl w:val="nil"/>
            </w:tcBorders>
            <w:noWrap w:val="0"/>
            <w:vAlign w:val="center"/>
          </w:tcPr>
          <w:p w14:paraId="390B01FA">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合计</w:t>
            </w:r>
          </w:p>
        </w:tc>
        <w:tc>
          <w:tcPr>
            <w:tcW w:w="742" w:type="pct"/>
            <w:tcBorders>
              <w:tl2br w:val="nil"/>
              <w:tr2bl w:val="nil"/>
            </w:tcBorders>
            <w:noWrap w:val="0"/>
            <w:vAlign w:val="center"/>
          </w:tcPr>
          <w:p w14:paraId="29FBF469">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w:t>
            </w:r>
          </w:p>
        </w:tc>
        <w:tc>
          <w:tcPr>
            <w:tcW w:w="1189" w:type="pct"/>
            <w:tcBorders>
              <w:tl2br w:val="nil"/>
              <w:tr2bl w:val="nil"/>
            </w:tcBorders>
            <w:noWrap w:val="0"/>
            <w:vAlign w:val="center"/>
          </w:tcPr>
          <w:p w14:paraId="2FE4BBF2">
            <w:pPr>
              <w:pStyle w:val="27"/>
              <w:ind w:firstLine="0" w:firstLineChars="0"/>
              <w:rPr>
                <w:rFonts w:hint="default" w:ascii="Times New Roman" w:hAnsi="Times New Roman"/>
                <w:highlight w:val="none"/>
                <w:lang w:val="en-US" w:eastAsia="zh-CN"/>
              </w:rPr>
            </w:pPr>
            <w:r>
              <w:rPr>
                <w:rFonts w:hint="eastAsia" w:ascii="Times New Roman" w:hAnsi="Times New Roman"/>
                <w:highlight w:val="none"/>
                <w:lang w:val="en-US" w:eastAsia="zh-CN"/>
              </w:rPr>
              <w:t>/</w:t>
            </w:r>
          </w:p>
        </w:tc>
        <w:tc>
          <w:tcPr>
            <w:tcW w:w="1240" w:type="pct"/>
            <w:tcBorders>
              <w:tl2br w:val="nil"/>
              <w:tr2bl w:val="nil"/>
            </w:tcBorders>
            <w:noWrap w:val="0"/>
            <w:vAlign w:val="center"/>
          </w:tcPr>
          <w:p w14:paraId="7CFAD4BD">
            <w:pPr>
              <w:pStyle w:val="27"/>
              <w:rPr>
                <w:rFonts w:hint="default" w:ascii="Times New Roman" w:hAnsi="Times New Roman"/>
                <w:highlight w:val="none"/>
                <w:lang w:val="en-US" w:eastAsia="zh-CN"/>
              </w:rPr>
            </w:pPr>
            <w:r>
              <w:rPr>
                <w:rFonts w:hint="eastAsia" w:ascii="Times New Roman" w:hAnsi="Times New Roman"/>
                <w:highlight w:val="none"/>
                <w:lang w:val="en-US" w:eastAsia="zh-CN"/>
              </w:rPr>
              <w:t>81047.7024</w:t>
            </w:r>
          </w:p>
        </w:tc>
      </w:tr>
    </w:tbl>
    <w:p w14:paraId="710B2AE4">
      <w:pPr>
        <w:pStyle w:val="11"/>
        <w:rPr>
          <w:rFonts w:ascii="Times New Roman" w:hAnsi="Times New Roman"/>
          <w:sz w:val="21"/>
          <w:highlight w:val="none"/>
        </w:rPr>
      </w:pPr>
      <w:r>
        <w:rPr>
          <w:rFonts w:ascii="Times New Roman" w:hAnsi="Times New Roman"/>
          <w:sz w:val="21"/>
          <w:highlight w:val="none"/>
        </w:rPr>
        <w:t>注：日耗燃料按</w:t>
      </w:r>
      <w:r>
        <w:rPr>
          <w:rFonts w:hint="eastAsia"/>
          <w:sz w:val="21"/>
          <w:highlight w:val="none"/>
          <w:lang w:val="en-US" w:eastAsia="zh-CN"/>
        </w:rPr>
        <w:t>24</w:t>
      </w:r>
      <w:r>
        <w:rPr>
          <w:rFonts w:ascii="Times New Roman" w:hAnsi="Times New Roman"/>
          <w:sz w:val="21"/>
          <w:highlight w:val="none"/>
        </w:rPr>
        <w:t>小时计</w:t>
      </w:r>
      <w:r>
        <w:rPr>
          <w:rFonts w:hint="eastAsia"/>
          <w:sz w:val="21"/>
          <w:highlight w:val="none"/>
          <w:lang w:eastAsia="zh-CN"/>
        </w:rPr>
        <w:t>，</w:t>
      </w:r>
      <w:r>
        <w:rPr>
          <w:rFonts w:hint="eastAsia"/>
          <w:sz w:val="21"/>
          <w:highlight w:val="none"/>
          <w:lang w:val="en-US" w:eastAsia="zh-CN"/>
        </w:rPr>
        <w:t>不存在三台锅炉同时运行的情况</w:t>
      </w:r>
      <w:r>
        <w:rPr>
          <w:rFonts w:ascii="Times New Roman" w:hAnsi="Times New Roman"/>
          <w:sz w:val="21"/>
          <w:highlight w:val="none"/>
        </w:rPr>
        <w:t>。</w:t>
      </w:r>
    </w:p>
    <w:p w14:paraId="41CA9A3D">
      <w:pPr>
        <w:pStyle w:val="5"/>
        <w:bidi w:val="0"/>
        <w:ind w:left="0" w:leftChars="0" w:firstLine="0" w:firstLineChars="0"/>
        <w:rPr>
          <w:rFonts w:hint="eastAsia"/>
          <w:highlight w:val="none"/>
          <w:lang w:val="en-US" w:eastAsia="zh-CN"/>
        </w:rPr>
      </w:pPr>
      <w:bookmarkStart w:id="61" w:name="_Toc20637"/>
      <w:r>
        <w:rPr>
          <w:rFonts w:hint="eastAsia"/>
          <w:highlight w:val="none"/>
          <w:lang w:val="en-US" w:eastAsia="zh-CN"/>
        </w:rPr>
        <w:t>3.1.6燃料储存</w:t>
      </w:r>
      <w:bookmarkEnd w:id="61"/>
    </w:p>
    <w:p w14:paraId="732EF8A2">
      <w:pPr>
        <w:ind w:firstLine="480"/>
        <w:rPr>
          <w:rFonts w:ascii="Times New Roman" w:hAnsi="Times New Roman"/>
          <w:highlight w:val="none"/>
        </w:rPr>
      </w:pPr>
      <w:r>
        <w:rPr>
          <w:rFonts w:ascii="Times New Roman" w:hAnsi="Times New Roman"/>
          <w:highlight w:val="none"/>
        </w:rPr>
        <w:t>为保证燃煤供应安全性，</w:t>
      </w:r>
      <w:r>
        <w:rPr>
          <w:rFonts w:hint="eastAsia" w:ascii="Times New Roman" w:hAnsi="Times New Roman"/>
          <w:highlight w:val="none"/>
        </w:rPr>
        <w:t>本项目采用</w:t>
      </w:r>
      <w:r>
        <w:rPr>
          <w:rFonts w:hint="eastAsia" w:ascii="Times New Roman" w:hAnsi="Times New Roman"/>
          <w:highlight w:val="none"/>
          <w:lang w:val="en-US" w:eastAsia="zh-CN"/>
        </w:rPr>
        <w:t>公路</w:t>
      </w:r>
      <w:r>
        <w:rPr>
          <w:rFonts w:hint="eastAsia" w:ascii="Times New Roman" w:hAnsi="Times New Roman"/>
          <w:highlight w:val="none"/>
        </w:rPr>
        <w:t>运输到场，</w:t>
      </w:r>
      <w:r>
        <w:rPr>
          <w:rFonts w:ascii="Times New Roman" w:hAnsi="Times New Roman"/>
          <w:highlight w:val="none"/>
        </w:rPr>
        <w:t>拟利用厂区北侧地块，建设封闭式储煤库一座，煤场面积</w:t>
      </w:r>
      <w:r>
        <w:rPr>
          <w:rFonts w:hint="eastAsia" w:ascii="Times New Roman" w:hAnsi="Times New Roman"/>
          <w:iCs/>
          <w:highlight w:val="none"/>
          <w:lang w:val="en-US" w:eastAsia="zh-CN"/>
        </w:rPr>
        <w:t>4250</w:t>
      </w:r>
      <w:r>
        <w:rPr>
          <w:rFonts w:ascii="Times New Roman" w:hAnsi="Times New Roman"/>
          <w:highlight w:val="none"/>
        </w:rPr>
        <w:t>平方米，可存煤</w:t>
      </w:r>
      <w:r>
        <w:rPr>
          <w:rFonts w:hint="eastAsia" w:ascii="Times New Roman" w:hAnsi="Times New Roman"/>
          <w:highlight w:val="none"/>
          <w:lang w:val="en-US" w:eastAsia="zh-CN"/>
        </w:rPr>
        <w:t>2.55</w:t>
      </w:r>
      <w:r>
        <w:rPr>
          <w:rFonts w:ascii="Times New Roman" w:hAnsi="Times New Roman"/>
          <w:highlight w:val="none"/>
        </w:rPr>
        <w:t>万吨，满足</w:t>
      </w:r>
      <w:r>
        <w:rPr>
          <w:rFonts w:hint="eastAsia" w:ascii="Times New Roman" w:hAnsi="Times New Roman"/>
          <w:highlight w:val="none"/>
          <w:lang w:val="en-US" w:eastAsia="zh-CN"/>
        </w:rPr>
        <w:t>企业实际运行情况最大耗煤量33</w:t>
      </w:r>
      <w:r>
        <w:rPr>
          <w:rFonts w:ascii="Times New Roman" w:hAnsi="Times New Roman"/>
          <w:highlight w:val="none"/>
        </w:rPr>
        <w:t>天满负荷运行耗煤量。</w:t>
      </w:r>
    </w:p>
    <w:p w14:paraId="38F64AE7">
      <w:pPr>
        <w:pStyle w:val="5"/>
        <w:bidi w:val="0"/>
        <w:ind w:left="0" w:leftChars="0" w:firstLine="0" w:firstLineChars="0"/>
        <w:rPr>
          <w:rFonts w:hint="eastAsia"/>
          <w:highlight w:val="none"/>
          <w:lang w:val="en-US" w:eastAsia="zh-CN"/>
        </w:rPr>
      </w:pPr>
      <w:bookmarkStart w:id="62" w:name="_Toc23866"/>
      <w:r>
        <w:rPr>
          <w:rFonts w:hint="eastAsia"/>
          <w:highlight w:val="none"/>
          <w:lang w:val="en-US" w:eastAsia="zh-CN"/>
        </w:rPr>
        <w:t>3.1.7辅助材料</w:t>
      </w:r>
      <w:bookmarkEnd w:id="62"/>
    </w:p>
    <w:p w14:paraId="10732A28">
      <w:pPr>
        <w:ind w:firstLine="480"/>
        <w:rPr>
          <w:rFonts w:ascii="Times New Roman" w:hAnsi="Times New Roman"/>
          <w:highlight w:val="none"/>
        </w:rPr>
      </w:pPr>
      <w:r>
        <w:rPr>
          <w:rFonts w:ascii="Times New Roman" w:hAnsi="Times New Roman"/>
          <w:highlight w:val="none"/>
        </w:rPr>
        <w:t>本项目原辅材料消耗见表3.1-</w:t>
      </w:r>
      <w:r>
        <w:rPr>
          <w:rFonts w:hint="eastAsia" w:ascii="Times New Roman" w:hAnsi="Times New Roman"/>
          <w:highlight w:val="none"/>
          <w:lang w:val="en-US" w:eastAsia="zh-CN"/>
        </w:rPr>
        <w:t>5</w:t>
      </w:r>
      <w:r>
        <w:rPr>
          <w:rFonts w:ascii="Times New Roman" w:hAnsi="Times New Roman"/>
          <w:highlight w:val="none"/>
        </w:rPr>
        <w:t>。</w:t>
      </w:r>
    </w:p>
    <w:p w14:paraId="1A1A0C8C">
      <w:pPr>
        <w:ind w:firstLine="0" w:firstLineChars="0"/>
        <w:jc w:val="center"/>
        <w:rPr>
          <w:rFonts w:ascii="Times New Roman" w:hAnsi="Times New Roman"/>
          <w:b/>
          <w:bCs/>
          <w:highlight w:val="none"/>
        </w:rPr>
      </w:pPr>
      <w:r>
        <w:rPr>
          <w:rFonts w:ascii="Times New Roman" w:hAnsi="Times New Roman"/>
          <w:b/>
          <w:bCs/>
          <w:highlight w:val="none"/>
        </w:rPr>
        <w:t>表3.1-</w:t>
      </w:r>
      <w:r>
        <w:rPr>
          <w:rFonts w:hint="eastAsia" w:ascii="Times New Roman" w:hAnsi="Times New Roman"/>
          <w:b/>
          <w:bCs/>
          <w:highlight w:val="none"/>
          <w:lang w:val="en-US" w:eastAsia="zh-CN"/>
        </w:rPr>
        <w:t>5</w:t>
      </w:r>
      <w:r>
        <w:rPr>
          <w:rFonts w:ascii="Times New Roman" w:hAnsi="Times New Roman"/>
          <w:b/>
          <w:bCs/>
          <w:highlight w:val="none"/>
        </w:rPr>
        <w:t>原辅材料消耗一览表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58"/>
        <w:gridCol w:w="1294"/>
        <w:gridCol w:w="706"/>
        <w:gridCol w:w="1316"/>
        <w:gridCol w:w="4548"/>
      </w:tblGrid>
      <w:tr w14:paraId="7335E4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noWrap w:val="0"/>
            <w:vAlign w:val="center"/>
          </w:tcPr>
          <w:p w14:paraId="5134465D">
            <w:pPr>
              <w:pStyle w:val="27"/>
              <w:rPr>
                <w:rFonts w:ascii="Times New Roman" w:hAnsi="Times New Roman"/>
                <w:highlight w:val="none"/>
              </w:rPr>
            </w:pPr>
            <w:r>
              <w:rPr>
                <w:rFonts w:ascii="Times New Roman" w:hAnsi="Times New Roman"/>
                <w:highlight w:val="none"/>
              </w:rPr>
              <w:t>序号</w:t>
            </w:r>
          </w:p>
        </w:tc>
        <w:tc>
          <w:tcPr>
            <w:tcW w:w="759" w:type="pct"/>
            <w:noWrap w:val="0"/>
            <w:vAlign w:val="center"/>
          </w:tcPr>
          <w:p w14:paraId="7897A632">
            <w:pPr>
              <w:pStyle w:val="27"/>
              <w:rPr>
                <w:rFonts w:ascii="Times New Roman" w:hAnsi="Times New Roman"/>
                <w:highlight w:val="none"/>
              </w:rPr>
            </w:pPr>
            <w:r>
              <w:rPr>
                <w:rFonts w:ascii="Times New Roman" w:hAnsi="Times New Roman"/>
                <w:highlight w:val="none"/>
              </w:rPr>
              <w:t>名称</w:t>
            </w:r>
          </w:p>
        </w:tc>
        <w:tc>
          <w:tcPr>
            <w:tcW w:w="414" w:type="pct"/>
            <w:noWrap w:val="0"/>
            <w:vAlign w:val="center"/>
          </w:tcPr>
          <w:p w14:paraId="4085E630">
            <w:pPr>
              <w:pStyle w:val="27"/>
              <w:rPr>
                <w:rFonts w:ascii="Times New Roman" w:hAnsi="Times New Roman"/>
                <w:highlight w:val="none"/>
              </w:rPr>
            </w:pPr>
            <w:r>
              <w:rPr>
                <w:rFonts w:ascii="Times New Roman" w:hAnsi="Times New Roman"/>
                <w:highlight w:val="none"/>
              </w:rPr>
              <w:t>单位</w:t>
            </w:r>
          </w:p>
        </w:tc>
        <w:tc>
          <w:tcPr>
            <w:tcW w:w="772" w:type="pct"/>
            <w:noWrap w:val="0"/>
            <w:vAlign w:val="center"/>
          </w:tcPr>
          <w:p w14:paraId="7297D603">
            <w:pPr>
              <w:pStyle w:val="27"/>
              <w:rPr>
                <w:rFonts w:ascii="Times New Roman" w:hAnsi="Times New Roman"/>
                <w:highlight w:val="none"/>
              </w:rPr>
            </w:pPr>
            <w:r>
              <w:rPr>
                <w:rFonts w:ascii="Times New Roman" w:hAnsi="Times New Roman"/>
                <w:highlight w:val="none"/>
              </w:rPr>
              <w:t>用量</w:t>
            </w:r>
          </w:p>
        </w:tc>
        <w:tc>
          <w:tcPr>
            <w:tcW w:w="2667" w:type="pct"/>
            <w:noWrap w:val="0"/>
            <w:vAlign w:val="center"/>
          </w:tcPr>
          <w:p w14:paraId="3832F19D">
            <w:pPr>
              <w:pStyle w:val="27"/>
              <w:rPr>
                <w:rFonts w:ascii="Times New Roman" w:hAnsi="Times New Roman"/>
                <w:highlight w:val="none"/>
              </w:rPr>
            </w:pPr>
            <w:r>
              <w:rPr>
                <w:rFonts w:ascii="Times New Roman" w:hAnsi="Times New Roman"/>
                <w:highlight w:val="none"/>
              </w:rPr>
              <w:t>备注</w:t>
            </w:r>
          </w:p>
        </w:tc>
      </w:tr>
      <w:tr w14:paraId="7D93FF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vMerge w:val="restart"/>
            <w:noWrap w:val="0"/>
            <w:vAlign w:val="center"/>
          </w:tcPr>
          <w:p w14:paraId="05F52F54">
            <w:pPr>
              <w:pStyle w:val="27"/>
              <w:rPr>
                <w:rFonts w:hint="eastAsia" w:ascii="Times New Roman" w:hAnsi="Times New Roman" w:eastAsia="新宋体"/>
                <w:highlight w:val="none"/>
                <w:lang w:eastAsia="zh-CN"/>
              </w:rPr>
            </w:pPr>
            <w:r>
              <w:rPr>
                <w:rFonts w:hint="eastAsia" w:ascii="Times New Roman" w:hAnsi="Times New Roman"/>
                <w:highlight w:val="none"/>
                <w:lang w:val="en-US" w:eastAsia="zh-CN"/>
              </w:rPr>
              <w:t>1</w:t>
            </w:r>
          </w:p>
        </w:tc>
        <w:tc>
          <w:tcPr>
            <w:tcW w:w="759" w:type="pct"/>
            <w:vMerge w:val="restart"/>
            <w:noWrap w:val="0"/>
            <w:vAlign w:val="center"/>
          </w:tcPr>
          <w:p w14:paraId="1DC54120">
            <w:pPr>
              <w:pStyle w:val="27"/>
              <w:rPr>
                <w:rFonts w:ascii="Times New Roman" w:hAnsi="Times New Roman"/>
                <w:highlight w:val="none"/>
              </w:rPr>
            </w:pPr>
            <w:r>
              <w:rPr>
                <w:rFonts w:ascii="Times New Roman" w:hAnsi="Times New Roman"/>
                <w:highlight w:val="none"/>
              </w:rPr>
              <w:t>尿素</w:t>
            </w:r>
          </w:p>
        </w:tc>
        <w:tc>
          <w:tcPr>
            <w:tcW w:w="414" w:type="pct"/>
            <w:noWrap w:val="0"/>
            <w:vAlign w:val="center"/>
          </w:tcPr>
          <w:p w14:paraId="2EA90682">
            <w:pPr>
              <w:pStyle w:val="27"/>
              <w:rPr>
                <w:rFonts w:ascii="Times New Roman" w:hAnsi="Times New Roman"/>
                <w:highlight w:val="none"/>
              </w:rPr>
            </w:pPr>
            <w:r>
              <w:rPr>
                <w:rFonts w:ascii="Times New Roman" w:hAnsi="Times New Roman"/>
                <w:highlight w:val="none"/>
              </w:rPr>
              <w:t>t/a</w:t>
            </w:r>
          </w:p>
        </w:tc>
        <w:tc>
          <w:tcPr>
            <w:tcW w:w="772" w:type="pct"/>
            <w:noWrap w:val="0"/>
            <w:vAlign w:val="center"/>
          </w:tcPr>
          <w:p w14:paraId="5F10E95C">
            <w:pPr>
              <w:pStyle w:val="27"/>
              <w:rPr>
                <w:rFonts w:ascii="Times New Roman" w:hAnsi="Times New Roman"/>
                <w:highlight w:val="none"/>
              </w:rPr>
            </w:pPr>
            <w:r>
              <w:rPr>
                <w:rFonts w:hint="eastAsia" w:ascii="Times New Roman" w:hAnsi="Times New Roman"/>
                <w:highlight w:val="none"/>
              </w:rPr>
              <w:t>229.32</w:t>
            </w:r>
          </w:p>
        </w:tc>
        <w:tc>
          <w:tcPr>
            <w:tcW w:w="2667" w:type="pct"/>
            <w:vMerge w:val="restart"/>
            <w:noWrap w:val="0"/>
            <w:vAlign w:val="center"/>
          </w:tcPr>
          <w:p w14:paraId="1613826E">
            <w:pPr>
              <w:pStyle w:val="27"/>
              <w:rPr>
                <w:rFonts w:ascii="Times New Roman" w:hAnsi="Times New Roman"/>
                <w:highlight w:val="none"/>
              </w:rPr>
            </w:pPr>
            <w:r>
              <w:rPr>
                <w:rFonts w:ascii="Times New Roman" w:hAnsi="Times New Roman"/>
                <w:highlight w:val="none"/>
              </w:rPr>
              <w:t>尿素储存间，最大储存量为20t。</w:t>
            </w:r>
          </w:p>
        </w:tc>
      </w:tr>
      <w:tr w14:paraId="75A8CD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vMerge w:val="continue"/>
            <w:noWrap w:val="0"/>
            <w:vAlign w:val="center"/>
          </w:tcPr>
          <w:p w14:paraId="4F257AAF">
            <w:pPr>
              <w:pStyle w:val="27"/>
              <w:rPr>
                <w:rFonts w:ascii="Times New Roman" w:hAnsi="Times New Roman"/>
                <w:highlight w:val="none"/>
              </w:rPr>
            </w:pPr>
          </w:p>
        </w:tc>
        <w:tc>
          <w:tcPr>
            <w:tcW w:w="759" w:type="pct"/>
            <w:vMerge w:val="continue"/>
            <w:noWrap w:val="0"/>
            <w:vAlign w:val="center"/>
          </w:tcPr>
          <w:p w14:paraId="21307514">
            <w:pPr>
              <w:pStyle w:val="27"/>
              <w:rPr>
                <w:rFonts w:ascii="Times New Roman" w:hAnsi="Times New Roman"/>
                <w:highlight w:val="none"/>
              </w:rPr>
            </w:pPr>
          </w:p>
        </w:tc>
        <w:tc>
          <w:tcPr>
            <w:tcW w:w="414" w:type="pct"/>
            <w:noWrap w:val="0"/>
            <w:vAlign w:val="center"/>
          </w:tcPr>
          <w:p w14:paraId="24A51D3F">
            <w:pPr>
              <w:pStyle w:val="27"/>
              <w:rPr>
                <w:rFonts w:ascii="Times New Roman" w:hAnsi="Times New Roman"/>
                <w:highlight w:val="none"/>
              </w:rPr>
            </w:pPr>
            <w:r>
              <w:rPr>
                <w:rFonts w:ascii="Times New Roman" w:hAnsi="Times New Roman"/>
                <w:highlight w:val="none"/>
              </w:rPr>
              <w:t>t/h</w:t>
            </w:r>
          </w:p>
        </w:tc>
        <w:tc>
          <w:tcPr>
            <w:tcW w:w="772" w:type="pct"/>
            <w:noWrap w:val="0"/>
            <w:vAlign w:val="center"/>
          </w:tcPr>
          <w:p w14:paraId="09B31823">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0.0455</w:t>
            </w:r>
          </w:p>
        </w:tc>
        <w:tc>
          <w:tcPr>
            <w:tcW w:w="2667" w:type="pct"/>
            <w:vMerge w:val="continue"/>
            <w:noWrap w:val="0"/>
            <w:vAlign w:val="center"/>
          </w:tcPr>
          <w:p w14:paraId="12AE276B">
            <w:pPr>
              <w:pStyle w:val="27"/>
              <w:rPr>
                <w:rFonts w:ascii="Times New Roman" w:hAnsi="Times New Roman"/>
                <w:highlight w:val="none"/>
              </w:rPr>
            </w:pPr>
          </w:p>
        </w:tc>
      </w:tr>
      <w:tr w14:paraId="22837F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noWrap w:val="0"/>
            <w:vAlign w:val="center"/>
          </w:tcPr>
          <w:p w14:paraId="6C228B4A">
            <w:pPr>
              <w:pStyle w:val="27"/>
              <w:rPr>
                <w:rFonts w:hint="eastAsia" w:ascii="Times New Roman" w:hAnsi="Times New Roman" w:eastAsia="新宋体"/>
                <w:highlight w:val="none"/>
                <w:lang w:eastAsia="zh-CN"/>
              </w:rPr>
            </w:pPr>
            <w:r>
              <w:rPr>
                <w:rFonts w:hint="eastAsia" w:ascii="Times New Roman" w:hAnsi="Times New Roman"/>
                <w:highlight w:val="none"/>
                <w:lang w:val="en-US" w:eastAsia="zh-CN"/>
              </w:rPr>
              <w:t>2</w:t>
            </w:r>
          </w:p>
        </w:tc>
        <w:tc>
          <w:tcPr>
            <w:tcW w:w="759" w:type="pct"/>
            <w:noWrap w:val="0"/>
            <w:vAlign w:val="center"/>
          </w:tcPr>
          <w:p w14:paraId="2F0E596A">
            <w:pPr>
              <w:pStyle w:val="27"/>
              <w:rPr>
                <w:rFonts w:ascii="Times New Roman" w:hAnsi="Times New Roman"/>
                <w:highlight w:val="none"/>
              </w:rPr>
            </w:pPr>
            <w:r>
              <w:rPr>
                <w:rFonts w:ascii="Times New Roman" w:hAnsi="Times New Roman"/>
                <w:highlight w:val="none"/>
              </w:rPr>
              <w:t>水</w:t>
            </w:r>
          </w:p>
        </w:tc>
        <w:tc>
          <w:tcPr>
            <w:tcW w:w="414" w:type="pct"/>
            <w:noWrap w:val="0"/>
            <w:vAlign w:val="center"/>
          </w:tcPr>
          <w:p w14:paraId="45B23539">
            <w:pPr>
              <w:pStyle w:val="27"/>
              <w:rPr>
                <w:rFonts w:hint="eastAsia" w:ascii="Times New Roman" w:hAnsi="Times New Roman" w:eastAsia="新宋体"/>
                <w:highlight w:val="none"/>
                <w:lang w:eastAsia="zh-CN"/>
              </w:rPr>
            </w:pPr>
            <w:r>
              <w:rPr>
                <w:rFonts w:ascii="Times New Roman" w:hAnsi="Times New Roman"/>
                <w:highlight w:val="none"/>
              </w:rPr>
              <w:t>t/</w:t>
            </w:r>
            <w:r>
              <w:rPr>
                <w:rFonts w:hint="eastAsia" w:ascii="Times New Roman" w:hAnsi="Times New Roman"/>
                <w:highlight w:val="none"/>
                <w:lang w:val="en-US" w:eastAsia="zh-CN"/>
              </w:rPr>
              <w:t>a</w:t>
            </w:r>
          </w:p>
        </w:tc>
        <w:tc>
          <w:tcPr>
            <w:tcW w:w="772" w:type="pct"/>
            <w:noWrap w:val="0"/>
            <w:vAlign w:val="center"/>
          </w:tcPr>
          <w:p w14:paraId="25191A15">
            <w:pPr>
              <w:pStyle w:val="27"/>
              <w:rPr>
                <w:rFonts w:hint="default" w:ascii="Times New Roman" w:hAnsi="Times New Roman" w:eastAsia="新宋体"/>
                <w:highlight w:val="none"/>
                <w:lang w:val="en-US" w:eastAsia="zh-CN"/>
              </w:rPr>
            </w:pPr>
            <w:r>
              <w:rPr>
                <w:rFonts w:hint="eastAsia" w:ascii="Times New Roman" w:hAnsi="Times New Roman" w:eastAsia="宋体"/>
                <w:highlight w:val="none"/>
                <w:lang w:val="en-US" w:eastAsia="zh-CN"/>
              </w:rPr>
              <w:t>240228.21</w:t>
            </w:r>
          </w:p>
        </w:tc>
        <w:tc>
          <w:tcPr>
            <w:tcW w:w="2667" w:type="pct"/>
            <w:noWrap w:val="0"/>
            <w:vAlign w:val="center"/>
          </w:tcPr>
          <w:p w14:paraId="21AD2586">
            <w:pPr>
              <w:pStyle w:val="27"/>
              <w:rPr>
                <w:rFonts w:ascii="Times New Roman" w:hAnsi="Times New Roman"/>
                <w:highlight w:val="none"/>
              </w:rPr>
            </w:pPr>
            <w:r>
              <w:rPr>
                <w:rFonts w:ascii="Times New Roman" w:hAnsi="Times New Roman"/>
                <w:highlight w:val="none"/>
              </w:rPr>
              <w:t>本项目生产用水依托市政管网</w:t>
            </w:r>
          </w:p>
        </w:tc>
      </w:tr>
      <w:tr w14:paraId="5F0769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vMerge w:val="restart"/>
            <w:noWrap w:val="0"/>
            <w:vAlign w:val="center"/>
          </w:tcPr>
          <w:p w14:paraId="3FBD7076">
            <w:pPr>
              <w:pStyle w:val="27"/>
              <w:rPr>
                <w:rFonts w:hint="eastAsia" w:ascii="Times New Roman" w:hAnsi="Times New Roman" w:eastAsia="新宋体"/>
                <w:highlight w:val="none"/>
                <w:lang w:eastAsia="zh-CN"/>
              </w:rPr>
            </w:pPr>
            <w:r>
              <w:rPr>
                <w:rFonts w:hint="eastAsia" w:ascii="Times New Roman" w:hAnsi="Times New Roman"/>
                <w:highlight w:val="none"/>
                <w:lang w:val="en-US" w:eastAsia="zh-CN"/>
              </w:rPr>
              <w:t>3</w:t>
            </w:r>
          </w:p>
        </w:tc>
        <w:tc>
          <w:tcPr>
            <w:tcW w:w="759" w:type="pct"/>
            <w:vMerge w:val="restart"/>
            <w:noWrap w:val="0"/>
            <w:vAlign w:val="center"/>
          </w:tcPr>
          <w:p w14:paraId="13A3C519">
            <w:pPr>
              <w:pStyle w:val="27"/>
              <w:rPr>
                <w:rFonts w:hint="default" w:ascii="Times New Roman" w:hAnsi="Times New Roman" w:eastAsia="新宋体"/>
                <w:highlight w:val="none"/>
                <w:lang w:val="en-US" w:eastAsia="zh-CN"/>
              </w:rPr>
            </w:pPr>
            <w:r>
              <w:rPr>
                <w:rFonts w:ascii="Times New Roman" w:hAnsi="Times New Roman"/>
                <w:highlight w:val="none"/>
              </w:rPr>
              <w:t>石灰石</w:t>
            </w:r>
            <w:r>
              <w:rPr>
                <w:rFonts w:hint="eastAsia" w:ascii="Times New Roman" w:hAnsi="Times New Roman"/>
                <w:highlight w:val="none"/>
                <w:lang w:val="en-US" w:eastAsia="zh-CN"/>
              </w:rPr>
              <w:t xml:space="preserve">粉 </w:t>
            </w:r>
          </w:p>
        </w:tc>
        <w:tc>
          <w:tcPr>
            <w:tcW w:w="414" w:type="pct"/>
            <w:noWrap w:val="0"/>
            <w:vAlign w:val="center"/>
          </w:tcPr>
          <w:p w14:paraId="545CC1B6">
            <w:pPr>
              <w:pStyle w:val="27"/>
              <w:rPr>
                <w:rFonts w:ascii="Times New Roman" w:hAnsi="Times New Roman"/>
                <w:highlight w:val="none"/>
              </w:rPr>
            </w:pPr>
            <w:r>
              <w:rPr>
                <w:rFonts w:ascii="Times New Roman" w:hAnsi="Times New Roman"/>
                <w:highlight w:val="none"/>
              </w:rPr>
              <w:t>t/a</w:t>
            </w:r>
          </w:p>
        </w:tc>
        <w:tc>
          <w:tcPr>
            <w:tcW w:w="772" w:type="pct"/>
            <w:noWrap w:val="0"/>
            <w:vAlign w:val="center"/>
          </w:tcPr>
          <w:p w14:paraId="26EFF82A">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750</w:t>
            </w:r>
          </w:p>
        </w:tc>
        <w:tc>
          <w:tcPr>
            <w:tcW w:w="2667" w:type="pct"/>
            <w:vMerge w:val="restart"/>
            <w:noWrap w:val="0"/>
            <w:vAlign w:val="center"/>
          </w:tcPr>
          <w:p w14:paraId="4128BBFD">
            <w:pPr>
              <w:pStyle w:val="27"/>
              <w:rPr>
                <w:rFonts w:ascii="Times New Roman" w:hAnsi="Times New Roman"/>
                <w:highlight w:val="none"/>
              </w:rPr>
            </w:pPr>
            <w:r>
              <w:rPr>
                <w:rFonts w:ascii="Times New Roman" w:hAnsi="Times New Roman"/>
                <w:highlight w:val="none"/>
              </w:rPr>
              <w:t>脱硫所用石灰石储存在脱硫设备间内，单独的隔断空间</w:t>
            </w:r>
            <w:r>
              <w:rPr>
                <w:rFonts w:hint="eastAsia" w:ascii="Times New Roman" w:hAnsi="Times New Roman"/>
                <w:highlight w:val="none"/>
              </w:rPr>
              <w:t>；主要成分为碳酸钙（含量在85%以上）。</w:t>
            </w:r>
          </w:p>
        </w:tc>
      </w:tr>
      <w:tr w14:paraId="2BCE95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86" w:type="pct"/>
            <w:vMerge w:val="continue"/>
            <w:noWrap w:val="0"/>
            <w:vAlign w:val="center"/>
          </w:tcPr>
          <w:p w14:paraId="2D4ED67D">
            <w:pPr>
              <w:pStyle w:val="27"/>
              <w:rPr>
                <w:rFonts w:ascii="Times New Roman" w:hAnsi="Times New Roman"/>
                <w:highlight w:val="none"/>
              </w:rPr>
            </w:pPr>
          </w:p>
        </w:tc>
        <w:tc>
          <w:tcPr>
            <w:tcW w:w="759" w:type="pct"/>
            <w:vMerge w:val="continue"/>
            <w:noWrap w:val="0"/>
            <w:vAlign w:val="center"/>
          </w:tcPr>
          <w:p w14:paraId="51BF2862">
            <w:pPr>
              <w:pStyle w:val="27"/>
              <w:rPr>
                <w:rFonts w:ascii="Times New Roman" w:hAnsi="Times New Roman"/>
                <w:highlight w:val="none"/>
              </w:rPr>
            </w:pPr>
          </w:p>
        </w:tc>
        <w:tc>
          <w:tcPr>
            <w:tcW w:w="414" w:type="pct"/>
            <w:noWrap w:val="0"/>
            <w:vAlign w:val="center"/>
          </w:tcPr>
          <w:p w14:paraId="176AFF3D">
            <w:pPr>
              <w:pStyle w:val="27"/>
              <w:rPr>
                <w:rFonts w:ascii="Times New Roman" w:hAnsi="Times New Roman"/>
                <w:highlight w:val="none"/>
              </w:rPr>
            </w:pPr>
            <w:r>
              <w:rPr>
                <w:rFonts w:ascii="Times New Roman" w:hAnsi="Times New Roman"/>
                <w:highlight w:val="none"/>
              </w:rPr>
              <w:t>t/h</w:t>
            </w:r>
          </w:p>
        </w:tc>
        <w:tc>
          <w:tcPr>
            <w:tcW w:w="772" w:type="pct"/>
            <w:noWrap w:val="0"/>
            <w:vAlign w:val="center"/>
          </w:tcPr>
          <w:p w14:paraId="299D1506">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0.149</w:t>
            </w:r>
          </w:p>
        </w:tc>
        <w:tc>
          <w:tcPr>
            <w:tcW w:w="2667" w:type="pct"/>
            <w:vMerge w:val="continue"/>
            <w:noWrap w:val="0"/>
            <w:vAlign w:val="center"/>
          </w:tcPr>
          <w:p w14:paraId="49E22DB0">
            <w:pPr>
              <w:pStyle w:val="27"/>
              <w:rPr>
                <w:rFonts w:ascii="Times New Roman" w:hAnsi="Times New Roman"/>
                <w:highlight w:val="none"/>
              </w:rPr>
            </w:pPr>
          </w:p>
        </w:tc>
      </w:tr>
    </w:tbl>
    <w:p w14:paraId="6F2FB48D">
      <w:pPr>
        <w:pStyle w:val="5"/>
        <w:bidi w:val="0"/>
        <w:ind w:left="0" w:leftChars="0" w:firstLine="0" w:firstLineChars="0"/>
        <w:rPr>
          <w:rFonts w:hint="eastAsia"/>
          <w:highlight w:val="none"/>
          <w:lang w:val="en-US" w:eastAsia="zh-CN"/>
        </w:rPr>
      </w:pPr>
      <w:bookmarkStart w:id="63" w:name="_Toc16981"/>
      <w:r>
        <w:rPr>
          <w:rFonts w:hint="eastAsia"/>
          <w:highlight w:val="none"/>
          <w:lang w:val="en-US" w:eastAsia="zh-CN"/>
        </w:rPr>
        <w:t>3.1.8公用工程</w:t>
      </w:r>
      <w:bookmarkEnd w:id="63"/>
    </w:p>
    <w:p w14:paraId="741E9CFD">
      <w:pPr>
        <w:ind w:firstLine="480"/>
        <w:rPr>
          <w:rFonts w:ascii="Times New Roman" w:hAnsi="Times New Roman"/>
          <w:highlight w:val="none"/>
        </w:rPr>
      </w:pPr>
      <w:r>
        <w:rPr>
          <w:rFonts w:ascii="Times New Roman" w:hAnsi="Times New Roman"/>
          <w:highlight w:val="none"/>
        </w:rPr>
        <w:t>（1）供水</w:t>
      </w:r>
    </w:p>
    <w:p w14:paraId="51449F2D">
      <w:pPr>
        <w:ind w:firstLine="480"/>
        <w:rPr>
          <w:rFonts w:ascii="Times New Roman" w:hAnsi="Times New Roman"/>
          <w:highlight w:val="none"/>
        </w:rPr>
      </w:pPr>
      <w:r>
        <w:rPr>
          <w:rFonts w:ascii="Times New Roman" w:hAnsi="Times New Roman"/>
          <w:highlight w:val="none"/>
        </w:rPr>
        <w:t>1）水源</w:t>
      </w:r>
    </w:p>
    <w:p w14:paraId="3608A448">
      <w:pPr>
        <w:ind w:firstLine="480"/>
        <w:rPr>
          <w:rFonts w:ascii="Times New Roman" w:hAnsi="Times New Roman"/>
          <w:highlight w:val="none"/>
        </w:rPr>
      </w:pPr>
      <w:r>
        <w:rPr>
          <w:rFonts w:ascii="Times New Roman" w:hAnsi="Times New Roman"/>
          <w:highlight w:val="none"/>
        </w:rPr>
        <w:t>生活及生产用水依托市政管网。</w:t>
      </w:r>
    </w:p>
    <w:p w14:paraId="2BD10A56">
      <w:pPr>
        <w:ind w:firstLine="480"/>
        <w:rPr>
          <w:rFonts w:ascii="Times New Roman" w:hAnsi="Times New Roman"/>
          <w:highlight w:val="none"/>
        </w:rPr>
      </w:pPr>
      <w:r>
        <w:rPr>
          <w:rFonts w:ascii="Times New Roman" w:hAnsi="Times New Roman"/>
          <w:highlight w:val="none"/>
        </w:rPr>
        <w:t>2）给水</w:t>
      </w:r>
    </w:p>
    <w:p w14:paraId="66E1D6F4">
      <w:pPr>
        <w:ind w:firstLine="480"/>
        <w:rPr>
          <w:rFonts w:ascii="Times New Roman" w:hAnsi="Times New Roman"/>
          <w:highlight w:val="none"/>
        </w:rPr>
      </w:pPr>
      <w:r>
        <w:rPr>
          <w:rFonts w:ascii="Times New Roman" w:hAnsi="Times New Roman"/>
          <w:highlight w:val="none"/>
        </w:rPr>
        <w:t>供水系统包括：热网补充水、</w:t>
      </w:r>
      <w:r>
        <w:rPr>
          <w:rFonts w:hint="eastAsia" w:ascii="Times New Roman" w:hAnsi="Times New Roman"/>
          <w:highlight w:val="none"/>
        </w:rPr>
        <w:t>锅炉补水、</w:t>
      </w:r>
      <w:r>
        <w:rPr>
          <w:rFonts w:ascii="Times New Roman" w:hAnsi="Times New Roman"/>
          <w:highlight w:val="none"/>
        </w:rPr>
        <w:t>工业用水、生活用水、消防用水等部分组成。</w:t>
      </w:r>
    </w:p>
    <w:p w14:paraId="40B2BA77">
      <w:pPr>
        <w:ind w:firstLine="480"/>
        <w:rPr>
          <w:rFonts w:ascii="Times New Roman" w:hAnsi="Times New Roman"/>
          <w:highlight w:val="none"/>
        </w:rPr>
      </w:pPr>
      <w:r>
        <w:rPr>
          <w:rFonts w:hint="eastAsia" w:ascii="宋体" w:hAnsi="宋体" w:cs="宋体"/>
          <w:highlight w:val="none"/>
        </w:rPr>
        <w:t>①</w:t>
      </w:r>
      <w:r>
        <w:rPr>
          <w:rFonts w:ascii="Times New Roman" w:hAnsi="Times New Roman"/>
          <w:highlight w:val="none"/>
        </w:rPr>
        <w:t>热网补充水量(Q1)：</w:t>
      </w:r>
    </w:p>
    <w:p w14:paraId="5DE38D56">
      <w:pPr>
        <w:ind w:firstLine="480"/>
        <w:rPr>
          <w:rFonts w:hint="default" w:ascii="Times New Roman" w:hAnsi="Times New Roman" w:eastAsia="宋体"/>
          <w:highlight w:val="none"/>
          <w:lang w:val="en-US" w:eastAsia="zh-CN"/>
        </w:rPr>
      </w:pPr>
      <w:r>
        <w:rPr>
          <w:rFonts w:ascii="Times New Roman" w:hAnsi="Times New Roman"/>
          <w:highlight w:val="none"/>
        </w:rPr>
        <w:t>根据《锅炉房设计标准》GB50041-2020中“热水系统正常补水给水量宜为系统循环水量的1%”之规定，</w:t>
      </w:r>
      <w:r>
        <w:rPr>
          <w:rFonts w:hint="eastAsia" w:ascii="Times New Roman" w:hAnsi="Times New Roman"/>
          <w:highlight w:val="none"/>
          <w:lang w:val="en-US" w:eastAsia="zh-CN"/>
        </w:rPr>
        <w:t>本项目热网循环水量为3500t</w:t>
      </w:r>
      <w:r>
        <w:rPr>
          <w:rFonts w:ascii="Times New Roman" w:hAnsi="Times New Roman"/>
          <w:highlight w:val="none"/>
        </w:rPr>
        <w:t>/h</w:t>
      </w:r>
      <w:r>
        <w:rPr>
          <w:rFonts w:hint="eastAsia" w:ascii="Times New Roman" w:hAnsi="Times New Roman"/>
          <w:highlight w:val="none"/>
          <w:lang w:eastAsia="zh-CN"/>
        </w:rPr>
        <w:t>，</w:t>
      </w:r>
      <w:r>
        <w:rPr>
          <w:rFonts w:ascii="Times New Roman" w:hAnsi="Times New Roman"/>
          <w:highlight w:val="none"/>
        </w:rPr>
        <w:t>热网补充水为</w:t>
      </w:r>
      <w:r>
        <w:rPr>
          <w:rFonts w:hint="eastAsia" w:ascii="Times New Roman" w:hAnsi="Times New Roman"/>
          <w:highlight w:val="none"/>
          <w:lang w:val="en-US" w:eastAsia="zh-CN"/>
        </w:rPr>
        <w:t>35</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/h</w:t>
      </w:r>
      <w:r>
        <w:rPr>
          <w:rFonts w:hint="eastAsia" w:ascii="Times New Roman" w:hAnsi="Times New Roman"/>
          <w:highlight w:val="none"/>
          <w:lang w:eastAsia="zh-CN"/>
        </w:rPr>
        <w:t>，</w:t>
      </w:r>
      <w:r>
        <w:rPr>
          <w:rFonts w:hint="eastAsia" w:ascii="Times New Roman" w:hAnsi="Times New Roman"/>
          <w:highlight w:val="none"/>
          <w:lang w:val="en-US" w:eastAsia="zh-CN"/>
        </w:rPr>
        <w:t>840t/d，176400t/a。</w:t>
      </w:r>
    </w:p>
    <w:p w14:paraId="1DC5D72B">
      <w:pPr>
        <w:ind w:firstLine="48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项目设有1套软水制备系统，制软水工艺为钠离子交换法+反渗透制备软化水，当含有硬度离子的自来水通过交换器树脂层时，水中的钙、镁离子与树脂内的钠离子发生置换，树脂吸附了钙、镁离子而钠离子进入水中，从交换器内流出进入反渗透膜，最后流出的水就是去掉了硬度离子的软化水。</w:t>
      </w:r>
    </w:p>
    <w:p w14:paraId="31C40E4E">
      <w:pPr>
        <w:ind w:firstLine="480"/>
        <w:rPr>
          <w:rFonts w:hint="eastAsia"/>
          <w:color w:val="auto"/>
          <w:sz w:val="24"/>
          <w:szCs w:val="24"/>
          <w:highlight w:val="none"/>
          <w:lang w:eastAsia="zh-CN"/>
        </w:rPr>
      </w:pPr>
      <w:r>
        <w:rPr>
          <w:rFonts w:hint="eastAsia"/>
          <w:color w:val="000000" w:themeColor="text1"/>
          <w:sz w:val="24"/>
          <w:szCs w:val="24"/>
          <w:highlight w:val="none"/>
          <w:lang w:eastAsia="zh-CN"/>
          <w14:textFill>
            <w14:solidFill>
              <w14:schemeClr w14:val="tx1"/>
            </w14:solidFill>
          </w14:textFill>
        </w:rPr>
        <w:t>根据《排放源统计调查产排污核算方法和系数手册》中“4430工业锅炉（热力生产和供应）行业系数手册”中产污系数，燃</w:t>
      </w:r>
      <w:r>
        <w:rPr>
          <w:rFonts w:hint="eastAsia"/>
          <w:color w:val="000000" w:themeColor="text1"/>
          <w:sz w:val="24"/>
          <w:szCs w:val="24"/>
          <w:highlight w:val="none"/>
          <w:lang w:val="en-US" w:eastAsia="zh-CN"/>
          <w14:textFill>
            <w14:solidFill>
              <w14:schemeClr w14:val="tx1"/>
            </w14:solidFill>
          </w14:textFill>
        </w:rPr>
        <w:t>煤</w:t>
      </w:r>
      <w:r>
        <w:rPr>
          <w:rFonts w:hint="eastAsia"/>
          <w:color w:val="000000" w:themeColor="text1"/>
          <w:sz w:val="24"/>
          <w:szCs w:val="24"/>
          <w:highlight w:val="none"/>
          <w:lang w:eastAsia="zh-CN"/>
          <w14:textFill>
            <w14:solidFill>
              <w14:schemeClr w14:val="tx1"/>
            </w14:solidFill>
          </w14:textFill>
        </w:rPr>
        <w:t>锅炉（锅外水处理）废水产生系数为</w:t>
      </w:r>
      <w:r>
        <w:rPr>
          <w:rFonts w:hint="eastAsia"/>
          <w:color w:val="000000" w:themeColor="text1"/>
          <w:sz w:val="24"/>
          <w:szCs w:val="24"/>
          <w:highlight w:val="none"/>
          <w:lang w:val="en-US" w:eastAsia="zh-CN"/>
          <w14:textFill>
            <w14:solidFill>
              <w14:schemeClr w14:val="tx1"/>
            </w14:solidFill>
          </w14:textFill>
        </w:rPr>
        <w:t>0.605</w:t>
      </w:r>
      <w:r>
        <w:rPr>
          <w:rFonts w:hint="eastAsia"/>
          <w:color w:val="000000" w:themeColor="text1"/>
          <w:sz w:val="24"/>
          <w:szCs w:val="24"/>
          <w:highlight w:val="none"/>
          <w:lang w:eastAsia="zh-CN"/>
          <w14:textFill>
            <w14:solidFill>
              <w14:schemeClr w14:val="tx1"/>
            </w14:solidFill>
          </w14:textFill>
        </w:rPr>
        <w:t>吨/吨-</w:t>
      </w:r>
      <w:r>
        <w:rPr>
          <w:rFonts w:hint="eastAsia"/>
          <w:color w:val="auto"/>
          <w:sz w:val="24"/>
          <w:szCs w:val="24"/>
          <w:highlight w:val="none"/>
          <w:lang w:eastAsia="zh-CN"/>
        </w:rPr>
        <w:t>原料，本项目</w:t>
      </w:r>
      <w:r>
        <w:rPr>
          <w:rFonts w:hint="eastAsia"/>
          <w:color w:val="auto"/>
          <w:sz w:val="24"/>
          <w:szCs w:val="24"/>
          <w:highlight w:val="none"/>
          <w:lang w:val="en-US" w:eastAsia="zh-CN"/>
        </w:rPr>
        <w:t>煤</w:t>
      </w:r>
      <w:r>
        <w:rPr>
          <w:rFonts w:hint="eastAsia"/>
          <w:color w:val="auto"/>
          <w:sz w:val="24"/>
          <w:szCs w:val="24"/>
          <w:highlight w:val="none"/>
          <w:lang w:eastAsia="zh-CN"/>
        </w:rPr>
        <w:t>使用量为</w:t>
      </w:r>
      <w:r>
        <w:rPr>
          <w:rFonts w:hint="eastAsia"/>
          <w:color w:val="auto"/>
          <w:sz w:val="24"/>
          <w:szCs w:val="24"/>
          <w:highlight w:val="none"/>
          <w:lang w:val="en-US" w:eastAsia="zh-CN"/>
        </w:rPr>
        <w:t>81047.7024</w:t>
      </w:r>
      <w:r>
        <w:rPr>
          <w:rFonts w:hint="eastAsia"/>
          <w:color w:val="auto"/>
          <w:sz w:val="24"/>
          <w:szCs w:val="24"/>
          <w:highlight w:val="none"/>
          <w:lang w:eastAsia="zh-CN"/>
        </w:rPr>
        <w:t>t/a，则锅炉排污水和软化处理废水产生量为</w:t>
      </w:r>
      <w:r>
        <w:rPr>
          <w:rFonts w:hint="eastAsia"/>
          <w:color w:val="auto"/>
          <w:sz w:val="24"/>
          <w:szCs w:val="24"/>
          <w:highlight w:val="none"/>
          <w:lang w:val="en-US" w:eastAsia="zh-CN"/>
        </w:rPr>
        <w:t>412.731</w:t>
      </w:r>
      <w:r>
        <w:rPr>
          <w:rFonts w:hint="eastAsia"/>
          <w:color w:val="auto"/>
          <w:sz w:val="24"/>
          <w:szCs w:val="24"/>
          <w:highlight w:val="none"/>
          <w:lang w:eastAsia="zh-CN"/>
        </w:rPr>
        <w:t>t/d（</w:t>
      </w:r>
      <w:r>
        <w:rPr>
          <w:rFonts w:hint="eastAsia"/>
          <w:color w:val="auto"/>
          <w:sz w:val="24"/>
          <w:szCs w:val="24"/>
          <w:highlight w:val="none"/>
          <w:lang w:val="en-US" w:eastAsia="zh-CN"/>
        </w:rPr>
        <w:t>使用116MW锅炉</w:t>
      </w:r>
      <w:r>
        <w:rPr>
          <w:rFonts w:hint="eastAsia"/>
          <w:color w:val="auto"/>
          <w:sz w:val="24"/>
          <w:szCs w:val="24"/>
          <w:highlight w:val="none"/>
          <w:lang w:eastAsia="zh-CN"/>
        </w:rPr>
        <w:t>）、</w:t>
      </w:r>
      <w:r>
        <w:rPr>
          <w:rFonts w:hint="eastAsia"/>
          <w:color w:val="auto"/>
          <w:sz w:val="24"/>
          <w:szCs w:val="24"/>
          <w:highlight w:val="none"/>
          <w:lang w:val="en-US" w:eastAsia="zh-CN"/>
        </w:rPr>
        <w:t>179.296t/d（使用58MW+35t/h锅炉）、465.877t/d（使用116MW+35t/h锅炉）、126.15t/d（使用58MW锅炉）</w:t>
      </w:r>
      <w:r>
        <w:rPr>
          <w:rFonts w:hint="eastAsia"/>
          <w:color w:val="auto"/>
          <w:sz w:val="24"/>
          <w:szCs w:val="24"/>
          <w:highlight w:val="none"/>
          <w:lang w:eastAsia="zh-CN"/>
        </w:rPr>
        <w:t>，</w:t>
      </w:r>
      <w:r>
        <w:rPr>
          <w:rFonts w:hint="eastAsia"/>
          <w:color w:val="auto"/>
          <w:sz w:val="24"/>
          <w:szCs w:val="24"/>
          <w:highlight w:val="none"/>
          <w:lang w:val="en-US" w:eastAsia="zh-CN"/>
        </w:rPr>
        <w:t>49033.86</w:t>
      </w:r>
      <w:r>
        <w:rPr>
          <w:rFonts w:hint="eastAsia"/>
          <w:color w:val="auto"/>
          <w:sz w:val="24"/>
          <w:szCs w:val="24"/>
          <w:highlight w:val="none"/>
          <w:lang w:eastAsia="zh-CN"/>
        </w:rPr>
        <w:t>t/a，排放量按用水量90%计，则锅炉用水量为</w:t>
      </w:r>
      <w:r>
        <w:rPr>
          <w:rFonts w:hint="eastAsia"/>
          <w:color w:val="auto"/>
          <w:sz w:val="24"/>
          <w:szCs w:val="24"/>
          <w:highlight w:val="none"/>
          <w:lang w:val="en-US" w:eastAsia="zh-CN"/>
        </w:rPr>
        <w:t>458.59</w:t>
      </w:r>
      <w:r>
        <w:rPr>
          <w:rFonts w:hint="eastAsia"/>
          <w:color w:val="auto"/>
          <w:sz w:val="24"/>
          <w:szCs w:val="24"/>
          <w:highlight w:val="none"/>
          <w:lang w:eastAsia="zh-CN"/>
        </w:rPr>
        <w:t>t/d（</w:t>
      </w:r>
      <w:r>
        <w:rPr>
          <w:rFonts w:hint="eastAsia"/>
          <w:color w:val="auto"/>
          <w:sz w:val="24"/>
          <w:szCs w:val="24"/>
          <w:highlight w:val="none"/>
          <w:lang w:val="en-US" w:eastAsia="zh-CN"/>
        </w:rPr>
        <w:t>使用116MW锅炉</w:t>
      </w:r>
      <w:r>
        <w:rPr>
          <w:rFonts w:hint="eastAsia"/>
          <w:color w:val="auto"/>
          <w:sz w:val="24"/>
          <w:szCs w:val="24"/>
          <w:highlight w:val="none"/>
          <w:lang w:eastAsia="zh-CN"/>
        </w:rPr>
        <w:t>）、</w:t>
      </w:r>
      <w:r>
        <w:rPr>
          <w:rFonts w:hint="eastAsia"/>
          <w:color w:val="auto"/>
          <w:sz w:val="24"/>
          <w:szCs w:val="24"/>
          <w:highlight w:val="none"/>
          <w:lang w:val="en-US" w:eastAsia="zh-CN"/>
        </w:rPr>
        <w:t>199.218t/d（使用58MW+35t/h锅炉）、517.641t/d（使用116MW+35t/h锅炉）、140.167t/d（使用58MW锅炉）</w:t>
      </w:r>
      <w:r>
        <w:rPr>
          <w:rFonts w:hint="eastAsia"/>
          <w:color w:val="auto"/>
          <w:sz w:val="24"/>
          <w:szCs w:val="24"/>
          <w:highlight w:val="none"/>
          <w:lang w:eastAsia="zh-CN"/>
        </w:rPr>
        <w:t>，</w:t>
      </w:r>
      <w:r>
        <w:rPr>
          <w:rFonts w:hint="eastAsia"/>
          <w:color w:val="auto"/>
          <w:sz w:val="24"/>
          <w:szCs w:val="24"/>
          <w:highlight w:val="none"/>
          <w:lang w:val="en-US" w:eastAsia="zh-CN"/>
        </w:rPr>
        <w:t>54482.07</w:t>
      </w:r>
      <w:r>
        <w:rPr>
          <w:rFonts w:hint="eastAsia"/>
          <w:color w:val="auto"/>
          <w:sz w:val="24"/>
          <w:szCs w:val="24"/>
          <w:highlight w:val="none"/>
          <w:lang w:eastAsia="zh-CN"/>
        </w:rPr>
        <w:t>t/a。</w:t>
      </w:r>
    </w:p>
    <w:p w14:paraId="4FA6A892">
      <w:pPr>
        <w:pStyle w:val="23"/>
        <w:rPr>
          <w:highlight w:val="none"/>
        </w:rPr>
      </w:pPr>
      <w:r>
        <w:rPr>
          <w:rFonts w:hint="eastAsia" w:ascii="Times New Roman" w:hAnsi="Times New Roman"/>
          <w:color w:val="auto"/>
          <w:highlight w:val="none"/>
          <w:lang w:eastAsia="zh-CN"/>
        </w:rPr>
        <w:t>根据上述计算，本项目需提供软化水量为</w:t>
      </w:r>
      <w:r>
        <w:rPr>
          <w:rFonts w:hint="eastAsia" w:ascii="Times New Roman" w:hAnsi="Times New Roman"/>
          <w:color w:val="auto"/>
          <w:highlight w:val="none"/>
          <w:lang w:val="en-US" w:eastAsia="zh-CN"/>
        </w:rPr>
        <w:t>1290.59</w:t>
      </w:r>
      <w:r>
        <w:rPr>
          <w:rFonts w:hint="eastAsia" w:ascii="Times New Roman" w:hAnsi="Times New Roman"/>
          <w:color w:val="auto"/>
          <w:highlight w:val="none"/>
          <w:lang w:eastAsia="zh-CN"/>
        </w:rPr>
        <w:t>t/d（</w:t>
      </w:r>
      <w:r>
        <w:rPr>
          <w:rFonts w:hint="eastAsia" w:ascii="Times New Roman" w:hAnsi="Times New Roman"/>
          <w:color w:val="auto"/>
          <w:highlight w:val="none"/>
          <w:lang w:val="en-US" w:eastAsia="zh-CN"/>
        </w:rPr>
        <w:t>使用116MW锅炉</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1039.218t/d（使用58MW+35t/h锅炉）、1357.641t/d（使用116MW+35t/h锅炉）、980.167t/d（使用58MW锅炉）</w:t>
      </w:r>
      <w:r>
        <w:rPr>
          <w:rFonts w:hint="eastAsia" w:ascii="Times New Roman" w:hAnsi="Times New Roman"/>
          <w:color w:val="auto"/>
          <w:highlight w:val="none"/>
          <w:lang w:eastAsia="zh-CN"/>
        </w:rPr>
        <w:t>，</w:t>
      </w:r>
      <w:r>
        <w:rPr>
          <w:rFonts w:hint="eastAsia" w:ascii="Times New Roman" w:hAnsi="Times New Roman"/>
          <w:color w:val="auto"/>
          <w:highlight w:val="none"/>
          <w:lang w:val="en-US" w:eastAsia="zh-CN"/>
        </w:rPr>
        <w:t>230882.07</w:t>
      </w:r>
      <w:r>
        <w:rPr>
          <w:rFonts w:hint="eastAsia" w:ascii="Times New Roman" w:hAnsi="Times New Roman"/>
          <w:color w:val="auto"/>
          <w:highlight w:val="none"/>
          <w:lang w:eastAsia="zh-CN"/>
        </w:rPr>
        <w:t>t/a（</w:t>
      </w:r>
      <w:r>
        <w:rPr>
          <w:rFonts w:hint="eastAsia" w:ascii="Times New Roman" w:hAnsi="Times New Roman"/>
          <w:color w:val="auto"/>
          <w:highlight w:val="none"/>
          <w:lang w:val="en-US" w:eastAsia="zh-CN"/>
        </w:rPr>
        <w:t>需新鲜水237288.21t/a</w:t>
      </w:r>
      <w:r>
        <w:rPr>
          <w:rFonts w:hint="eastAsia" w:ascii="Times New Roman" w:hAnsi="Times New Roman"/>
          <w:color w:val="auto"/>
          <w:highlight w:val="none"/>
          <w:lang w:eastAsia="zh-CN"/>
        </w:rPr>
        <w:t>）。</w:t>
      </w:r>
    </w:p>
    <w:p w14:paraId="6EDCCEF1">
      <w:pPr>
        <w:ind w:firstLine="480"/>
        <w:rPr>
          <w:rFonts w:ascii="Times New Roman" w:hAnsi="Times New Roman"/>
          <w:highlight w:val="none"/>
        </w:rPr>
      </w:pPr>
      <w:r>
        <w:rPr>
          <w:rFonts w:hint="eastAsia" w:ascii="宋体" w:hAnsi="宋体" w:cs="宋体"/>
          <w:highlight w:val="none"/>
        </w:rPr>
        <w:t>②</w:t>
      </w:r>
      <w:r>
        <w:rPr>
          <w:rFonts w:ascii="Times New Roman" w:hAnsi="Times New Roman"/>
          <w:highlight w:val="none"/>
        </w:rPr>
        <w:t>工业冷却用水量(Q2)：</w:t>
      </w:r>
    </w:p>
    <w:p w14:paraId="4BAA72E3">
      <w:pPr>
        <w:ind w:firstLine="480"/>
        <w:rPr>
          <w:rFonts w:ascii="Times New Roman" w:hAnsi="Times New Roman"/>
          <w:highlight w:val="none"/>
        </w:rPr>
      </w:pPr>
      <w:r>
        <w:rPr>
          <w:rFonts w:ascii="Times New Roman" w:hAnsi="Times New Roman"/>
          <w:highlight w:val="none"/>
        </w:rPr>
        <w:t>工艺流程为：蓄水池→工业冷却水泵→冷却水供水管道→冷却设备→冷却水回水管道→蓄水池。</w:t>
      </w:r>
    </w:p>
    <w:p w14:paraId="0F5BC602">
      <w:pPr>
        <w:ind w:firstLine="480"/>
        <w:rPr>
          <w:rFonts w:ascii="Times New Roman" w:hAnsi="Times New Roman"/>
          <w:highlight w:val="none"/>
        </w:rPr>
      </w:pPr>
      <w:r>
        <w:rPr>
          <w:rFonts w:ascii="Times New Roman" w:hAnsi="Times New Roman"/>
          <w:highlight w:val="none"/>
        </w:rPr>
        <w:t>根据</w:t>
      </w:r>
      <w:r>
        <w:rPr>
          <w:rFonts w:hint="eastAsia" w:ascii="Times New Roman" w:hAnsi="Times New Roman"/>
          <w:highlight w:val="none"/>
          <w:lang w:val="en-US" w:eastAsia="zh-CN"/>
        </w:rPr>
        <w:t>企业</w:t>
      </w:r>
      <w:r>
        <w:rPr>
          <w:rFonts w:ascii="Times New Roman" w:hAnsi="Times New Roman"/>
          <w:highlight w:val="none"/>
        </w:rPr>
        <w:t>提供，工业冷却</w:t>
      </w:r>
      <w:r>
        <w:rPr>
          <w:rFonts w:hint="eastAsia" w:ascii="Times New Roman" w:hAnsi="Times New Roman"/>
          <w:highlight w:val="none"/>
        </w:rPr>
        <w:t>循环</w:t>
      </w:r>
      <w:r>
        <w:rPr>
          <w:rFonts w:ascii="Times New Roman" w:hAnsi="Times New Roman"/>
          <w:highlight w:val="none"/>
        </w:rPr>
        <w:t>水量为30m</w:t>
      </w:r>
      <w:r>
        <w:rPr>
          <w:rFonts w:ascii="Times New Roman" w:hAnsi="Times New Roman"/>
          <w:highlight w:val="none"/>
          <w:vertAlign w:val="superscript"/>
        </w:rPr>
        <w:t>3</w:t>
      </w:r>
      <w:r>
        <w:rPr>
          <w:rFonts w:ascii="Times New Roman" w:hAnsi="Times New Roman"/>
          <w:highlight w:val="none"/>
        </w:rPr>
        <w:t>/h</w:t>
      </w:r>
      <w:r>
        <w:rPr>
          <w:rFonts w:hint="eastAsia" w:ascii="Times New Roman" w:hAnsi="Times New Roman"/>
          <w:highlight w:val="none"/>
        </w:rPr>
        <w:t>，采用闭式循环，补水量极少可忽略不计</w:t>
      </w:r>
      <w:r>
        <w:rPr>
          <w:rFonts w:ascii="Times New Roman" w:hAnsi="Times New Roman"/>
          <w:highlight w:val="none"/>
        </w:rPr>
        <w:t>。</w:t>
      </w:r>
    </w:p>
    <w:p w14:paraId="2A45618F">
      <w:pPr>
        <w:ind w:firstLine="480"/>
        <w:rPr>
          <w:rFonts w:ascii="Times New Roman" w:hAnsi="Times New Roman"/>
          <w:highlight w:val="none"/>
        </w:rPr>
      </w:pPr>
      <w:r>
        <w:rPr>
          <w:rFonts w:hint="eastAsia" w:ascii="宋体" w:hAnsi="宋体" w:cs="宋体"/>
          <w:highlight w:val="none"/>
        </w:rPr>
        <w:t>③</w:t>
      </w:r>
      <w:r>
        <w:rPr>
          <w:rFonts w:ascii="Times New Roman" w:hAnsi="Times New Roman"/>
          <w:highlight w:val="none"/>
        </w:rPr>
        <w:t>冷渣器冷却水系统（Q3）：</w:t>
      </w:r>
    </w:p>
    <w:p w14:paraId="1320886E">
      <w:pPr>
        <w:ind w:firstLine="480"/>
        <w:rPr>
          <w:rFonts w:ascii="Times New Roman" w:hAnsi="Times New Roman"/>
          <w:highlight w:val="none"/>
        </w:rPr>
      </w:pPr>
      <w:r>
        <w:rPr>
          <w:rFonts w:ascii="Times New Roman" w:hAnsi="Times New Roman"/>
          <w:highlight w:val="none"/>
        </w:rPr>
        <w:t>冷渣器冷却水系统采用闭式循环冷却水系统，</w:t>
      </w:r>
      <w:r>
        <w:rPr>
          <w:rFonts w:hint="eastAsia" w:ascii="Times New Roman" w:hAnsi="Times New Roman"/>
          <w:highlight w:val="none"/>
        </w:rPr>
        <w:t>补水量</w:t>
      </w:r>
      <w:r>
        <w:rPr>
          <w:rFonts w:hint="eastAsia" w:ascii="Times New Roman" w:hAnsi="Times New Roman"/>
          <w:highlight w:val="none"/>
          <w:lang w:val="en-US" w:eastAsia="zh-CN"/>
        </w:rPr>
        <w:t>6</w:t>
      </w:r>
      <w:r>
        <w:rPr>
          <w:rFonts w:hint="eastAsia" w:ascii="Times New Roman" w:hAnsi="Times New Roman"/>
          <w:highlight w:val="none"/>
        </w:rPr>
        <w:t>m</w:t>
      </w:r>
      <w:r>
        <w:rPr>
          <w:rFonts w:hint="eastAsia" w:ascii="Times New Roman" w:hAnsi="Times New Roman"/>
          <w:highlight w:val="none"/>
          <w:vertAlign w:val="superscript"/>
        </w:rPr>
        <w:t>3</w:t>
      </w:r>
      <w:r>
        <w:rPr>
          <w:rFonts w:hint="eastAsia" w:ascii="Times New Roman" w:hAnsi="Times New Roman"/>
          <w:highlight w:val="none"/>
        </w:rPr>
        <w:t>/h，</w:t>
      </w:r>
      <w:r>
        <w:rPr>
          <w:rFonts w:hint="eastAsia" w:ascii="Times New Roman" w:hAnsi="Times New Roman"/>
          <w:highlight w:val="none"/>
          <w:lang w:val="en-US" w:eastAsia="zh-CN"/>
        </w:rPr>
        <w:t>144t/d，30240t/a</w:t>
      </w:r>
      <w:r>
        <w:rPr>
          <w:rFonts w:hint="eastAsia" w:ascii="Times New Roman" w:hAnsi="Times New Roman"/>
          <w:highlight w:val="none"/>
        </w:rPr>
        <w:t>来源于锅炉排污水</w:t>
      </w:r>
      <w:r>
        <w:rPr>
          <w:rFonts w:ascii="Times New Roman" w:hAnsi="Times New Roman"/>
          <w:highlight w:val="none"/>
        </w:rPr>
        <w:t>。系统热网回水经冷却水泵加压，经冷渣器后，回至本工程热网循环水泵入口母管。冷渣器循环冷却水泵设2台，一用一备。</w:t>
      </w:r>
    </w:p>
    <w:p w14:paraId="44E88356">
      <w:pPr>
        <w:ind w:firstLine="480"/>
        <w:rPr>
          <w:rFonts w:ascii="Times New Roman" w:hAnsi="Times New Roman"/>
          <w:highlight w:val="none"/>
        </w:rPr>
      </w:pPr>
      <w:r>
        <w:rPr>
          <w:rFonts w:hint="eastAsia" w:ascii="宋体" w:hAnsi="宋体" w:cs="宋体"/>
          <w:highlight w:val="none"/>
        </w:rPr>
        <w:t>④</w:t>
      </w:r>
      <w:r>
        <w:rPr>
          <w:rFonts w:ascii="Times New Roman" w:hAnsi="Times New Roman"/>
          <w:highlight w:val="none"/>
        </w:rPr>
        <w:t>脱硫工业用水（Q4）：</w:t>
      </w:r>
    </w:p>
    <w:p w14:paraId="58F38E2D">
      <w:pPr>
        <w:ind w:firstLine="480"/>
        <w:rPr>
          <w:rFonts w:ascii="Times New Roman" w:hAnsi="Times New Roman"/>
          <w:highlight w:val="none"/>
        </w:rPr>
      </w:pPr>
      <w:r>
        <w:rPr>
          <w:rFonts w:hint="eastAsia" w:ascii="Times New Roman" w:hAnsi="Times New Roman"/>
          <w:highlight w:val="none"/>
          <w:lang w:val="en-US" w:eastAsia="zh-CN"/>
        </w:rPr>
        <w:t>本项目采用石灰石-石膏湿法脱硫，</w:t>
      </w:r>
      <w:r>
        <w:rPr>
          <w:rFonts w:ascii="Times New Roman" w:hAnsi="Times New Roman"/>
          <w:highlight w:val="none"/>
        </w:rPr>
        <w:t>根据</w:t>
      </w:r>
      <w:r>
        <w:rPr>
          <w:rFonts w:hint="eastAsia" w:ascii="Times New Roman" w:hAnsi="Times New Roman"/>
          <w:highlight w:val="none"/>
          <w:lang w:val="en-US" w:eastAsia="zh-CN"/>
        </w:rPr>
        <w:t>企业</w:t>
      </w:r>
      <w:r>
        <w:rPr>
          <w:rFonts w:ascii="Times New Roman" w:hAnsi="Times New Roman"/>
          <w:highlight w:val="none"/>
        </w:rPr>
        <w:t>提供，</w:t>
      </w:r>
      <w:r>
        <w:rPr>
          <w:rFonts w:hint="eastAsia" w:ascii="Times New Roman" w:hAnsi="Times New Roman"/>
          <w:highlight w:val="none"/>
          <w:lang w:val="en-US" w:eastAsia="zh-CN"/>
        </w:rPr>
        <w:t>脱硫用水来自锅炉排污水，</w:t>
      </w:r>
      <w:r>
        <w:rPr>
          <w:rFonts w:ascii="Times New Roman" w:hAnsi="Times New Roman"/>
          <w:highlight w:val="none"/>
        </w:rPr>
        <w:t>用水量为</w:t>
      </w:r>
      <w:r>
        <w:rPr>
          <w:rFonts w:hint="eastAsia" w:ascii="Times New Roman" w:hAnsi="Times New Roman"/>
          <w:highlight w:val="none"/>
        </w:rPr>
        <w:t>5m</w:t>
      </w:r>
      <w:r>
        <w:rPr>
          <w:rFonts w:hint="eastAsia" w:ascii="Times New Roman" w:hAnsi="Times New Roman"/>
          <w:highlight w:val="none"/>
          <w:vertAlign w:val="superscript"/>
        </w:rPr>
        <w:t>3</w:t>
      </w:r>
      <w:r>
        <w:rPr>
          <w:rFonts w:hint="eastAsia" w:ascii="Times New Roman" w:hAnsi="Times New Roman"/>
          <w:highlight w:val="none"/>
        </w:rPr>
        <w:t>/h，</w:t>
      </w:r>
      <w:r>
        <w:rPr>
          <w:rFonts w:hint="eastAsia" w:ascii="Times New Roman" w:hAnsi="Times New Roman"/>
          <w:highlight w:val="none"/>
          <w:lang w:val="en-US" w:eastAsia="zh-CN"/>
        </w:rPr>
        <w:t>120t/d，25200t/a</w:t>
      </w:r>
      <w:r>
        <w:rPr>
          <w:rFonts w:ascii="Times New Roman" w:hAnsi="Times New Roman"/>
          <w:highlight w:val="none"/>
        </w:rPr>
        <w:t>。</w:t>
      </w:r>
    </w:p>
    <w:p w14:paraId="1A6B436B">
      <w:pPr>
        <w:ind w:firstLine="480"/>
        <w:rPr>
          <w:rFonts w:ascii="Times New Roman" w:hAnsi="Times New Roman"/>
          <w:highlight w:val="none"/>
        </w:rPr>
      </w:pPr>
      <w:r>
        <w:rPr>
          <w:rFonts w:hint="eastAsia" w:ascii="宋体" w:hAnsi="宋体" w:cs="宋体"/>
          <w:highlight w:val="none"/>
        </w:rPr>
        <w:t>⑤</w:t>
      </w:r>
      <w:r>
        <w:rPr>
          <w:rFonts w:ascii="Times New Roman" w:hAnsi="Times New Roman"/>
          <w:highlight w:val="none"/>
        </w:rPr>
        <w:t>脱硝用水量（Q5）：</w:t>
      </w:r>
    </w:p>
    <w:p w14:paraId="1993A9CC">
      <w:pPr>
        <w:ind w:firstLine="480"/>
        <w:rPr>
          <w:rFonts w:ascii="Times New Roman" w:hAnsi="Times New Roman"/>
          <w:highlight w:val="none"/>
        </w:rPr>
      </w:pPr>
      <w:r>
        <w:rPr>
          <w:rFonts w:ascii="Times New Roman" w:hAnsi="Times New Roman"/>
          <w:highlight w:val="none"/>
        </w:rPr>
        <w:t>脱硝系统采用</w:t>
      </w:r>
      <w:r>
        <w:rPr>
          <w:rFonts w:hint="eastAsia" w:ascii="Times New Roman" w:hAnsi="Times New Roman"/>
          <w:highlight w:val="none"/>
          <w:lang w:val="en-US" w:eastAsia="zh-CN"/>
        </w:rPr>
        <w:t>新鲜水</w:t>
      </w:r>
      <w:r>
        <w:rPr>
          <w:rFonts w:ascii="Times New Roman" w:hAnsi="Times New Roman"/>
          <w:highlight w:val="none"/>
        </w:rPr>
        <w:t>，用水量为</w:t>
      </w:r>
      <w:r>
        <w:rPr>
          <w:rFonts w:hint="eastAsia" w:ascii="Times New Roman" w:hAnsi="Times New Roman"/>
          <w:highlight w:val="none"/>
          <w:lang w:val="en-US" w:eastAsia="zh-CN"/>
        </w:rPr>
        <w:t>1</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/h</w:t>
      </w:r>
      <w:r>
        <w:rPr>
          <w:rFonts w:hint="eastAsia" w:ascii="Times New Roman" w:hAnsi="Times New Roman"/>
          <w:highlight w:val="none"/>
          <w:lang w:eastAsia="zh-CN"/>
        </w:rPr>
        <w:t>，</w:t>
      </w:r>
      <w:r>
        <w:rPr>
          <w:rFonts w:hint="eastAsia" w:ascii="Times New Roman" w:hAnsi="Times New Roman"/>
          <w:highlight w:val="none"/>
          <w:lang w:val="en-US" w:eastAsia="zh-CN"/>
        </w:rPr>
        <w:t>24t/d，5040t/a</w:t>
      </w:r>
      <w:r>
        <w:rPr>
          <w:rFonts w:ascii="Times New Roman" w:hAnsi="Times New Roman"/>
          <w:highlight w:val="none"/>
        </w:rPr>
        <w:t>。</w:t>
      </w:r>
    </w:p>
    <w:p w14:paraId="20BE5222">
      <w:pPr>
        <w:ind w:firstLine="480"/>
        <w:rPr>
          <w:rFonts w:ascii="Times New Roman" w:hAnsi="Times New Roman"/>
          <w:highlight w:val="none"/>
        </w:rPr>
      </w:pPr>
      <w:r>
        <w:rPr>
          <w:rFonts w:hint="eastAsia" w:ascii="宋体" w:hAnsi="宋体" w:cs="宋体"/>
          <w:highlight w:val="none"/>
        </w:rPr>
        <w:t>⑥</w:t>
      </w:r>
      <w:r>
        <w:rPr>
          <w:rFonts w:ascii="Times New Roman" w:hAnsi="Times New Roman"/>
          <w:highlight w:val="none"/>
        </w:rPr>
        <w:t>生活用水：</w:t>
      </w:r>
    </w:p>
    <w:p w14:paraId="20D7F91C">
      <w:pPr>
        <w:ind w:firstLine="480"/>
        <w:rPr>
          <w:rFonts w:ascii="Times New Roman" w:hAnsi="Times New Roman"/>
          <w:highlight w:val="none"/>
        </w:rPr>
      </w:pPr>
      <w:r>
        <w:rPr>
          <w:rFonts w:ascii="Times New Roman" w:hAnsi="Times New Roman"/>
          <w:highlight w:val="none"/>
        </w:rPr>
        <w:t>生活水系统及用水量(Q6)：生活用水按80 L/人</w:t>
      </w:r>
      <w:r>
        <w:rPr>
          <w:rFonts w:hint="eastAsia" w:ascii="Times New Roman" w:hAnsi="Times New Roman"/>
          <w:highlight w:val="none"/>
          <w:lang w:val="en-US" w:eastAsia="zh-CN"/>
        </w:rPr>
        <w:t>d</w:t>
      </w:r>
      <w:r>
        <w:rPr>
          <w:rFonts w:ascii="Times New Roman" w:hAnsi="Times New Roman"/>
          <w:highlight w:val="none"/>
        </w:rPr>
        <w:t>；生活用水量为Q6=</w:t>
      </w:r>
      <w:r>
        <w:rPr>
          <w:rFonts w:hint="eastAsia" w:ascii="Times New Roman" w:hAnsi="Times New Roman"/>
          <w:highlight w:val="none"/>
          <w:lang w:val="en-US" w:eastAsia="zh-CN"/>
        </w:rPr>
        <w:t>0.58</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/h。</w:t>
      </w:r>
    </w:p>
    <w:p w14:paraId="6FD610FF">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ascii="Times New Roman" w:hAnsi="Times New Roman" w:eastAsia="宋体"/>
          <w:highlight w:val="none"/>
          <w:lang w:eastAsia="zh-CN"/>
        </w:rPr>
      </w:pPr>
      <w:r>
        <w:rPr>
          <w:rFonts w:ascii="Times New Roman" w:hAnsi="Times New Roman"/>
          <w:highlight w:val="none"/>
        </w:rPr>
        <w:t>则本项目运行期间需新鲜水量约为</w:t>
      </w:r>
      <w:r>
        <w:rPr>
          <w:rFonts w:hint="eastAsia" w:ascii="Times New Roman" w:hAnsi="Times New Roman"/>
          <w:highlight w:val="none"/>
          <w:lang w:val="en-US" w:eastAsia="zh-CN"/>
        </w:rPr>
        <w:t>0.58</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/h，</w:t>
      </w:r>
      <w:r>
        <w:rPr>
          <w:rFonts w:hint="eastAsia" w:ascii="Times New Roman" w:hAnsi="Times New Roman"/>
          <w:highlight w:val="none"/>
          <w:lang w:val="en-US" w:eastAsia="zh-CN"/>
        </w:rPr>
        <w:t>2940</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/a</w:t>
      </w:r>
      <w:r>
        <w:rPr>
          <w:rFonts w:hint="eastAsia" w:ascii="Times New Roman" w:hAnsi="Times New Roman"/>
          <w:highlight w:val="none"/>
          <w:lang w:eastAsia="zh-CN"/>
        </w:rPr>
        <w:t>。</w:t>
      </w:r>
    </w:p>
    <w:p w14:paraId="276093E9">
      <w:pPr>
        <w:ind w:firstLine="480"/>
        <w:rPr>
          <w:rFonts w:ascii="Times New Roman" w:hAnsi="Times New Roman"/>
          <w:highlight w:val="none"/>
        </w:rPr>
      </w:pPr>
      <w:r>
        <w:rPr>
          <w:rFonts w:ascii="Times New Roman" w:hAnsi="Times New Roman"/>
          <w:highlight w:val="none"/>
        </w:rPr>
        <w:t>（2）排水</w:t>
      </w:r>
    </w:p>
    <w:p w14:paraId="70277035">
      <w:pPr>
        <w:rPr>
          <w:rFonts w:hint="eastAsia" w:ascii="Times New Roman" w:hAnsi="Times New Roman"/>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szCs w:val="24"/>
          <w:highlight w:val="none"/>
        </w:rPr>
        <w:t>锅炉排污水</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49033.86t/a</w:t>
      </w:r>
      <w:r>
        <w:rPr>
          <w:rFonts w:hint="eastAsia" w:ascii="Times New Roman" w:hAnsi="Times New Roman"/>
          <w:szCs w:val="24"/>
          <w:highlight w:val="none"/>
          <w:lang w:eastAsia="zh-CN"/>
        </w:rPr>
        <w:t>）</w:t>
      </w:r>
      <w:r>
        <w:rPr>
          <w:rFonts w:ascii="Times New Roman" w:hAnsi="Times New Roman"/>
          <w:szCs w:val="24"/>
          <w:highlight w:val="none"/>
        </w:rPr>
        <w:t>回用于</w:t>
      </w:r>
      <w:r>
        <w:rPr>
          <w:rFonts w:hint="eastAsia" w:ascii="Times New Roman" w:hAnsi="Times New Roman"/>
          <w:szCs w:val="24"/>
          <w:highlight w:val="none"/>
        </w:rPr>
        <w:t>用于冷渣器冷却水系统补水（</w:t>
      </w:r>
      <w:r>
        <w:rPr>
          <w:rFonts w:hint="eastAsia" w:ascii="Times New Roman" w:hAnsi="Times New Roman"/>
          <w:szCs w:val="24"/>
          <w:highlight w:val="none"/>
          <w:lang w:val="en-US" w:eastAsia="zh-CN"/>
        </w:rPr>
        <w:t>30240</w:t>
      </w:r>
      <w:r>
        <w:rPr>
          <w:rFonts w:hint="eastAsia" w:ascii="Times New Roman" w:hAnsi="Times New Roman"/>
          <w:highlight w:val="none"/>
          <w:lang w:val="en-US" w:eastAsia="zh-CN"/>
        </w:rPr>
        <w:t>t/a</w:t>
      </w:r>
      <w:r>
        <w:rPr>
          <w:rFonts w:hint="eastAsia" w:ascii="Times New Roman" w:hAnsi="Times New Roman"/>
          <w:szCs w:val="24"/>
          <w:highlight w:val="none"/>
        </w:rPr>
        <w:t>）</w:t>
      </w:r>
      <w:r>
        <w:rPr>
          <w:rFonts w:hint="eastAsia" w:ascii="Times New Roman" w:hAnsi="Times New Roman"/>
          <w:szCs w:val="24"/>
          <w:highlight w:val="none"/>
          <w:lang w:val="en-US" w:eastAsia="zh-CN"/>
        </w:rPr>
        <w:t>和脱硫用水（25200t/a：锅炉排污水 18793.86t/a，软化水 6406.14t/a）</w:t>
      </w:r>
      <w:r>
        <w:rPr>
          <w:rFonts w:ascii="Times New Roman" w:hAnsi="Times New Roman"/>
          <w:szCs w:val="24"/>
          <w:highlight w:val="none"/>
        </w:rPr>
        <w:t>。脱硫废水</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25149.75t/a</w:t>
      </w:r>
      <w:r>
        <w:rPr>
          <w:rFonts w:hint="eastAsia" w:ascii="Times New Roman" w:hAnsi="Times New Roman"/>
          <w:szCs w:val="24"/>
          <w:highlight w:val="none"/>
          <w:lang w:eastAsia="zh-CN"/>
        </w:rPr>
        <w:t>）</w:t>
      </w:r>
      <w:r>
        <w:rPr>
          <w:rFonts w:ascii="Times New Roman" w:hAnsi="Times New Roman"/>
          <w:szCs w:val="24"/>
          <w:highlight w:val="none"/>
        </w:rPr>
        <w:t>采用回流水池→一体化污水处理装置→高效旋流分离器→生物净化装置→多介质净化装置→多功能处理剂→净水箱处理工艺，回用于灰渣加湿</w:t>
      </w:r>
      <w:r>
        <w:rPr>
          <w:rFonts w:hint="eastAsia" w:ascii="Times New Roman" w:hAnsi="Times New Roman"/>
          <w:szCs w:val="24"/>
          <w:highlight w:val="none"/>
        </w:rPr>
        <w:t>（</w:t>
      </w:r>
      <w:r>
        <w:rPr>
          <w:rFonts w:hint="eastAsia" w:ascii="Times New Roman" w:hAnsi="Times New Roman"/>
          <w:szCs w:val="24"/>
          <w:highlight w:val="none"/>
          <w:lang w:val="en-US" w:eastAsia="zh-CN"/>
        </w:rPr>
        <w:t>2</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10080t/a</w:t>
      </w:r>
      <w:r>
        <w:rPr>
          <w:rFonts w:hint="eastAsia" w:ascii="Times New Roman" w:hAnsi="Times New Roman"/>
          <w:szCs w:val="24"/>
          <w:highlight w:val="none"/>
        </w:rPr>
        <w:t>）、煤场洒水降尘（</w:t>
      </w:r>
      <w:r>
        <w:rPr>
          <w:rFonts w:hint="eastAsia" w:ascii="Times New Roman" w:hAnsi="Times New Roman"/>
          <w:szCs w:val="24"/>
          <w:highlight w:val="none"/>
          <w:lang w:val="en-US" w:eastAsia="zh-CN"/>
        </w:rPr>
        <w:t>3</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15069.75t/a</w:t>
      </w:r>
      <w:r>
        <w:rPr>
          <w:rFonts w:hint="eastAsia" w:ascii="Times New Roman" w:hAnsi="Times New Roman"/>
          <w:szCs w:val="24"/>
          <w:highlight w:val="none"/>
        </w:rPr>
        <w:t>）。生活污水（</w:t>
      </w:r>
      <w:r>
        <w:rPr>
          <w:rFonts w:hint="eastAsia" w:ascii="Times New Roman" w:hAnsi="Times New Roman"/>
          <w:szCs w:val="24"/>
          <w:highlight w:val="none"/>
          <w:lang w:val="en-US" w:eastAsia="zh-CN"/>
        </w:rPr>
        <w:t>0.464</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2352t/a</w:t>
      </w:r>
      <w:r>
        <w:rPr>
          <w:rFonts w:hint="eastAsia" w:ascii="Times New Roman" w:hAnsi="Times New Roman"/>
          <w:szCs w:val="24"/>
          <w:highlight w:val="none"/>
        </w:rPr>
        <w:t>）排入化粪池处理后排入市政管网（食堂废水经隔油池处理后与生活污水一同排入化粪池），</w:t>
      </w:r>
      <w:r>
        <w:rPr>
          <w:rFonts w:hint="eastAsia" w:ascii="Times New Roman" w:hAnsi="Times New Roman"/>
          <w:szCs w:val="24"/>
          <w:highlight w:val="none"/>
          <w:lang w:val="en-US" w:eastAsia="zh-CN"/>
        </w:rPr>
        <w:t>经污水管网排入绥芬河中环污水处理有限公司，处理达到《城镇污水处理厂污染物排放标准》(GB18918—2002)一级B标准后最终汇入小绥芬河。</w:t>
      </w:r>
    </w:p>
    <w:p w14:paraId="006E10C3">
      <w:pPr>
        <w:pStyle w:val="23"/>
        <w:jc w:val="center"/>
        <w:rPr>
          <w:rFonts w:hint="eastAsia" w:eastAsia="宋体"/>
          <w:highlight w:val="none"/>
          <w:lang w:eastAsia="zh-CN"/>
        </w:rPr>
      </w:pPr>
      <w:r>
        <w:rPr>
          <w:rFonts w:hint="eastAsia" w:eastAsia="宋体"/>
          <w:highlight w:val="none"/>
          <w:lang w:eastAsia="zh-CN"/>
        </w:rPr>
        <w:drawing>
          <wp:inline distT="0" distB="0" distL="114300" distR="114300">
            <wp:extent cx="6142990" cy="3778250"/>
            <wp:effectExtent l="0" t="0" r="0" b="0"/>
            <wp:docPr id="158" name="ECB019B1-382A-4266-B25C-5B523AA43C14-1" descr="C:/Users/Administrator/AppData/Local/Temp/wps.WfwBtp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ECB019B1-382A-4266-B25C-5B523AA43C14-1" descr="C:/Users/Administrator/AppData/Local/Temp/wps.WfwBtpwps"/>
                    <pic:cNvPicPr>
                      <a:picLocks noChangeAspect="1"/>
                    </pic:cNvPicPr>
                  </pic:nvPicPr>
                  <pic:blipFill>
                    <a:blip r:embed="rId18"/>
                    <a:stretch>
                      <a:fillRect/>
                    </a:stretch>
                  </pic:blipFill>
                  <pic:spPr>
                    <a:xfrm>
                      <a:off x="0" y="0"/>
                      <a:ext cx="6142990" cy="3778250"/>
                    </a:xfrm>
                    <a:prstGeom prst="rect">
                      <a:avLst/>
                    </a:prstGeom>
                  </pic:spPr>
                </pic:pic>
              </a:graphicData>
            </a:graphic>
          </wp:inline>
        </w:drawing>
      </w:r>
    </w:p>
    <w:p w14:paraId="61E7B1E6">
      <w:pPr>
        <w:jc w:val="center"/>
        <w:rPr>
          <w:rFonts w:hint="eastAsia"/>
          <w:b/>
          <w:bCs/>
          <w:highlight w:val="none"/>
          <w:lang w:eastAsia="zh-CN"/>
        </w:rPr>
      </w:pPr>
      <w:r>
        <w:rPr>
          <w:rFonts w:hint="eastAsia"/>
          <w:b/>
          <w:bCs/>
          <w:highlight w:val="none"/>
        </w:rPr>
        <w:t>图3.1-1水量平衡图</w:t>
      </w:r>
    </w:p>
    <w:p w14:paraId="6928CD45">
      <w:pPr>
        <w:rPr>
          <w:rFonts w:hint="eastAsia"/>
          <w:highlight w:val="none"/>
          <w:lang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ED963EF">
      <w:pPr>
        <w:pStyle w:val="5"/>
        <w:bidi w:val="0"/>
        <w:ind w:left="0" w:leftChars="0" w:firstLine="0" w:firstLineChars="0"/>
        <w:rPr>
          <w:rFonts w:hint="eastAsia"/>
          <w:highlight w:val="none"/>
          <w:lang w:val="en-US" w:eastAsia="zh-CN"/>
        </w:rPr>
      </w:pPr>
      <w:bookmarkStart w:id="64" w:name="_Toc31642"/>
      <w:r>
        <w:rPr>
          <w:rFonts w:hint="eastAsia"/>
          <w:highlight w:val="none"/>
          <w:lang w:val="en-US" w:eastAsia="zh-CN"/>
        </w:rPr>
        <w:t>3.1.9依托工程</w:t>
      </w:r>
      <w:bookmarkEnd w:id="64"/>
    </w:p>
    <w:p w14:paraId="2C1CEDC0">
      <w:pPr>
        <w:ind w:firstLine="480"/>
        <w:rPr>
          <w:rFonts w:hint="eastAsia"/>
          <w:highlight w:val="none"/>
          <w:lang w:val="en-US" w:eastAsia="zh-CN"/>
        </w:rPr>
      </w:pPr>
      <w:r>
        <w:rPr>
          <w:rFonts w:hint="eastAsia"/>
          <w:highlight w:val="none"/>
          <w:lang w:val="en-US" w:eastAsia="zh-CN"/>
        </w:rPr>
        <w:t>一、供水</w:t>
      </w:r>
    </w:p>
    <w:p w14:paraId="6C4CED9A">
      <w:pPr>
        <w:pStyle w:val="23"/>
        <w:rPr>
          <w:rFonts w:hint="default"/>
          <w:highlight w:val="none"/>
          <w:lang w:val="en-US" w:eastAsia="zh-CN"/>
        </w:rPr>
      </w:pPr>
      <w:r>
        <w:rPr>
          <w:rFonts w:hint="default"/>
          <w:highlight w:val="none"/>
          <w:lang w:val="en-US" w:eastAsia="zh-CN"/>
        </w:rPr>
        <w:t>本项目生产及生活用水依托市政管网供给</w:t>
      </w:r>
      <w:r>
        <w:rPr>
          <w:rFonts w:hint="eastAsia"/>
          <w:highlight w:val="none"/>
          <w:lang w:val="en-US" w:eastAsia="zh-CN"/>
        </w:rPr>
        <w:t>。</w:t>
      </w:r>
    </w:p>
    <w:p w14:paraId="691AE6D1">
      <w:pPr>
        <w:pStyle w:val="23"/>
        <w:ind w:firstLine="480"/>
        <w:rPr>
          <w:rFonts w:hint="eastAsia" w:eastAsia="宋体"/>
          <w:color w:val="auto"/>
          <w:highlight w:val="none"/>
          <w:lang w:eastAsia="zh-CN"/>
        </w:rPr>
      </w:pPr>
      <w:r>
        <w:rPr>
          <w:rFonts w:hint="eastAsia"/>
          <w:color w:val="auto"/>
          <w:highlight w:val="none"/>
        </w:rPr>
        <w:t>二、</w:t>
      </w:r>
      <w:r>
        <w:rPr>
          <w:rFonts w:hint="eastAsia"/>
          <w:color w:val="auto"/>
          <w:highlight w:val="none"/>
          <w:lang w:val="en-US" w:eastAsia="zh-CN"/>
        </w:rPr>
        <w:t>排水</w:t>
      </w:r>
    </w:p>
    <w:p w14:paraId="4A7435CD">
      <w:pPr>
        <w:ind w:firstLine="480"/>
        <w:rPr>
          <w:rFonts w:hint="eastAsia"/>
          <w:highlight w:val="none"/>
        </w:rPr>
      </w:pPr>
      <w:r>
        <w:rPr>
          <w:rFonts w:hint="eastAsia"/>
          <w:highlight w:val="none"/>
        </w:rPr>
        <w:t>厂区内排水系统采用分流制：雨水排水系统</w:t>
      </w:r>
      <w:r>
        <w:rPr>
          <w:rFonts w:hint="eastAsia"/>
          <w:highlight w:val="none"/>
          <w:lang w:eastAsia="zh-CN"/>
        </w:rPr>
        <w:t>；</w:t>
      </w:r>
      <w:r>
        <w:rPr>
          <w:rFonts w:hint="eastAsia"/>
          <w:highlight w:val="none"/>
          <w:lang w:val="en-US" w:eastAsia="zh-CN"/>
        </w:rPr>
        <w:t>生产废水回用，不外排。生活污水排入市政管网，经污水管网排入绥芬河中环污水处理有限公司（排污许可证 编号：91231081692616585X001Z），处理达到《城镇污水处理厂污染物排放标准》(GB18918—2002)一级B标准后最终汇入小绥芬河。</w:t>
      </w:r>
    </w:p>
    <w:p w14:paraId="7A2D554F">
      <w:pPr>
        <w:pStyle w:val="5"/>
        <w:bidi w:val="0"/>
        <w:ind w:left="0" w:leftChars="0" w:firstLine="0" w:firstLineChars="0"/>
        <w:rPr>
          <w:rFonts w:hint="eastAsia"/>
          <w:highlight w:val="none"/>
          <w:lang w:val="en-US" w:eastAsia="zh-CN"/>
        </w:rPr>
      </w:pPr>
      <w:bookmarkStart w:id="65" w:name="_Toc14781"/>
      <w:r>
        <w:rPr>
          <w:rFonts w:hint="eastAsia"/>
          <w:highlight w:val="none"/>
          <w:lang w:val="en-US" w:eastAsia="zh-CN"/>
        </w:rPr>
        <w:t>3.1.10总平面布置</w:t>
      </w:r>
      <w:bookmarkEnd w:id="65"/>
    </w:p>
    <w:p w14:paraId="0E436462">
      <w:pPr>
        <w:rPr>
          <w:rFonts w:hint="eastAsia" w:ascii="Times New Roman" w:hAnsi="Times New Roman"/>
          <w:highlight w:val="none"/>
          <w:lang w:val="en-US" w:eastAsia="zh-CN"/>
        </w:rPr>
      </w:pPr>
      <w:r>
        <w:rPr>
          <w:rFonts w:hint="eastAsia" w:ascii="Times New Roman" w:hAnsi="Times New Roman"/>
          <w:highlight w:val="none"/>
          <w:lang w:val="en-US" w:eastAsia="zh-CN"/>
        </w:rPr>
        <w:t>本项目占地面积为1.3万平方米，位于黑龙江省牡丹江市绥芬河市长山路幸福街1号。</w:t>
      </w:r>
    </w:p>
    <w:p w14:paraId="2628D308">
      <w:pPr>
        <w:pStyle w:val="23"/>
        <w:rPr>
          <w:rFonts w:cs="Times New Roman"/>
          <w:highlight w:val="none"/>
        </w:rPr>
      </w:pPr>
      <w:r>
        <w:rPr>
          <w:rFonts w:hint="eastAsia" w:ascii="Times New Roman" w:hAnsi="Times New Roman"/>
          <w:highlight w:val="none"/>
          <w:lang w:val="en-US" w:eastAsia="zh-CN"/>
        </w:rPr>
        <w:t>本项目储煤厂位于厂区北侧，厂区南侧包括锅炉房、办公区、变压器、灰仓、渣仓、碎煤机室、除尘器、脱硫间。</w:t>
      </w:r>
      <w:r>
        <w:rPr>
          <w:rFonts w:cs="Times New Roman"/>
          <w:highlight w:val="none"/>
        </w:rPr>
        <w:t>本项目厂区总平面布置采用人、物分流，人流入口布置在厂区南侧，与开发区道路直接连接，物流入口布置在厂区南侧，与</w:t>
      </w:r>
      <w:r>
        <w:rPr>
          <w:rFonts w:hint="eastAsia" w:cs="Times New Roman"/>
          <w:highlight w:val="none"/>
          <w:lang w:val="en-US" w:eastAsia="zh-CN"/>
        </w:rPr>
        <w:t>新</w:t>
      </w:r>
      <w:r>
        <w:rPr>
          <w:rFonts w:cs="Times New Roman"/>
          <w:highlight w:val="none"/>
        </w:rPr>
        <w:t>区道路连接。</w:t>
      </w:r>
    </w:p>
    <w:p w14:paraId="6D9A3FDD">
      <w:pPr>
        <w:rPr>
          <w:rFonts w:cs="Times New Roman"/>
          <w:highlight w:val="none"/>
        </w:rPr>
      </w:pPr>
      <w:r>
        <w:rPr>
          <w:rFonts w:cs="Times New Roman"/>
          <w:highlight w:val="none"/>
        </w:rPr>
        <w:t>本项目厂区总平面布置图见附图。</w:t>
      </w:r>
    </w:p>
    <w:p w14:paraId="20CF0063">
      <w:pPr>
        <w:pStyle w:val="5"/>
        <w:bidi w:val="0"/>
        <w:ind w:left="0" w:leftChars="0" w:firstLine="0" w:firstLineChars="0"/>
        <w:rPr>
          <w:rFonts w:hint="eastAsia"/>
          <w:highlight w:val="none"/>
          <w:lang w:val="en-US" w:eastAsia="zh-CN"/>
        </w:rPr>
      </w:pPr>
      <w:bookmarkStart w:id="66" w:name="_Toc5746"/>
      <w:r>
        <w:rPr>
          <w:rFonts w:hint="eastAsia"/>
          <w:highlight w:val="none"/>
          <w:lang w:val="en-US" w:eastAsia="zh-CN"/>
        </w:rPr>
        <w:t>3.1.11劳动人员及工作制度</w:t>
      </w:r>
      <w:bookmarkEnd w:id="66"/>
    </w:p>
    <w:p w14:paraId="2586A408">
      <w:pPr>
        <w:ind w:firstLine="480"/>
        <w:rPr>
          <w:rFonts w:ascii="Times New Roman" w:hAnsi="Times New Roman"/>
          <w:highlight w:val="none"/>
        </w:rPr>
      </w:pPr>
      <w:r>
        <w:rPr>
          <w:rFonts w:ascii="Times New Roman" w:hAnsi="Times New Roman"/>
          <w:highlight w:val="none"/>
        </w:rPr>
        <w:t>（</w:t>
      </w:r>
      <w:r>
        <w:rPr>
          <w:rFonts w:hint="eastAsia" w:ascii="Times New Roman" w:hAnsi="Times New Roman"/>
          <w:highlight w:val="none"/>
          <w:lang w:val="en-US" w:eastAsia="zh-CN"/>
        </w:rPr>
        <w:t>1</w:t>
      </w:r>
      <w:r>
        <w:rPr>
          <w:rFonts w:ascii="Times New Roman" w:hAnsi="Times New Roman"/>
          <w:highlight w:val="none"/>
        </w:rPr>
        <w:t>）劳动定员：本项目员工</w:t>
      </w:r>
      <w:r>
        <w:rPr>
          <w:rFonts w:hint="eastAsia" w:ascii="Times New Roman" w:hAnsi="Times New Roman"/>
          <w:highlight w:val="none"/>
          <w:lang w:val="en-US" w:eastAsia="zh-CN"/>
        </w:rPr>
        <w:t>175</w:t>
      </w:r>
      <w:r>
        <w:rPr>
          <w:rFonts w:ascii="Times New Roman" w:hAnsi="Times New Roman"/>
          <w:highlight w:val="none"/>
        </w:rPr>
        <w:t>人</w:t>
      </w:r>
    </w:p>
    <w:p w14:paraId="403240DD">
      <w:pPr>
        <w:rPr>
          <w:rFonts w:hint="default"/>
          <w:highlight w:val="none"/>
          <w:lang w:val="en-US" w:eastAsia="zh-CN"/>
        </w:rPr>
      </w:pPr>
      <w:r>
        <w:rPr>
          <w:rFonts w:ascii="Times New Roman" w:hAnsi="Times New Roman"/>
          <w:highlight w:val="none"/>
        </w:rPr>
        <w:t>（</w:t>
      </w:r>
      <w:r>
        <w:rPr>
          <w:rFonts w:hint="eastAsia" w:ascii="Times New Roman" w:hAnsi="Times New Roman"/>
          <w:highlight w:val="none"/>
          <w:lang w:val="en-US" w:eastAsia="zh-CN"/>
        </w:rPr>
        <w:t>2</w:t>
      </w:r>
      <w:r>
        <w:rPr>
          <w:rFonts w:ascii="Times New Roman" w:hAnsi="Times New Roman"/>
          <w:highlight w:val="none"/>
        </w:rPr>
        <w:t>）运行</w:t>
      </w:r>
      <w:r>
        <w:rPr>
          <w:rFonts w:hint="eastAsia" w:ascii="Times New Roman" w:hAnsi="Times New Roman"/>
          <w:highlight w:val="none"/>
        </w:rPr>
        <w:t>方案及</w:t>
      </w:r>
      <w:r>
        <w:rPr>
          <w:rFonts w:ascii="Times New Roman" w:hAnsi="Times New Roman"/>
          <w:highlight w:val="none"/>
        </w:rPr>
        <w:t>时数：本项目</w:t>
      </w:r>
      <w:r>
        <w:rPr>
          <w:rFonts w:hint="eastAsia" w:ascii="Times New Roman" w:hAnsi="Times New Roman"/>
          <w:highlight w:val="none"/>
        </w:rPr>
        <w:t>锅炉仅采暖期运行，非采暖期不运行，仅用于供热；年</w:t>
      </w:r>
      <w:r>
        <w:rPr>
          <w:rFonts w:ascii="Times New Roman" w:hAnsi="Times New Roman"/>
          <w:highlight w:val="none"/>
        </w:rPr>
        <w:t>运行时间为</w:t>
      </w:r>
      <w:r>
        <w:rPr>
          <w:rFonts w:hint="eastAsia" w:ascii="Times New Roman" w:hAnsi="Times New Roman"/>
          <w:highlight w:val="none"/>
          <w:lang w:val="en-US" w:eastAsia="zh-CN"/>
        </w:rPr>
        <w:t>210</w:t>
      </w:r>
      <w:r>
        <w:rPr>
          <w:rFonts w:ascii="Times New Roman" w:hAnsi="Times New Roman"/>
          <w:highlight w:val="none"/>
        </w:rPr>
        <w:t>天，按满负荷运行折算锅炉工况小时数为</w:t>
      </w:r>
      <w:r>
        <w:rPr>
          <w:rFonts w:hint="eastAsia" w:ascii="Times New Roman" w:hAnsi="Times New Roman"/>
          <w:highlight w:val="none"/>
          <w:lang w:val="en-US" w:eastAsia="zh-CN"/>
        </w:rPr>
        <w:t>5040</w:t>
      </w:r>
      <w:r>
        <w:rPr>
          <w:rFonts w:ascii="Times New Roman" w:hAnsi="Times New Roman"/>
          <w:highlight w:val="none"/>
        </w:rPr>
        <w:t>小时。</w:t>
      </w:r>
    </w:p>
    <w:p w14:paraId="4BD6D270">
      <w:pPr>
        <w:pStyle w:val="5"/>
        <w:bidi w:val="0"/>
        <w:ind w:left="0" w:leftChars="0" w:firstLine="0" w:firstLineChars="0"/>
        <w:rPr>
          <w:rFonts w:hint="eastAsia"/>
          <w:highlight w:val="none"/>
          <w:lang w:val="en-US" w:eastAsia="zh-CN"/>
        </w:rPr>
      </w:pPr>
      <w:bookmarkStart w:id="67" w:name="_Toc31784"/>
      <w:r>
        <w:rPr>
          <w:rFonts w:hint="eastAsia"/>
          <w:highlight w:val="none"/>
          <w:lang w:val="en-US" w:eastAsia="zh-CN"/>
        </w:rPr>
        <w:t>3.1.12建设周期</w:t>
      </w:r>
      <w:bookmarkEnd w:id="67"/>
    </w:p>
    <w:p w14:paraId="7D6AE698">
      <w:pPr>
        <w:rPr>
          <w:rFonts w:hint="default"/>
          <w:highlight w:val="none"/>
          <w:lang w:val="en-US" w:eastAsia="zh-CN"/>
        </w:rPr>
      </w:pPr>
      <w:r>
        <w:rPr>
          <w:rFonts w:hint="eastAsia"/>
          <w:highlight w:val="none"/>
          <w:lang w:val="en-US" w:eastAsia="zh-CN"/>
        </w:rPr>
        <w:t>本工程目前均已建设完成。</w:t>
      </w:r>
    </w:p>
    <w:p w14:paraId="57CB15EE">
      <w:pPr>
        <w:pStyle w:val="5"/>
        <w:bidi w:val="0"/>
        <w:ind w:left="0" w:leftChars="0" w:firstLine="0" w:firstLineChars="0"/>
        <w:rPr>
          <w:rFonts w:hint="eastAsia"/>
          <w:highlight w:val="none"/>
          <w:lang w:val="en-US" w:eastAsia="zh-CN"/>
        </w:rPr>
      </w:pPr>
      <w:bookmarkStart w:id="68" w:name="_Toc21497"/>
      <w:r>
        <w:rPr>
          <w:rFonts w:hint="eastAsia"/>
          <w:highlight w:val="none"/>
          <w:lang w:val="en-US" w:eastAsia="zh-CN"/>
        </w:rPr>
        <w:t>3.1.13项目投资估算</w:t>
      </w:r>
      <w:bookmarkEnd w:id="68"/>
    </w:p>
    <w:p w14:paraId="6D8A1710">
      <w:pPr>
        <w:rPr>
          <w:rFonts w:hint="default"/>
          <w:highlight w:val="none"/>
          <w:lang w:val="en-US" w:eastAsia="zh-CN"/>
        </w:rPr>
      </w:pPr>
      <w:r>
        <w:rPr>
          <w:rFonts w:hint="eastAsia"/>
          <w:highlight w:val="none"/>
          <w:lang w:val="en-US" w:eastAsia="zh-CN"/>
        </w:rPr>
        <w:t>本项目总投资3620万元，其中：其中设备购置费2410万元，安装费1106万元，其他费104万元。</w:t>
      </w:r>
    </w:p>
    <w:p w14:paraId="5853CEDE">
      <w:pPr>
        <w:pStyle w:val="5"/>
        <w:bidi w:val="0"/>
        <w:ind w:left="0" w:leftChars="0" w:firstLine="0" w:firstLineChars="0"/>
        <w:rPr>
          <w:rFonts w:hint="eastAsia"/>
          <w:highlight w:val="none"/>
          <w:lang w:val="en-US" w:eastAsia="zh-CN"/>
        </w:rPr>
      </w:pPr>
      <w:bookmarkStart w:id="69" w:name="_Toc31837"/>
      <w:r>
        <w:rPr>
          <w:rFonts w:hint="eastAsia"/>
          <w:highlight w:val="none"/>
          <w:lang w:val="en-US" w:eastAsia="zh-CN"/>
        </w:rPr>
        <w:t>3.1.14供热范围</w:t>
      </w:r>
      <w:bookmarkEnd w:id="69"/>
    </w:p>
    <w:p w14:paraId="72D10915">
      <w:pPr>
        <w:rPr>
          <w:rFonts w:hint="eastAsia"/>
          <w:highlight w:val="none"/>
          <w:lang w:val="en-US" w:eastAsia="zh-CN"/>
        </w:rPr>
      </w:pPr>
      <w:r>
        <w:rPr>
          <w:rFonts w:hint="eastAsia"/>
          <w:highlight w:val="none"/>
          <w:lang w:val="en-US" w:eastAsia="zh-CN"/>
        </w:rPr>
        <w:t>本项目主要承担绥芬河市北山新区和新老城区结合部区域供热，现状集中供热面积为210万平方米。</w:t>
      </w:r>
    </w:p>
    <w:p w14:paraId="47C8A084">
      <w:pPr>
        <w:pStyle w:val="5"/>
        <w:bidi w:val="0"/>
        <w:ind w:left="0" w:leftChars="0" w:firstLine="0" w:firstLineChars="0"/>
        <w:rPr>
          <w:rFonts w:hint="eastAsia"/>
          <w:lang w:val="en-US" w:eastAsia="zh-CN"/>
        </w:rPr>
      </w:pPr>
      <w:bookmarkStart w:id="70" w:name="_Toc21404"/>
      <w:r>
        <w:rPr>
          <w:rFonts w:hint="eastAsia"/>
          <w:lang w:val="en-US" w:eastAsia="zh-CN"/>
        </w:rPr>
        <w:t>3.1.15本项目工程概况</w:t>
      </w:r>
      <w:bookmarkEnd w:id="70"/>
    </w:p>
    <w:p w14:paraId="75107909">
      <w:pPr>
        <w:rPr>
          <w:rFonts w:hint="default"/>
          <w:lang w:val="en-US" w:eastAsia="zh-CN"/>
        </w:rPr>
      </w:pPr>
      <w:r>
        <w:rPr>
          <w:rFonts w:hint="eastAsia"/>
          <w:lang w:val="en-US" w:eastAsia="zh-CN"/>
        </w:rPr>
        <w:t>本项目为重新报批，此次不涉及新建项目。</w:t>
      </w:r>
    </w:p>
    <w:p w14:paraId="1844EBEA">
      <w:pPr>
        <w:pStyle w:val="4"/>
        <w:bidi w:val="0"/>
        <w:ind w:left="0" w:leftChars="0" w:firstLine="0" w:firstLineChars="0"/>
        <w:rPr>
          <w:rFonts w:hint="default"/>
          <w:highlight w:val="none"/>
          <w:lang w:val="en-US" w:eastAsia="zh-CN"/>
        </w:rPr>
      </w:pPr>
      <w:bookmarkStart w:id="71" w:name="_Toc31951"/>
      <w:r>
        <w:rPr>
          <w:rFonts w:hint="eastAsia"/>
          <w:highlight w:val="none"/>
          <w:lang w:val="en-US" w:eastAsia="zh-CN"/>
        </w:rPr>
        <w:t>3.2工程分析</w:t>
      </w:r>
      <w:bookmarkEnd w:id="71"/>
    </w:p>
    <w:p w14:paraId="3CF0932B">
      <w:pPr>
        <w:pStyle w:val="5"/>
        <w:bidi w:val="0"/>
        <w:ind w:left="0" w:leftChars="0" w:firstLine="0" w:firstLineChars="0"/>
        <w:rPr>
          <w:rFonts w:hint="eastAsia"/>
          <w:highlight w:val="none"/>
          <w:lang w:val="en-US" w:eastAsia="zh-CN"/>
        </w:rPr>
      </w:pPr>
      <w:bookmarkStart w:id="72" w:name="_Toc21459"/>
      <w:r>
        <w:rPr>
          <w:rFonts w:hint="eastAsia"/>
          <w:highlight w:val="none"/>
          <w:lang w:val="en-US" w:eastAsia="zh-CN"/>
        </w:rPr>
        <w:t>3.2.1环境影响识别</w:t>
      </w:r>
      <w:bookmarkEnd w:id="72"/>
    </w:p>
    <w:p w14:paraId="06561087">
      <w:pPr>
        <w:ind w:firstLine="480"/>
        <w:rPr>
          <w:rFonts w:ascii="Times New Roman" w:hAnsi="Times New Roman"/>
          <w:highlight w:val="none"/>
        </w:rPr>
      </w:pPr>
      <w:r>
        <w:rPr>
          <w:rFonts w:ascii="Times New Roman" w:hAnsi="Times New Roman"/>
          <w:highlight w:val="none"/>
        </w:rPr>
        <w:t>本项目主要环境影响为项目施工期和营运期全过程，其主要污染源分布详见表3.2-1。</w:t>
      </w:r>
    </w:p>
    <w:p w14:paraId="55A6B7B3">
      <w:pPr>
        <w:ind w:firstLine="0" w:firstLineChars="0"/>
        <w:jc w:val="center"/>
        <w:rPr>
          <w:rFonts w:ascii="Times New Roman" w:hAnsi="Times New Roman"/>
          <w:highlight w:val="none"/>
        </w:rPr>
      </w:pPr>
      <w:r>
        <w:rPr>
          <w:rFonts w:ascii="Times New Roman" w:hAnsi="Times New Roman"/>
          <w:b/>
          <w:bCs/>
          <w:highlight w:val="none"/>
        </w:rPr>
        <w:t>表3.2-1项目主要污染源一览表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72"/>
        <w:gridCol w:w="1277"/>
        <w:gridCol w:w="2302"/>
        <w:gridCol w:w="2177"/>
        <w:gridCol w:w="2094"/>
      </w:tblGrid>
      <w:tr w14:paraId="030CF3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noWrap w:val="0"/>
            <w:vAlign w:val="center"/>
          </w:tcPr>
          <w:p w14:paraId="2111D0E7">
            <w:pPr>
              <w:pStyle w:val="27"/>
              <w:rPr>
                <w:rFonts w:ascii="Times New Roman" w:hAnsi="Times New Roman"/>
                <w:highlight w:val="none"/>
              </w:rPr>
            </w:pPr>
            <w:bookmarkStart w:id="73" w:name="_Toc307229511"/>
            <w:bookmarkStart w:id="74" w:name="_Toc307947608"/>
            <w:bookmarkStart w:id="75" w:name="_Toc398537133"/>
            <w:r>
              <w:rPr>
                <w:rFonts w:ascii="Times New Roman" w:hAnsi="Times New Roman"/>
                <w:highlight w:val="none"/>
              </w:rPr>
              <w:t>时段</w:t>
            </w:r>
          </w:p>
        </w:tc>
        <w:tc>
          <w:tcPr>
            <w:tcW w:w="749" w:type="pct"/>
            <w:noWrap w:val="0"/>
            <w:vAlign w:val="center"/>
          </w:tcPr>
          <w:p w14:paraId="103ED5C0">
            <w:pPr>
              <w:pStyle w:val="27"/>
              <w:rPr>
                <w:rFonts w:ascii="Times New Roman" w:hAnsi="Times New Roman"/>
                <w:highlight w:val="none"/>
              </w:rPr>
            </w:pPr>
            <w:r>
              <w:rPr>
                <w:rFonts w:ascii="Times New Roman" w:hAnsi="Times New Roman"/>
                <w:highlight w:val="none"/>
              </w:rPr>
              <w:t>污染源</w:t>
            </w:r>
          </w:p>
        </w:tc>
        <w:tc>
          <w:tcPr>
            <w:tcW w:w="1350" w:type="pct"/>
            <w:noWrap w:val="0"/>
            <w:vAlign w:val="center"/>
          </w:tcPr>
          <w:p w14:paraId="30583363">
            <w:pPr>
              <w:pStyle w:val="27"/>
              <w:rPr>
                <w:rFonts w:ascii="Times New Roman" w:hAnsi="Times New Roman"/>
                <w:highlight w:val="none"/>
              </w:rPr>
            </w:pPr>
            <w:r>
              <w:rPr>
                <w:rFonts w:ascii="Times New Roman" w:hAnsi="Times New Roman"/>
                <w:highlight w:val="none"/>
              </w:rPr>
              <w:t>产生部位</w:t>
            </w:r>
          </w:p>
        </w:tc>
        <w:tc>
          <w:tcPr>
            <w:tcW w:w="1277" w:type="pct"/>
            <w:noWrap w:val="0"/>
            <w:vAlign w:val="center"/>
          </w:tcPr>
          <w:p w14:paraId="55A1A208">
            <w:pPr>
              <w:pStyle w:val="27"/>
              <w:rPr>
                <w:rFonts w:ascii="Times New Roman" w:hAnsi="Times New Roman"/>
                <w:highlight w:val="none"/>
              </w:rPr>
            </w:pPr>
            <w:r>
              <w:rPr>
                <w:rFonts w:ascii="Times New Roman" w:hAnsi="Times New Roman"/>
                <w:highlight w:val="none"/>
              </w:rPr>
              <w:t>主要影响因素</w:t>
            </w:r>
          </w:p>
        </w:tc>
        <w:tc>
          <w:tcPr>
            <w:tcW w:w="1228" w:type="pct"/>
            <w:noWrap w:val="0"/>
            <w:vAlign w:val="center"/>
          </w:tcPr>
          <w:p w14:paraId="2F3CDB04">
            <w:pPr>
              <w:pStyle w:val="27"/>
              <w:rPr>
                <w:rFonts w:ascii="Times New Roman" w:hAnsi="Times New Roman"/>
                <w:highlight w:val="none"/>
              </w:rPr>
            </w:pPr>
            <w:r>
              <w:rPr>
                <w:rFonts w:ascii="Times New Roman" w:hAnsi="Times New Roman"/>
                <w:highlight w:val="none"/>
              </w:rPr>
              <w:t>影响对象</w:t>
            </w:r>
          </w:p>
        </w:tc>
      </w:tr>
      <w:tr w14:paraId="6F5454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restart"/>
            <w:noWrap w:val="0"/>
            <w:vAlign w:val="center"/>
          </w:tcPr>
          <w:p w14:paraId="200C3D77">
            <w:pPr>
              <w:pStyle w:val="27"/>
              <w:rPr>
                <w:rFonts w:ascii="Times New Roman" w:hAnsi="Times New Roman"/>
                <w:highlight w:val="none"/>
              </w:rPr>
            </w:pPr>
            <w:r>
              <w:rPr>
                <w:rFonts w:ascii="Times New Roman" w:hAnsi="Times New Roman"/>
                <w:highlight w:val="none"/>
              </w:rPr>
              <w:t>施工期</w:t>
            </w:r>
          </w:p>
        </w:tc>
        <w:tc>
          <w:tcPr>
            <w:tcW w:w="749" w:type="pct"/>
            <w:noWrap w:val="0"/>
            <w:vAlign w:val="center"/>
          </w:tcPr>
          <w:p w14:paraId="594F066B">
            <w:pPr>
              <w:pStyle w:val="27"/>
              <w:textAlignment w:val="center"/>
              <w:rPr>
                <w:rFonts w:ascii="Times New Roman" w:hAnsi="Times New Roman"/>
                <w:highlight w:val="none"/>
              </w:rPr>
            </w:pPr>
            <w:r>
              <w:rPr>
                <w:rFonts w:ascii="Times New Roman" w:hAnsi="Times New Roman"/>
                <w:highlight w:val="none"/>
              </w:rPr>
              <w:t>噪声</w:t>
            </w:r>
          </w:p>
        </w:tc>
        <w:tc>
          <w:tcPr>
            <w:tcW w:w="1350" w:type="pct"/>
            <w:noWrap w:val="0"/>
            <w:vAlign w:val="center"/>
          </w:tcPr>
          <w:p w14:paraId="20D31B81">
            <w:pPr>
              <w:pStyle w:val="27"/>
              <w:textAlignment w:val="center"/>
              <w:rPr>
                <w:rFonts w:ascii="Times New Roman" w:hAnsi="Times New Roman"/>
                <w:highlight w:val="none"/>
              </w:rPr>
            </w:pPr>
            <w:r>
              <w:rPr>
                <w:rFonts w:ascii="Times New Roman" w:hAnsi="Times New Roman"/>
                <w:highlight w:val="none"/>
              </w:rPr>
              <w:t>施工机械、运输车辆等</w:t>
            </w:r>
          </w:p>
        </w:tc>
        <w:tc>
          <w:tcPr>
            <w:tcW w:w="1277" w:type="pct"/>
            <w:noWrap w:val="0"/>
            <w:vAlign w:val="center"/>
          </w:tcPr>
          <w:p w14:paraId="2C12BD43">
            <w:pPr>
              <w:pStyle w:val="27"/>
              <w:textAlignment w:val="center"/>
              <w:rPr>
                <w:rFonts w:ascii="Times New Roman" w:hAnsi="Times New Roman"/>
                <w:highlight w:val="none"/>
              </w:rPr>
            </w:pPr>
            <w:r>
              <w:rPr>
                <w:rFonts w:ascii="Times New Roman" w:hAnsi="Times New Roman"/>
                <w:highlight w:val="none"/>
              </w:rPr>
              <w:t>机械噪声、车辆噪声</w:t>
            </w:r>
          </w:p>
        </w:tc>
        <w:tc>
          <w:tcPr>
            <w:tcW w:w="1228" w:type="pct"/>
            <w:noWrap w:val="0"/>
            <w:vAlign w:val="center"/>
          </w:tcPr>
          <w:p w14:paraId="4884132C">
            <w:pPr>
              <w:pStyle w:val="27"/>
              <w:textAlignment w:val="center"/>
              <w:rPr>
                <w:rFonts w:ascii="Times New Roman" w:hAnsi="Times New Roman"/>
                <w:highlight w:val="none"/>
              </w:rPr>
            </w:pPr>
            <w:r>
              <w:rPr>
                <w:rFonts w:ascii="Times New Roman" w:hAnsi="Times New Roman"/>
                <w:highlight w:val="none"/>
              </w:rPr>
              <w:t>周围环境敏感点</w:t>
            </w:r>
          </w:p>
        </w:tc>
      </w:tr>
      <w:tr w14:paraId="3DB029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676C2D94">
            <w:pPr>
              <w:pStyle w:val="27"/>
              <w:rPr>
                <w:rFonts w:ascii="Times New Roman" w:hAnsi="Times New Roman"/>
                <w:highlight w:val="none"/>
              </w:rPr>
            </w:pPr>
          </w:p>
        </w:tc>
        <w:tc>
          <w:tcPr>
            <w:tcW w:w="749" w:type="pct"/>
            <w:noWrap w:val="0"/>
            <w:vAlign w:val="center"/>
          </w:tcPr>
          <w:p w14:paraId="7D0A2378">
            <w:pPr>
              <w:pStyle w:val="27"/>
              <w:textAlignment w:val="center"/>
              <w:rPr>
                <w:rFonts w:ascii="Times New Roman" w:hAnsi="Times New Roman"/>
                <w:highlight w:val="none"/>
              </w:rPr>
            </w:pPr>
            <w:r>
              <w:rPr>
                <w:rFonts w:ascii="Times New Roman" w:hAnsi="Times New Roman"/>
                <w:highlight w:val="none"/>
              </w:rPr>
              <w:t>废气</w:t>
            </w:r>
          </w:p>
        </w:tc>
        <w:tc>
          <w:tcPr>
            <w:tcW w:w="1350" w:type="pct"/>
            <w:noWrap w:val="0"/>
            <w:vAlign w:val="center"/>
          </w:tcPr>
          <w:p w14:paraId="151310EF">
            <w:pPr>
              <w:pStyle w:val="27"/>
              <w:textAlignment w:val="center"/>
              <w:rPr>
                <w:rFonts w:ascii="Times New Roman" w:hAnsi="Times New Roman"/>
                <w:highlight w:val="none"/>
              </w:rPr>
            </w:pPr>
            <w:r>
              <w:rPr>
                <w:rFonts w:ascii="Times New Roman" w:hAnsi="Times New Roman"/>
                <w:highlight w:val="none"/>
              </w:rPr>
              <w:t>地面扬尘、建材扬尘等</w:t>
            </w:r>
          </w:p>
        </w:tc>
        <w:tc>
          <w:tcPr>
            <w:tcW w:w="1277" w:type="pct"/>
            <w:noWrap w:val="0"/>
            <w:vAlign w:val="center"/>
          </w:tcPr>
          <w:p w14:paraId="32C05169">
            <w:pPr>
              <w:pStyle w:val="27"/>
              <w:textAlignment w:val="center"/>
              <w:rPr>
                <w:rFonts w:ascii="Times New Roman" w:hAnsi="Times New Roman"/>
                <w:highlight w:val="none"/>
              </w:rPr>
            </w:pPr>
            <w:r>
              <w:rPr>
                <w:rFonts w:ascii="Times New Roman" w:hAnsi="Times New Roman"/>
                <w:highlight w:val="none"/>
              </w:rPr>
              <w:t>颗粒物</w:t>
            </w:r>
          </w:p>
        </w:tc>
        <w:tc>
          <w:tcPr>
            <w:tcW w:w="1228" w:type="pct"/>
            <w:noWrap w:val="0"/>
            <w:vAlign w:val="center"/>
          </w:tcPr>
          <w:p w14:paraId="75320CB4">
            <w:pPr>
              <w:pStyle w:val="27"/>
              <w:textAlignment w:val="center"/>
              <w:rPr>
                <w:rFonts w:ascii="Times New Roman" w:hAnsi="Times New Roman"/>
                <w:highlight w:val="none"/>
              </w:rPr>
            </w:pPr>
            <w:r>
              <w:rPr>
                <w:rFonts w:ascii="Times New Roman" w:hAnsi="Times New Roman"/>
                <w:highlight w:val="none"/>
              </w:rPr>
              <w:t>区域大气环境</w:t>
            </w:r>
          </w:p>
        </w:tc>
      </w:tr>
      <w:tr w14:paraId="18F0C69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1F8D91EC">
            <w:pPr>
              <w:pStyle w:val="27"/>
              <w:rPr>
                <w:rFonts w:ascii="Times New Roman" w:hAnsi="Times New Roman"/>
                <w:highlight w:val="none"/>
              </w:rPr>
            </w:pPr>
          </w:p>
        </w:tc>
        <w:tc>
          <w:tcPr>
            <w:tcW w:w="749" w:type="pct"/>
            <w:noWrap w:val="0"/>
            <w:vAlign w:val="center"/>
          </w:tcPr>
          <w:p w14:paraId="29CE1AC3">
            <w:pPr>
              <w:pStyle w:val="27"/>
              <w:rPr>
                <w:rFonts w:ascii="Times New Roman" w:hAnsi="Times New Roman"/>
                <w:highlight w:val="none"/>
              </w:rPr>
            </w:pPr>
            <w:r>
              <w:rPr>
                <w:rFonts w:ascii="Times New Roman" w:hAnsi="Times New Roman"/>
                <w:highlight w:val="none"/>
              </w:rPr>
              <w:t>固体废物</w:t>
            </w:r>
          </w:p>
        </w:tc>
        <w:tc>
          <w:tcPr>
            <w:tcW w:w="1350" w:type="pct"/>
            <w:noWrap w:val="0"/>
            <w:vAlign w:val="center"/>
          </w:tcPr>
          <w:p w14:paraId="19F4A4CD">
            <w:pPr>
              <w:pStyle w:val="27"/>
              <w:textAlignment w:val="center"/>
              <w:rPr>
                <w:rFonts w:ascii="Times New Roman" w:hAnsi="Times New Roman"/>
                <w:highlight w:val="none"/>
              </w:rPr>
            </w:pPr>
            <w:r>
              <w:rPr>
                <w:rFonts w:hint="eastAsia" w:ascii="Times New Roman" w:hAnsi="Times New Roman"/>
                <w:highlight w:val="none"/>
              </w:rPr>
              <w:t>建筑垃圾、</w:t>
            </w:r>
            <w:r>
              <w:rPr>
                <w:rFonts w:ascii="Times New Roman" w:hAnsi="Times New Roman"/>
                <w:highlight w:val="none"/>
              </w:rPr>
              <w:t>生活垃圾</w:t>
            </w:r>
          </w:p>
        </w:tc>
        <w:tc>
          <w:tcPr>
            <w:tcW w:w="1277" w:type="pct"/>
            <w:noWrap w:val="0"/>
            <w:vAlign w:val="center"/>
          </w:tcPr>
          <w:p w14:paraId="33E4EB93">
            <w:pPr>
              <w:pStyle w:val="27"/>
              <w:textAlignment w:val="center"/>
              <w:rPr>
                <w:rFonts w:ascii="Times New Roman" w:hAnsi="Times New Roman"/>
                <w:highlight w:val="none"/>
              </w:rPr>
            </w:pPr>
            <w:r>
              <w:rPr>
                <w:rFonts w:hint="eastAsia" w:ascii="Times New Roman" w:hAnsi="Times New Roman"/>
                <w:highlight w:val="none"/>
              </w:rPr>
              <w:t>建筑垃圾、</w:t>
            </w:r>
            <w:r>
              <w:rPr>
                <w:rFonts w:ascii="Times New Roman" w:hAnsi="Times New Roman"/>
                <w:highlight w:val="none"/>
              </w:rPr>
              <w:t>生活垃圾</w:t>
            </w:r>
          </w:p>
        </w:tc>
        <w:tc>
          <w:tcPr>
            <w:tcW w:w="1228" w:type="pct"/>
            <w:noWrap w:val="0"/>
            <w:vAlign w:val="center"/>
          </w:tcPr>
          <w:p w14:paraId="3D3B4A6A">
            <w:pPr>
              <w:pStyle w:val="27"/>
              <w:rPr>
                <w:rFonts w:ascii="Times New Roman" w:hAnsi="Times New Roman"/>
                <w:highlight w:val="none"/>
              </w:rPr>
            </w:pPr>
            <w:r>
              <w:rPr>
                <w:rFonts w:ascii="Times New Roman" w:hAnsi="Times New Roman"/>
                <w:highlight w:val="none"/>
              </w:rPr>
              <w:t>区内环境</w:t>
            </w:r>
          </w:p>
        </w:tc>
      </w:tr>
      <w:tr w14:paraId="5E9189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62" w:hRule="atLeast"/>
          <w:jc w:val="center"/>
        </w:trPr>
        <w:tc>
          <w:tcPr>
            <w:tcW w:w="394" w:type="pct"/>
            <w:vMerge w:val="restart"/>
            <w:noWrap w:val="0"/>
            <w:vAlign w:val="center"/>
          </w:tcPr>
          <w:p w14:paraId="495E714F">
            <w:pPr>
              <w:pStyle w:val="27"/>
              <w:rPr>
                <w:rFonts w:ascii="Times New Roman" w:hAnsi="Times New Roman"/>
                <w:highlight w:val="none"/>
              </w:rPr>
            </w:pPr>
            <w:r>
              <w:rPr>
                <w:rFonts w:ascii="Times New Roman" w:hAnsi="Times New Roman"/>
                <w:highlight w:val="none"/>
              </w:rPr>
              <w:t>营运期</w:t>
            </w:r>
          </w:p>
        </w:tc>
        <w:tc>
          <w:tcPr>
            <w:tcW w:w="749" w:type="pct"/>
            <w:noWrap w:val="0"/>
            <w:vAlign w:val="center"/>
          </w:tcPr>
          <w:p w14:paraId="7B3E63D4">
            <w:pPr>
              <w:pStyle w:val="27"/>
              <w:rPr>
                <w:rFonts w:ascii="Times New Roman" w:hAnsi="Times New Roman"/>
                <w:highlight w:val="none"/>
              </w:rPr>
            </w:pPr>
            <w:r>
              <w:rPr>
                <w:rFonts w:ascii="Times New Roman" w:hAnsi="Times New Roman"/>
                <w:highlight w:val="none"/>
              </w:rPr>
              <w:t>大气污染源</w:t>
            </w:r>
          </w:p>
        </w:tc>
        <w:tc>
          <w:tcPr>
            <w:tcW w:w="1350" w:type="pct"/>
            <w:noWrap w:val="0"/>
            <w:vAlign w:val="center"/>
          </w:tcPr>
          <w:p w14:paraId="43A536C0">
            <w:pPr>
              <w:pStyle w:val="27"/>
              <w:rPr>
                <w:rFonts w:ascii="Times New Roman" w:hAnsi="Times New Roman"/>
                <w:highlight w:val="none"/>
              </w:rPr>
            </w:pPr>
            <w:r>
              <w:rPr>
                <w:rFonts w:ascii="Times New Roman" w:hAnsi="Times New Roman"/>
                <w:highlight w:val="none"/>
              </w:rPr>
              <w:t>锅炉烟气</w:t>
            </w:r>
          </w:p>
        </w:tc>
        <w:tc>
          <w:tcPr>
            <w:tcW w:w="1277" w:type="pct"/>
            <w:noWrap w:val="0"/>
            <w:vAlign w:val="center"/>
          </w:tcPr>
          <w:p w14:paraId="3C83AD92">
            <w:pPr>
              <w:pStyle w:val="27"/>
              <w:rPr>
                <w:rFonts w:ascii="Times New Roman" w:hAnsi="Times New Roman"/>
                <w:highlight w:val="none"/>
              </w:rPr>
            </w:pPr>
            <w:r>
              <w:rPr>
                <w:rFonts w:hint="eastAsia" w:ascii="Times New Roman" w:hAnsi="Times New Roman"/>
                <w:highlight w:val="none"/>
              </w:rPr>
              <w:t>烟尘</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、汞及其化合物</w:t>
            </w:r>
            <w:r>
              <w:rPr>
                <w:rFonts w:hint="eastAsia" w:ascii="Times New Roman" w:hAnsi="Times New Roman"/>
                <w:highlight w:val="none"/>
              </w:rPr>
              <w:t>、烟气黑度、</w:t>
            </w:r>
            <w:r>
              <w:rPr>
                <w:rFonts w:ascii="Times New Roman" w:hAnsi="Times New Roman"/>
                <w:highlight w:val="none"/>
              </w:rPr>
              <w:t>NH</w:t>
            </w:r>
            <w:r>
              <w:rPr>
                <w:rFonts w:ascii="Times New Roman" w:hAnsi="Times New Roman"/>
                <w:highlight w:val="none"/>
                <w:vertAlign w:val="subscript"/>
              </w:rPr>
              <w:t>3</w:t>
            </w:r>
          </w:p>
        </w:tc>
        <w:tc>
          <w:tcPr>
            <w:tcW w:w="1228" w:type="pct"/>
            <w:noWrap w:val="0"/>
            <w:vAlign w:val="center"/>
          </w:tcPr>
          <w:p w14:paraId="6C491882">
            <w:pPr>
              <w:pStyle w:val="27"/>
              <w:rPr>
                <w:rFonts w:ascii="Times New Roman" w:hAnsi="Times New Roman"/>
                <w:highlight w:val="none"/>
              </w:rPr>
            </w:pPr>
            <w:r>
              <w:rPr>
                <w:rFonts w:ascii="Times New Roman" w:hAnsi="Times New Roman"/>
                <w:highlight w:val="none"/>
              </w:rPr>
              <w:t>区域大气环境</w:t>
            </w:r>
          </w:p>
        </w:tc>
      </w:tr>
      <w:tr w14:paraId="5C1453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22E92A0B">
            <w:pPr>
              <w:pStyle w:val="27"/>
              <w:rPr>
                <w:rFonts w:ascii="Times New Roman" w:hAnsi="Times New Roman"/>
                <w:highlight w:val="none"/>
              </w:rPr>
            </w:pPr>
          </w:p>
        </w:tc>
        <w:tc>
          <w:tcPr>
            <w:tcW w:w="749" w:type="pct"/>
            <w:noWrap w:val="0"/>
            <w:vAlign w:val="center"/>
          </w:tcPr>
          <w:p w14:paraId="58A77C56">
            <w:pPr>
              <w:pStyle w:val="27"/>
              <w:rPr>
                <w:rFonts w:ascii="Times New Roman" w:hAnsi="Times New Roman"/>
                <w:highlight w:val="none"/>
              </w:rPr>
            </w:pPr>
            <w:r>
              <w:rPr>
                <w:rFonts w:ascii="Times New Roman" w:hAnsi="Times New Roman"/>
                <w:highlight w:val="none"/>
              </w:rPr>
              <w:t>噪声污染源</w:t>
            </w:r>
          </w:p>
        </w:tc>
        <w:tc>
          <w:tcPr>
            <w:tcW w:w="1350" w:type="pct"/>
            <w:noWrap w:val="0"/>
            <w:vAlign w:val="center"/>
          </w:tcPr>
          <w:p w14:paraId="5BE24E09">
            <w:pPr>
              <w:pStyle w:val="27"/>
              <w:rPr>
                <w:rFonts w:ascii="Times New Roman" w:hAnsi="Times New Roman"/>
                <w:highlight w:val="none"/>
              </w:rPr>
            </w:pPr>
            <w:r>
              <w:rPr>
                <w:rFonts w:ascii="Times New Roman" w:hAnsi="Times New Roman"/>
                <w:highlight w:val="none"/>
              </w:rPr>
              <w:t>各类风机、泵噪声等</w:t>
            </w:r>
          </w:p>
        </w:tc>
        <w:tc>
          <w:tcPr>
            <w:tcW w:w="1277" w:type="pct"/>
            <w:noWrap w:val="0"/>
            <w:vAlign w:val="center"/>
          </w:tcPr>
          <w:p w14:paraId="5E67AC10">
            <w:pPr>
              <w:pStyle w:val="27"/>
              <w:rPr>
                <w:rFonts w:ascii="Times New Roman" w:hAnsi="Times New Roman"/>
                <w:highlight w:val="none"/>
              </w:rPr>
            </w:pPr>
            <w:r>
              <w:rPr>
                <w:rFonts w:ascii="Times New Roman" w:hAnsi="Times New Roman"/>
                <w:highlight w:val="none"/>
              </w:rPr>
              <w:t>各类风机、泵噪声等</w:t>
            </w:r>
          </w:p>
        </w:tc>
        <w:tc>
          <w:tcPr>
            <w:tcW w:w="1228" w:type="pct"/>
            <w:noWrap w:val="0"/>
            <w:vAlign w:val="center"/>
          </w:tcPr>
          <w:p w14:paraId="162EBDE7">
            <w:pPr>
              <w:pStyle w:val="27"/>
              <w:rPr>
                <w:rFonts w:ascii="Times New Roman" w:hAnsi="Times New Roman"/>
                <w:highlight w:val="none"/>
              </w:rPr>
            </w:pPr>
            <w:r>
              <w:rPr>
                <w:rFonts w:ascii="Times New Roman" w:hAnsi="Times New Roman"/>
                <w:highlight w:val="none"/>
              </w:rPr>
              <w:t>周围环境敏感点</w:t>
            </w:r>
          </w:p>
        </w:tc>
      </w:tr>
      <w:tr w14:paraId="7AA0A1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0EF8F65D">
            <w:pPr>
              <w:pStyle w:val="27"/>
              <w:rPr>
                <w:rFonts w:ascii="Times New Roman" w:hAnsi="Times New Roman"/>
                <w:highlight w:val="none"/>
              </w:rPr>
            </w:pPr>
          </w:p>
        </w:tc>
        <w:tc>
          <w:tcPr>
            <w:tcW w:w="749" w:type="pct"/>
            <w:vMerge w:val="restart"/>
            <w:noWrap w:val="0"/>
            <w:vAlign w:val="center"/>
          </w:tcPr>
          <w:p w14:paraId="3392AD24">
            <w:pPr>
              <w:pStyle w:val="27"/>
              <w:rPr>
                <w:rFonts w:ascii="Times New Roman" w:hAnsi="Times New Roman"/>
                <w:highlight w:val="none"/>
              </w:rPr>
            </w:pPr>
            <w:r>
              <w:rPr>
                <w:rFonts w:ascii="Times New Roman" w:hAnsi="Times New Roman"/>
                <w:highlight w:val="none"/>
              </w:rPr>
              <w:t>固体废物</w:t>
            </w:r>
          </w:p>
        </w:tc>
        <w:tc>
          <w:tcPr>
            <w:tcW w:w="1350" w:type="pct"/>
            <w:noWrap w:val="0"/>
            <w:vAlign w:val="center"/>
          </w:tcPr>
          <w:p w14:paraId="43EF79FD">
            <w:pPr>
              <w:pStyle w:val="27"/>
              <w:rPr>
                <w:rFonts w:ascii="Times New Roman" w:hAnsi="Times New Roman"/>
                <w:highlight w:val="none"/>
              </w:rPr>
            </w:pPr>
            <w:r>
              <w:rPr>
                <w:rFonts w:ascii="Times New Roman" w:hAnsi="Times New Roman"/>
                <w:highlight w:val="none"/>
              </w:rPr>
              <w:t>生产过程</w:t>
            </w:r>
          </w:p>
        </w:tc>
        <w:tc>
          <w:tcPr>
            <w:tcW w:w="1277" w:type="pct"/>
            <w:noWrap w:val="0"/>
            <w:vAlign w:val="center"/>
          </w:tcPr>
          <w:p w14:paraId="4A57C51A">
            <w:pPr>
              <w:pStyle w:val="27"/>
              <w:rPr>
                <w:rFonts w:ascii="Times New Roman" w:hAnsi="Times New Roman"/>
                <w:highlight w:val="none"/>
              </w:rPr>
            </w:pPr>
            <w:r>
              <w:rPr>
                <w:rFonts w:ascii="Times New Roman" w:hAnsi="Times New Roman"/>
                <w:highlight w:val="none"/>
              </w:rPr>
              <w:t>灰渣（炉灰、炉渣）</w:t>
            </w:r>
            <w:r>
              <w:rPr>
                <w:rFonts w:hint="eastAsia" w:ascii="Times New Roman" w:hAnsi="Times New Roman"/>
                <w:highlight w:val="none"/>
              </w:rPr>
              <w:t>、脱硫石膏</w:t>
            </w:r>
          </w:p>
        </w:tc>
        <w:tc>
          <w:tcPr>
            <w:tcW w:w="1228" w:type="pct"/>
            <w:vMerge w:val="restart"/>
            <w:noWrap w:val="0"/>
            <w:vAlign w:val="center"/>
          </w:tcPr>
          <w:p w14:paraId="5FF0B113">
            <w:pPr>
              <w:pStyle w:val="27"/>
              <w:rPr>
                <w:rFonts w:ascii="Times New Roman" w:hAnsi="Times New Roman"/>
                <w:highlight w:val="none"/>
              </w:rPr>
            </w:pPr>
            <w:r>
              <w:rPr>
                <w:rFonts w:ascii="Times New Roman" w:hAnsi="Times New Roman"/>
                <w:highlight w:val="none"/>
              </w:rPr>
              <w:t>区内环境</w:t>
            </w:r>
          </w:p>
        </w:tc>
      </w:tr>
      <w:tr w14:paraId="6DC2E8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5364BF9A">
            <w:pPr>
              <w:pStyle w:val="27"/>
              <w:rPr>
                <w:rFonts w:ascii="Times New Roman" w:hAnsi="Times New Roman"/>
                <w:highlight w:val="none"/>
              </w:rPr>
            </w:pPr>
          </w:p>
        </w:tc>
        <w:tc>
          <w:tcPr>
            <w:tcW w:w="749" w:type="pct"/>
            <w:vMerge w:val="continue"/>
            <w:noWrap w:val="0"/>
            <w:vAlign w:val="center"/>
          </w:tcPr>
          <w:p w14:paraId="13A20457">
            <w:pPr>
              <w:pStyle w:val="27"/>
              <w:rPr>
                <w:rFonts w:ascii="Times New Roman" w:hAnsi="Times New Roman"/>
                <w:highlight w:val="none"/>
              </w:rPr>
            </w:pPr>
          </w:p>
        </w:tc>
        <w:tc>
          <w:tcPr>
            <w:tcW w:w="1350" w:type="pct"/>
            <w:noWrap w:val="0"/>
            <w:vAlign w:val="center"/>
          </w:tcPr>
          <w:p w14:paraId="602A8782">
            <w:pPr>
              <w:pStyle w:val="27"/>
              <w:rPr>
                <w:rFonts w:ascii="Times New Roman" w:hAnsi="Times New Roman"/>
                <w:highlight w:val="none"/>
              </w:rPr>
            </w:pPr>
            <w:r>
              <w:rPr>
                <w:rFonts w:ascii="Times New Roman" w:hAnsi="Times New Roman"/>
                <w:highlight w:val="none"/>
              </w:rPr>
              <w:t>布袋除尘器</w:t>
            </w:r>
          </w:p>
        </w:tc>
        <w:tc>
          <w:tcPr>
            <w:tcW w:w="1277" w:type="pct"/>
            <w:noWrap w:val="0"/>
            <w:vAlign w:val="center"/>
          </w:tcPr>
          <w:p w14:paraId="6871FAC8">
            <w:pPr>
              <w:pStyle w:val="27"/>
              <w:rPr>
                <w:rFonts w:ascii="Times New Roman" w:hAnsi="Times New Roman"/>
                <w:highlight w:val="none"/>
              </w:rPr>
            </w:pPr>
            <w:r>
              <w:rPr>
                <w:rFonts w:ascii="Times New Roman" w:hAnsi="Times New Roman"/>
                <w:highlight w:val="none"/>
              </w:rPr>
              <w:t>布袋收集粉尘</w:t>
            </w:r>
          </w:p>
        </w:tc>
        <w:tc>
          <w:tcPr>
            <w:tcW w:w="1228" w:type="pct"/>
            <w:vMerge w:val="continue"/>
            <w:noWrap w:val="0"/>
            <w:vAlign w:val="center"/>
          </w:tcPr>
          <w:p w14:paraId="211CA80B">
            <w:pPr>
              <w:pStyle w:val="27"/>
              <w:rPr>
                <w:rFonts w:ascii="Times New Roman" w:hAnsi="Times New Roman"/>
                <w:highlight w:val="none"/>
              </w:rPr>
            </w:pPr>
          </w:p>
        </w:tc>
      </w:tr>
      <w:tr w14:paraId="6A1B1C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94" w:type="pct"/>
            <w:vMerge w:val="continue"/>
            <w:noWrap w:val="0"/>
            <w:vAlign w:val="center"/>
          </w:tcPr>
          <w:p w14:paraId="1F3FB00A">
            <w:pPr>
              <w:pStyle w:val="27"/>
              <w:rPr>
                <w:rFonts w:ascii="Times New Roman" w:hAnsi="Times New Roman"/>
                <w:highlight w:val="none"/>
              </w:rPr>
            </w:pPr>
          </w:p>
        </w:tc>
        <w:tc>
          <w:tcPr>
            <w:tcW w:w="749" w:type="pct"/>
            <w:noWrap w:val="0"/>
            <w:vAlign w:val="center"/>
          </w:tcPr>
          <w:p w14:paraId="3946DB83">
            <w:pPr>
              <w:pStyle w:val="27"/>
              <w:rPr>
                <w:rFonts w:hint="eastAsia" w:ascii="Times New Roman" w:hAnsi="Times New Roman" w:eastAsia="新宋体"/>
                <w:highlight w:val="none"/>
                <w:lang w:val="en-US" w:eastAsia="zh-CN"/>
              </w:rPr>
            </w:pPr>
            <w:r>
              <w:rPr>
                <w:rFonts w:hint="eastAsia" w:ascii="Times New Roman" w:hAnsi="Times New Roman"/>
                <w:highlight w:val="none"/>
                <w:lang w:val="en-US" w:eastAsia="zh-CN"/>
              </w:rPr>
              <w:t>危险废物</w:t>
            </w:r>
          </w:p>
        </w:tc>
        <w:tc>
          <w:tcPr>
            <w:tcW w:w="1350" w:type="pct"/>
            <w:noWrap w:val="0"/>
            <w:vAlign w:val="center"/>
          </w:tcPr>
          <w:p w14:paraId="46C9C859">
            <w:pPr>
              <w:pStyle w:val="27"/>
              <w:rPr>
                <w:rFonts w:hint="eastAsia" w:ascii="Times New Roman" w:hAnsi="Times New Roman" w:eastAsia="新宋体"/>
                <w:highlight w:val="none"/>
                <w:lang w:val="en-US" w:eastAsia="zh-CN"/>
              </w:rPr>
            </w:pPr>
            <w:r>
              <w:rPr>
                <w:rFonts w:hint="eastAsia" w:ascii="Times New Roman" w:hAnsi="Times New Roman"/>
                <w:highlight w:val="none"/>
                <w:lang w:val="en-US" w:eastAsia="zh-CN"/>
              </w:rPr>
              <w:t>生产过程</w:t>
            </w:r>
          </w:p>
        </w:tc>
        <w:tc>
          <w:tcPr>
            <w:tcW w:w="1277" w:type="pct"/>
            <w:noWrap w:val="0"/>
            <w:vAlign w:val="center"/>
          </w:tcPr>
          <w:p w14:paraId="0876BDDF">
            <w:pPr>
              <w:pStyle w:val="27"/>
              <w:rPr>
                <w:rFonts w:hint="default" w:ascii="Times New Roman" w:hAnsi="Times New Roman" w:eastAsia="新宋体"/>
                <w:highlight w:val="none"/>
                <w:lang w:val="en-US" w:eastAsia="zh-CN"/>
              </w:rPr>
            </w:pPr>
            <w:r>
              <w:rPr>
                <w:rFonts w:hint="eastAsia" w:ascii="Times New Roman" w:hAnsi="Times New Roman"/>
                <w:highlight w:val="none"/>
                <w:lang w:val="en-US" w:eastAsia="zh-CN"/>
              </w:rPr>
              <w:t>废催化剂、废机油</w:t>
            </w:r>
          </w:p>
        </w:tc>
        <w:tc>
          <w:tcPr>
            <w:tcW w:w="1228" w:type="pct"/>
            <w:vMerge w:val="continue"/>
            <w:noWrap w:val="0"/>
            <w:vAlign w:val="center"/>
          </w:tcPr>
          <w:p w14:paraId="497F1D58">
            <w:pPr>
              <w:pStyle w:val="27"/>
              <w:rPr>
                <w:rFonts w:ascii="Times New Roman" w:hAnsi="Times New Roman"/>
                <w:highlight w:val="none"/>
              </w:rPr>
            </w:pPr>
          </w:p>
        </w:tc>
      </w:tr>
      <w:bookmarkEnd w:id="73"/>
      <w:bookmarkEnd w:id="74"/>
      <w:bookmarkEnd w:id="75"/>
    </w:tbl>
    <w:p w14:paraId="1AD1C529">
      <w:pPr>
        <w:pStyle w:val="5"/>
        <w:bidi w:val="0"/>
        <w:ind w:left="0" w:leftChars="0" w:firstLine="0" w:firstLineChars="0"/>
        <w:rPr>
          <w:rFonts w:hint="eastAsia"/>
          <w:highlight w:val="none"/>
          <w:lang w:val="en-US" w:eastAsia="zh-CN"/>
        </w:rPr>
      </w:pPr>
      <w:bookmarkStart w:id="76" w:name="_Toc30880"/>
      <w:r>
        <w:rPr>
          <w:rFonts w:hint="eastAsia"/>
          <w:highlight w:val="none"/>
          <w:lang w:val="en-US" w:eastAsia="zh-CN"/>
        </w:rPr>
        <w:t>3.2.2施工期污染环节及污染因素分析</w:t>
      </w:r>
      <w:bookmarkEnd w:id="76"/>
    </w:p>
    <w:p w14:paraId="67F2C2C4">
      <w:pPr>
        <w:ind w:firstLine="480"/>
        <w:rPr>
          <w:rFonts w:ascii="Times New Roman" w:hAnsi="Times New Roman"/>
          <w:highlight w:val="none"/>
        </w:rPr>
      </w:pPr>
      <w:r>
        <w:rPr>
          <w:rFonts w:ascii="Times New Roman" w:hAnsi="Times New Roman"/>
          <w:highlight w:val="none"/>
        </w:rPr>
        <w:t>施工期主要建设内容为</w:t>
      </w:r>
      <w:r>
        <w:rPr>
          <w:rFonts w:hint="eastAsia" w:ascii="Times New Roman" w:hAnsi="Times New Roman"/>
          <w:highlight w:val="none"/>
          <w:lang w:val="en-US" w:eastAsia="zh-CN"/>
        </w:rPr>
        <w:t>建设</w:t>
      </w:r>
      <w:r>
        <w:rPr>
          <w:rFonts w:ascii="Times New Roman" w:hAnsi="Times New Roman"/>
          <w:highlight w:val="none"/>
        </w:rPr>
        <w:t>锅炉房、安装锅炉</w:t>
      </w:r>
      <w:r>
        <w:rPr>
          <w:rFonts w:hint="eastAsia" w:ascii="Times New Roman" w:hAnsi="Times New Roman"/>
          <w:highlight w:val="none"/>
        </w:rPr>
        <w:t>、</w:t>
      </w:r>
      <w:r>
        <w:rPr>
          <w:rFonts w:hint="eastAsia" w:ascii="Times New Roman" w:hAnsi="Times New Roman"/>
          <w:highlight w:val="none"/>
          <w:lang w:val="en-US" w:eastAsia="zh-CN"/>
        </w:rPr>
        <w:t>储煤场</w:t>
      </w:r>
      <w:r>
        <w:rPr>
          <w:rFonts w:ascii="Times New Roman" w:hAnsi="Times New Roman"/>
          <w:highlight w:val="none"/>
        </w:rPr>
        <w:t>及其配套设施、安装脱硫脱硝除尘设备及其配套设</w:t>
      </w:r>
      <w:r>
        <w:rPr>
          <w:rFonts w:hint="eastAsia" w:ascii="Times New Roman" w:hAnsi="Times New Roman"/>
          <w:highlight w:val="none"/>
          <w:lang w:val="en-US" w:eastAsia="zh-CN"/>
        </w:rPr>
        <w:t>备</w:t>
      </w:r>
      <w:r>
        <w:rPr>
          <w:rFonts w:ascii="Times New Roman" w:hAnsi="Times New Roman"/>
          <w:highlight w:val="none"/>
        </w:rPr>
        <w:t>。施工步骤大致为基础施工、结构施工、设备安装等，直至建成后投入使用。</w:t>
      </w:r>
      <w:r>
        <w:rPr>
          <w:rFonts w:hint="eastAsia" w:ascii="Times New Roman" w:hAnsi="Times New Roman"/>
          <w:highlight w:val="none"/>
          <w:lang w:val="en-US" w:eastAsia="zh-CN"/>
        </w:rPr>
        <w:t>本项目目前均已建设完成。</w:t>
      </w:r>
      <w:r>
        <w:rPr>
          <w:rFonts w:ascii="Times New Roman" w:hAnsi="Times New Roman"/>
          <w:highlight w:val="none"/>
        </w:rPr>
        <w:t>具体施工工艺及产污环节见图3.2-1。</w:t>
      </w:r>
    </w:p>
    <w:p w14:paraId="6C67CC4E">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5270500" cy="1561465"/>
            <wp:effectExtent l="0" t="0" r="6350" b="635"/>
            <wp:docPr id="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
                    <pic:cNvPicPr>
                      <a:picLocks noChangeAspect="1"/>
                    </pic:cNvPicPr>
                  </pic:nvPicPr>
                  <pic:blipFill>
                    <a:blip r:embed="rId19"/>
                    <a:stretch>
                      <a:fillRect/>
                    </a:stretch>
                  </pic:blipFill>
                  <pic:spPr>
                    <a:xfrm>
                      <a:off x="0" y="0"/>
                      <a:ext cx="5270500" cy="1561465"/>
                    </a:xfrm>
                    <a:prstGeom prst="rect">
                      <a:avLst/>
                    </a:prstGeom>
                    <a:noFill/>
                    <a:ln>
                      <a:noFill/>
                    </a:ln>
                  </pic:spPr>
                </pic:pic>
              </a:graphicData>
            </a:graphic>
          </wp:inline>
        </w:drawing>
      </w:r>
    </w:p>
    <w:p w14:paraId="34E73AC0">
      <w:pPr>
        <w:jc w:val="center"/>
        <w:rPr>
          <w:highlight w:val="none"/>
        </w:rPr>
      </w:pPr>
      <w:r>
        <w:rPr>
          <w:rFonts w:ascii="Times New Roman" w:hAnsi="Times New Roman"/>
          <w:b/>
          <w:bCs/>
          <w:highlight w:val="none"/>
        </w:rPr>
        <w:t>图3.2-1施工工艺流程及产污环节图</w:t>
      </w:r>
    </w:p>
    <w:p w14:paraId="52879275">
      <w:pPr>
        <w:pStyle w:val="6"/>
        <w:bidi w:val="0"/>
        <w:ind w:left="0" w:leftChars="0" w:firstLine="0" w:firstLineChars="0"/>
        <w:rPr>
          <w:rFonts w:hint="eastAsia"/>
          <w:highlight w:val="none"/>
          <w:lang w:val="en-US" w:eastAsia="zh-CN"/>
        </w:rPr>
      </w:pPr>
      <w:r>
        <w:rPr>
          <w:rFonts w:hint="eastAsia"/>
          <w:highlight w:val="none"/>
          <w:lang w:val="en-US" w:eastAsia="zh-CN"/>
        </w:rPr>
        <w:t>3.2.2.1废水</w:t>
      </w:r>
    </w:p>
    <w:p w14:paraId="3FA2487A">
      <w:pPr>
        <w:rPr>
          <w:rFonts w:hint="default" w:ascii="Times New Roman" w:hAnsi="Times New Roman" w:eastAsia="宋体"/>
          <w:highlight w:val="none"/>
          <w:lang w:val="en-US" w:eastAsia="zh-CN"/>
        </w:rPr>
      </w:pPr>
      <w:r>
        <w:rPr>
          <w:rFonts w:ascii="Times New Roman" w:hAnsi="Times New Roman"/>
          <w:highlight w:val="none"/>
        </w:rPr>
        <w:t>项目施工废水主要为施工人员生活污水。施工高峰期施工人员约</w:t>
      </w:r>
      <w:r>
        <w:rPr>
          <w:rFonts w:hint="eastAsia" w:ascii="Times New Roman" w:hAnsi="Times New Roman"/>
          <w:highlight w:val="none"/>
          <w:lang w:val="en-US" w:eastAsia="zh-CN"/>
        </w:rPr>
        <w:t>2</w:t>
      </w:r>
      <w:r>
        <w:rPr>
          <w:rFonts w:ascii="Times New Roman" w:hAnsi="Times New Roman"/>
          <w:highlight w:val="none"/>
        </w:rPr>
        <w:t>0人，生活用水标准为50L/人·d，则施工人员用水量约</w:t>
      </w:r>
      <w:r>
        <w:rPr>
          <w:rFonts w:hint="eastAsia" w:ascii="Times New Roman" w:hAnsi="Times New Roman"/>
          <w:highlight w:val="none"/>
          <w:lang w:val="en-US" w:eastAsia="zh-CN"/>
        </w:rPr>
        <w:t>1</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/d，排水量约</w:t>
      </w:r>
      <w:r>
        <w:rPr>
          <w:rFonts w:hint="eastAsia" w:ascii="Times New Roman" w:hAnsi="Times New Roman"/>
          <w:highlight w:val="none"/>
          <w:lang w:val="en-US" w:eastAsia="zh-CN"/>
        </w:rPr>
        <w:t>0.8</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/d（</w:t>
      </w:r>
      <w:r>
        <w:rPr>
          <w:rFonts w:hint="eastAsia" w:ascii="Times New Roman" w:hAnsi="Times New Roman"/>
          <w:highlight w:val="none"/>
          <w:lang w:val="en-US" w:eastAsia="zh-CN"/>
        </w:rPr>
        <w:t>24</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/施工期）。施工生活污水中主要污染物为COD、BOD</w:t>
      </w:r>
      <w:r>
        <w:rPr>
          <w:rFonts w:ascii="Times New Roman" w:hAnsi="Times New Roman"/>
          <w:highlight w:val="none"/>
          <w:vertAlign w:val="subscript"/>
        </w:rPr>
        <w:t>5</w:t>
      </w:r>
      <w:r>
        <w:rPr>
          <w:rFonts w:ascii="Times New Roman" w:hAnsi="Times New Roman"/>
          <w:highlight w:val="none"/>
        </w:rPr>
        <w:t>、SS、NH</w:t>
      </w:r>
      <w:r>
        <w:rPr>
          <w:rFonts w:ascii="Times New Roman" w:hAnsi="Times New Roman"/>
          <w:highlight w:val="none"/>
          <w:vertAlign w:val="subscript"/>
        </w:rPr>
        <w:t>3</w:t>
      </w:r>
      <w:r>
        <w:rPr>
          <w:rFonts w:ascii="Times New Roman" w:hAnsi="Times New Roman"/>
          <w:highlight w:val="none"/>
        </w:rPr>
        <w:t>-N，其浓度分别为400mg/L、300mg/L、80mg/L、30mg/L，对应污染物产生量为</w:t>
      </w:r>
      <w:r>
        <w:rPr>
          <w:rFonts w:hint="eastAsia" w:ascii="Times New Roman" w:hAnsi="Times New Roman"/>
          <w:highlight w:val="none"/>
          <w:lang w:val="en-US" w:eastAsia="zh-CN"/>
        </w:rPr>
        <w:t>0.0096</w:t>
      </w:r>
      <w:r>
        <w:rPr>
          <w:rFonts w:ascii="Times New Roman" w:hAnsi="Times New Roman"/>
          <w:highlight w:val="none"/>
        </w:rPr>
        <w:t>t/施工期、</w:t>
      </w:r>
      <w:r>
        <w:rPr>
          <w:rFonts w:hint="eastAsia" w:ascii="Times New Roman" w:hAnsi="Times New Roman"/>
          <w:highlight w:val="none"/>
          <w:lang w:val="en-US" w:eastAsia="zh-CN"/>
        </w:rPr>
        <w:t>0.0072</w:t>
      </w:r>
      <w:r>
        <w:rPr>
          <w:rFonts w:ascii="Times New Roman" w:hAnsi="Times New Roman"/>
          <w:highlight w:val="none"/>
        </w:rPr>
        <w:t>t/施工期、</w:t>
      </w:r>
      <w:r>
        <w:rPr>
          <w:rFonts w:hint="eastAsia" w:ascii="Times New Roman" w:hAnsi="Times New Roman"/>
          <w:highlight w:val="none"/>
          <w:lang w:val="en-US" w:eastAsia="zh-CN"/>
        </w:rPr>
        <w:t>0.0019</w:t>
      </w:r>
      <w:r>
        <w:rPr>
          <w:rFonts w:ascii="Times New Roman" w:hAnsi="Times New Roman"/>
          <w:highlight w:val="none"/>
        </w:rPr>
        <w:t>t/施工期、</w:t>
      </w:r>
      <w:r>
        <w:rPr>
          <w:rFonts w:hint="eastAsia" w:ascii="Times New Roman" w:hAnsi="Times New Roman"/>
          <w:highlight w:val="none"/>
          <w:lang w:val="en-US" w:eastAsia="zh-CN"/>
        </w:rPr>
        <w:t>0.00072</w:t>
      </w:r>
      <w:r>
        <w:rPr>
          <w:rFonts w:ascii="Times New Roman" w:hAnsi="Times New Roman"/>
          <w:highlight w:val="none"/>
        </w:rPr>
        <w:t>t/施工期。施工人员的生活污水排入厂区现有</w:t>
      </w:r>
      <w:r>
        <w:rPr>
          <w:rFonts w:hint="eastAsia" w:ascii="Times New Roman" w:hAnsi="Times New Roman"/>
          <w:highlight w:val="none"/>
        </w:rPr>
        <w:t>排水管网</w:t>
      </w:r>
      <w:r>
        <w:rPr>
          <w:rFonts w:ascii="Times New Roman" w:hAnsi="Times New Roman"/>
          <w:highlight w:val="none"/>
        </w:rPr>
        <w:t>，</w:t>
      </w:r>
      <w:r>
        <w:rPr>
          <w:rFonts w:hint="eastAsia"/>
          <w:highlight w:val="none"/>
          <w:lang w:val="en-US" w:eastAsia="zh-CN"/>
        </w:rPr>
        <w:t>排入市政管网，经污水管网排入绥芬河中环污水处理有限公司（排污许可证 编号：91231081692616585X001Z），处理达到《城镇污水处理厂污染物排放标准》(GB18918—2002)一级B标准后最终汇入小绥芬河。</w:t>
      </w:r>
      <w:r>
        <w:rPr>
          <w:rFonts w:ascii="Times New Roman" w:hAnsi="Times New Roman"/>
          <w:highlight w:val="none"/>
        </w:rPr>
        <w:t>施工场地设置临时沉淀池处理施工废水，经处理后回用于道路降尘洒水。</w:t>
      </w:r>
      <w:r>
        <w:rPr>
          <w:rFonts w:hint="eastAsia" w:ascii="Times New Roman" w:hAnsi="Times New Roman"/>
          <w:highlight w:val="none"/>
          <w:lang w:val="en-US" w:eastAsia="zh-CN"/>
        </w:rPr>
        <w:t>本项目目前以建设完成。</w:t>
      </w:r>
    </w:p>
    <w:p w14:paraId="1902A597">
      <w:pPr>
        <w:pStyle w:val="6"/>
        <w:bidi w:val="0"/>
        <w:ind w:left="0" w:leftChars="0" w:firstLine="0" w:firstLineChars="0"/>
        <w:rPr>
          <w:rFonts w:hint="eastAsia"/>
          <w:highlight w:val="none"/>
          <w:lang w:val="en-US" w:eastAsia="zh-CN"/>
        </w:rPr>
      </w:pPr>
      <w:r>
        <w:rPr>
          <w:rFonts w:hint="eastAsia"/>
          <w:highlight w:val="none"/>
          <w:lang w:val="en-US" w:eastAsia="zh-CN"/>
        </w:rPr>
        <w:t>3.2.2.2废气</w:t>
      </w:r>
    </w:p>
    <w:p w14:paraId="61BBFC4E">
      <w:pPr>
        <w:rPr>
          <w:rFonts w:ascii="Times New Roman" w:hAnsi="Times New Roman"/>
          <w:highlight w:val="none"/>
        </w:rPr>
      </w:pPr>
      <w:r>
        <w:rPr>
          <w:rFonts w:ascii="Times New Roman" w:hAnsi="Times New Roman"/>
          <w:highlight w:val="none"/>
        </w:rPr>
        <w:t>施工废气主要来源于施工场地平整、机械车辆运输过程产生的扬尘，以及施工机械排放的烟气，主要污染物为颗粒物、CO、NOx、烟尘等。施工废气主要呈无组织排放。由于施工期较短，废气污染源具有间歇性和流动性。施工废气影响较小，随施工期结束而终止。</w:t>
      </w:r>
    </w:p>
    <w:p w14:paraId="4DAAB403">
      <w:pPr>
        <w:pStyle w:val="6"/>
        <w:bidi w:val="0"/>
        <w:ind w:left="0" w:leftChars="0" w:firstLine="0" w:firstLineChars="0"/>
        <w:rPr>
          <w:rFonts w:hint="eastAsia"/>
          <w:highlight w:val="none"/>
          <w:lang w:val="en-US" w:eastAsia="zh-CN"/>
        </w:rPr>
      </w:pPr>
      <w:r>
        <w:rPr>
          <w:rFonts w:hint="eastAsia"/>
          <w:highlight w:val="none"/>
          <w:lang w:val="en-US" w:eastAsia="zh-CN"/>
        </w:rPr>
        <w:t>3.2.2.3噪声</w:t>
      </w:r>
    </w:p>
    <w:p w14:paraId="3AD717A7">
      <w:pPr>
        <w:pStyle w:val="7"/>
        <w:ind w:firstLine="480"/>
        <w:rPr>
          <w:rFonts w:ascii="Times New Roman" w:hAnsi="Times New Roman"/>
          <w:highlight w:val="none"/>
        </w:rPr>
      </w:pPr>
      <w:r>
        <w:rPr>
          <w:rFonts w:ascii="Times New Roman" w:hAnsi="Times New Roman"/>
          <w:highlight w:val="none"/>
        </w:rPr>
        <w:t>施工期主要噪声源为安装设备、建筑机械和车辆运输产生噪声，噪声源为80~ 90dB(A)。该些施工机械一般为间歇性工作，持续时间较短，影响具有明显的时限性。施工期结束后，工程噪声的影响也随即终止。</w:t>
      </w:r>
    </w:p>
    <w:p w14:paraId="6F31C956">
      <w:pPr>
        <w:pStyle w:val="6"/>
        <w:bidi w:val="0"/>
        <w:ind w:left="0" w:leftChars="0" w:firstLine="0" w:firstLineChars="0"/>
        <w:rPr>
          <w:rFonts w:hint="eastAsia"/>
          <w:highlight w:val="none"/>
          <w:lang w:val="en-US" w:eastAsia="zh-CN"/>
        </w:rPr>
      </w:pPr>
      <w:r>
        <w:rPr>
          <w:rFonts w:hint="eastAsia"/>
          <w:highlight w:val="none"/>
          <w:lang w:val="en-US" w:eastAsia="zh-CN"/>
        </w:rPr>
        <w:t>3.2.2.4固废</w:t>
      </w:r>
    </w:p>
    <w:p w14:paraId="1B0CC22B">
      <w:pPr>
        <w:rPr>
          <w:rFonts w:hint="eastAsia" w:ascii="Times New Roman" w:hAnsi="Times New Roman"/>
          <w:highlight w:val="none"/>
        </w:rPr>
      </w:pPr>
      <w:r>
        <w:rPr>
          <w:rFonts w:ascii="Times New Roman" w:hAnsi="Times New Roman"/>
          <w:highlight w:val="none"/>
        </w:rPr>
        <w:t>施工期固废主要为施工人员生活垃圾、建筑弃渣。项目场地实现场内土石方平衡，无弃方量。施工人员生活垃圾按0.5kg/人.d算，工人约</w:t>
      </w:r>
      <w:r>
        <w:rPr>
          <w:rFonts w:hint="eastAsia" w:ascii="Times New Roman" w:hAnsi="Times New Roman"/>
          <w:highlight w:val="none"/>
          <w:lang w:val="en-US" w:eastAsia="zh-CN"/>
        </w:rPr>
        <w:t>2</w:t>
      </w:r>
      <w:r>
        <w:rPr>
          <w:rFonts w:ascii="Times New Roman" w:hAnsi="Times New Roman"/>
          <w:highlight w:val="none"/>
        </w:rPr>
        <w:t>0人，则施工人员生活垃圾产生量</w:t>
      </w:r>
      <w:r>
        <w:rPr>
          <w:rFonts w:hint="eastAsia" w:ascii="Times New Roman" w:hAnsi="Times New Roman"/>
          <w:highlight w:val="none"/>
          <w:lang w:val="en-US" w:eastAsia="zh-CN"/>
        </w:rPr>
        <w:t>10</w:t>
      </w:r>
      <w:r>
        <w:rPr>
          <w:rFonts w:ascii="Times New Roman" w:hAnsi="Times New Roman"/>
          <w:highlight w:val="none"/>
        </w:rPr>
        <w:t>kg/d（总计</w:t>
      </w:r>
      <w:r>
        <w:rPr>
          <w:rFonts w:hint="eastAsia" w:ascii="Times New Roman" w:hAnsi="Times New Roman"/>
          <w:highlight w:val="none"/>
        </w:rPr>
        <w:t>2</w:t>
      </w:r>
      <w:r>
        <w:rPr>
          <w:rFonts w:hint="eastAsia" w:ascii="Times New Roman" w:hAnsi="Times New Roman"/>
          <w:highlight w:val="none"/>
          <w:lang w:val="en-US" w:eastAsia="zh-CN"/>
        </w:rPr>
        <w:t>0.3</w:t>
      </w:r>
      <w:r>
        <w:rPr>
          <w:rFonts w:ascii="Times New Roman" w:hAnsi="Times New Roman"/>
          <w:highlight w:val="none"/>
        </w:rPr>
        <w:t>t，施工期按</w:t>
      </w:r>
      <w:r>
        <w:rPr>
          <w:rFonts w:hint="eastAsia" w:ascii="Times New Roman" w:hAnsi="Times New Roman"/>
          <w:highlight w:val="none"/>
          <w:lang w:val="en-US" w:eastAsia="zh-CN"/>
        </w:rPr>
        <w:t>30</w:t>
      </w:r>
      <w:r>
        <w:rPr>
          <w:rFonts w:ascii="Times New Roman" w:hAnsi="Times New Roman"/>
          <w:highlight w:val="none"/>
        </w:rPr>
        <w:t>d计算）。施工人员生活垃圾依托厂区内生活垃圾暂存点收集后由市政环卫部门外运处置。</w:t>
      </w:r>
      <w:r>
        <w:rPr>
          <w:rFonts w:hint="eastAsia" w:ascii="Times New Roman" w:hAnsi="Times New Roman"/>
          <w:highlight w:val="none"/>
        </w:rPr>
        <w:t>施工产生的弃土和建筑垃圾应及时清运，并按照市政部门批准的地点倾倒。</w:t>
      </w:r>
    </w:p>
    <w:p w14:paraId="466E0896">
      <w:pPr>
        <w:pStyle w:val="6"/>
        <w:bidi w:val="0"/>
        <w:ind w:left="0" w:leftChars="0" w:firstLine="0" w:firstLineChars="0"/>
        <w:rPr>
          <w:rFonts w:hint="eastAsia"/>
          <w:highlight w:val="none"/>
          <w:lang w:val="en-US" w:eastAsia="zh-CN"/>
        </w:rPr>
      </w:pPr>
      <w:r>
        <w:rPr>
          <w:rFonts w:hint="eastAsia"/>
          <w:highlight w:val="none"/>
          <w:lang w:val="en-US" w:eastAsia="zh-CN"/>
        </w:rPr>
        <w:t>3.2.2.5生态影响分析</w:t>
      </w:r>
    </w:p>
    <w:p w14:paraId="068D3ADD">
      <w:pPr>
        <w:rPr>
          <w:rFonts w:hint="eastAsia" w:ascii="Times New Roman" w:hAnsi="Times New Roman" w:eastAsia="宋体" w:cs="Times New Roman"/>
          <w:highlight w:val="none"/>
          <w:lang w:val="en-US" w:eastAsia="zh-CN"/>
        </w:rPr>
      </w:pPr>
      <w:r>
        <w:rPr>
          <w:rFonts w:hint="default" w:ascii="Times New Roman" w:hAnsi="Times New Roman" w:eastAsia="宋体" w:cs="Times New Roman"/>
          <w:highlight w:val="none"/>
        </w:rPr>
        <w:t>本项目总占地面积为</w:t>
      </w:r>
      <w:r>
        <w:rPr>
          <w:rFonts w:hint="default" w:ascii="Times New Roman" w:hAnsi="Times New Roman" w:eastAsia="宋体" w:cs="Times New Roman"/>
          <w:highlight w:val="none"/>
          <w:lang w:val="en-US" w:eastAsia="zh-CN"/>
        </w:rPr>
        <w:t>1.3万平方米</w:t>
      </w:r>
      <w:r>
        <w:rPr>
          <w:rFonts w:hint="eastAsia" w:ascii="Times New Roman" w:hAnsi="Times New Roman" w:eastAsia="宋体" w:cs="Times New Roman"/>
          <w:highlight w:val="none"/>
          <w:lang w:val="en-US" w:eastAsia="zh-CN"/>
        </w:rPr>
        <w:t>，用地性质为公用设施用地，目前该地块为政府划拨的净地，地块内无植被及耕地，无珍惜野生动植物，本项目</w:t>
      </w:r>
      <w:r>
        <w:rPr>
          <w:rFonts w:hint="eastAsia" w:ascii="Times New Roman" w:hAnsi="Times New Roman" w:cs="Times New Roman"/>
          <w:highlight w:val="none"/>
          <w:lang w:val="en-US" w:eastAsia="zh-CN"/>
        </w:rPr>
        <w:t>目前已完成建设施工</w:t>
      </w:r>
      <w:r>
        <w:rPr>
          <w:rFonts w:hint="eastAsia" w:ascii="Times New Roman" w:hAnsi="Times New Roman" w:eastAsia="宋体" w:cs="Times New Roman"/>
          <w:highlight w:val="none"/>
          <w:lang w:val="en-US" w:eastAsia="zh-CN"/>
        </w:rPr>
        <w:t>，因此对生态影响较小。</w:t>
      </w:r>
    </w:p>
    <w:p w14:paraId="5DD5ED8B">
      <w:pPr>
        <w:pStyle w:val="5"/>
        <w:bidi w:val="0"/>
        <w:ind w:left="0" w:leftChars="0" w:firstLine="0" w:firstLineChars="0"/>
        <w:rPr>
          <w:rFonts w:hint="eastAsia"/>
          <w:highlight w:val="none"/>
          <w:lang w:val="en-US" w:eastAsia="zh-CN"/>
        </w:rPr>
      </w:pPr>
      <w:bookmarkStart w:id="77" w:name="_Toc26523"/>
      <w:r>
        <w:rPr>
          <w:rFonts w:hint="eastAsia"/>
          <w:highlight w:val="none"/>
          <w:lang w:val="en-US" w:eastAsia="zh-CN"/>
        </w:rPr>
        <w:t>3.2.3运营期污染环节及污染因素影响</w:t>
      </w:r>
      <w:bookmarkEnd w:id="77"/>
    </w:p>
    <w:p w14:paraId="656DC038">
      <w:pPr>
        <w:pStyle w:val="6"/>
        <w:bidi w:val="0"/>
        <w:ind w:left="0" w:leftChars="0" w:firstLine="0" w:firstLineChars="0"/>
        <w:rPr>
          <w:rFonts w:hint="eastAsia"/>
          <w:highlight w:val="none"/>
          <w:lang w:val="en-US" w:eastAsia="zh-CN"/>
        </w:rPr>
      </w:pPr>
      <w:r>
        <w:rPr>
          <w:rFonts w:hint="eastAsia"/>
          <w:highlight w:val="none"/>
          <w:lang w:val="en-US" w:eastAsia="zh-CN"/>
        </w:rPr>
        <w:t>3.2.3.1生产工艺流程</w:t>
      </w:r>
    </w:p>
    <w:p w14:paraId="3BD57BEF">
      <w:pPr>
        <w:rPr>
          <w:rFonts w:ascii="Times New Roman" w:hAnsi="Times New Roman"/>
          <w:highlight w:val="none"/>
        </w:rPr>
      </w:pPr>
      <w:r>
        <w:rPr>
          <w:rFonts w:ascii="Times New Roman" w:hAnsi="Times New Roman"/>
          <w:highlight w:val="none"/>
        </w:rPr>
        <w:t>锅炉房运行的主要生产工艺流程是将原煤送入锅炉中燃烧，转换为热能，把水加热直接用于供热。锅炉产生的烟气经除尘器除尘系统净化后，采用高烟囱排放；除尘器除下来的灰和炉底渣经除灰渣系统直接送入综合利用厂家；生产过程中产生的废水分别采取相应的措施处理。锅炉烟气采用低氮燃烧技术+SNCR-SCR脱硝+布袋除尘器+石灰石/石膏法脱硫烟气净化系统，净化后由一座</w:t>
      </w:r>
      <w:r>
        <w:rPr>
          <w:rFonts w:hint="eastAsia" w:ascii="Times New Roman" w:hAnsi="Times New Roman"/>
          <w:highlight w:val="none"/>
          <w:lang w:val="en-US" w:eastAsia="zh-CN"/>
        </w:rPr>
        <w:t>60</w:t>
      </w:r>
      <w:r>
        <w:rPr>
          <w:rFonts w:ascii="Times New Roman" w:hAnsi="Times New Roman"/>
          <w:highlight w:val="none"/>
        </w:rPr>
        <w:t>m高烟囱排放。</w:t>
      </w:r>
    </w:p>
    <w:p w14:paraId="58C7C5CE">
      <w:pPr>
        <w:bidi w:val="0"/>
        <w:ind w:left="0" w:leftChars="0" w:firstLine="0" w:firstLineChars="0"/>
        <w:rPr>
          <w:rFonts w:hint="default"/>
          <w:highlight w:val="none"/>
          <w:lang w:val="en-US" w:eastAsia="zh-CN"/>
        </w:rPr>
      </w:pPr>
      <w:r>
        <w:rPr>
          <w:highlight w:val="none"/>
        </w:rPr>
        <mc:AlternateContent>
          <mc:Choice Requires="wps">
            <w:drawing>
              <wp:anchor distT="0" distB="0" distL="114300" distR="114300" simplePos="0" relativeHeight="251687936" behindDoc="0" locked="0" layoutInCell="1" allowOverlap="1">
                <wp:simplePos x="0" y="0"/>
                <wp:positionH relativeFrom="column">
                  <wp:posOffset>3486785</wp:posOffset>
                </wp:positionH>
                <wp:positionV relativeFrom="paragraph">
                  <wp:posOffset>107315</wp:posOffset>
                </wp:positionV>
                <wp:extent cx="1769745" cy="1419860"/>
                <wp:effectExtent l="12700" t="12700" r="27305" b="15240"/>
                <wp:wrapNone/>
                <wp:docPr id="306" name="圆角矩形 306"/>
                <wp:cNvGraphicFramePr/>
                <a:graphic xmlns:a="http://schemas.openxmlformats.org/drawingml/2006/main">
                  <a:graphicData uri="http://schemas.microsoft.com/office/word/2010/wordprocessingShape">
                    <wps:wsp>
                      <wps:cNvSpPr/>
                      <wps:spPr>
                        <a:xfrm>
                          <a:off x="0" y="0"/>
                          <a:ext cx="1769847" cy="1419860"/>
                        </a:xfrm>
                        <a:prstGeom prst="roundRect">
                          <a:avLst>
                            <a:gd name="adj" fmla="val 6589"/>
                          </a:avLst>
                        </a:prstGeom>
                        <a:solidFill>
                          <a:srgbClr val="FFFFFF"/>
                        </a:solidFill>
                        <a:ln w="25400" cap="flat" cmpd="sng" algn="ctr">
                          <a:solidFill>
                            <a:srgbClr val="FFFFFF"/>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274.55pt;margin-top:8.45pt;height:111.8pt;width:139.35pt;z-index:251687936;v-text-anchor:middle;mso-width-relative:page;mso-height-relative:page;" fillcolor="#FFFFFF" filled="t" stroked="t" coordsize="21600,21600" arcsize="0.0658796296296296" o:gfxdata="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DYBI1DZ&#10;AAAACgEAAA8AAAAAAAAAAQAgAAAAIgAAAGRycy9kb3ducmV2LnhtbFBLAQIUABQAAAAIAIdO4kC7&#10;m5KIkQIAACYFAAAOAAAAAAAAAAEAIAAAACgBAABkcnMvZTJvRG9jLnhtbFBLBQYAAAAABgAGAFkB&#10;AAArBgAAAAA=&#10;">
                <v:fill on="t" focussize="0,0"/>
                <v:stroke weight="2pt" color="#FFFFFF" joinstyle="round"/>
                <v:imagedata o:title=""/>
                <o:lock v:ext="edit" aspectratio="f"/>
              </v:roundrect>
            </w:pict>
          </mc:Fallback>
        </mc:AlternateContent>
      </w:r>
      <w:r>
        <w:rPr>
          <w:highlight w:val="none"/>
        </w:rPr>
        <w:drawing>
          <wp:inline distT="0" distB="0" distL="114300" distR="114300">
            <wp:extent cx="5274310" cy="3357880"/>
            <wp:effectExtent l="0" t="0" r="2540" b="13970"/>
            <wp:docPr id="96" name="图片 3" descr="16508846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3" descr="1650884635(1)"/>
                    <pic:cNvPicPr>
                      <a:picLocks noChangeAspect="1"/>
                    </pic:cNvPicPr>
                  </pic:nvPicPr>
                  <pic:blipFill>
                    <a:blip r:embed="rId20"/>
                    <a:stretch>
                      <a:fillRect/>
                    </a:stretch>
                  </pic:blipFill>
                  <pic:spPr>
                    <a:xfrm>
                      <a:off x="0" y="0"/>
                      <a:ext cx="5274310" cy="3357880"/>
                    </a:xfrm>
                    <a:prstGeom prst="rect">
                      <a:avLst/>
                    </a:prstGeom>
                    <a:noFill/>
                    <a:ln>
                      <a:noFill/>
                    </a:ln>
                  </pic:spPr>
                </pic:pic>
              </a:graphicData>
            </a:graphic>
          </wp:inline>
        </w:drawing>
      </w:r>
      <w:r>
        <w:rPr>
          <w:highlight w:val="none"/>
        </w:rPr>
        <mc:AlternateContent>
          <mc:Choice Requires="wps">
            <w:drawing>
              <wp:anchor distT="0" distB="0" distL="114300" distR="114300" simplePos="0" relativeHeight="251689984" behindDoc="0" locked="0" layoutInCell="1" allowOverlap="1">
                <wp:simplePos x="0" y="0"/>
                <wp:positionH relativeFrom="column">
                  <wp:posOffset>24130</wp:posOffset>
                </wp:positionH>
                <wp:positionV relativeFrom="paragraph">
                  <wp:posOffset>930275</wp:posOffset>
                </wp:positionV>
                <wp:extent cx="1280160" cy="502920"/>
                <wp:effectExtent l="0" t="0" r="15240" b="11430"/>
                <wp:wrapNone/>
                <wp:docPr id="99" name="文本框 99"/>
                <wp:cNvGraphicFramePr/>
                <a:graphic xmlns:a="http://schemas.openxmlformats.org/drawingml/2006/main">
                  <a:graphicData uri="http://schemas.microsoft.com/office/word/2010/wordprocessingShape">
                    <wps:wsp>
                      <wps:cNvSpPr txBox="1"/>
                      <wps:spPr>
                        <a:xfrm>
                          <a:off x="0" y="0"/>
                          <a:ext cx="1280160" cy="502920"/>
                        </a:xfrm>
                        <a:prstGeom prst="rect">
                          <a:avLst/>
                        </a:prstGeom>
                        <a:solidFill>
                          <a:srgbClr val="FFFFFF"/>
                        </a:solidFill>
                        <a:ln>
                          <a:noFill/>
                        </a:ln>
                      </wps:spPr>
                      <wps:txbx>
                        <w:txbxContent>
                          <w:p w14:paraId="6A7F32D7">
                            <w:pPr>
                              <w:spacing w:line="240" w:lineRule="auto"/>
                              <w:ind w:firstLine="0" w:firstLineChars="0"/>
                              <w:rPr>
                                <w:sz w:val="16"/>
                              </w:rPr>
                            </w:pPr>
                            <w:r>
                              <w:rPr>
                                <w:rFonts w:hint="eastAsia"/>
                                <w:sz w:val="16"/>
                              </w:rPr>
                              <w:t>烟尘、二氧化硫、氮氧化物、林格曼黑度、汞</w:t>
                            </w:r>
                          </w:p>
                        </w:txbxContent>
                      </wps:txbx>
                      <wps:bodyPr upright="1"/>
                    </wps:wsp>
                  </a:graphicData>
                </a:graphic>
              </wp:anchor>
            </w:drawing>
          </mc:Choice>
          <mc:Fallback>
            <w:pict>
              <v:shape id="_x0000_s1026" o:spid="_x0000_s1026" o:spt="202" type="#_x0000_t202" style="position:absolute;left:0pt;margin-left:1.9pt;margin-top:73.25pt;height:39.6pt;width:100.8pt;z-index:251689984;mso-width-relative:page;mso-height-relative:page;" fillcolor="#FFFFFF" filled="t" stroked="f" coordsize="21600,21600" o:gfxdata="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8gflu1wAAAAkBAAAPAAAAAAAAAAEAIAAAACIAAABkcnMvZG93bnJldi54&#10;bWxQSwECFAAUAAAACACHTuJAxD+ugcIBAAB5AwAADgAAAAAAAAABACAAAAAmAQAAZHJzL2Uyb0Rv&#10;Yy54bWxQSwUGAAAAAAYABgBZAQAAWgUAAAAA&#10;">
                <v:fill on="t" focussize="0,0"/>
                <v:stroke on="f"/>
                <v:imagedata o:title=""/>
                <o:lock v:ext="edit" aspectratio="f"/>
                <v:textbox>
                  <w:txbxContent>
                    <w:p w14:paraId="6A7F32D7">
                      <w:pPr>
                        <w:spacing w:line="240" w:lineRule="auto"/>
                        <w:ind w:firstLine="0" w:firstLineChars="0"/>
                        <w:rPr>
                          <w:sz w:val="16"/>
                        </w:rPr>
                      </w:pPr>
                      <w:r>
                        <w:rPr>
                          <w:rFonts w:hint="eastAsia"/>
                          <w:sz w:val="16"/>
                        </w:rPr>
                        <w:t>烟尘、二氧化硫、氮氧化物、林格曼黑度、汞</w:t>
                      </w:r>
                    </w:p>
                  </w:txbxContent>
                </v:textbox>
              </v:shape>
            </w:pict>
          </mc:Fallback>
        </mc:AlternateContent>
      </w:r>
      <w:r>
        <w:rPr>
          <w:highlight w:val="none"/>
        </w:rPr>
        <mc:AlternateContent>
          <mc:Choice Requires="wps">
            <w:drawing>
              <wp:anchor distT="0" distB="0" distL="114300" distR="114300" simplePos="0" relativeHeight="251688960" behindDoc="0" locked="0" layoutInCell="1" allowOverlap="1">
                <wp:simplePos x="0" y="0"/>
                <wp:positionH relativeFrom="column">
                  <wp:posOffset>4535805</wp:posOffset>
                </wp:positionH>
                <wp:positionV relativeFrom="paragraph">
                  <wp:posOffset>2014220</wp:posOffset>
                </wp:positionV>
                <wp:extent cx="695325" cy="1762760"/>
                <wp:effectExtent l="4445" t="4445" r="5080" b="23495"/>
                <wp:wrapNone/>
                <wp:docPr id="98" name="文本框 98"/>
                <wp:cNvGraphicFramePr/>
                <a:graphic xmlns:a="http://schemas.openxmlformats.org/drawingml/2006/main">
                  <a:graphicData uri="http://schemas.microsoft.com/office/word/2010/wordprocessingShape">
                    <wps:wsp>
                      <wps:cNvSpPr txBox="1"/>
                      <wps:spPr>
                        <a:xfrm>
                          <a:off x="0" y="0"/>
                          <a:ext cx="695325" cy="1762760"/>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27496886">
                            <w:pPr>
                              <w:ind w:firstLine="0" w:firstLineChars="0"/>
                              <w:rPr>
                                <w:sz w:val="18"/>
                              </w:rPr>
                            </w:pPr>
                            <w:r>
                              <w:rPr>
                                <w:rFonts w:hint="eastAsia"/>
                                <w:sz w:val="18"/>
                              </w:rPr>
                              <w:t>新鲜水</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57.15pt;margin-top:158.6pt;height:138.8pt;width:54.75pt;z-index:251688960;mso-width-relative:page;mso-height-relative:margin;mso-height-percent:200;" fillcolor="#FFFFFF" filled="t" stroked="t" coordsize="21600,21600" o:gfxdata="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XcYZ3QAAAAsBAAAP&#10;AAAAAAAAAAEAIAAAACIAAABkcnMvZG93bnJldi54bWxQSwECFAAUAAAACACHTuJALczonBMCAABS&#10;BAAADgAAAAAAAAABACAAAAAsAQAAZHJzL2Uyb0RvYy54bWxQSwUGAAAAAAYABgBZAQAAsQUAAAAA&#10;">
                <v:fill on="t" focussize="0,0"/>
                <v:stroke color="#FFFFFF" joinstyle="miter"/>
                <v:imagedata o:title=""/>
                <o:lock v:ext="edit" aspectratio="f"/>
                <v:textbox style="mso-fit-shape-to-text:t;">
                  <w:txbxContent>
                    <w:p w14:paraId="27496886">
                      <w:pPr>
                        <w:ind w:firstLine="0" w:firstLineChars="0"/>
                        <w:rPr>
                          <w:sz w:val="18"/>
                        </w:rPr>
                      </w:pPr>
                      <w:r>
                        <w:rPr>
                          <w:rFonts w:hint="eastAsia"/>
                          <w:sz w:val="18"/>
                        </w:rPr>
                        <w:t>新鲜水</w:t>
                      </w:r>
                    </w:p>
                  </w:txbxContent>
                </v:textbox>
              </v:shape>
            </w:pict>
          </mc:Fallback>
        </mc:AlternateContent>
      </w:r>
      <w:r>
        <w:rPr>
          <w:highlight w:val="none"/>
        </w:rPr>
        <mc:AlternateContent>
          <mc:Choice Requires="wps">
            <w:drawing>
              <wp:anchor distT="0" distB="0" distL="114300" distR="114300" simplePos="0" relativeHeight="251686912" behindDoc="0" locked="0" layoutInCell="1" allowOverlap="1">
                <wp:simplePos x="0" y="0"/>
                <wp:positionH relativeFrom="column">
                  <wp:posOffset>4048760</wp:posOffset>
                </wp:positionH>
                <wp:positionV relativeFrom="paragraph">
                  <wp:posOffset>1451610</wp:posOffset>
                </wp:positionV>
                <wp:extent cx="990600" cy="375285"/>
                <wp:effectExtent l="4445" t="4445" r="14605" b="20320"/>
                <wp:wrapNone/>
                <wp:docPr id="97" name="文本框 97"/>
                <wp:cNvGraphicFramePr/>
                <a:graphic xmlns:a="http://schemas.openxmlformats.org/drawingml/2006/main">
                  <a:graphicData uri="http://schemas.microsoft.com/office/word/2010/wordprocessingShape">
                    <wps:wsp>
                      <wps:cNvSpPr txBox="1"/>
                      <wps:spPr>
                        <a:xfrm>
                          <a:off x="0" y="0"/>
                          <a:ext cx="990600" cy="37528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3E414F8C">
                            <w:pPr>
                              <w:ind w:firstLine="0" w:firstLineChars="0"/>
                              <w:rPr>
                                <w:sz w:val="18"/>
                              </w:rPr>
                            </w:pPr>
                            <w:r>
                              <w:rPr>
                                <w:rFonts w:hint="eastAsia"/>
                                <w:sz w:val="18"/>
                              </w:rPr>
                              <w:t>W1锅炉排污水</w:t>
                            </w:r>
                          </w:p>
                          <w:p w14:paraId="0D242637">
                            <w:pPr>
                              <w:ind w:firstLine="480"/>
                            </w:pPr>
                          </w:p>
                        </w:txbxContent>
                      </wps:txbx>
                      <wps:bodyPr upright="1"/>
                    </wps:wsp>
                  </a:graphicData>
                </a:graphic>
              </wp:anchor>
            </w:drawing>
          </mc:Choice>
          <mc:Fallback>
            <w:pict>
              <v:shape id="_x0000_s1026" o:spid="_x0000_s1026" o:spt="202" type="#_x0000_t202" style="position:absolute;left:0pt;margin-left:318.8pt;margin-top:114.3pt;height:29.55pt;width:78pt;z-index:251686912;mso-width-relative:page;mso-height-relative:page;" fillcolor="#FFFFFF" filled="t" stroked="t" coordsize="21600,21600" o:gfxdata="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yB8YrZAAAACwEAAA8AAAAAAAAAAQAgAAAAIgAA&#10;AGRycy9kb3ducmV2LnhtbFBLAQIUABQAAAAIAIdO4kAKLu/FBwIAADcEAAAOAAAAAAAAAAEAIAAA&#10;ACgBAABkcnMvZTJvRG9jLnhtbFBLBQYAAAAABgAGAFkBAAChBQAAAAA=&#10;">
                <v:fill on="t" focussize="0,0"/>
                <v:stroke color="#FFFFFF" joinstyle="miter"/>
                <v:imagedata o:title=""/>
                <o:lock v:ext="edit" aspectratio="f"/>
                <v:textbox>
                  <w:txbxContent>
                    <w:p w14:paraId="3E414F8C">
                      <w:pPr>
                        <w:ind w:firstLine="0" w:firstLineChars="0"/>
                        <w:rPr>
                          <w:sz w:val="18"/>
                        </w:rPr>
                      </w:pPr>
                      <w:r>
                        <w:rPr>
                          <w:rFonts w:hint="eastAsia"/>
                          <w:sz w:val="18"/>
                        </w:rPr>
                        <w:t>W1锅炉排污水</w:t>
                      </w:r>
                    </w:p>
                    <w:p w14:paraId="0D242637">
                      <w:pPr>
                        <w:ind w:firstLine="480"/>
                      </w:pPr>
                    </w:p>
                  </w:txbxContent>
                </v:textbox>
              </v:shape>
            </w:pict>
          </mc:Fallback>
        </mc:AlternateContent>
      </w:r>
    </w:p>
    <w:p w14:paraId="5306CCAB">
      <w:pPr>
        <w:pStyle w:val="23"/>
        <w:jc w:val="center"/>
        <w:rPr>
          <w:rFonts w:ascii="Times New Roman" w:hAnsi="Times New Roman"/>
          <w:highlight w:val="none"/>
        </w:rPr>
      </w:pPr>
      <w:r>
        <w:rPr>
          <w:rFonts w:ascii="Times New Roman" w:hAnsi="Times New Roman"/>
          <w:b/>
          <w:bCs/>
          <w:highlight w:val="none"/>
        </w:rPr>
        <w:t>图3.2-2燃煤锅炉生产工艺过程及主要污染环节示意见图</w:t>
      </w:r>
    </w:p>
    <w:p w14:paraId="621423C3">
      <w:pPr>
        <w:pStyle w:val="6"/>
        <w:bidi w:val="0"/>
        <w:ind w:left="0" w:leftChars="0" w:firstLine="0" w:firstLineChars="0"/>
        <w:rPr>
          <w:rFonts w:hint="default"/>
          <w:highlight w:val="none"/>
          <w:lang w:val="en-US" w:eastAsia="zh-CN"/>
        </w:rPr>
      </w:pPr>
      <w:r>
        <w:rPr>
          <w:rFonts w:hint="eastAsia"/>
          <w:highlight w:val="none"/>
          <w:lang w:val="en-US" w:eastAsia="zh-CN"/>
        </w:rPr>
        <w:t>3.2.3.2工艺和排污分析过程</w:t>
      </w:r>
    </w:p>
    <w:p w14:paraId="0C4FE807">
      <w:pPr>
        <w:ind w:firstLine="480"/>
        <w:rPr>
          <w:rFonts w:ascii="Times New Roman" w:hAnsi="Times New Roman"/>
          <w:highlight w:val="none"/>
        </w:rPr>
      </w:pPr>
      <w:r>
        <w:rPr>
          <w:rFonts w:ascii="Times New Roman" w:hAnsi="Times New Roman"/>
          <w:highlight w:val="none"/>
        </w:rPr>
        <w:t>根据对本工程生产工艺过程的分析，可以看出本项目运行时可能产生污染物的生产环节如下：</w:t>
      </w:r>
    </w:p>
    <w:p w14:paraId="2F25B748">
      <w:pPr>
        <w:rPr>
          <w:rFonts w:hint="default"/>
          <w:highlight w:val="none"/>
          <w:lang w:val="en-US" w:eastAsia="zh-CN"/>
        </w:rPr>
      </w:pPr>
      <w:r>
        <w:rPr>
          <w:rFonts w:ascii="Times New Roman" w:hAnsi="Times New Roman"/>
          <w:highlight w:val="none"/>
        </w:rPr>
        <w:t>燃煤锅炉正常运行时的燃烧过程主要包括燃煤的破碎，燃煤在锅炉内的燃烧，以及燃烧后产生的烟气经脱硝、除尘、脱硫系统后进入烟囱排入环境空气。在该过程中，可能产生锅炉烟气污染物、生产废水及灰渣，一些机械转动设备，如碎煤机、风机等可能产生噪声。</w:t>
      </w:r>
    </w:p>
    <w:p w14:paraId="69B149B0">
      <w:pPr>
        <w:pStyle w:val="6"/>
        <w:bidi w:val="0"/>
        <w:ind w:left="0" w:leftChars="0" w:firstLine="0" w:firstLineChars="0"/>
        <w:rPr>
          <w:rFonts w:hint="eastAsia"/>
          <w:highlight w:val="none"/>
          <w:lang w:val="en-US" w:eastAsia="zh-CN"/>
        </w:rPr>
      </w:pPr>
      <w:r>
        <w:rPr>
          <w:rFonts w:hint="eastAsia"/>
          <w:highlight w:val="none"/>
          <w:lang w:val="en-US" w:eastAsia="zh-CN"/>
        </w:rPr>
        <w:t>3.2.3.3污染因素分析</w:t>
      </w:r>
    </w:p>
    <w:p w14:paraId="54AEEB2D">
      <w:pPr>
        <w:ind w:firstLine="480"/>
        <w:rPr>
          <w:rFonts w:ascii="Times New Roman" w:hAnsi="Times New Roman"/>
          <w:highlight w:val="none"/>
        </w:rPr>
      </w:pPr>
      <w:r>
        <w:rPr>
          <w:rFonts w:ascii="Times New Roman" w:hAnsi="Times New Roman"/>
          <w:highlight w:val="none"/>
        </w:rPr>
        <w:t>正常运行过程中，将产生各种废气，废水、灰渣及噪声。</w:t>
      </w:r>
    </w:p>
    <w:p w14:paraId="01C2C2D5">
      <w:pPr>
        <w:ind w:firstLine="480"/>
        <w:rPr>
          <w:rFonts w:ascii="Times New Roman" w:hAnsi="Times New Roman"/>
          <w:highlight w:val="none"/>
        </w:rPr>
      </w:pPr>
      <w:r>
        <w:rPr>
          <w:rFonts w:ascii="Times New Roman" w:hAnsi="Times New Roman"/>
          <w:highlight w:val="none"/>
        </w:rPr>
        <w:t>（1）废气污染物</w:t>
      </w:r>
    </w:p>
    <w:p w14:paraId="53EBB957">
      <w:pPr>
        <w:ind w:firstLine="480"/>
        <w:rPr>
          <w:rFonts w:ascii="Times New Roman" w:hAnsi="Times New Roman"/>
          <w:highlight w:val="none"/>
        </w:rPr>
      </w:pPr>
      <w:r>
        <w:rPr>
          <w:rFonts w:ascii="Times New Roman" w:hAnsi="Times New Roman"/>
          <w:highlight w:val="none"/>
        </w:rPr>
        <w:t>废气污染物主要存在于锅炉燃烧产生的烟气中</w:t>
      </w:r>
      <w:r>
        <w:rPr>
          <w:rFonts w:hint="eastAsia" w:ascii="Times New Roman" w:hAnsi="Times New Roman"/>
          <w:highlight w:val="none"/>
        </w:rPr>
        <w:t>，</w:t>
      </w:r>
      <w:r>
        <w:rPr>
          <w:rFonts w:ascii="Times New Roman" w:hAnsi="Times New Roman"/>
          <w:highlight w:val="none"/>
        </w:rPr>
        <w:t>主要污染物为烟尘、SO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、汞及其化合物，逃逸的氨，贮存、装卸、运输粉尘。</w:t>
      </w:r>
    </w:p>
    <w:p w14:paraId="42DD4B75">
      <w:pPr>
        <w:ind w:firstLine="480"/>
        <w:rPr>
          <w:rFonts w:ascii="Times New Roman" w:hAnsi="Times New Roman"/>
          <w:highlight w:val="none"/>
        </w:rPr>
      </w:pPr>
      <w:r>
        <w:rPr>
          <w:rFonts w:ascii="Times New Roman" w:hAnsi="Times New Roman"/>
          <w:highlight w:val="none"/>
        </w:rPr>
        <w:t>（2）废水污染物</w:t>
      </w:r>
    </w:p>
    <w:p w14:paraId="3E914BC7">
      <w:pPr>
        <w:ind w:firstLine="480"/>
        <w:rPr>
          <w:rFonts w:ascii="Times New Roman" w:hAnsi="Times New Roman"/>
          <w:highlight w:val="none"/>
        </w:rPr>
      </w:pPr>
      <w:r>
        <w:rPr>
          <w:rFonts w:ascii="Times New Roman" w:hAnsi="Times New Roman"/>
          <w:highlight w:val="none"/>
        </w:rPr>
        <w:t>本项目产生的生产废水为脱硫废水、锅炉排污水。</w:t>
      </w:r>
    </w:p>
    <w:p w14:paraId="51D9FC7C">
      <w:pPr>
        <w:ind w:firstLine="480"/>
        <w:rPr>
          <w:rFonts w:ascii="Times New Roman" w:hAnsi="Times New Roman"/>
          <w:highlight w:val="none"/>
        </w:rPr>
      </w:pPr>
      <w:r>
        <w:rPr>
          <w:rFonts w:hint="eastAsia" w:ascii="Times New Roman" w:hAnsi="Times New Roman"/>
          <w:highlight w:val="none"/>
        </w:rPr>
        <w:t>脱硫废水的主要污染因子为pH值、悬浮物、化学需氧量、氟化物、硫化物、总砷、总铅、总汞、总镉；</w:t>
      </w:r>
      <w:r>
        <w:rPr>
          <w:rFonts w:ascii="Times New Roman" w:hAnsi="Times New Roman"/>
          <w:highlight w:val="none"/>
        </w:rPr>
        <w:t>锅炉排污水的主要污染因子为少量盐类、SS、COD。</w:t>
      </w:r>
    </w:p>
    <w:p w14:paraId="07BE2B48">
      <w:pPr>
        <w:ind w:firstLine="480"/>
        <w:rPr>
          <w:rFonts w:ascii="Times New Roman" w:hAnsi="Times New Roman"/>
          <w:highlight w:val="none"/>
        </w:rPr>
      </w:pPr>
      <w:r>
        <w:rPr>
          <w:rFonts w:ascii="Times New Roman" w:hAnsi="Times New Roman"/>
          <w:highlight w:val="none"/>
        </w:rPr>
        <w:t>（3）固体废物</w:t>
      </w:r>
    </w:p>
    <w:p w14:paraId="189B872E">
      <w:pPr>
        <w:ind w:firstLine="480"/>
        <w:rPr>
          <w:rFonts w:ascii="Times New Roman" w:hAnsi="Times New Roman"/>
          <w:highlight w:val="none"/>
        </w:rPr>
      </w:pPr>
      <w:r>
        <w:rPr>
          <w:rFonts w:ascii="Times New Roman" w:hAnsi="Times New Roman"/>
          <w:highlight w:val="none"/>
        </w:rPr>
        <w:t>本项目固体废物主要包括炉渣、炉灰、</w:t>
      </w:r>
      <w:r>
        <w:rPr>
          <w:rFonts w:hint="eastAsia" w:ascii="Times New Roman" w:hAnsi="Times New Roman"/>
          <w:highlight w:val="none"/>
        </w:rPr>
        <w:t>脱硫石膏</w:t>
      </w:r>
      <w:r>
        <w:rPr>
          <w:rFonts w:ascii="Times New Roman" w:hAnsi="Times New Roman"/>
          <w:highlight w:val="none"/>
        </w:rPr>
        <w:t>、生活垃圾、废离子交换树脂</w:t>
      </w:r>
      <w:r>
        <w:rPr>
          <w:rFonts w:hint="eastAsia" w:ascii="Times New Roman" w:hAnsi="Times New Roman"/>
          <w:highlight w:val="none"/>
          <w:lang w:val="en-US" w:eastAsia="zh-CN"/>
        </w:rPr>
        <w:t>和反渗透膜</w:t>
      </w:r>
      <w:r>
        <w:rPr>
          <w:rFonts w:ascii="Times New Roman" w:hAnsi="Times New Roman"/>
          <w:highlight w:val="none"/>
        </w:rPr>
        <w:t>、废催化剂</w:t>
      </w:r>
      <w:r>
        <w:rPr>
          <w:rFonts w:hint="eastAsia" w:ascii="Times New Roman" w:hAnsi="Times New Roman"/>
          <w:highlight w:val="none"/>
          <w:lang w:eastAsia="zh-CN"/>
        </w:rPr>
        <w:t>、</w:t>
      </w:r>
      <w:r>
        <w:rPr>
          <w:rFonts w:hint="eastAsia" w:ascii="Times New Roman" w:hAnsi="Times New Roman"/>
          <w:highlight w:val="none"/>
          <w:lang w:val="en-US" w:eastAsia="zh-CN"/>
        </w:rPr>
        <w:t>废机油</w:t>
      </w:r>
      <w:r>
        <w:rPr>
          <w:rFonts w:ascii="Times New Roman" w:hAnsi="Times New Roman"/>
          <w:highlight w:val="none"/>
        </w:rPr>
        <w:t>。</w:t>
      </w:r>
    </w:p>
    <w:p w14:paraId="64E662D6">
      <w:pPr>
        <w:ind w:firstLine="480"/>
        <w:rPr>
          <w:rFonts w:ascii="Times New Roman" w:hAnsi="Times New Roman"/>
          <w:highlight w:val="none"/>
        </w:rPr>
      </w:pPr>
      <w:r>
        <w:rPr>
          <w:rFonts w:ascii="Times New Roman" w:hAnsi="Times New Roman"/>
          <w:highlight w:val="none"/>
        </w:rPr>
        <w:t>（4）噪声</w:t>
      </w:r>
    </w:p>
    <w:p w14:paraId="43F4C9B9">
      <w:pPr>
        <w:ind w:firstLine="480"/>
        <w:rPr>
          <w:rFonts w:ascii="Times New Roman" w:hAnsi="Times New Roman"/>
          <w:highlight w:val="none"/>
        </w:rPr>
      </w:pPr>
      <w:r>
        <w:rPr>
          <w:rFonts w:ascii="Times New Roman" w:hAnsi="Times New Roman"/>
          <w:highlight w:val="none"/>
        </w:rPr>
        <w:t>本项目各种机械设备的噪声范围约为</w:t>
      </w:r>
      <w:r>
        <w:rPr>
          <w:rFonts w:hint="eastAsia" w:ascii="Times New Roman" w:hAnsi="Times New Roman"/>
          <w:highlight w:val="none"/>
        </w:rPr>
        <w:t>90</w:t>
      </w:r>
      <w:r>
        <w:rPr>
          <w:rFonts w:ascii="Times New Roman" w:hAnsi="Times New Roman"/>
          <w:highlight w:val="none"/>
        </w:rPr>
        <w:t>～95dB（A）。主要为厂区内各种泵类以及锅炉风机等设备噪声。</w:t>
      </w:r>
    </w:p>
    <w:p w14:paraId="373D12EA">
      <w:pPr>
        <w:ind w:firstLine="480"/>
        <w:rPr>
          <w:rFonts w:ascii="Times New Roman" w:hAnsi="Times New Roman"/>
          <w:highlight w:val="none"/>
        </w:rPr>
      </w:pPr>
      <w:r>
        <w:rPr>
          <w:rFonts w:ascii="Times New Roman" w:hAnsi="Times New Roman"/>
          <w:highlight w:val="none"/>
        </w:rPr>
        <w:t>本项目运行过程中的污染环节及因素见表3.2-2。</w:t>
      </w:r>
    </w:p>
    <w:p w14:paraId="2A674FB3">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3.2-2</w:t>
      </w:r>
      <w:r>
        <w:rPr>
          <w:rFonts w:hint="eastAsia" w:ascii="黑体" w:hAnsi="黑体" w:eastAsia="黑体" w:cs="黑体"/>
          <w:highlight w:val="none"/>
        </w:rPr>
        <w:t>本项目运行中污染环节及因素一览表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1507"/>
        <w:gridCol w:w="1698"/>
        <w:gridCol w:w="1703"/>
        <w:gridCol w:w="2886"/>
      </w:tblGrid>
      <w:tr w14:paraId="1CF46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noWrap w:val="0"/>
            <w:vAlign w:val="center"/>
          </w:tcPr>
          <w:p w14:paraId="67060681">
            <w:pPr>
              <w:pStyle w:val="27"/>
              <w:rPr>
                <w:rFonts w:ascii="Times New Roman" w:hAnsi="Times New Roman"/>
                <w:highlight w:val="none"/>
              </w:rPr>
            </w:pPr>
            <w:r>
              <w:rPr>
                <w:rFonts w:ascii="Times New Roman" w:hAnsi="Times New Roman"/>
                <w:highlight w:val="none"/>
              </w:rPr>
              <w:t>序号</w:t>
            </w:r>
          </w:p>
        </w:tc>
        <w:tc>
          <w:tcPr>
            <w:tcW w:w="884" w:type="pct"/>
            <w:noWrap w:val="0"/>
            <w:vAlign w:val="center"/>
          </w:tcPr>
          <w:p w14:paraId="75A064F2">
            <w:pPr>
              <w:pStyle w:val="27"/>
              <w:rPr>
                <w:rFonts w:ascii="Times New Roman" w:hAnsi="Times New Roman"/>
                <w:highlight w:val="none"/>
              </w:rPr>
            </w:pPr>
            <w:r>
              <w:rPr>
                <w:rFonts w:ascii="Times New Roman" w:hAnsi="Times New Roman"/>
                <w:highlight w:val="none"/>
              </w:rPr>
              <w:t>生产过程</w:t>
            </w:r>
          </w:p>
        </w:tc>
        <w:tc>
          <w:tcPr>
            <w:tcW w:w="996" w:type="pct"/>
            <w:noWrap w:val="0"/>
            <w:vAlign w:val="center"/>
          </w:tcPr>
          <w:p w14:paraId="11FED4CB">
            <w:pPr>
              <w:pStyle w:val="27"/>
              <w:rPr>
                <w:rFonts w:ascii="Times New Roman" w:hAnsi="Times New Roman"/>
                <w:highlight w:val="none"/>
              </w:rPr>
            </w:pPr>
            <w:r>
              <w:rPr>
                <w:rFonts w:ascii="Times New Roman" w:hAnsi="Times New Roman"/>
                <w:highlight w:val="none"/>
              </w:rPr>
              <w:t>污染环节</w:t>
            </w:r>
          </w:p>
        </w:tc>
        <w:tc>
          <w:tcPr>
            <w:tcW w:w="999" w:type="pct"/>
            <w:noWrap w:val="0"/>
            <w:vAlign w:val="center"/>
          </w:tcPr>
          <w:p w14:paraId="695AD94A">
            <w:pPr>
              <w:pStyle w:val="27"/>
              <w:rPr>
                <w:rFonts w:ascii="Times New Roman" w:hAnsi="Times New Roman"/>
                <w:highlight w:val="none"/>
              </w:rPr>
            </w:pPr>
            <w:r>
              <w:rPr>
                <w:rFonts w:ascii="Times New Roman" w:hAnsi="Times New Roman"/>
                <w:highlight w:val="none"/>
              </w:rPr>
              <w:t>污染因素</w:t>
            </w:r>
          </w:p>
        </w:tc>
        <w:tc>
          <w:tcPr>
            <w:tcW w:w="1693" w:type="pct"/>
            <w:noWrap w:val="0"/>
            <w:vAlign w:val="center"/>
          </w:tcPr>
          <w:p w14:paraId="3E1E4672">
            <w:pPr>
              <w:pStyle w:val="27"/>
              <w:rPr>
                <w:rFonts w:ascii="Times New Roman" w:hAnsi="Times New Roman"/>
                <w:highlight w:val="none"/>
              </w:rPr>
            </w:pPr>
            <w:r>
              <w:rPr>
                <w:rFonts w:ascii="Times New Roman" w:hAnsi="Times New Roman"/>
                <w:highlight w:val="none"/>
              </w:rPr>
              <w:t>主要污染物</w:t>
            </w:r>
          </w:p>
        </w:tc>
      </w:tr>
      <w:tr w14:paraId="20821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noWrap w:val="0"/>
            <w:vAlign w:val="center"/>
          </w:tcPr>
          <w:p w14:paraId="1948D503">
            <w:pPr>
              <w:pStyle w:val="27"/>
              <w:rPr>
                <w:rFonts w:ascii="Times New Roman" w:hAnsi="Times New Roman"/>
                <w:highlight w:val="none"/>
              </w:rPr>
            </w:pPr>
            <w:r>
              <w:rPr>
                <w:rFonts w:ascii="Times New Roman" w:hAnsi="Times New Roman"/>
                <w:highlight w:val="none"/>
              </w:rPr>
              <w:t>1</w:t>
            </w:r>
          </w:p>
        </w:tc>
        <w:tc>
          <w:tcPr>
            <w:tcW w:w="884" w:type="pct"/>
            <w:noWrap w:val="0"/>
            <w:vAlign w:val="center"/>
          </w:tcPr>
          <w:p w14:paraId="79E81BDB">
            <w:pPr>
              <w:pStyle w:val="27"/>
              <w:rPr>
                <w:rFonts w:ascii="Times New Roman" w:hAnsi="Times New Roman"/>
                <w:highlight w:val="none"/>
              </w:rPr>
            </w:pPr>
            <w:r>
              <w:rPr>
                <w:highlight w:val="none"/>
              </w:rPr>
              <w:t>燃煤</w:t>
            </w:r>
            <w:r>
              <w:rPr>
                <w:rFonts w:ascii="Times New Roman" w:hAnsi="Times New Roman"/>
                <w:highlight w:val="none"/>
              </w:rPr>
              <w:t>贮存、装卸及输送过程</w:t>
            </w:r>
          </w:p>
        </w:tc>
        <w:tc>
          <w:tcPr>
            <w:tcW w:w="996" w:type="pct"/>
            <w:noWrap w:val="0"/>
            <w:vAlign w:val="center"/>
          </w:tcPr>
          <w:p w14:paraId="7474E54A">
            <w:pPr>
              <w:pStyle w:val="27"/>
              <w:rPr>
                <w:rFonts w:ascii="Times New Roman" w:hAnsi="Times New Roman"/>
                <w:highlight w:val="none"/>
              </w:rPr>
            </w:pPr>
            <w:r>
              <w:rPr>
                <w:rFonts w:ascii="Times New Roman" w:hAnsi="Times New Roman"/>
                <w:highlight w:val="none"/>
              </w:rPr>
              <w:t>贮存、装卸、输送系统</w:t>
            </w:r>
          </w:p>
        </w:tc>
        <w:tc>
          <w:tcPr>
            <w:tcW w:w="999" w:type="pct"/>
            <w:noWrap w:val="0"/>
            <w:vAlign w:val="center"/>
          </w:tcPr>
          <w:p w14:paraId="08F558B5">
            <w:pPr>
              <w:pStyle w:val="27"/>
              <w:rPr>
                <w:rFonts w:ascii="Times New Roman" w:hAnsi="Times New Roman"/>
                <w:highlight w:val="none"/>
              </w:rPr>
            </w:pPr>
            <w:r>
              <w:rPr>
                <w:rFonts w:ascii="Times New Roman" w:hAnsi="Times New Roman"/>
                <w:highlight w:val="none"/>
              </w:rPr>
              <w:t>废气、设备噪声</w:t>
            </w:r>
          </w:p>
        </w:tc>
        <w:tc>
          <w:tcPr>
            <w:tcW w:w="1693" w:type="pct"/>
            <w:noWrap w:val="0"/>
            <w:vAlign w:val="center"/>
          </w:tcPr>
          <w:p w14:paraId="797A5B6D">
            <w:pPr>
              <w:pStyle w:val="27"/>
              <w:rPr>
                <w:rFonts w:ascii="Times New Roman" w:hAnsi="Times New Roman"/>
                <w:highlight w:val="none"/>
              </w:rPr>
            </w:pPr>
            <w:r>
              <w:rPr>
                <w:rFonts w:ascii="Times New Roman" w:hAnsi="Times New Roman"/>
                <w:highlight w:val="none"/>
              </w:rPr>
              <w:t>粉尘、噪声</w:t>
            </w:r>
          </w:p>
        </w:tc>
      </w:tr>
      <w:tr w14:paraId="0E0F64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restart"/>
            <w:noWrap w:val="0"/>
            <w:vAlign w:val="center"/>
          </w:tcPr>
          <w:p w14:paraId="5146A7B4">
            <w:pPr>
              <w:pStyle w:val="27"/>
              <w:rPr>
                <w:rFonts w:ascii="Times New Roman" w:hAnsi="Times New Roman"/>
                <w:highlight w:val="none"/>
              </w:rPr>
            </w:pPr>
            <w:r>
              <w:rPr>
                <w:rFonts w:ascii="Times New Roman" w:hAnsi="Times New Roman"/>
                <w:highlight w:val="none"/>
              </w:rPr>
              <w:t>2</w:t>
            </w:r>
          </w:p>
        </w:tc>
        <w:tc>
          <w:tcPr>
            <w:tcW w:w="884" w:type="pct"/>
            <w:vMerge w:val="restart"/>
            <w:noWrap w:val="0"/>
            <w:vAlign w:val="center"/>
          </w:tcPr>
          <w:p w14:paraId="679E1B92">
            <w:pPr>
              <w:pStyle w:val="27"/>
              <w:rPr>
                <w:rFonts w:ascii="Times New Roman" w:hAnsi="Times New Roman"/>
                <w:highlight w:val="none"/>
              </w:rPr>
            </w:pPr>
            <w:r>
              <w:rPr>
                <w:rFonts w:ascii="Times New Roman" w:hAnsi="Times New Roman"/>
                <w:highlight w:val="none"/>
              </w:rPr>
              <w:t>燃烧过程</w:t>
            </w:r>
          </w:p>
        </w:tc>
        <w:tc>
          <w:tcPr>
            <w:tcW w:w="996" w:type="pct"/>
            <w:noWrap w:val="0"/>
            <w:vAlign w:val="center"/>
          </w:tcPr>
          <w:p w14:paraId="40FF0396">
            <w:pPr>
              <w:pStyle w:val="27"/>
              <w:rPr>
                <w:rFonts w:ascii="Times New Roman" w:hAnsi="Times New Roman"/>
                <w:highlight w:val="none"/>
              </w:rPr>
            </w:pPr>
            <w:r>
              <w:rPr>
                <w:rFonts w:ascii="Times New Roman" w:hAnsi="Times New Roman"/>
                <w:highlight w:val="none"/>
              </w:rPr>
              <w:t>燃煤粉碎及风机</w:t>
            </w:r>
          </w:p>
        </w:tc>
        <w:tc>
          <w:tcPr>
            <w:tcW w:w="999" w:type="pct"/>
            <w:noWrap w:val="0"/>
            <w:vAlign w:val="center"/>
          </w:tcPr>
          <w:p w14:paraId="4706B6B8">
            <w:pPr>
              <w:pStyle w:val="27"/>
              <w:rPr>
                <w:rFonts w:ascii="Times New Roman" w:hAnsi="Times New Roman"/>
                <w:highlight w:val="none"/>
              </w:rPr>
            </w:pPr>
            <w:r>
              <w:rPr>
                <w:rFonts w:ascii="Times New Roman" w:hAnsi="Times New Roman"/>
                <w:highlight w:val="none"/>
              </w:rPr>
              <w:t>废气、设备噪声</w:t>
            </w:r>
          </w:p>
        </w:tc>
        <w:tc>
          <w:tcPr>
            <w:tcW w:w="1693" w:type="pct"/>
            <w:noWrap w:val="0"/>
            <w:vAlign w:val="center"/>
          </w:tcPr>
          <w:p w14:paraId="50DB1826">
            <w:pPr>
              <w:pStyle w:val="27"/>
              <w:rPr>
                <w:rFonts w:ascii="Times New Roman" w:hAnsi="Times New Roman"/>
                <w:highlight w:val="none"/>
              </w:rPr>
            </w:pPr>
            <w:r>
              <w:rPr>
                <w:rFonts w:ascii="Times New Roman" w:hAnsi="Times New Roman"/>
                <w:highlight w:val="none"/>
              </w:rPr>
              <w:t>粉尘、噪声</w:t>
            </w:r>
          </w:p>
        </w:tc>
      </w:tr>
      <w:tr w14:paraId="742405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continue"/>
            <w:noWrap w:val="0"/>
            <w:vAlign w:val="center"/>
          </w:tcPr>
          <w:p w14:paraId="13FB41B4">
            <w:pPr>
              <w:pStyle w:val="27"/>
              <w:rPr>
                <w:rFonts w:ascii="Times New Roman" w:hAnsi="Times New Roman"/>
                <w:highlight w:val="none"/>
              </w:rPr>
            </w:pPr>
          </w:p>
        </w:tc>
        <w:tc>
          <w:tcPr>
            <w:tcW w:w="884" w:type="pct"/>
            <w:vMerge w:val="continue"/>
            <w:noWrap w:val="0"/>
            <w:vAlign w:val="center"/>
          </w:tcPr>
          <w:p w14:paraId="0C8A91F7">
            <w:pPr>
              <w:pStyle w:val="27"/>
              <w:rPr>
                <w:rFonts w:ascii="Times New Roman" w:hAnsi="Times New Roman"/>
                <w:highlight w:val="none"/>
              </w:rPr>
            </w:pPr>
          </w:p>
        </w:tc>
        <w:tc>
          <w:tcPr>
            <w:tcW w:w="996" w:type="pct"/>
            <w:vMerge w:val="restart"/>
            <w:noWrap w:val="0"/>
            <w:vAlign w:val="center"/>
          </w:tcPr>
          <w:p w14:paraId="224B1B4B">
            <w:pPr>
              <w:pStyle w:val="27"/>
              <w:rPr>
                <w:rFonts w:ascii="Times New Roman" w:hAnsi="Times New Roman"/>
                <w:highlight w:val="none"/>
              </w:rPr>
            </w:pPr>
            <w:r>
              <w:rPr>
                <w:rFonts w:ascii="Times New Roman" w:hAnsi="Times New Roman"/>
                <w:highlight w:val="none"/>
              </w:rPr>
              <w:t>锅炉燃烧</w:t>
            </w:r>
          </w:p>
        </w:tc>
        <w:tc>
          <w:tcPr>
            <w:tcW w:w="999" w:type="pct"/>
            <w:noWrap w:val="0"/>
            <w:vAlign w:val="center"/>
          </w:tcPr>
          <w:p w14:paraId="48020531">
            <w:pPr>
              <w:pStyle w:val="27"/>
              <w:rPr>
                <w:rFonts w:ascii="Times New Roman" w:hAnsi="Times New Roman"/>
                <w:highlight w:val="none"/>
              </w:rPr>
            </w:pPr>
            <w:r>
              <w:rPr>
                <w:rFonts w:ascii="Times New Roman" w:hAnsi="Times New Roman"/>
                <w:highlight w:val="none"/>
              </w:rPr>
              <w:t>烟气</w:t>
            </w:r>
          </w:p>
        </w:tc>
        <w:tc>
          <w:tcPr>
            <w:tcW w:w="1693" w:type="pct"/>
            <w:noWrap w:val="0"/>
            <w:vAlign w:val="center"/>
          </w:tcPr>
          <w:p w14:paraId="684C84E0">
            <w:pPr>
              <w:pStyle w:val="27"/>
              <w:rPr>
                <w:rFonts w:ascii="Times New Roman" w:hAnsi="Times New Roman"/>
                <w:highlight w:val="none"/>
              </w:rPr>
            </w:pPr>
            <w:r>
              <w:rPr>
                <w:rFonts w:ascii="Times New Roman" w:hAnsi="Times New Roman"/>
                <w:highlight w:val="none"/>
              </w:rPr>
              <w:t>烟尘、SO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w:t>
            </w:r>
            <w:r>
              <w:rPr>
                <w:rFonts w:hint="eastAsia" w:ascii="Times New Roman" w:hAnsi="Times New Roman"/>
                <w:highlight w:val="none"/>
              </w:rPr>
              <w:t>林格曼黑度、</w:t>
            </w:r>
            <w:r>
              <w:rPr>
                <w:rFonts w:ascii="Times New Roman" w:hAnsi="Times New Roman"/>
                <w:highlight w:val="none"/>
              </w:rPr>
              <w:t>汞及其化合物</w:t>
            </w:r>
            <w:r>
              <w:rPr>
                <w:rFonts w:hint="eastAsia" w:ascii="Times New Roman" w:hAnsi="Times New Roman"/>
                <w:highlight w:val="none"/>
              </w:rPr>
              <w:t>、氨</w:t>
            </w:r>
          </w:p>
        </w:tc>
      </w:tr>
      <w:tr w14:paraId="585D5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continue"/>
            <w:noWrap w:val="0"/>
            <w:vAlign w:val="center"/>
          </w:tcPr>
          <w:p w14:paraId="7C9120FA">
            <w:pPr>
              <w:pStyle w:val="27"/>
              <w:rPr>
                <w:rFonts w:ascii="Times New Roman" w:hAnsi="Times New Roman"/>
                <w:highlight w:val="none"/>
              </w:rPr>
            </w:pPr>
          </w:p>
        </w:tc>
        <w:tc>
          <w:tcPr>
            <w:tcW w:w="884" w:type="pct"/>
            <w:vMerge w:val="continue"/>
            <w:noWrap w:val="0"/>
            <w:vAlign w:val="center"/>
          </w:tcPr>
          <w:p w14:paraId="54D402C7">
            <w:pPr>
              <w:pStyle w:val="27"/>
              <w:rPr>
                <w:rFonts w:ascii="Times New Roman" w:hAnsi="Times New Roman"/>
                <w:highlight w:val="none"/>
              </w:rPr>
            </w:pPr>
          </w:p>
        </w:tc>
        <w:tc>
          <w:tcPr>
            <w:tcW w:w="996" w:type="pct"/>
            <w:vMerge w:val="continue"/>
            <w:noWrap w:val="0"/>
            <w:vAlign w:val="center"/>
          </w:tcPr>
          <w:p w14:paraId="5F11C6D6">
            <w:pPr>
              <w:pStyle w:val="27"/>
              <w:rPr>
                <w:rFonts w:ascii="Times New Roman" w:hAnsi="Times New Roman"/>
                <w:highlight w:val="none"/>
              </w:rPr>
            </w:pPr>
          </w:p>
        </w:tc>
        <w:tc>
          <w:tcPr>
            <w:tcW w:w="999" w:type="pct"/>
            <w:noWrap w:val="0"/>
            <w:vAlign w:val="center"/>
          </w:tcPr>
          <w:p w14:paraId="10B3802E">
            <w:pPr>
              <w:pStyle w:val="27"/>
              <w:rPr>
                <w:rFonts w:ascii="Times New Roman" w:hAnsi="Times New Roman"/>
                <w:highlight w:val="none"/>
              </w:rPr>
            </w:pPr>
            <w:r>
              <w:rPr>
                <w:rFonts w:ascii="Times New Roman" w:hAnsi="Times New Roman"/>
                <w:highlight w:val="none"/>
              </w:rPr>
              <w:t>固体废物</w:t>
            </w:r>
          </w:p>
        </w:tc>
        <w:tc>
          <w:tcPr>
            <w:tcW w:w="1693" w:type="pct"/>
            <w:noWrap w:val="0"/>
            <w:vAlign w:val="center"/>
          </w:tcPr>
          <w:p w14:paraId="11946F0B">
            <w:pPr>
              <w:pStyle w:val="27"/>
              <w:rPr>
                <w:rFonts w:ascii="Times New Roman" w:hAnsi="Times New Roman"/>
                <w:highlight w:val="none"/>
              </w:rPr>
            </w:pPr>
            <w:r>
              <w:rPr>
                <w:rFonts w:ascii="Times New Roman" w:hAnsi="Times New Roman"/>
                <w:highlight w:val="none"/>
              </w:rPr>
              <w:t>炉灰、炉渣</w:t>
            </w:r>
          </w:p>
        </w:tc>
      </w:tr>
      <w:tr w14:paraId="045FAE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continue"/>
            <w:noWrap w:val="0"/>
            <w:vAlign w:val="center"/>
          </w:tcPr>
          <w:p w14:paraId="662E32CD">
            <w:pPr>
              <w:pStyle w:val="27"/>
              <w:rPr>
                <w:rFonts w:ascii="Times New Roman" w:hAnsi="Times New Roman"/>
                <w:highlight w:val="none"/>
              </w:rPr>
            </w:pPr>
          </w:p>
        </w:tc>
        <w:tc>
          <w:tcPr>
            <w:tcW w:w="884" w:type="pct"/>
            <w:vMerge w:val="continue"/>
            <w:noWrap w:val="0"/>
            <w:vAlign w:val="center"/>
          </w:tcPr>
          <w:p w14:paraId="398B43D4">
            <w:pPr>
              <w:pStyle w:val="27"/>
              <w:rPr>
                <w:rFonts w:ascii="Times New Roman" w:hAnsi="Times New Roman"/>
                <w:highlight w:val="none"/>
              </w:rPr>
            </w:pPr>
          </w:p>
        </w:tc>
        <w:tc>
          <w:tcPr>
            <w:tcW w:w="996" w:type="pct"/>
            <w:noWrap w:val="0"/>
            <w:vAlign w:val="center"/>
          </w:tcPr>
          <w:p w14:paraId="265030E1">
            <w:pPr>
              <w:pStyle w:val="27"/>
              <w:rPr>
                <w:rFonts w:ascii="Times New Roman" w:hAnsi="Times New Roman"/>
                <w:highlight w:val="none"/>
              </w:rPr>
            </w:pPr>
            <w:r>
              <w:rPr>
                <w:rFonts w:hint="eastAsia" w:ascii="Times New Roman" w:hAnsi="Times New Roman"/>
                <w:highlight w:val="none"/>
              </w:rPr>
              <w:t>鼓风机、引风机</w:t>
            </w:r>
          </w:p>
        </w:tc>
        <w:tc>
          <w:tcPr>
            <w:tcW w:w="999" w:type="pct"/>
            <w:noWrap w:val="0"/>
            <w:vAlign w:val="center"/>
          </w:tcPr>
          <w:p w14:paraId="68218238">
            <w:pPr>
              <w:pStyle w:val="27"/>
              <w:rPr>
                <w:rFonts w:ascii="Times New Roman" w:hAnsi="Times New Roman"/>
                <w:highlight w:val="none"/>
              </w:rPr>
            </w:pPr>
            <w:bookmarkStart w:id="78" w:name="_Toc302376203"/>
            <w:bookmarkStart w:id="79" w:name="_Toc298927085"/>
            <w:bookmarkStart w:id="80" w:name="_Toc229811363"/>
            <w:bookmarkStart w:id="81" w:name="_Toc229384228"/>
            <w:bookmarkStart w:id="82" w:name="_Toc299033287"/>
            <w:r>
              <w:rPr>
                <w:rFonts w:ascii="Times New Roman" w:hAnsi="Times New Roman"/>
                <w:highlight w:val="none"/>
              </w:rPr>
              <w:t>设备噪声</w:t>
            </w:r>
            <w:bookmarkEnd w:id="78"/>
            <w:bookmarkEnd w:id="79"/>
            <w:bookmarkEnd w:id="80"/>
            <w:bookmarkEnd w:id="81"/>
            <w:bookmarkEnd w:id="82"/>
          </w:p>
        </w:tc>
        <w:tc>
          <w:tcPr>
            <w:tcW w:w="1693" w:type="pct"/>
            <w:noWrap w:val="0"/>
            <w:vAlign w:val="center"/>
          </w:tcPr>
          <w:p w14:paraId="0C9E0C13">
            <w:pPr>
              <w:pStyle w:val="27"/>
              <w:rPr>
                <w:rFonts w:ascii="Times New Roman" w:hAnsi="Times New Roman"/>
                <w:highlight w:val="none"/>
              </w:rPr>
            </w:pPr>
            <w:bookmarkStart w:id="83" w:name="_Toc299033288"/>
            <w:bookmarkStart w:id="84" w:name="_Toc302376204"/>
            <w:bookmarkStart w:id="85" w:name="_Toc298927086"/>
            <w:r>
              <w:rPr>
                <w:rFonts w:ascii="Times New Roman" w:hAnsi="Times New Roman"/>
                <w:highlight w:val="none"/>
              </w:rPr>
              <w:t>噪声</w:t>
            </w:r>
            <w:bookmarkEnd w:id="83"/>
            <w:bookmarkEnd w:id="84"/>
            <w:bookmarkEnd w:id="85"/>
          </w:p>
        </w:tc>
      </w:tr>
      <w:tr w14:paraId="542D09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continue"/>
            <w:noWrap w:val="0"/>
            <w:vAlign w:val="center"/>
          </w:tcPr>
          <w:p w14:paraId="26209BF1">
            <w:pPr>
              <w:pStyle w:val="27"/>
              <w:rPr>
                <w:rFonts w:ascii="Times New Roman" w:hAnsi="Times New Roman"/>
                <w:highlight w:val="none"/>
              </w:rPr>
            </w:pPr>
          </w:p>
        </w:tc>
        <w:tc>
          <w:tcPr>
            <w:tcW w:w="884" w:type="pct"/>
            <w:vMerge w:val="continue"/>
            <w:noWrap w:val="0"/>
            <w:vAlign w:val="center"/>
          </w:tcPr>
          <w:p w14:paraId="2FCE67A4">
            <w:pPr>
              <w:pStyle w:val="27"/>
              <w:rPr>
                <w:rFonts w:ascii="Times New Roman" w:hAnsi="Times New Roman"/>
                <w:highlight w:val="none"/>
              </w:rPr>
            </w:pPr>
          </w:p>
        </w:tc>
        <w:tc>
          <w:tcPr>
            <w:tcW w:w="996" w:type="pct"/>
            <w:noWrap w:val="0"/>
            <w:vAlign w:val="center"/>
          </w:tcPr>
          <w:p w14:paraId="1964D48B">
            <w:pPr>
              <w:pStyle w:val="27"/>
              <w:rPr>
                <w:rFonts w:ascii="Times New Roman" w:hAnsi="Times New Roman"/>
                <w:highlight w:val="none"/>
              </w:rPr>
            </w:pPr>
            <w:r>
              <w:rPr>
                <w:rFonts w:ascii="Times New Roman" w:hAnsi="Times New Roman"/>
                <w:highlight w:val="none"/>
              </w:rPr>
              <w:t>锅炉废水</w:t>
            </w:r>
          </w:p>
        </w:tc>
        <w:tc>
          <w:tcPr>
            <w:tcW w:w="999" w:type="pct"/>
            <w:noWrap w:val="0"/>
            <w:vAlign w:val="center"/>
          </w:tcPr>
          <w:p w14:paraId="688B48E3">
            <w:pPr>
              <w:pStyle w:val="27"/>
              <w:rPr>
                <w:rFonts w:ascii="Times New Roman" w:hAnsi="Times New Roman"/>
                <w:highlight w:val="none"/>
              </w:rPr>
            </w:pPr>
            <w:r>
              <w:rPr>
                <w:rFonts w:ascii="Times New Roman" w:hAnsi="Times New Roman"/>
                <w:highlight w:val="none"/>
              </w:rPr>
              <w:t>废水</w:t>
            </w:r>
          </w:p>
        </w:tc>
        <w:tc>
          <w:tcPr>
            <w:tcW w:w="1693" w:type="pct"/>
            <w:noWrap w:val="0"/>
            <w:vAlign w:val="center"/>
          </w:tcPr>
          <w:p w14:paraId="309731C5">
            <w:pPr>
              <w:pStyle w:val="27"/>
              <w:rPr>
                <w:rFonts w:ascii="Times New Roman" w:hAnsi="Times New Roman"/>
                <w:highlight w:val="none"/>
              </w:rPr>
            </w:pPr>
            <w:r>
              <w:rPr>
                <w:rFonts w:ascii="Times New Roman" w:hAnsi="Times New Roman"/>
                <w:highlight w:val="none"/>
              </w:rPr>
              <w:t>盐类、SS</w:t>
            </w:r>
          </w:p>
        </w:tc>
      </w:tr>
      <w:tr w14:paraId="176448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427" w:type="pct"/>
            <w:noWrap w:val="0"/>
            <w:vAlign w:val="center"/>
          </w:tcPr>
          <w:p w14:paraId="1A871008">
            <w:pPr>
              <w:pStyle w:val="27"/>
              <w:rPr>
                <w:rFonts w:ascii="Times New Roman" w:hAnsi="Times New Roman"/>
                <w:highlight w:val="none"/>
              </w:rPr>
            </w:pPr>
            <w:r>
              <w:rPr>
                <w:rFonts w:ascii="Times New Roman" w:hAnsi="Times New Roman"/>
                <w:highlight w:val="none"/>
              </w:rPr>
              <w:t>3</w:t>
            </w:r>
          </w:p>
        </w:tc>
        <w:tc>
          <w:tcPr>
            <w:tcW w:w="884" w:type="pct"/>
            <w:noWrap w:val="0"/>
            <w:vAlign w:val="center"/>
          </w:tcPr>
          <w:p w14:paraId="417063E2">
            <w:pPr>
              <w:pStyle w:val="27"/>
              <w:rPr>
                <w:rFonts w:ascii="Times New Roman" w:hAnsi="Times New Roman"/>
                <w:highlight w:val="none"/>
              </w:rPr>
            </w:pPr>
            <w:r>
              <w:rPr>
                <w:rFonts w:ascii="Times New Roman" w:hAnsi="Times New Roman"/>
                <w:highlight w:val="none"/>
              </w:rPr>
              <w:t>脱硫过程</w:t>
            </w:r>
          </w:p>
        </w:tc>
        <w:tc>
          <w:tcPr>
            <w:tcW w:w="996" w:type="pct"/>
            <w:noWrap w:val="0"/>
            <w:vAlign w:val="center"/>
          </w:tcPr>
          <w:p w14:paraId="7866D683">
            <w:pPr>
              <w:pStyle w:val="27"/>
              <w:rPr>
                <w:rFonts w:ascii="Times New Roman" w:hAnsi="Times New Roman"/>
                <w:highlight w:val="none"/>
              </w:rPr>
            </w:pPr>
            <w:r>
              <w:rPr>
                <w:rFonts w:ascii="Times New Roman" w:hAnsi="Times New Roman"/>
                <w:highlight w:val="none"/>
              </w:rPr>
              <w:t>脱硫系统</w:t>
            </w:r>
          </w:p>
        </w:tc>
        <w:tc>
          <w:tcPr>
            <w:tcW w:w="999" w:type="pct"/>
            <w:noWrap w:val="0"/>
            <w:vAlign w:val="center"/>
          </w:tcPr>
          <w:p w14:paraId="51DB4442">
            <w:pPr>
              <w:pStyle w:val="27"/>
              <w:rPr>
                <w:rFonts w:ascii="Times New Roman" w:hAnsi="Times New Roman"/>
                <w:highlight w:val="none"/>
              </w:rPr>
            </w:pPr>
            <w:r>
              <w:rPr>
                <w:rFonts w:ascii="Times New Roman" w:hAnsi="Times New Roman"/>
                <w:highlight w:val="none"/>
              </w:rPr>
              <w:t>设备噪声、废水</w:t>
            </w:r>
            <w:r>
              <w:rPr>
                <w:rFonts w:hint="eastAsia" w:ascii="Times New Roman" w:hAnsi="Times New Roman"/>
                <w:highlight w:val="none"/>
              </w:rPr>
              <w:t>、固废</w:t>
            </w:r>
          </w:p>
        </w:tc>
        <w:tc>
          <w:tcPr>
            <w:tcW w:w="1693" w:type="pct"/>
            <w:noWrap w:val="0"/>
            <w:vAlign w:val="center"/>
          </w:tcPr>
          <w:p w14:paraId="657EA463">
            <w:pPr>
              <w:pStyle w:val="27"/>
              <w:rPr>
                <w:rFonts w:ascii="Times New Roman" w:hAnsi="Times New Roman"/>
                <w:highlight w:val="none"/>
              </w:rPr>
            </w:pPr>
            <w:r>
              <w:rPr>
                <w:rFonts w:ascii="Times New Roman" w:hAnsi="Times New Roman"/>
                <w:highlight w:val="none"/>
              </w:rPr>
              <w:t>噪声、脱硫废水、脱硫</w:t>
            </w:r>
            <w:r>
              <w:rPr>
                <w:rFonts w:hint="eastAsia" w:ascii="Times New Roman" w:hAnsi="Times New Roman"/>
                <w:highlight w:val="none"/>
              </w:rPr>
              <w:t>石膏</w:t>
            </w:r>
          </w:p>
        </w:tc>
      </w:tr>
      <w:tr w14:paraId="1F8F2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427" w:type="pct"/>
            <w:vMerge w:val="restart"/>
            <w:noWrap w:val="0"/>
            <w:vAlign w:val="center"/>
          </w:tcPr>
          <w:p w14:paraId="76497CDF">
            <w:pPr>
              <w:pStyle w:val="27"/>
              <w:rPr>
                <w:rFonts w:ascii="Times New Roman" w:hAnsi="Times New Roman"/>
                <w:highlight w:val="none"/>
              </w:rPr>
            </w:pPr>
            <w:r>
              <w:rPr>
                <w:rFonts w:ascii="Times New Roman" w:hAnsi="Times New Roman"/>
                <w:highlight w:val="none"/>
              </w:rPr>
              <w:t>4</w:t>
            </w:r>
          </w:p>
        </w:tc>
        <w:tc>
          <w:tcPr>
            <w:tcW w:w="884" w:type="pct"/>
            <w:vMerge w:val="restart"/>
            <w:noWrap w:val="0"/>
            <w:vAlign w:val="center"/>
          </w:tcPr>
          <w:p w14:paraId="23CB558B">
            <w:pPr>
              <w:pStyle w:val="27"/>
              <w:rPr>
                <w:rFonts w:ascii="Times New Roman" w:hAnsi="Times New Roman"/>
                <w:highlight w:val="none"/>
              </w:rPr>
            </w:pPr>
            <w:r>
              <w:rPr>
                <w:rFonts w:ascii="Times New Roman" w:hAnsi="Times New Roman"/>
                <w:highlight w:val="none"/>
              </w:rPr>
              <w:t>脱硝过程</w:t>
            </w:r>
          </w:p>
        </w:tc>
        <w:tc>
          <w:tcPr>
            <w:tcW w:w="996" w:type="pct"/>
            <w:noWrap w:val="0"/>
            <w:vAlign w:val="center"/>
          </w:tcPr>
          <w:p w14:paraId="1DF9F43F">
            <w:pPr>
              <w:pStyle w:val="27"/>
              <w:rPr>
                <w:rFonts w:ascii="Times New Roman" w:hAnsi="Times New Roman"/>
                <w:highlight w:val="none"/>
              </w:rPr>
            </w:pPr>
            <w:r>
              <w:rPr>
                <w:rFonts w:ascii="Times New Roman" w:hAnsi="Times New Roman"/>
                <w:highlight w:val="none"/>
              </w:rPr>
              <w:t>脱硝系统</w:t>
            </w:r>
          </w:p>
        </w:tc>
        <w:tc>
          <w:tcPr>
            <w:tcW w:w="999" w:type="pct"/>
            <w:noWrap w:val="0"/>
            <w:vAlign w:val="center"/>
          </w:tcPr>
          <w:p w14:paraId="65A73A3A">
            <w:pPr>
              <w:pStyle w:val="27"/>
              <w:rPr>
                <w:rFonts w:ascii="Times New Roman" w:hAnsi="Times New Roman"/>
                <w:highlight w:val="none"/>
              </w:rPr>
            </w:pPr>
            <w:r>
              <w:rPr>
                <w:rFonts w:ascii="Times New Roman" w:hAnsi="Times New Roman"/>
                <w:highlight w:val="none"/>
              </w:rPr>
              <w:t>废气</w:t>
            </w:r>
          </w:p>
        </w:tc>
        <w:tc>
          <w:tcPr>
            <w:tcW w:w="1693" w:type="pct"/>
            <w:noWrap w:val="0"/>
            <w:vAlign w:val="center"/>
          </w:tcPr>
          <w:p w14:paraId="40A8208A">
            <w:pPr>
              <w:pStyle w:val="27"/>
              <w:rPr>
                <w:rFonts w:ascii="Times New Roman" w:hAnsi="Times New Roman"/>
                <w:highlight w:val="none"/>
              </w:rPr>
            </w:pPr>
            <w:r>
              <w:rPr>
                <w:rFonts w:ascii="Times New Roman" w:hAnsi="Times New Roman"/>
                <w:highlight w:val="none"/>
              </w:rPr>
              <w:t>NH</w:t>
            </w:r>
            <w:r>
              <w:rPr>
                <w:rFonts w:ascii="Times New Roman" w:hAnsi="Times New Roman"/>
                <w:highlight w:val="none"/>
                <w:vertAlign w:val="subscript"/>
              </w:rPr>
              <w:t>3</w:t>
            </w:r>
          </w:p>
        </w:tc>
      </w:tr>
      <w:tr w14:paraId="60494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427" w:type="pct"/>
            <w:vMerge w:val="continue"/>
            <w:noWrap w:val="0"/>
            <w:vAlign w:val="center"/>
          </w:tcPr>
          <w:p w14:paraId="62AA1EFD">
            <w:pPr>
              <w:pStyle w:val="27"/>
              <w:rPr>
                <w:rFonts w:ascii="Times New Roman" w:hAnsi="Times New Roman"/>
                <w:highlight w:val="none"/>
              </w:rPr>
            </w:pPr>
          </w:p>
        </w:tc>
        <w:tc>
          <w:tcPr>
            <w:tcW w:w="884" w:type="pct"/>
            <w:vMerge w:val="continue"/>
            <w:noWrap w:val="0"/>
            <w:vAlign w:val="center"/>
          </w:tcPr>
          <w:p w14:paraId="134CFDF9">
            <w:pPr>
              <w:pStyle w:val="27"/>
              <w:rPr>
                <w:rFonts w:ascii="Times New Roman" w:hAnsi="Times New Roman"/>
                <w:highlight w:val="none"/>
              </w:rPr>
            </w:pPr>
          </w:p>
        </w:tc>
        <w:tc>
          <w:tcPr>
            <w:tcW w:w="996" w:type="pct"/>
            <w:noWrap w:val="0"/>
            <w:vAlign w:val="center"/>
          </w:tcPr>
          <w:p w14:paraId="64F549FA">
            <w:pPr>
              <w:pStyle w:val="27"/>
              <w:rPr>
                <w:rFonts w:ascii="Times New Roman" w:hAnsi="Times New Roman"/>
                <w:highlight w:val="none"/>
              </w:rPr>
            </w:pPr>
            <w:r>
              <w:rPr>
                <w:rFonts w:ascii="Times New Roman" w:hAnsi="Times New Roman"/>
                <w:highlight w:val="none"/>
              </w:rPr>
              <w:t>脱硝系统</w:t>
            </w:r>
          </w:p>
        </w:tc>
        <w:tc>
          <w:tcPr>
            <w:tcW w:w="999" w:type="pct"/>
            <w:noWrap w:val="0"/>
            <w:vAlign w:val="center"/>
          </w:tcPr>
          <w:p w14:paraId="6DB557D1">
            <w:pPr>
              <w:pStyle w:val="27"/>
              <w:rPr>
                <w:rFonts w:ascii="Times New Roman" w:hAnsi="Times New Roman"/>
                <w:highlight w:val="none"/>
              </w:rPr>
            </w:pPr>
            <w:r>
              <w:rPr>
                <w:rFonts w:ascii="Times New Roman" w:hAnsi="Times New Roman"/>
                <w:highlight w:val="none"/>
              </w:rPr>
              <w:t>固体废物</w:t>
            </w:r>
          </w:p>
        </w:tc>
        <w:tc>
          <w:tcPr>
            <w:tcW w:w="1693" w:type="pct"/>
            <w:noWrap w:val="0"/>
            <w:vAlign w:val="center"/>
          </w:tcPr>
          <w:p w14:paraId="65C28BC6">
            <w:pPr>
              <w:pStyle w:val="27"/>
              <w:rPr>
                <w:rFonts w:ascii="Times New Roman" w:hAnsi="Times New Roman"/>
                <w:highlight w:val="none"/>
              </w:rPr>
            </w:pPr>
            <w:r>
              <w:rPr>
                <w:rFonts w:ascii="Times New Roman" w:hAnsi="Times New Roman"/>
                <w:highlight w:val="none"/>
              </w:rPr>
              <w:t>废催化剂</w:t>
            </w:r>
          </w:p>
        </w:tc>
      </w:tr>
      <w:tr w14:paraId="1A8B7A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restart"/>
            <w:noWrap w:val="0"/>
            <w:vAlign w:val="center"/>
          </w:tcPr>
          <w:p w14:paraId="1C3ECF24">
            <w:pPr>
              <w:pStyle w:val="27"/>
              <w:rPr>
                <w:rFonts w:ascii="Times New Roman" w:hAnsi="Times New Roman"/>
                <w:highlight w:val="none"/>
              </w:rPr>
            </w:pPr>
            <w:r>
              <w:rPr>
                <w:rFonts w:ascii="Times New Roman" w:hAnsi="Times New Roman"/>
                <w:highlight w:val="none"/>
              </w:rPr>
              <w:t>5</w:t>
            </w:r>
          </w:p>
        </w:tc>
        <w:tc>
          <w:tcPr>
            <w:tcW w:w="884" w:type="pct"/>
            <w:vMerge w:val="restart"/>
            <w:noWrap w:val="0"/>
            <w:vAlign w:val="center"/>
          </w:tcPr>
          <w:p w14:paraId="5537BF61">
            <w:pPr>
              <w:pStyle w:val="27"/>
              <w:rPr>
                <w:rFonts w:ascii="Times New Roman" w:hAnsi="Times New Roman"/>
                <w:highlight w:val="none"/>
              </w:rPr>
            </w:pPr>
            <w:r>
              <w:rPr>
                <w:rFonts w:ascii="Times New Roman" w:hAnsi="Times New Roman"/>
                <w:highlight w:val="none"/>
              </w:rPr>
              <w:t>锅炉排污水</w:t>
            </w:r>
          </w:p>
        </w:tc>
        <w:tc>
          <w:tcPr>
            <w:tcW w:w="996" w:type="pct"/>
            <w:vMerge w:val="restart"/>
            <w:noWrap w:val="0"/>
            <w:vAlign w:val="center"/>
          </w:tcPr>
          <w:p w14:paraId="505C855B">
            <w:pPr>
              <w:pStyle w:val="27"/>
              <w:rPr>
                <w:rFonts w:ascii="Times New Roman" w:hAnsi="Times New Roman"/>
                <w:highlight w:val="none"/>
              </w:rPr>
            </w:pPr>
            <w:r>
              <w:rPr>
                <w:rFonts w:ascii="Times New Roman" w:hAnsi="Times New Roman"/>
                <w:highlight w:val="none"/>
              </w:rPr>
              <w:t>原水处理</w:t>
            </w:r>
          </w:p>
        </w:tc>
        <w:tc>
          <w:tcPr>
            <w:tcW w:w="999" w:type="pct"/>
            <w:noWrap w:val="0"/>
            <w:vAlign w:val="center"/>
          </w:tcPr>
          <w:p w14:paraId="5B87002A">
            <w:pPr>
              <w:pStyle w:val="27"/>
              <w:rPr>
                <w:rFonts w:ascii="Times New Roman" w:hAnsi="Times New Roman"/>
                <w:highlight w:val="none"/>
              </w:rPr>
            </w:pPr>
            <w:r>
              <w:rPr>
                <w:rFonts w:ascii="Times New Roman" w:hAnsi="Times New Roman"/>
                <w:highlight w:val="none"/>
              </w:rPr>
              <w:t>废水</w:t>
            </w:r>
          </w:p>
        </w:tc>
        <w:tc>
          <w:tcPr>
            <w:tcW w:w="1693" w:type="pct"/>
            <w:noWrap w:val="0"/>
            <w:vAlign w:val="center"/>
          </w:tcPr>
          <w:p w14:paraId="7ACCFA69">
            <w:pPr>
              <w:pStyle w:val="27"/>
              <w:rPr>
                <w:rFonts w:ascii="Times New Roman" w:hAnsi="Times New Roman"/>
                <w:highlight w:val="none"/>
              </w:rPr>
            </w:pPr>
            <w:r>
              <w:rPr>
                <w:rFonts w:ascii="Times New Roman" w:hAnsi="Times New Roman"/>
                <w:highlight w:val="none"/>
              </w:rPr>
              <w:t>pH、SS、盐类、COD</w:t>
            </w:r>
          </w:p>
        </w:tc>
      </w:tr>
      <w:tr w14:paraId="079598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7" w:type="pct"/>
            <w:vMerge w:val="continue"/>
            <w:noWrap w:val="0"/>
            <w:vAlign w:val="center"/>
          </w:tcPr>
          <w:p w14:paraId="54029CB1">
            <w:pPr>
              <w:pStyle w:val="27"/>
              <w:rPr>
                <w:rFonts w:ascii="Times New Roman" w:hAnsi="Times New Roman"/>
                <w:highlight w:val="none"/>
              </w:rPr>
            </w:pPr>
          </w:p>
        </w:tc>
        <w:tc>
          <w:tcPr>
            <w:tcW w:w="884" w:type="pct"/>
            <w:vMerge w:val="continue"/>
            <w:noWrap w:val="0"/>
            <w:vAlign w:val="center"/>
          </w:tcPr>
          <w:p w14:paraId="6D17D116">
            <w:pPr>
              <w:pStyle w:val="27"/>
              <w:rPr>
                <w:rFonts w:ascii="Times New Roman" w:hAnsi="Times New Roman"/>
                <w:highlight w:val="none"/>
              </w:rPr>
            </w:pPr>
          </w:p>
        </w:tc>
        <w:tc>
          <w:tcPr>
            <w:tcW w:w="996" w:type="pct"/>
            <w:vMerge w:val="continue"/>
            <w:noWrap w:val="0"/>
            <w:vAlign w:val="center"/>
          </w:tcPr>
          <w:p w14:paraId="1BDD3300">
            <w:pPr>
              <w:pStyle w:val="27"/>
              <w:rPr>
                <w:rFonts w:ascii="Times New Roman" w:hAnsi="Times New Roman"/>
                <w:highlight w:val="none"/>
              </w:rPr>
            </w:pPr>
          </w:p>
        </w:tc>
        <w:tc>
          <w:tcPr>
            <w:tcW w:w="999" w:type="pct"/>
            <w:noWrap w:val="0"/>
            <w:vAlign w:val="center"/>
          </w:tcPr>
          <w:p w14:paraId="67624CEC">
            <w:pPr>
              <w:pStyle w:val="27"/>
              <w:rPr>
                <w:rFonts w:ascii="Times New Roman" w:hAnsi="Times New Roman"/>
                <w:highlight w:val="none"/>
              </w:rPr>
            </w:pPr>
            <w:r>
              <w:rPr>
                <w:rFonts w:ascii="Times New Roman" w:hAnsi="Times New Roman"/>
                <w:highlight w:val="none"/>
              </w:rPr>
              <w:t>噪声</w:t>
            </w:r>
          </w:p>
        </w:tc>
        <w:tc>
          <w:tcPr>
            <w:tcW w:w="1693" w:type="pct"/>
            <w:noWrap w:val="0"/>
            <w:vAlign w:val="center"/>
          </w:tcPr>
          <w:p w14:paraId="674A428E">
            <w:pPr>
              <w:pStyle w:val="27"/>
              <w:rPr>
                <w:rFonts w:ascii="Times New Roman" w:hAnsi="Times New Roman"/>
                <w:highlight w:val="none"/>
              </w:rPr>
            </w:pPr>
            <w:r>
              <w:rPr>
                <w:rFonts w:ascii="Times New Roman" w:hAnsi="Times New Roman"/>
                <w:highlight w:val="none"/>
              </w:rPr>
              <w:t>噪声</w:t>
            </w:r>
          </w:p>
        </w:tc>
      </w:tr>
      <w:tr w14:paraId="041C2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vMerge w:val="continue"/>
            <w:noWrap w:val="0"/>
            <w:vAlign w:val="center"/>
          </w:tcPr>
          <w:p w14:paraId="35B68160">
            <w:pPr>
              <w:pStyle w:val="27"/>
              <w:rPr>
                <w:rFonts w:ascii="Times New Roman" w:hAnsi="Times New Roman"/>
                <w:highlight w:val="none"/>
              </w:rPr>
            </w:pPr>
          </w:p>
        </w:tc>
        <w:tc>
          <w:tcPr>
            <w:tcW w:w="884" w:type="pct"/>
            <w:vMerge w:val="continue"/>
            <w:noWrap w:val="0"/>
            <w:vAlign w:val="center"/>
          </w:tcPr>
          <w:p w14:paraId="3A2B9AA6">
            <w:pPr>
              <w:pStyle w:val="27"/>
              <w:rPr>
                <w:rFonts w:ascii="Times New Roman" w:hAnsi="Times New Roman"/>
                <w:highlight w:val="none"/>
              </w:rPr>
            </w:pPr>
          </w:p>
        </w:tc>
        <w:tc>
          <w:tcPr>
            <w:tcW w:w="996" w:type="pct"/>
            <w:vMerge w:val="continue"/>
            <w:noWrap w:val="0"/>
            <w:vAlign w:val="center"/>
          </w:tcPr>
          <w:p w14:paraId="35B63D3B">
            <w:pPr>
              <w:pStyle w:val="27"/>
              <w:rPr>
                <w:rFonts w:ascii="Times New Roman" w:hAnsi="Times New Roman"/>
                <w:highlight w:val="none"/>
              </w:rPr>
            </w:pPr>
          </w:p>
        </w:tc>
        <w:tc>
          <w:tcPr>
            <w:tcW w:w="999" w:type="pct"/>
            <w:noWrap w:val="0"/>
            <w:vAlign w:val="center"/>
          </w:tcPr>
          <w:p w14:paraId="39803295">
            <w:pPr>
              <w:pStyle w:val="27"/>
              <w:rPr>
                <w:rFonts w:ascii="Times New Roman" w:hAnsi="Times New Roman"/>
                <w:highlight w:val="none"/>
              </w:rPr>
            </w:pPr>
            <w:r>
              <w:rPr>
                <w:rFonts w:ascii="Times New Roman" w:hAnsi="Times New Roman"/>
                <w:highlight w:val="none"/>
              </w:rPr>
              <w:t>固体废物</w:t>
            </w:r>
          </w:p>
        </w:tc>
        <w:tc>
          <w:tcPr>
            <w:tcW w:w="1693" w:type="pct"/>
            <w:noWrap w:val="0"/>
            <w:vAlign w:val="center"/>
          </w:tcPr>
          <w:p w14:paraId="4B39975C">
            <w:pPr>
              <w:pStyle w:val="27"/>
              <w:rPr>
                <w:rFonts w:hint="default" w:ascii="Times New Roman" w:hAnsi="Times New Roman" w:eastAsia="新宋体"/>
                <w:highlight w:val="none"/>
                <w:lang w:val="en-US" w:eastAsia="zh-CN"/>
              </w:rPr>
            </w:pPr>
            <w:r>
              <w:rPr>
                <w:rFonts w:ascii="Times New Roman" w:hAnsi="Times New Roman"/>
                <w:highlight w:val="none"/>
              </w:rPr>
              <w:t>废离子交换树脂</w:t>
            </w:r>
            <w:r>
              <w:rPr>
                <w:rFonts w:hint="eastAsia" w:ascii="Times New Roman" w:hAnsi="Times New Roman"/>
                <w:highlight w:val="none"/>
                <w:lang w:val="en-US" w:eastAsia="zh-CN"/>
              </w:rPr>
              <w:t>和反渗透膜</w:t>
            </w:r>
          </w:p>
        </w:tc>
      </w:tr>
      <w:tr w14:paraId="3B3880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427" w:type="pct"/>
            <w:noWrap w:val="0"/>
            <w:vAlign w:val="center"/>
          </w:tcPr>
          <w:p w14:paraId="4959634E">
            <w:pPr>
              <w:spacing w:line="240" w:lineRule="auto"/>
              <w:ind w:firstLine="0" w:firstLineChars="0"/>
              <w:jc w:val="center"/>
              <w:rPr>
                <w:rFonts w:hint="eastAsia" w:ascii="Times New Roman" w:hAnsi="Times New Roman"/>
                <w:highlight w:val="none"/>
              </w:rPr>
            </w:pPr>
            <w:r>
              <w:rPr>
                <w:rFonts w:hint="eastAsia"/>
                <w:sz w:val="21"/>
                <w:szCs w:val="21"/>
                <w:highlight w:val="none"/>
              </w:rPr>
              <w:t>6</w:t>
            </w:r>
          </w:p>
        </w:tc>
        <w:tc>
          <w:tcPr>
            <w:tcW w:w="884" w:type="pct"/>
            <w:noWrap w:val="0"/>
            <w:vAlign w:val="center"/>
          </w:tcPr>
          <w:p w14:paraId="077E61F9">
            <w:pPr>
              <w:spacing w:line="240" w:lineRule="auto"/>
              <w:ind w:firstLine="0" w:firstLineChars="0"/>
              <w:jc w:val="center"/>
              <w:rPr>
                <w:rFonts w:ascii="Times New Roman" w:hAnsi="Times New Roman"/>
                <w:highlight w:val="none"/>
              </w:rPr>
            </w:pPr>
            <w:r>
              <w:rPr>
                <w:sz w:val="21"/>
                <w:szCs w:val="21"/>
                <w:highlight w:val="none"/>
              </w:rPr>
              <w:t>除灰渣及贮灰过程</w:t>
            </w:r>
          </w:p>
        </w:tc>
        <w:tc>
          <w:tcPr>
            <w:tcW w:w="996" w:type="pct"/>
            <w:noWrap w:val="0"/>
            <w:vAlign w:val="center"/>
          </w:tcPr>
          <w:p w14:paraId="532CA306">
            <w:pPr>
              <w:spacing w:line="240" w:lineRule="auto"/>
              <w:ind w:firstLine="0" w:firstLineChars="0"/>
              <w:jc w:val="center"/>
              <w:rPr>
                <w:rFonts w:ascii="Times New Roman" w:hAnsi="Times New Roman"/>
                <w:highlight w:val="none"/>
              </w:rPr>
            </w:pPr>
            <w:r>
              <w:rPr>
                <w:sz w:val="21"/>
                <w:szCs w:val="21"/>
                <w:highlight w:val="none"/>
              </w:rPr>
              <w:t>灰渣</w:t>
            </w:r>
            <w:r>
              <w:rPr>
                <w:rFonts w:hint="eastAsia"/>
                <w:sz w:val="21"/>
                <w:szCs w:val="21"/>
                <w:highlight w:val="none"/>
              </w:rPr>
              <w:t>贮存、</w:t>
            </w:r>
            <w:r>
              <w:rPr>
                <w:sz w:val="21"/>
                <w:szCs w:val="21"/>
                <w:highlight w:val="none"/>
              </w:rPr>
              <w:t>装车运输</w:t>
            </w:r>
          </w:p>
        </w:tc>
        <w:tc>
          <w:tcPr>
            <w:tcW w:w="999" w:type="pct"/>
            <w:noWrap w:val="0"/>
            <w:vAlign w:val="center"/>
          </w:tcPr>
          <w:p w14:paraId="504EEE15">
            <w:pPr>
              <w:spacing w:line="240" w:lineRule="auto"/>
              <w:ind w:firstLine="0" w:firstLineChars="0"/>
              <w:jc w:val="center"/>
              <w:rPr>
                <w:rFonts w:ascii="Times New Roman" w:hAnsi="Times New Roman"/>
                <w:highlight w:val="none"/>
              </w:rPr>
            </w:pPr>
            <w:r>
              <w:rPr>
                <w:sz w:val="21"/>
                <w:szCs w:val="21"/>
                <w:highlight w:val="none"/>
              </w:rPr>
              <w:t>废气</w:t>
            </w:r>
          </w:p>
        </w:tc>
        <w:tc>
          <w:tcPr>
            <w:tcW w:w="1693" w:type="pct"/>
            <w:noWrap w:val="0"/>
            <w:vAlign w:val="center"/>
          </w:tcPr>
          <w:p w14:paraId="28E8FDEC">
            <w:pPr>
              <w:pStyle w:val="27"/>
              <w:rPr>
                <w:rFonts w:ascii="Times New Roman" w:hAnsi="Times New Roman"/>
                <w:highlight w:val="none"/>
              </w:rPr>
            </w:pPr>
            <w:r>
              <w:rPr>
                <w:rFonts w:ascii="Times New Roman" w:hAnsi="Times New Roman"/>
                <w:highlight w:val="none"/>
              </w:rPr>
              <w:t>粉尘</w:t>
            </w:r>
          </w:p>
        </w:tc>
      </w:tr>
    </w:tbl>
    <w:p w14:paraId="0165EC87">
      <w:pPr>
        <w:pStyle w:val="4"/>
        <w:bidi w:val="0"/>
        <w:ind w:left="0" w:leftChars="0" w:firstLine="0" w:firstLineChars="0"/>
        <w:rPr>
          <w:rFonts w:hint="eastAsia"/>
          <w:highlight w:val="none"/>
          <w:lang w:val="en-US" w:eastAsia="zh-CN"/>
        </w:rPr>
      </w:pPr>
      <w:bookmarkStart w:id="86" w:name="_Toc12724"/>
      <w:r>
        <w:rPr>
          <w:rFonts w:hint="eastAsia"/>
          <w:highlight w:val="none"/>
          <w:lang w:val="en-US" w:eastAsia="zh-CN"/>
        </w:rPr>
        <w:t>3.3运营期工程污染源强分析</w:t>
      </w:r>
      <w:bookmarkEnd w:id="86"/>
    </w:p>
    <w:p w14:paraId="5EBA55F3">
      <w:pPr>
        <w:pStyle w:val="5"/>
        <w:ind w:left="0" w:leftChars="0" w:firstLine="0" w:firstLineChars="0"/>
        <w:rPr>
          <w:rFonts w:hint="eastAsia"/>
          <w:highlight w:val="none"/>
          <w:lang w:val="en-US" w:eastAsia="zh-CN"/>
        </w:rPr>
      </w:pPr>
      <w:bookmarkStart w:id="87" w:name="_Toc16573"/>
      <w:r>
        <w:rPr>
          <w:rFonts w:hint="eastAsia"/>
          <w:highlight w:val="none"/>
          <w:lang w:val="en-US" w:eastAsia="zh-CN"/>
        </w:rPr>
        <w:t>3.3.1正常工况大气污染源强分析</w:t>
      </w:r>
      <w:bookmarkEnd w:id="87"/>
    </w:p>
    <w:p w14:paraId="56F67F28">
      <w:pPr>
        <w:ind w:firstLine="480"/>
        <w:rPr>
          <w:rFonts w:ascii="Times New Roman" w:hAnsi="Times New Roman"/>
          <w:highlight w:val="none"/>
        </w:rPr>
      </w:pPr>
      <w:r>
        <w:rPr>
          <w:rFonts w:ascii="Times New Roman" w:hAnsi="Times New Roman"/>
          <w:highlight w:val="none"/>
        </w:rPr>
        <w:t>项目运行期产生的废气主要包括工艺粉尘、氨以及锅炉烟气。</w:t>
      </w:r>
    </w:p>
    <w:p w14:paraId="53DBBEFF">
      <w:pPr>
        <w:ind w:firstLine="482"/>
        <w:rPr>
          <w:rFonts w:ascii="Times New Roman" w:hAnsi="Times New Roman"/>
          <w:b/>
          <w:highlight w:val="none"/>
        </w:rPr>
      </w:pPr>
      <w:r>
        <w:rPr>
          <w:rFonts w:ascii="Times New Roman" w:hAnsi="Times New Roman"/>
          <w:b/>
          <w:highlight w:val="none"/>
        </w:rPr>
        <w:t>有组织：</w:t>
      </w:r>
    </w:p>
    <w:p w14:paraId="0E6AD64B">
      <w:pPr>
        <w:ind w:firstLine="480"/>
        <w:rPr>
          <w:rFonts w:ascii="Times New Roman" w:hAnsi="Times New Roman"/>
          <w:highlight w:val="none"/>
        </w:rPr>
      </w:pPr>
      <w:r>
        <w:rPr>
          <w:rFonts w:ascii="Times New Roman" w:hAnsi="Times New Roman"/>
          <w:highlight w:val="none"/>
        </w:rPr>
        <w:t>1、燃煤量核算</w:t>
      </w:r>
    </w:p>
    <w:p w14:paraId="10760FB7">
      <w:pPr>
        <w:ind w:firstLine="480"/>
        <w:rPr>
          <w:rFonts w:hint="default" w:ascii="Times New Roman" w:hAnsi="Times New Roman" w:eastAsia="宋体"/>
          <w:highlight w:val="none"/>
          <w:lang w:val="en-US" w:eastAsia="zh-CN"/>
        </w:rPr>
      </w:pPr>
      <w:r>
        <w:rPr>
          <w:rFonts w:ascii="Times New Roman" w:hAnsi="Times New Roman"/>
          <w:highlight w:val="none"/>
        </w:rPr>
        <w:t>本项目建</w:t>
      </w:r>
      <w:r>
        <w:rPr>
          <w:rFonts w:hint="eastAsia" w:ascii="Times New Roman" w:hAnsi="Times New Roman"/>
          <w:highlight w:val="none"/>
          <w:lang w:val="en-US" w:eastAsia="zh-CN"/>
        </w:rPr>
        <w:t>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MW热水锅炉和1台35t/h蒸汽锅炉共三台</w:t>
      </w:r>
      <w:r>
        <w:rPr>
          <w:rFonts w:ascii="Times New Roman" w:hAnsi="Times New Roman"/>
          <w:highlight w:val="none"/>
        </w:rPr>
        <w:t>，按满负荷折算，年运行</w:t>
      </w:r>
      <w:r>
        <w:rPr>
          <w:rFonts w:hint="eastAsia" w:ascii="Times New Roman" w:hAnsi="Times New Roman"/>
          <w:highlight w:val="none"/>
          <w:lang w:val="en-US" w:eastAsia="zh-CN"/>
        </w:rPr>
        <w:t>5040</w:t>
      </w:r>
      <w:r>
        <w:rPr>
          <w:rFonts w:ascii="Times New Roman" w:hAnsi="Times New Roman"/>
          <w:highlight w:val="none"/>
        </w:rPr>
        <w:t>小时。</w:t>
      </w:r>
      <w:r>
        <w:rPr>
          <w:rFonts w:hint="eastAsia" w:ascii="Times New Roman" w:hAnsi="Times New Roman"/>
          <w:highlight w:val="none"/>
        </w:rPr>
        <w:t>最大</w:t>
      </w:r>
      <w:r>
        <w:rPr>
          <w:rFonts w:ascii="Times New Roman" w:hAnsi="Times New Roman"/>
          <w:highlight w:val="none"/>
        </w:rPr>
        <w:t>供热</w:t>
      </w:r>
      <w:r>
        <w:rPr>
          <w:rFonts w:hint="eastAsia" w:ascii="Times New Roman" w:hAnsi="Times New Roman"/>
          <w:highlight w:val="none"/>
        </w:rPr>
        <w:t>能力</w:t>
      </w:r>
      <w:r>
        <w:rPr>
          <w:rFonts w:ascii="Times New Roman" w:hAnsi="Times New Roman"/>
          <w:highlight w:val="none"/>
        </w:rPr>
        <w:t>为</w:t>
      </w:r>
      <w:r>
        <w:rPr>
          <w:rFonts w:hint="eastAsia" w:ascii="Times New Roman" w:hAnsi="Times New Roman"/>
          <w:highlight w:val="none"/>
          <w:lang w:val="en-US" w:eastAsia="zh-CN"/>
        </w:rPr>
        <w:t>210</w:t>
      </w:r>
      <w:r>
        <w:rPr>
          <w:rFonts w:ascii="Times New Roman" w:hAnsi="Times New Roman"/>
          <w:highlight w:val="none"/>
        </w:rPr>
        <w:t>万平方米，采用煤为燃料。本项目</w:t>
      </w:r>
      <w:r>
        <w:rPr>
          <w:rFonts w:hint="eastAsia" w:ascii="Times New Roman" w:hAnsi="Times New Roman"/>
          <w:highlight w:val="none"/>
          <w:lang w:val="en-US" w:eastAsia="zh-CN"/>
        </w:rPr>
        <w:t>116</w:t>
      </w:r>
      <w:r>
        <w:rPr>
          <w:rFonts w:ascii="Times New Roman" w:hAnsi="Times New Roman"/>
          <w:highlight w:val="none"/>
        </w:rPr>
        <w:t>MW</w:t>
      </w:r>
      <w:r>
        <w:rPr>
          <w:rFonts w:hint="eastAsia" w:ascii="Times New Roman" w:hAnsi="Times New Roman"/>
          <w:highlight w:val="none"/>
          <w:lang w:val="en-US" w:eastAsia="zh-CN"/>
        </w:rPr>
        <w:t>热水</w:t>
      </w:r>
      <w:r>
        <w:rPr>
          <w:rFonts w:ascii="Times New Roman" w:hAnsi="Times New Roman"/>
          <w:highlight w:val="none"/>
        </w:rPr>
        <w:t>锅炉</w:t>
      </w:r>
      <w:r>
        <w:rPr>
          <w:rFonts w:hint="eastAsia" w:ascii="Times New Roman" w:hAnsi="Times New Roman"/>
          <w:highlight w:val="none"/>
        </w:rPr>
        <w:t>最大</w:t>
      </w:r>
      <w:r>
        <w:rPr>
          <w:rFonts w:ascii="Times New Roman" w:hAnsi="Times New Roman"/>
          <w:highlight w:val="none"/>
        </w:rPr>
        <w:t>小时燃煤量为</w:t>
      </w:r>
      <w:r>
        <w:rPr>
          <w:rFonts w:hint="eastAsia" w:ascii="Times New Roman" w:hAnsi="Times New Roman"/>
          <w:highlight w:val="none"/>
          <w:lang w:val="en-US" w:eastAsia="zh-CN"/>
        </w:rPr>
        <w:t>28.425</w:t>
      </w:r>
      <w:r>
        <w:rPr>
          <w:rFonts w:ascii="Times New Roman" w:hAnsi="Times New Roman"/>
          <w:highlight w:val="none"/>
        </w:rPr>
        <w:t>t/h</w:t>
      </w:r>
      <w:r>
        <w:rPr>
          <w:rFonts w:hint="eastAsia" w:ascii="Times New Roman" w:hAnsi="Times New Roman"/>
          <w:highlight w:val="none"/>
          <w:lang w:eastAsia="zh-CN"/>
        </w:rPr>
        <w:t>、</w:t>
      </w:r>
      <w:r>
        <w:rPr>
          <w:rFonts w:hint="eastAsia" w:ascii="Times New Roman" w:hAnsi="Times New Roman"/>
          <w:highlight w:val="none"/>
          <w:lang w:val="en-US" w:eastAsia="zh-CN"/>
        </w:rPr>
        <w:t>58MW热水锅炉最大小时燃煤量为8.688t/h、35t/h蒸汽锅炉最大小时燃煤量为3.6602t/h。根据企业实际运行情况</w:t>
      </w:r>
      <w:r>
        <w:rPr>
          <w:rFonts w:hint="eastAsia" w:ascii="Times New Roman" w:hAnsi="Times New Roman"/>
          <w:highlight w:val="none"/>
        </w:rPr>
        <w:t>满负荷运行小时数为</w:t>
      </w:r>
      <w:r>
        <w:rPr>
          <w:rFonts w:hint="eastAsia" w:ascii="Times New Roman" w:hAnsi="Times New Roman"/>
          <w:highlight w:val="none"/>
          <w:lang w:val="en-US" w:eastAsia="zh-CN"/>
        </w:rPr>
        <w:t>5040</w:t>
      </w:r>
      <w:r>
        <w:rPr>
          <w:rFonts w:hint="eastAsia" w:ascii="Times New Roman" w:hAnsi="Times New Roman"/>
          <w:highlight w:val="none"/>
        </w:rPr>
        <w:t>小时，</w:t>
      </w:r>
      <w:r>
        <w:rPr>
          <w:rFonts w:ascii="Times New Roman" w:hAnsi="Times New Roman"/>
          <w:highlight w:val="none"/>
        </w:rPr>
        <w:t>则年燃煤量为</w:t>
      </w:r>
      <w:r>
        <w:rPr>
          <w:rFonts w:hint="eastAsia" w:ascii="Times New Roman" w:hAnsi="Times New Roman"/>
          <w:highlight w:val="none"/>
          <w:lang w:val="en-US" w:eastAsia="zh-CN"/>
        </w:rPr>
        <w:t>81047.7024</w:t>
      </w:r>
      <w:r>
        <w:rPr>
          <w:rFonts w:ascii="Times New Roman" w:hAnsi="Times New Roman"/>
          <w:highlight w:val="none"/>
        </w:rPr>
        <w:t>t/a。</w:t>
      </w:r>
      <w:r>
        <w:rPr>
          <w:rFonts w:hint="eastAsia" w:ascii="Times New Roman" w:hAnsi="Times New Roman"/>
          <w:highlight w:val="none"/>
          <w:lang w:val="en-US" w:eastAsia="zh-CN"/>
        </w:rPr>
        <w:t>不存在三台锅炉同时运行的情况。</w:t>
      </w:r>
    </w:p>
    <w:p w14:paraId="179B585C">
      <w:pPr>
        <w:ind w:firstLine="480"/>
        <w:rPr>
          <w:rFonts w:ascii="Times New Roman" w:hAnsi="Times New Roman"/>
          <w:highlight w:val="none"/>
        </w:rPr>
      </w:pPr>
      <w:r>
        <w:rPr>
          <w:rFonts w:ascii="Times New Roman" w:hAnsi="Times New Roman"/>
          <w:highlight w:val="none"/>
        </w:rPr>
        <w:t>本项目拟采取的锅炉烟气防治措施如下：</w:t>
      </w:r>
    </w:p>
    <w:p w14:paraId="58DF9E79">
      <w:pPr>
        <w:ind w:firstLine="480"/>
        <w:rPr>
          <w:rFonts w:ascii="Times New Roman" w:hAnsi="Times New Roman"/>
          <w:highlight w:val="none"/>
        </w:rPr>
      </w:pPr>
      <w:r>
        <w:rPr>
          <w:rFonts w:ascii="Times New Roman" w:hAnsi="Times New Roman"/>
          <w:highlight w:val="none"/>
        </w:rPr>
        <w:t>除尘：</w:t>
      </w:r>
      <w:r>
        <w:rPr>
          <w:rFonts w:hint="eastAsia" w:ascii="Times New Roman" w:hAnsi="Times New Roman"/>
          <w:highlight w:val="none"/>
          <w:lang w:val="en-US" w:eastAsia="zh-CN"/>
        </w:rPr>
        <w:t>链条</w:t>
      </w:r>
      <w:r>
        <w:rPr>
          <w:rFonts w:ascii="Times New Roman" w:hAnsi="Times New Roman"/>
          <w:highlight w:val="none"/>
        </w:rPr>
        <w:t>锅炉采用布袋除尘器+湿法脱硫除尘，综合除尘效率为99.96%。</w:t>
      </w:r>
    </w:p>
    <w:p w14:paraId="3B81C978">
      <w:pPr>
        <w:ind w:firstLine="480"/>
        <w:rPr>
          <w:rFonts w:ascii="Times New Roman" w:hAnsi="Times New Roman"/>
          <w:highlight w:val="none"/>
        </w:rPr>
      </w:pPr>
      <w:r>
        <w:rPr>
          <w:rFonts w:ascii="Times New Roman" w:hAnsi="Times New Roman"/>
          <w:highlight w:val="none"/>
        </w:rPr>
        <w:t>脱硫：采用石灰石-石膏法脱硫系统，脱硫效率为97%。</w:t>
      </w:r>
    </w:p>
    <w:p w14:paraId="2733B4F7">
      <w:pPr>
        <w:ind w:firstLine="480"/>
        <w:rPr>
          <w:rFonts w:ascii="Times New Roman" w:hAnsi="Times New Roman"/>
          <w:highlight w:val="none"/>
        </w:rPr>
      </w:pPr>
      <w:r>
        <w:rPr>
          <w:rFonts w:ascii="Times New Roman" w:hAnsi="Times New Roman"/>
          <w:highlight w:val="none"/>
        </w:rPr>
        <w:t>脱硝：</w:t>
      </w:r>
      <w:r>
        <w:rPr>
          <w:rFonts w:hint="eastAsia" w:ascii="Times New Roman" w:hAnsi="Times New Roman"/>
          <w:highlight w:val="none"/>
          <w:lang w:val="en-US" w:eastAsia="zh-CN"/>
        </w:rPr>
        <w:t>链条</w:t>
      </w:r>
      <w:r>
        <w:rPr>
          <w:rFonts w:ascii="Times New Roman" w:hAnsi="Times New Roman"/>
          <w:highlight w:val="none"/>
        </w:rPr>
        <w:t>锅炉选用低氮燃烧+SNCR-SCR脱硝，</w:t>
      </w:r>
      <w:r>
        <w:rPr>
          <w:rFonts w:hint="eastAsia" w:ascii="Times New Roman" w:hAnsi="Times New Roman"/>
          <w:highlight w:val="none"/>
        </w:rPr>
        <w:t>根据</w:t>
      </w:r>
      <w:r>
        <w:rPr>
          <w:rFonts w:hint="eastAsia" w:ascii="Times New Roman" w:hAnsi="Times New Roman"/>
          <w:highlight w:val="none"/>
          <w:lang w:val="en-US" w:eastAsia="zh-CN"/>
        </w:rPr>
        <w:t>现状实测</w:t>
      </w:r>
      <w:r>
        <w:rPr>
          <w:rFonts w:hint="eastAsia" w:ascii="Times New Roman" w:hAnsi="Times New Roman"/>
          <w:highlight w:val="none"/>
        </w:rPr>
        <w:t>可知，</w:t>
      </w:r>
      <w:r>
        <w:rPr>
          <w:rFonts w:ascii="Times New Roman" w:hAnsi="Times New Roman"/>
          <w:highlight w:val="none"/>
        </w:rPr>
        <w:t>通过锅炉NOx初始排放</w:t>
      </w:r>
      <w:r>
        <w:rPr>
          <w:rFonts w:hint="eastAsia" w:ascii="Times New Roman" w:hAnsi="Times New Roman"/>
          <w:highlight w:val="none"/>
          <w:lang w:val="en-US" w:eastAsia="zh-CN"/>
        </w:rPr>
        <w:t>平均</w:t>
      </w:r>
      <w:r>
        <w:rPr>
          <w:rFonts w:ascii="Times New Roman" w:hAnsi="Times New Roman"/>
          <w:highlight w:val="none"/>
        </w:rPr>
        <w:t>浓度</w:t>
      </w:r>
      <w:r>
        <w:rPr>
          <w:rFonts w:hint="eastAsia" w:ascii="Times New Roman" w:hAnsi="Times New Roman"/>
          <w:highlight w:val="none"/>
          <w:lang w:val="en-US" w:eastAsia="zh-CN"/>
        </w:rPr>
        <w:t>为916</w:t>
      </w:r>
      <w:r>
        <w:rPr>
          <w:rFonts w:ascii="Times New Roman" w:hAnsi="Times New Roman"/>
          <w:highlight w:val="none"/>
        </w:rPr>
        <w:t>mg/Nm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highlight w:val="none"/>
          <w:lang w:val="en-US" w:eastAsia="zh-CN"/>
        </w:rPr>
        <w:t>根据实测可知</w:t>
      </w:r>
      <w:r>
        <w:rPr>
          <w:rFonts w:ascii="Times New Roman" w:hAnsi="Times New Roman"/>
          <w:highlight w:val="none"/>
        </w:rPr>
        <w:t>低氮燃烧+SNCR-SCR脱硝效率为</w:t>
      </w:r>
      <w:r>
        <w:rPr>
          <w:rFonts w:hint="eastAsia" w:ascii="Times New Roman" w:hAnsi="Times New Roman"/>
          <w:highlight w:val="none"/>
          <w:lang w:val="en-US" w:eastAsia="zh-CN"/>
        </w:rPr>
        <w:t>效率为99.13%，本次</w:t>
      </w:r>
      <w:r>
        <w:rPr>
          <w:rFonts w:ascii="Times New Roman" w:hAnsi="Times New Roman"/>
          <w:highlight w:val="none"/>
        </w:rPr>
        <w:t>取</w:t>
      </w:r>
      <w:r>
        <w:rPr>
          <w:rFonts w:hint="eastAsia" w:ascii="Times New Roman" w:hAnsi="Times New Roman"/>
          <w:highlight w:val="none"/>
          <w:lang w:val="en-US" w:eastAsia="zh-CN"/>
        </w:rPr>
        <w:t>99%</w:t>
      </w:r>
      <w:r>
        <w:rPr>
          <w:rFonts w:ascii="Times New Roman" w:hAnsi="Times New Roman"/>
          <w:highlight w:val="none"/>
        </w:rPr>
        <w:t>。</w:t>
      </w:r>
    </w:p>
    <w:p w14:paraId="5F28DF65">
      <w:pPr>
        <w:ind w:firstLine="480"/>
        <w:rPr>
          <w:rFonts w:ascii="Times New Roman" w:hAnsi="Times New Roman"/>
          <w:highlight w:val="none"/>
        </w:rPr>
      </w:pPr>
      <w:r>
        <w:rPr>
          <w:rFonts w:ascii="Times New Roman" w:hAnsi="Times New Roman"/>
          <w:highlight w:val="none"/>
        </w:rPr>
        <w:t>汞及其化合物：协同去除效率</w:t>
      </w:r>
      <w:r>
        <w:rPr>
          <w:rFonts w:hint="eastAsia" w:ascii="Times New Roman" w:hAnsi="Times New Roman"/>
          <w:highlight w:val="none"/>
        </w:rPr>
        <w:t>7</w:t>
      </w:r>
      <w:r>
        <w:rPr>
          <w:rFonts w:ascii="Times New Roman" w:hAnsi="Times New Roman"/>
          <w:highlight w:val="none"/>
        </w:rPr>
        <w:t>0%。</w:t>
      </w:r>
    </w:p>
    <w:p w14:paraId="7B2036D7">
      <w:pPr>
        <w:ind w:firstLine="480"/>
        <w:rPr>
          <w:rFonts w:ascii="Times New Roman" w:hAnsi="Times New Roman"/>
          <w:highlight w:val="none"/>
        </w:rPr>
      </w:pPr>
      <w:r>
        <w:rPr>
          <w:rFonts w:ascii="Times New Roman" w:hAnsi="Times New Roman"/>
          <w:highlight w:val="none"/>
        </w:rPr>
        <w:t>本评价源强核算采用《污染源源强核算技术指南 锅炉》（HJ 991-2018），锅炉废气污染源源强核算参数值见表3.3-1。</w:t>
      </w:r>
    </w:p>
    <w:p w14:paraId="460E6817">
      <w:pPr>
        <w:ind w:firstLine="0" w:firstLineChars="0"/>
        <w:jc w:val="center"/>
        <w:rPr>
          <w:rFonts w:ascii="Times New Roman" w:hAnsi="Times New Roman"/>
          <w:highlight w:val="none"/>
        </w:rPr>
      </w:pPr>
      <w:r>
        <w:rPr>
          <w:rFonts w:hint="eastAsia" w:ascii="黑体" w:hAnsi="黑体" w:eastAsia="黑体" w:cs="黑体"/>
          <w:b w:val="0"/>
          <w:bCs w:val="0"/>
          <w:highlight w:val="none"/>
        </w:rPr>
        <w:t>表3.3-1锅炉废气污染源源强核算参数值</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72"/>
        <w:gridCol w:w="1214"/>
        <w:gridCol w:w="1650"/>
        <w:gridCol w:w="1079"/>
        <w:gridCol w:w="2407"/>
      </w:tblGrid>
      <w:tr w14:paraId="4795BE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274" w:type="pct"/>
            <w:noWrap w:val="0"/>
            <w:vAlign w:val="center"/>
          </w:tcPr>
          <w:p w14:paraId="22CFBE0E">
            <w:pPr>
              <w:pStyle w:val="2"/>
              <w:rPr>
                <w:kern w:val="0"/>
                <w:highlight w:val="none"/>
              </w:rPr>
            </w:pPr>
            <w:r>
              <w:rPr>
                <w:kern w:val="0"/>
                <w:highlight w:val="none"/>
              </w:rPr>
              <w:t>锅炉型号参数值</w:t>
            </w:r>
          </w:p>
        </w:tc>
        <w:tc>
          <w:tcPr>
            <w:tcW w:w="712" w:type="pct"/>
            <w:noWrap w:val="0"/>
            <w:vAlign w:val="center"/>
          </w:tcPr>
          <w:p w14:paraId="3B0E7F9F">
            <w:pPr>
              <w:pStyle w:val="2"/>
              <w:rPr>
                <w:kern w:val="0"/>
                <w:highlight w:val="none"/>
              </w:rPr>
            </w:pPr>
            <w:r>
              <w:rPr>
                <w:kern w:val="0"/>
                <w:highlight w:val="none"/>
              </w:rPr>
              <w:t>飞灰份额（dfh%）</w:t>
            </w:r>
          </w:p>
        </w:tc>
        <w:tc>
          <w:tcPr>
            <w:tcW w:w="968" w:type="pct"/>
            <w:noWrap w:val="0"/>
            <w:vAlign w:val="center"/>
          </w:tcPr>
          <w:p w14:paraId="76EDC7F9">
            <w:pPr>
              <w:pStyle w:val="2"/>
              <w:rPr>
                <w:kern w:val="0"/>
                <w:highlight w:val="none"/>
              </w:rPr>
            </w:pPr>
            <w:r>
              <w:rPr>
                <w:kern w:val="0"/>
                <w:highlight w:val="none"/>
              </w:rPr>
              <w:t>锅炉机械不完全燃烧热损失（q</w:t>
            </w:r>
            <w:r>
              <w:rPr>
                <w:kern w:val="0"/>
                <w:highlight w:val="none"/>
                <w:vertAlign w:val="subscript"/>
              </w:rPr>
              <w:t>4</w:t>
            </w:r>
            <w:r>
              <w:rPr>
                <w:kern w:val="0"/>
                <w:highlight w:val="none"/>
              </w:rPr>
              <w:t>%）</w:t>
            </w:r>
          </w:p>
        </w:tc>
        <w:tc>
          <w:tcPr>
            <w:tcW w:w="633" w:type="pct"/>
            <w:noWrap w:val="0"/>
            <w:vAlign w:val="center"/>
          </w:tcPr>
          <w:p w14:paraId="0677AF2E">
            <w:pPr>
              <w:pStyle w:val="2"/>
              <w:rPr>
                <w:kern w:val="0"/>
                <w:highlight w:val="none"/>
              </w:rPr>
            </w:pPr>
            <w:r>
              <w:rPr>
                <w:kern w:val="0"/>
                <w:highlight w:val="none"/>
              </w:rPr>
              <w:t>燃料中硫转化率（k）</w:t>
            </w:r>
          </w:p>
        </w:tc>
        <w:tc>
          <w:tcPr>
            <w:tcW w:w="1412" w:type="pct"/>
            <w:noWrap w:val="0"/>
            <w:vAlign w:val="center"/>
          </w:tcPr>
          <w:p w14:paraId="69C61090">
            <w:pPr>
              <w:pStyle w:val="2"/>
              <w:rPr>
                <w:kern w:val="0"/>
                <w:highlight w:val="none"/>
              </w:rPr>
            </w:pPr>
            <w:r>
              <w:rPr>
                <w:kern w:val="0"/>
                <w:highlight w:val="none"/>
              </w:rPr>
              <w:t>锅炉炉膛出口</w:t>
            </w:r>
            <w:r>
              <w:rPr>
                <w:rFonts w:hint="eastAsia"/>
                <w:kern w:val="0"/>
                <w:highlight w:val="none"/>
                <w:lang w:val="en-US" w:eastAsia="zh-CN"/>
              </w:rPr>
              <w:t>实测</w:t>
            </w:r>
            <w:r>
              <w:rPr>
                <w:kern w:val="0"/>
                <w:highlight w:val="none"/>
              </w:rPr>
              <w:t xml:space="preserve">NOx </w:t>
            </w:r>
            <w:r>
              <w:rPr>
                <w:rFonts w:hint="eastAsia"/>
                <w:kern w:val="0"/>
                <w:highlight w:val="none"/>
                <w:lang w:val="en-US" w:eastAsia="zh-CN"/>
              </w:rPr>
              <w:t>平均</w:t>
            </w:r>
            <w:r>
              <w:rPr>
                <w:kern w:val="0"/>
                <w:highlight w:val="none"/>
              </w:rPr>
              <w:t>浓度（mg/m</w:t>
            </w:r>
            <w:r>
              <w:rPr>
                <w:kern w:val="0"/>
                <w:highlight w:val="none"/>
                <w:vertAlign w:val="superscript"/>
              </w:rPr>
              <w:t>3</w:t>
            </w:r>
            <w:r>
              <w:rPr>
                <w:kern w:val="0"/>
                <w:highlight w:val="none"/>
              </w:rPr>
              <w:t>）</w:t>
            </w:r>
          </w:p>
        </w:tc>
      </w:tr>
      <w:tr w14:paraId="136818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noWrap w:val="0"/>
            <w:vAlign w:val="center"/>
          </w:tcPr>
          <w:p w14:paraId="18C338E7">
            <w:pPr>
              <w:pStyle w:val="2"/>
              <w:rPr>
                <w:kern w:val="0"/>
                <w:highlight w:val="none"/>
              </w:rPr>
            </w:pP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MW+35t/h</w:t>
            </w:r>
            <w:r>
              <w:rPr>
                <w:rFonts w:hint="eastAsia"/>
                <w:kern w:val="0"/>
                <w:highlight w:val="none"/>
                <w:lang w:val="en-US" w:eastAsia="zh-CN"/>
              </w:rPr>
              <w:t>链条</w:t>
            </w:r>
            <w:r>
              <w:rPr>
                <w:kern w:val="0"/>
                <w:highlight w:val="none"/>
              </w:rPr>
              <w:t>锅炉</w:t>
            </w:r>
          </w:p>
        </w:tc>
        <w:tc>
          <w:tcPr>
            <w:tcW w:w="712" w:type="pct"/>
            <w:noWrap w:val="0"/>
            <w:vAlign w:val="center"/>
          </w:tcPr>
          <w:p w14:paraId="67977840">
            <w:pPr>
              <w:pStyle w:val="2"/>
              <w:rPr>
                <w:kern w:val="0"/>
                <w:highlight w:val="none"/>
              </w:rPr>
            </w:pPr>
            <w:r>
              <w:rPr>
                <w:rFonts w:hint="eastAsia"/>
                <w:kern w:val="0"/>
                <w:highlight w:val="none"/>
                <w:lang w:val="en-US" w:eastAsia="zh-CN"/>
              </w:rPr>
              <w:t>10</w:t>
            </w:r>
            <w:r>
              <w:rPr>
                <w:rFonts w:hint="eastAsia"/>
                <w:kern w:val="0"/>
                <w:highlight w:val="none"/>
              </w:rPr>
              <w:t>~</w:t>
            </w:r>
            <w:r>
              <w:rPr>
                <w:rFonts w:hint="eastAsia"/>
                <w:kern w:val="0"/>
                <w:highlight w:val="none"/>
                <w:lang w:val="en-US" w:eastAsia="zh-CN"/>
              </w:rPr>
              <w:t>20</w:t>
            </w:r>
            <w:r>
              <w:rPr>
                <w:rFonts w:hint="eastAsia"/>
                <w:kern w:val="0"/>
                <w:highlight w:val="none"/>
              </w:rPr>
              <w:t>（本项目值</w:t>
            </w:r>
            <w:r>
              <w:rPr>
                <w:rFonts w:hint="eastAsia"/>
                <w:kern w:val="0"/>
                <w:highlight w:val="none"/>
                <w:lang w:val="en-US" w:eastAsia="zh-CN"/>
              </w:rPr>
              <w:t>2</w:t>
            </w:r>
            <w:r>
              <w:rPr>
                <w:rFonts w:hint="eastAsia"/>
                <w:kern w:val="0"/>
                <w:highlight w:val="none"/>
              </w:rPr>
              <w:t>0）</w:t>
            </w:r>
          </w:p>
        </w:tc>
        <w:tc>
          <w:tcPr>
            <w:tcW w:w="968" w:type="pct"/>
            <w:noWrap w:val="0"/>
            <w:vAlign w:val="center"/>
          </w:tcPr>
          <w:p w14:paraId="3143462F">
            <w:pPr>
              <w:pStyle w:val="2"/>
              <w:rPr>
                <w:rFonts w:hint="default" w:eastAsia="宋体"/>
                <w:kern w:val="0"/>
                <w:highlight w:val="none"/>
                <w:lang w:val="en-US" w:eastAsia="zh-CN"/>
              </w:rPr>
            </w:pPr>
            <w:r>
              <w:rPr>
                <w:kern w:val="0"/>
                <w:highlight w:val="none"/>
              </w:rPr>
              <w:t>5</w:t>
            </w:r>
            <w:r>
              <w:rPr>
                <w:rFonts w:hint="eastAsia"/>
                <w:kern w:val="0"/>
                <w:highlight w:val="none"/>
                <w:lang w:val="en-US" w:eastAsia="zh-CN"/>
              </w:rPr>
              <w:t>~15（本项目取10%）</w:t>
            </w:r>
          </w:p>
        </w:tc>
        <w:tc>
          <w:tcPr>
            <w:tcW w:w="633" w:type="pct"/>
            <w:noWrap w:val="0"/>
            <w:vAlign w:val="center"/>
          </w:tcPr>
          <w:p w14:paraId="269BDB35">
            <w:pPr>
              <w:pStyle w:val="2"/>
              <w:rPr>
                <w:rFonts w:hint="default" w:eastAsia="宋体"/>
                <w:kern w:val="0"/>
                <w:highlight w:val="none"/>
                <w:lang w:val="en-US" w:eastAsia="zh-CN"/>
              </w:rPr>
            </w:pPr>
            <w:r>
              <w:rPr>
                <w:rFonts w:hint="eastAsia"/>
                <w:kern w:val="0"/>
                <w:highlight w:val="none"/>
                <w:lang w:val="en-US" w:eastAsia="zh-CN"/>
              </w:rPr>
              <w:t>0.80~0.85（本项目取0.80）</w:t>
            </w:r>
          </w:p>
        </w:tc>
        <w:tc>
          <w:tcPr>
            <w:tcW w:w="1412" w:type="pct"/>
            <w:noWrap w:val="0"/>
            <w:vAlign w:val="center"/>
          </w:tcPr>
          <w:p w14:paraId="4BF6DE85">
            <w:pPr>
              <w:pStyle w:val="2"/>
              <w:rPr>
                <w:rFonts w:hint="default" w:eastAsia="宋体"/>
                <w:kern w:val="0"/>
                <w:highlight w:val="none"/>
                <w:lang w:val="en-US" w:eastAsia="zh-CN"/>
              </w:rPr>
            </w:pPr>
            <w:r>
              <w:rPr>
                <w:rFonts w:hint="eastAsia"/>
                <w:kern w:val="0"/>
                <w:highlight w:val="none"/>
                <w:lang w:val="en-US" w:eastAsia="zh-CN"/>
              </w:rPr>
              <w:t>916</w:t>
            </w:r>
          </w:p>
        </w:tc>
      </w:tr>
    </w:tbl>
    <w:p w14:paraId="007B9BEF">
      <w:pPr>
        <w:ind w:firstLine="480"/>
        <w:rPr>
          <w:rFonts w:ascii="Times New Roman" w:hAnsi="Times New Roman"/>
          <w:highlight w:val="none"/>
        </w:rPr>
      </w:pPr>
      <w:r>
        <w:rPr>
          <w:rFonts w:ascii="Times New Roman" w:hAnsi="Times New Roman"/>
          <w:highlight w:val="none"/>
        </w:rPr>
        <w:t>计算过程如下：</w:t>
      </w:r>
    </w:p>
    <w:p w14:paraId="6E1DA47C">
      <w:pPr>
        <w:ind w:firstLine="480"/>
        <w:rPr>
          <w:rFonts w:ascii="Times New Roman" w:hAnsi="Times New Roman"/>
          <w:highlight w:val="none"/>
        </w:rPr>
      </w:pPr>
      <w:r>
        <w:rPr>
          <w:rFonts w:ascii="Times New Roman" w:hAnsi="Times New Roman"/>
          <w:highlight w:val="none"/>
        </w:rPr>
        <w:t>（1）烟气量</w:t>
      </w:r>
    </w:p>
    <w:p w14:paraId="4EC22B6C">
      <w:pPr>
        <w:ind w:firstLine="480"/>
        <w:rPr>
          <w:rFonts w:ascii="Times New Roman" w:hAnsi="Times New Roman"/>
          <w:highlight w:val="none"/>
        </w:rPr>
      </w:pPr>
      <w:r>
        <w:rPr>
          <w:rFonts w:ascii="Times New Roman" w:hAnsi="Times New Roman"/>
          <w:highlight w:val="none"/>
        </w:rPr>
        <w:t>1kg收到基固体或液体燃料完全燃烧所需理论空气量V</w:t>
      </w:r>
      <w:r>
        <w:rPr>
          <w:rFonts w:ascii="Times New Roman" w:hAnsi="Times New Roman"/>
          <w:highlight w:val="none"/>
          <w:vertAlign w:val="subscript"/>
        </w:rPr>
        <w:t>0</w:t>
      </w:r>
      <w:r>
        <w:rPr>
          <w:rFonts w:ascii="Times New Roman" w:hAnsi="Times New Roman"/>
          <w:highlight w:val="none"/>
        </w:rPr>
        <w:t>为：</w:t>
      </w:r>
    </w:p>
    <w:p w14:paraId="28C216CE">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4914900" cy="400050"/>
            <wp:effectExtent l="0" t="0" r="0" b="0"/>
            <wp:docPr id="1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
                    <pic:cNvPicPr>
                      <a:picLocks noChangeAspect="1"/>
                    </pic:cNvPicPr>
                  </pic:nvPicPr>
                  <pic:blipFill>
                    <a:blip r:embed="rId21"/>
                    <a:stretch>
                      <a:fillRect/>
                    </a:stretch>
                  </pic:blipFill>
                  <pic:spPr>
                    <a:xfrm>
                      <a:off x="0" y="0"/>
                      <a:ext cx="4914900" cy="400050"/>
                    </a:xfrm>
                    <a:prstGeom prst="rect">
                      <a:avLst/>
                    </a:prstGeom>
                    <a:noFill/>
                    <a:ln>
                      <a:noFill/>
                    </a:ln>
                  </pic:spPr>
                </pic:pic>
              </a:graphicData>
            </a:graphic>
          </wp:inline>
        </w:drawing>
      </w:r>
    </w:p>
    <w:p w14:paraId="5097A999">
      <w:pPr>
        <w:ind w:firstLine="480"/>
        <w:rPr>
          <w:rFonts w:ascii="Times New Roman" w:hAnsi="Times New Roman"/>
          <w:highlight w:val="none"/>
        </w:rPr>
      </w:pPr>
      <w:r>
        <w:rPr>
          <w:rFonts w:ascii="Times New Roman" w:hAnsi="Times New Roman"/>
          <w:highlight w:val="none"/>
        </w:rPr>
        <w:t>式中：</w:t>
      </w:r>
    </w:p>
    <w:p w14:paraId="63C1934E">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0</w:t>
      </w:r>
      <w:r>
        <w:rPr>
          <w:rFonts w:ascii="Times New Roman" w:hAnsi="Times New Roman"/>
          <w:highlight w:val="none"/>
        </w:rPr>
        <w:t>—理论空气量，m</w:t>
      </w:r>
      <w:r>
        <w:rPr>
          <w:rFonts w:ascii="Times New Roman" w:hAnsi="Times New Roman"/>
          <w:highlight w:val="none"/>
          <w:vertAlign w:val="superscript"/>
        </w:rPr>
        <w:t>3</w:t>
      </w:r>
      <w:r>
        <w:rPr>
          <w:rFonts w:ascii="Times New Roman" w:hAnsi="Times New Roman"/>
          <w:highlight w:val="none"/>
        </w:rPr>
        <w:t>/kg；</w:t>
      </w:r>
    </w:p>
    <w:p w14:paraId="04EF489D">
      <w:pPr>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ar</w:t>
      </w:r>
      <w:r>
        <w:rPr>
          <w:rFonts w:ascii="Times New Roman" w:hAnsi="Times New Roman"/>
          <w:highlight w:val="none"/>
        </w:rPr>
        <w:t>—收到基碳的质量分数，%；取</w:t>
      </w:r>
      <w:r>
        <w:rPr>
          <w:rFonts w:hint="eastAsia" w:ascii="Times New Roman" w:hAnsi="Times New Roman"/>
          <w:highlight w:val="none"/>
          <w:lang w:val="en-US" w:eastAsia="zh-CN"/>
        </w:rPr>
        <w:t>49.21</w:t>
      </w:r>
      <w:r>
        <w:rPr>
          <w:rFonts w:ascii="Times New Roman" w:hAnsi="Times New Roman"/>
          <w:highlight w:val="none"/>
        </w:rPr>
        <w:t>；</w:t>
      </w:r>
    </w:p>
    <w:p w14:paraId="6BACA946">
      <w:pPr>
        <w:ind w:firstLine="480"/>
        <w:rPr>
          <w:rFonts w:ascii="Times New Roman" w:hAnsi="Times New Roman"/>
          <w:highlight w:val="none"/>
        </w:rPr>
      </w:pPr>
      <w:r>
        <w:rPr>
          <w:rFonts w:ascii="Times New Roman" w:hAnsi="Times New Roman"/>
          <w:highlight w:val="none"/>
        </w:rPr>
        <w:t>S</w:t>
      </w:r>
      <w:r>
        <w:rPr>
          <w:rFonts w:ascii="Times New Roman" w:hAnsi="Times New Roman"/>
          <w:highlight w:val="none"/>
          <w:vertAlign w:val="subscript"/>
        </w:rPr>
        <w:t>ar</w:t>
      </w:r>
      <w:r>
        <w:rPr>
          <w:rFonts w:ascii="Times New Roman" w:hAnsi="Times New Roman"/>
          <w:highlight w:val="none"/>
        </w:rPr>
        <w:t>—收到基硫的质量分数，%；取</w:t>
      </w:r>
      <w:r>
        <w:rPr>
          <w:rFonts w:hint="eastAsia" w:ascii="Times New Roman" w:hAnsi="Times New Roman"/>
          <w:highlight w:val="none"/>
          <w:lang w:val="en-US" w:eastAsia="zh-CN"/>
        </w:rPr>
        <w:t>0.21</w:t>
      </w:r>
      <w:r>
        <w:rPr>
          <w:rFonts w:ascii="Times New Roman" w:hAnsi="Times New Roman"/>
          <w:highlight w:val="none"/>
        </w:rPr>
        <w:t>；</w:t>
      </w:r>
    </w:p>
    <w:p w14:paraId="16A404D8">
      <w:pPr>
        <w:ind w:firstLine="480"/>
        <w:rPr>
          <w:rFonts w:ascii="Times New Roman" w:hAnsi="Times New Roman"/>
          <w:highlight w:val="none"/>
        </w:rPr>
      </w:pPr>
      <w:r>
        <w:rPr>
          <w:rFonts w:ascii="Times New Roman" w:hAnsi="Times New Roman"/>
          <w:highlight w:val="none"/>
        </w:rPr>
        <w:t>H</w:t>
      </w:r>
      <w:r>
        <w:rPr>
          <w:rFonts w:ascii="Times New Roman" w:hAnsi="Times New Roman"/>
          <w:highlight w:val="none"/>
          <w:vertAlign w:val="subscript"/>
        </w:rPr>
        <w:t>ar</w:t>
      </w:r>
      <w:r>
        <w:rPr>
          <w:rFonts w:ascii="Times New Roman" w:hAnsi="Times New Roman"/>
          <w:highlight w:val="none"/>
        </w:rPr>
        <w:t>—收到基氢的质量分数，%；取</w:t>
      </w:r>
      <w:r>
        <w:rPr>
          <w:rFonts w:hint="eastAsia" w:ascii="Times New Roman" w:hAnsi="Times New Roman"/>
          <w:highlight w:val="none"/>
        </w:rPr>
        <w:t>3.16</w:t>
      </w:r>
      <w:r>
        <w:rPr>
          <w:rFonts w:ascii="Times New Roman" w:hAnsi="Times New Roman"/>
          <w:highlight w:val="none"/>
        </w:rPr>
        <w:t>；</w:t>
      </w:r>
    </w:p>
    <w:p w14:paraId="5AE2E980">
      <w:pPr>
        <w:ind w:firstLine="480"/>
        <w:rPr>
          <w:rFonts w:ascii="Times New Roman" w:hAnsi="Times New Roman"/>
          <w:highlight w:val="none"/>
        </w:rPr>
      </w:pPr>
      <w:r>
        <w:rPr>
          <w:rFonts w:ascii="Times New Roman" w:hAnsi="Times New Roman"/>
          <w:highlight w:val="none"/>
        </w:rPr>
        <w:t>O</w:t>
      </w:r>
      <w:r>
        <w:rPr>
          <w:rFonts w:ascii="Times New Roman" w:hAnsi="Times New Roman"/>
          <w:highlight w:val="none"/>
          <w:vertAlign w:val="subscript"/>
        </w:rPr>
        <w:t>ar</w:t>
      </w:r>
      <w:r>
        <w:rPr>
          <w:rFonts w:ascii="Times New Roman" w:hAnsi="Times New Roman"/>
          <w:highlight w:val="none"/>
        </w:rPr>
        <w:t>—收到基氧的质量分数，%；取</w:t>
      </w:r>
      <w:r>
        <w:rPr>
          <w:rFonts w:hint="eastAsia" w:ascii="Times New Roman" w:hAnsi="Times New Roman"/>
          <w:highlight w:val="none"/>
          <w:lang w:val="en-US" w:eastAsia="zh-CN"/>
        </w:rPr>
        <w:t>6.93</w:t>
      </w:r>
      <w:r>
        <w:rPr>
          <w:rFonts w:ascii="Times New Roman" w:hAnsi="Times New Roman"/>
          <w:highlight w:val="none"/>
        </w:rPr>
        <w:t>；</w:t>
      </w:r>
    </w:p>
    <w:p w14:paraId="1A60AFB8">
      <w:pPr>
        <w:ind w:firstLine="480"/>
        <w:rPr>
          <w:rFonts w:ascii="Times New Roman" w:hAnsi="Times New Roman"/>
          <w:highlight w:val="none"/>
        </w:rPr>
      </w:pPr>
      <w:r>
        <w:rPr>
          <w:rFonts w:ascii="Times New Roman" w:hAnsi="Times New Roman"/>
          <w:highlight w:val="none"/>
        </w:rPr>
        <w:t>经计算，本项目理论空气量V</w:t>
      </w:r>
      <w:r>
        <w:rPr>
          <w:rFonts w:ascii="Times New Roman" w:hAnsi="Times New Roman"/>
          <w:highlight w:val="none"/>
          <w:vertAlign w:val="subscript"/>
        </w:rPr>
        <w:t>0</w:t>
      </w:r>
      <w:r>
        <w:rPr>
          <w:rFonts w:ascii="Times New Roman" w:hAnsi="Times New Roman"/>
          <w:highlight w:val="none"/>
        </w:rPr>
        <w:t>为</w:t>
      </w:r>
      <w:r>
        <w:rPr>
          <w:rFonts w:hint="eastAsia" w:ascii="Times New Roman" w:hAnsi="Times New Roman"/>
          <w:highlight w:val="none"/>
          <w:lang w:val="en-US" w:eastAsia="zh-CN"/>
        </w:rPr>
        <w:t>4.99</w:t>
      </w:r>
      <w:r>
        <w:rPr>
          <w:rFonts w:ascii="Times New Roman" w:hAnsi="Times New Roman"/>
          <w:highlight w:val="none"/>
        </w:rPr>
        <w:t>m</w:t>
      </w:r>
      <w:r>
        <w:rPr>
          <w:rFonts w:ascii="Times New Roman" w:hAnsi="Times New Roman"/>
          <w:highlight w:val="none"/>
          <w:vertAlign w:val="superscript"/>
        </w:rPr>
        <w:t>3</w:t>
      </w:r>
      <w:r>
        <w:rPr>
          <w:rFonts w:ascii="Times New Roman" w:hAnsi="Times New Roman"/>
          <w:highlight w:val="none"/>
        </w:rPr>
        <w:t>/kg。</w:t>
      </w:r>
    </w:p>
    <w:p w14:paraId="347A0068">
      <w:pPr>
        <w:ind w:firstLine="0" w:firstLineChars="0"/>
        <w:jc w:val="center"/>
        <w:rPr>
          <w:rFonts w:ascii="Times New Roman" w:hAnsi="Times New Roman"/>
          <w:highlight w:val="none"/>
        </w:rPr>
      </w:pPr>
      <w:r>
        <w:rPr>
          <w:rFonts w:ascii="Times New Roman" w:hAnsi="Times New Roman"/>
          <w:kern w:val="0"/>
          <w:szCs w:val="24"/>
          <w:highlight w:val="none"/>
        </w:rPr>
        <w:drawing>
          <wp:inline distT="0" distB="0" distL="114300" distR="114300">
            <wp:extent cx="3898900" cy="695325"/>
            <wp:effectExtent l="0" t="0" r="6350" b="9525"/>
            <wp:docPr id="102" name="图片 3"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 descr="图片6"/>
                    <pic:cNvPicPr>
                      <a:picLocks noChangeAspect="1"/>
                    </pic:cNvPicPr>
                  </pic:nvPicPr>
                  <pic:blipFill>
                    <a:blip r:embed="rId22"/>
                    <a:stretch>
                      <a:fillRect/>
                    </a:stretch>
                  </pic:blipFill>
                  <pic:spPr>
                    <a:xfrm>
                      <a:off x="0" y="0"/>
                      <a:ext cx="3898900" cy="695325"/>
                    </a:xfrm>
                    <a:prstGeom prst="rect">
                      <a:avLst/>
                    </a:prstGeom>
                    <a:noFill/>
                    <a:ln>
                      <a:noFill/>
                    </a:ln>
                  </pic:spPr>
                </pic:pic>
              </a:graphicData>
            </a:graphic>
          </wp:inline>
        </w:drawing>
      </w:r>
    </w:p>
    <w:p w14:paraId="4DC8C127">
      <w:pPr>
        <w:ind w:firstLine="0" w:firstLineChars="0"/>
        <w:jc w:val="center"/>
        <w:rPr>
          <w:rFonts w:ascii="Times New Roman" w:hAnsi="Times New Roman"/>
          <w:highlight w:val="none"/>
        </w:rPr>
      </w:pPr>
      <w:r>
        <w:rPr>
          <w:rFonts w:ascii="Times New Roman" w:hAnsi="Times New Roman"/>
          <w:sz w:val="21"/>
          <w:szCs w:val="24"/>
          <w:highlight w:val="none"/>
        </w:rPr>
        <w:drawing>
          <wp:inline distT="0" distB="0" distL="114300" distR="114300">
            <wp:extent cx="4248150" cy="1965960"/>
            <wp:effectExtent l="0" t="0" r="0" b="15240"/>
            <wp:docPr id="103" name="图片 4"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4" descr="图片7"/>
                    <pic:cNvPicPr>
                      <a:picLocks noChangeAspect="1"/>
                    </pic:cNvPicPr>
                  </pic:nvPicPr>
                  <pic:blipFill>
                    <a:blip r:embed="rId23"/>
                    <a:stretch>
                      <a:fillRect/>
                    </a:stretch>
                  </pic:blipFill>
                  <pic:spPr>
                    <a:xfrm>
                      <a:off x="0" y="0"/>
                      <a:ext cx="4248150" cy="1965960"/>
                    </a:xfrm>
                    <a:prstGeom prst="rect">
                      <a:avLst/>
                    </a:prstGeom>
                    <a:noFill/>
                    <a:ln>
                      <a:noFill/>
                    </a:ln>
                  </pic:spPr>
                </pic:pic>
              </a:graphicData>
            </a:graphic>
          </wp:inline>
        </w:drawing>
      </w:r>
    </w:p>
    <w:p w14:paraId="0C333A1D">
      <w:pPr>
        <w:ind w:firstLine="480"/>
        <w:rPr>
          <w:rFonts w:ascii="Times New Roman" w:hAnsi="Times New Roman"/>
          <w:highlight w:val="none"/>
        </w:rPr>
      </w:pPr>
      <w:r>
        <w:rPr>
          <w:rFonts w:ascii="Times New Roman" w:hAnsi="Times New Roman"/>
          <w:highlight w:val="none"/>
        </w:rPr>
        <w:t>式中：</w:t>
      </w:r>
    </w:p>
    <w:p w14:paraId="222C40AF">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RO2</w:t>
      </w:r>
      <w:r>
        <w:rPr>
          <w:rFonts w:ascii="Times New Roman" w:hAnsi="Times New Roman"/>
          <w:highlight w:val="none"/>
        </w:rPr>
        <w:t>—烟气中二氧化碳(V</w:t>
      </w:r>
      <w:r>
        <w:rPr>
          <w:rFonts w:ascii="Times New Roman" w:hAnsi="Times New Roman"/>
          <w:highlight w:val="none"/>
          <w:vertAlign w:val="subscript"/>
        </w:rPr>
        <w:t>CO2</w:t>
      </w:r>
      <w:r>
        <w:rPr>
          <w:rFonts w:ascii="Times New Roman" w:hAnsi="Times New Roman"/>
          <w:highlight w:val="none"/>
        </w:rPr>
        <w:t>)和二氧化硫(V</w:t>
      </w:r>
      <w:r>
        <w:rPr>
          <w:rFonts w:ascii="Times New Roman" w:hAnsi="Times New Roman"/>
          <w:highlight w:val="none"/>
          <w:vertAlign w:val="subscript"/>
        </w:rPr>
        <w:t>SO2</w:t>
      </w:r>
      <w:r>
        <w:rPr>
          <w:rFonts w:ascii="Times New Roman" w:hAnsi="Times New Roman"/>
          <w:highlight w:val="none"/>
        </w:rPr>
        <w:t>)容积之和，m</w:t>
      </w:r>
      <w:r>
        <w:rPr>
          <w:rFonts w:ascii="Times New Roman" w:hAnsi="Times New Roman"/>
          <w:highlight w:val="none"/>
          <w:vertAlign w:val="superscript"/>
        </w:rPr>
        <w:t>3</w:t>
      </w:r>
      <w:r>
        <w:rPr>
          <w:rFonts w:ascii="Times New Roman" w:hAnsi="Times New Roman"/>
          <w:highlight w:val="none"/>
        </w:rPr>
        <w:t>/kg：取</w:t>
      </w:r>
      <w:r>
        <w:rPr>
          <w:rFonts w:hint="eastAsia" w:ascii="Times New Roman" w:hAnsi="Times New Roman"/>
          <w:highlight w:val="none"/>
          <w:lang w:val="en-US" w:eastAsia="zh-CN"/>
        </w:rPr>
        <w:t>0.92</w:t>
      </w:r>
      <w:r>
        <w:rPr>
          <w:rFonts w:ascii="Times New Roman" w:hAnsi="Times New Roman"/>
          <w:highlight w:val="none"/>
        </w:rPr>
        <w:t>；</w:t>
      </w:r>
    </w:p>
    <w:p w14:paraId="1CF15889">
      <w:pPr>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ar</w:t>
      </w:r>
      <w:r>
        <w:rPr>
          <w:rFonts w:ascii="Times New Roman" w:hAnsi="Times New Roman"/>
          <w:highlight w:val="none"/>
        </w:rPr>
        <w:t>—收到基碳的质量分数，%；取</w:t>
      </w:r>
      <w:r>
        <w:rPr>
          <w:rFonts w:hint="eastAsia" w:ascii="Times New Roman" w:hAnsi="Times New Roman"/>
          <w:highlight w:val="none"/>
          <w:lang w:val="en-US" w:eastAsia="zh-CN"/>
        </w:rPr>
        <w:t>49.21</w:t>
      </w:r>
      <w:r>
        <w:rPr>
          <w:rFonts w:ascii="Times New Roman" w:hAnsi="Times New Roman"/>
          <w:highlight w:val="none"/>
        </w:rPr>
        <w:t>；</w:t>
      </w:r>
    </w:p>
    <w:p w14:paraId="15EB96D6">
      <w:pPr>
        <w:ind w:firstLine="480"/>
        <w:rPr>
          <w:rFonts w:ascii="Times New Roman" w:hAnsi="Times New Roman"/>
          <w:highlight w:val="none"/>
        </w:rPr>
      </w:pPr>
      <w:r>
        <w:rPr>
          <w:rFonts w:ascii="Times New Roman" w:hAnsi="Times New Roman"/>
          <w:highlight w:val="none"/>
        </w:rPr>
        <w:t>S</w:t>
      </w:r>
      <w:r>
        <w:rPr>
          <w:rFonts w:ascii="Times New Roman" w:hAnsi="Times New Roman"/>
          <w:highlight w:val="none"/>
          <w:vertAlign w:val="subscript"/>
        </w:rPr>
        <w:t>ar</w:t>
      </w:r>
      <w:r>
        <w:rPr>
          <w:rFonts w:ascii="Times New Roman" w:hAnsi="Times New Roman"/>
          <w:highlight w:val="none"/>
        </w:rPr>
        <w:t>—收到基硫的质量分数，%；取</w:t>
      </w:r>
      <w:r>
        <w:rPr>
          <w:rFonts w:hint="eastAsia" w:ascii="Times New Roman" w:hAnsi="Times New Roman"/>
          <w:highlight w:val="none"/>
          <w:lang w:val="en-US" w:eastAsia="zh-CN"/>
        </w:rPr>
        <w:t>0.21</w:t>
      </w:r>
      <w:r>
        <w:rPr>
          <w:rFonts w:ascii="Times New Roman" w:hAnsi="Times New Roman"/>
          <w:highlight w:val="none"/>
        </w:rPr>
        <w:t>；</w:t>
      </w:r>
    </w:p>
    <w:p w14:paraId="1A1D5096">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N2</w:t>
      </w:r>
      <w:r>
        <w:rPr>
          <w:rFonts w:ascii="Times New Roman" w:hAnsi="Times New Roman"/>
          <w:highlight w:val="none"/>
        </w:rPr>
        <w:t>—烟气中氮气量，m</w:t>
      </w:r>
      <w:r>
        <w:rPr>
          <w:rFonts w:ascii="Times New Roman" w:hAnsi="Times New Roman"/>
          <w:highlight w:val="none"/>
          <w:vertAlign w:val="superscript"/>
        </w:rPr>
        <w:t>3</w:t>
      </w:r>
      <w:r>
        <w:rPr>
          <w:rFonts w:ascii="Times New Roman" w:hAnsi="Times New Roman"/>
          <w:highlight w:val="none"/>
        </w:rPr>
        <w:t>/kg；取</w:t>
      </w:r>
      <w:r>
        <w:rPr>
          <w:rFonts w:hint="eastAsia" w:ascii="Times New Roman" w:hAnsi="Times New Roman"/>
          <w:highlight w:val="none"/>
          <w:lang w:val="en-US" w:eastAsia="zh-CN"/>
        </w:rPr>
        <w:t>3.95</w:t>
      </w:r>
      <w:r>
        <w:rPr>
          <w:rFonts w:ascii="Times New Roman" w:hAnsi="Times New Roman"/>
          <w:highlight w:val="none"/>
        </w:rPr>
        <w:t>；</w:t>
      </w:r>
    </w:p>
    <w:p w14:paraId="1A7787AB">
      <w:pPr>
        <w:ind w:firstLine="480"/>
        <w:rPr>
          <w:rFonts w:ascii="Times New Roman" w:hAnsi="Times New Roman"/>
          <w:highlight w:val="none"/>
        </w:rPr>
      </w:pPr>
      <w:r>
        <w:rPr>
          <w:rFonts w:ascii="Times New Roman" w:hAnsi="Times New Roman"/>
          <w:highlight w:val="none"/>
        </w:rPr>
        <w:t>N</w:t>
      </w:r>
      <w:r>
        <w:rPr>
          <w:rFonts w:ascii="Times New Roman" w:hAnsi="Times New Roman"/>
          <w:highlight w:val="none"/>
          <w:vertAlign w:val="subscript"/>
        </w:rPr>
        <w:t>ar</w:t>
      </w:r>
      <w:r>
        <w:rPr>
          <w:rFonts w:ascii="Times New Roman" w:hAnsi="Times New Roman"/>
          <w:highlight w:val="none"/>
        </w:rPr>
        <w:t>—收到基氮的质量分数，%；取</w:t>
      </w:r>
      <w:r>
        <w:rPr>
          <w:rFonts w:hint="eastAsia" w:ascii="Times New Roman" w:hAnsi="Times New Roman"/>
          <w:highlight w:val="none"/>
          <w:lang w:val="en-US" w:eastAsia="zh-CN"/>
        </w:rPr>
        <w:t>0.71</w:t>
      </w:r>
      <w:r>
        <w:rPr>
          <w:rFonts w:ascii="Times New Roman" w:hAnsi="Times New Roman"/>
          <w:highlight w:val="none"/>
        </w:rPr>
        <w:t>；</w:t>
      </w:r>
    </w:p>
    <w:p w14:paraId="69D357AC">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0</w:t>
      </w:r>
      <w:r>
        <w:rPr>
          <w:rFonts w:ascii="Times New Roman" w:hAnsi="Times New Roman"/>
          <w:highlight w:val="none"/>
        </w:rPr>
        <w:t>—理论空气量，m</w:t>
      </w:r>
      <w:r>
        <w:rPr>
          <w:rFonts w:ascii="Times New Roman" w:hAnsi="Times New Roman"/>
          <w:highlight w:val="none"/>
          <w:vertAlign w:val="superscript"/>
        </w:rPr>
        <w:t>3</w:t>
      </w:r>
      <w:r>
        <w:rPr>
          <w:rFonts w:ascii="Times New Roman" w:hAnsi="Times New Roman"/>
          <w:highlight w:val="none"/>
        </w:rPr>
        <w:t>/kg；取</w:t>
      </w:r>
      <w:r>
        <w:rPr>
          <w:rFonts w:hint="eastAsia" w:ascii="Times New Roman" w:hAnsi="Times New Roman"/>
          <w:highlight w:val="none"/>
          <w:lang w:val="en-US" w:eastAsia="zh-CN"/>
        </w:rPr>
        <w:t>0.92</w:t>
      </w:r>
      <w:r>
        <w:rPr>
          <w:rFonts w:ascii="Times New Roman" w:hAnsi="Times New Roman"/>
          <w:highlight w:val="none"/>
        </w:rPr>
        <w:t>；</w:t>
      </w:r>
    </w:p>
    <w:p w14:paraId="6B4A6726">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g</w:t>
      </w:r>
      <w:r>
        <w:rPr>
          <w:rFonts w:ascii="Times New Roman" w:hAnsi="Times New Roman"/>
          <w:highlight w:val="none"/>
        </w:rPr>
        <w:t>—干烟气排放量，m</w:t>
      </w:r>
      <w:r>
        <w:rPr>
          <w:rFonts w:ascii="Times New Roman" w:hAnsi="Times New Roman"/>
          <w:highlight w:val="none"/>
          <w:vertAlign w:val="superscript"/>
        </w:rPr>
        <w:t>3</w:t>
      </w:r>
      <w:r>
        <w:rPr>
          <w:rFonts w:ascii="Times New Roman" w:hAnsi="Times New Roman"/>
          <w:highlight w:val="none"/>
        </w:rPr>
        <w:t>/kg；</w:t>
      </w:r>
      <w:r>
        <w:rPr>
          <w:rFonts w:hint="eastAsia" w:ascii="Times New Roman" w:hAnsi="Times New Roman"/>
          <w:highlight w:val="none"/>
          <w:lang w:val="en-US" w:eastAsia="zh-CN"/>
        </w:rPr>
        <w:t>9.308</w:t>
      </w:r>
      <w:r>
        <w:rPr>
          <w:rFonts w:ascii="Times New Roman" w:hAnsi="Times New Roman"/>
          <w:highlight w:val="none"/>
        </w:rPr>
        <w:t>。</w:t>
      </w:r>
    </w:p>
    <w:p w14:paraId="05DD3133">
      <w:pPr>
        <w:ind w:firstLine="480"/>
        <w:rPr>
          <w:rFonts w:ascii="Times New Roman" w:hAnsi="Times New Roman"/>
          <w:highlight w:val="none"/>
        </w:rPr>
      </w:pPr>
      <w:r>
        <w:rPr>
          <w:rFonts w:ascii="Times New Roman" w:hAnsi="Times New Roman"/>
          <w:highlight w:val="none"/>
        </w:rPr>
        <w:t>α—过量空气系数，1.</w:t>
      </w:r>
      <w:r>
        <w:rPr>
          <w:rFonts w:hint="eastAsia" w:ascii="Times New Roman" w:hAnsi="Times New Roman"/>
          <w:highlight w:val="none"/>
        </w:rPr>
        <w:t>40</w:t>
      </w:r>
      <w:r>
        <w:rPr>
          <w:rFonts w:ascii="Times New Roman" w:hAnsi="Times New Roman"/>
          <w:highlight w:val="none"/>
        </w:rPr>
        <w:t>；</w:t>
      </w:r>
    </w:p>
    <w:p w14:paraId="7407AE01">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H2O</w:t>
      </w:r>
      <w:r>
        <w:rPr>
          <w:rFonts w:ascii="Times New Roman" w:hAnsi="Times New Roman"/>
          <w:highlight w:val="none"/>
        </w:rPr>
        <w:t>—烟气中水蒸气量，m</w:t>
      </w:r>
      <w:r>
        <w:rPr>
          <w:rFonts w:ascii="Times New Roman" w:hAnsi="Times New Roman"/>
          <w:highlight w:val="none"/>
          <w:vertAlign w:val="superscript"/>
        </w:rPr>
        <w:t>3</w:t>
      </w:r>
      <w:r>
        <w:rPr>
          <w:rFonts w:ascii="Times New Roman" w:hAnsi="Times New Roman"/>
          <w:highlight w:val="none"/>
        </w:rPr>
        <w:t>/kg；取</w:t>
      </w:r>
      <w:r>
        <w:rPr>
          <w:rFonts w:hint="eastAsia" w:ascii="Times New Roman" w:hAnsi="Times New Roman"/>
          <w:highlight w:val="none"/>
          <w:lang w:val="en-US" w:eastAsia="zh-CN"/>
        </w:rPr>
        <w:t>0.502</w:t>
      </w:r>
      <w:r>
        <w:rPr>
          <w:rFonts w:ascii="Times New Roman" w:hAnsi="Times New Roman"/>
          <w:highlight w:val="none"/>
        </w:rPr>
        <w:t>；</w:t>
      </w:r>
    </w:p>
    <w:p w14:paraId="33196565">
      <w:pPr>
        <w:ind w:firstLine="480"/>
        <w:rPr>
          <w:rFonts w:ascii="Times New Roman" w:hAnsi="Times New Roman"/>
          <w:highlight w:val="none"/>
        </w:rPr>
      </w:pPr>
      <w:r>
        <w:rPr>
          <w:rFonts w:ascii="Times New Roman" w:hAnsi="Times New Roman"/>
          <w:highlight w:val="none"/>
        </w:rPr>
        <w:t>H</w:t>
      </w:r>
      <w:r>
        <w:rPr>
          <w:rFonts w:ascii="Times New Roman" w:hAnsi="Times New Roman"/>
          <w:highlight w:val="none"/>
          <w:vertAlign w:val="subscript"/>
        </w:rPr>
        <w:t>ar</w:t>
      </w:r>
      <w:r>
        <w:rPr>
          <w:rFonts w:ascii="Times New Roman" w:hAnsi="Times New Roman"/>
          <w:highlight w:val="none"/>
        </w:rPr>
        <w:t>—收到基氢的质量分数，%；取</w:t>
      </w:r>
      <w:r>
        <w:rPr>
          <w:rFonts w:hint="eastAsia" w:ascii="Times New Roman" w:hAnsi="Times New Roman"/>
          <w:highlight w:val="none"/>
        </w:rPr>
        <w:t>3.16</w:t>
      </w:r>
      <w:r>
        <w:rPr>
          <w:rFonts w:ascii="Times New Roman" w:hAnsi="Times New Roman"/>
          <w:highlight w:val="none"/>
        </w:rPr>
        <w:t>；</w:t>
      </w:r>
    </w:p>
    <w:p w14:paraId="2A56A8E0">
      <w:pPr>
        <w:ind w:firstLine="480"/>
        <w:rPr>
          <w:rFonts w:ascii="Times New Roman" w:hAnsi="Times New Roman"/>
          <w:highlight w:val="none"/>
        </w:rPr>
      </w:pPr>
      <w:r>
        <w:rPr>
          <w:rFonts w:ascii="Times New Roman" w:hAnsi="Times New Roman"/>
          <w:highlight w:val="none"/>
        </w:rPr>
        <w:t>M</w:t>
      </w:r>
      <w:r>
        <w:rPr>
          <w:rFonts w:ascii="Times New Roman" w:hAnsi="Times New Roman"/>
          <w:highlight w:val="none"/>
          <w:vertAlign w:val="subscript"/>
        </w:rPr>
        <w:t>ar</w:t>
      </w:r>
      <w:r>
        <w:rPr>
          <w:rFonts w:ascii="Times New Roman" w:hAnsi="Times New Roman"/>
          <w:highlight w:val="none"/>
        </w:rPr>
        <w:t>—收到基水分的质量分数，%；取</w:t>
      </w:r>
      <w:r>
        <w:rPr>
          <w:rFonts w:hint="eastAsia" w:ascii="Times New Roman" w:hAnsi="Times New Roman"/>
          <w:highlight w:val="none"/>
          <w:lang w:val="en-US" w:eastAsia="zh-CN"/>
        </w:rPr>
        <w:t>5.7</w:t>
      </w:r>
      <w:r>
        <w:rPr>
          <w:rFonts w:ascii="Times New Roman" w:hAnsi="Times New Roman"/>
          <w:highlight w:val="none"/>
        </w:rPr>
        <w:t>；</w:t>
      </w:r>
    </w:p>
    <w:p w14:paraId="6CA35998">
      <w:pPr>
        <w:ind w:firstLine="480"/>
        <w:rPr>
          <w:rFonts w:ascii="Times New Roman" w:hAnsi="Times New Roman"/>
          <w:highlight w:val="none"/>
        </w:rPr>
      </w:pPr>
      <w:r>
        <w:rPr>
          <w:rFonts w:ascii="Times New Roman" w:hAnsi="Times New Roman"/>
          <w:highlight w:val="none"/>
        </w:rPr>
        <w:t>G</w:t>
      </w:r>
      <w:r>
        <w:rPr>
          <w:rFonts w:ascii="Times New Roman" w:hAnsi="Times New Roman"/>
          <w:highlight w:val="none"/>
          <w:vertAlign w:val="subscript"/>
        </w:rPr>
        <w:t>wh</w:t>
      </w:r>
      <w:r>
        <w:rPr>
          <w:rFonts w:ascii="Times New Roman" w:hAnsi="Times New Roman"/>
          <w:highlight w:val="none"/>
        </w:rPr>
        <w:t>—雾化燃油时消耗的蒸汽量，kg/kg；取0；</w:t>
      </w:r>
    </w:p>
    <w:p w14:paraId="20C9DDDF">
      <w:pPr>
        <w:ind w:firstLine="480"/>
        <w:rPr>
          <w:rFonts w:ascii="Times New Roman" w:hAnsi="Times New Roman"/>
          <w:highlight w:val="none"/>
        </w:rPr>
      </w:pPr>
      <w:r>
        <w:rPr>
          <w:rFonts w:ascii="Times New Roman" w:hAnsi="Times New Roman"/>
          <w:highlight w:val="none"/>
        </w:rPr>
        <w:t>V</w:t>
      </w:r>
      <w:r>
        <w:rPr>
          <w:rFonts w:ascii="Times New Roman" w:hAnsi="Times New Roman"/>
          <w:highlight w:val="none"/>
          <w:vertAlign w:val="subscript"/>
        </w:rPr>
        <w:t>s</w:t>
      </w:r>
      <w:r>
        <w:rPr>
          <w:rFonts w:ascii="Times New Roman" w:hAnsi="Times New Roman"/>
          <w:highlight w:val="none"/>
        </w:rPr>
        <w:t>—湿烟气排放量，m</w:t>
      </w:r>
      <w:r>
        <w:rPr>
          <w:rFonts w:ascii="Times New Roman" w:hAnsi="Times New Roman"/>
          <w:highlight w:val="none"/>
          <w:vertAlign w:val="superscript"/>
        </w:rPr>
        <w:t>3</w:t>
      </w:r>
      <w:r>
        <w:rPr>
          <w:rFonts w:ascii="Times New Roman" w:hAnsi="Times New Roman"/>
          <w:highlight w:val="none"/>
        </w:rPr>
        <w:t>/kg，</w:t>
      </w:r>
      <w:r>
        <w:rPr>
          <w:rFonts w:hint="eastAsia" w:ascii="Times New Roman" w:hAnsi="Times New Roman"/>
          <w:highlight w:val="none"/>
          <w:lang w:val="en-US" w:eastAsia="zh-CN"/>
        </w:rPr>
        <w:t>9.75</w:t>
      </w:r>
      <w:r>
        <w:rPr>
          <w:rFonts w:ascii="Times New Roman" w:hAnsi="Times New Roman"/>
          <w:highlight w:val="none"/>
        </w:rPr>
        <w:t>。</w:t>
      </w:r>
    </w:p>
    <w:p w14:paraId="2A31CB0F">
      <w:pPr>
        <w:ind w:firstLine="480"/>
        <w:rPr>
          <w:rFonts w:ascii="Times New Roman" w:hAnsi="Times New Roman"/>
          <w:highlight w:val="none"/>
        </w:rPr>
      </w:pPr>
      <w:r>
        <w:rPr>
          <w:rFonts w:ascii="Times New Roman" w:hAnsi="Times New Roman"/>
          <w:highlight w:val="none"/>
        </w:rPr>
        <w:t>（2）二氧化硫排放量计算</w:t>
      </w:r>
    </w:p>
    <w:p w14:paraId="110EE57D">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3067050" cy="584835"/>
            <wp:effectExtent l="0" t="0" r="0" b="5715"/>
            <wp:docPr id="105" name="图片 5" descr="S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5" descr="SO2"/>
                    <pic:cNvPicPr>
                      <a:picLocks noChangeAspect="1"/>
                    </pic:cNvPicPr>
                  </pic:nvPicPr>
                  <pic:blipFill>
                    <a:blip r:embed="rId24"/>
                    <a:stretch>
                      <a:fillRect/>
                    </a:stretch>
                  </pic:blipFill>
                  <pic:spPr>
                    <a:xfrm>
                      <a:off x="0" y="0"/>
                      <a:ext cx="3067050" cy="584835"/>
                    </a:xfrm>
                    <a:prstGeom prst="rect">
                      <a:avLst/>
                    </a:prstGeom>
                    <a:noFill/>
                    <a:ln>
                      <a:noFill/>
                    </a:ln>
                  </pic:spPr>
                </pic:pic>
              </a:graphicData>
            </a:graphic>
          </wp:inline>
        </w:drawing>
      </w:r>
    </w:p>
    <w:p w14:paraId="40938CD6">
      <w:pPr>
        <w:ind w:firstLine="480"/>
        <w:rPr>
          <w:rFonts w:ascii="Times New Roman" w:hAnsi="Times New Roman"/>
          <w:highlight w:val="none"/>
        </w:rPr>
      </w:pPr>
      <w:r>
        <w:rPr>
          <w:rFonts w:ascii="Times New Roman" w:hAnsi="Times New Roman"/>
          <w:highlight w:val="none"/>
        </w:rPr>
        <w:t>式中：</w:t>
      </w:r>
    </w:p>
    <w:p w14:paraId="36135FF4">
      <w:pPr>
        <w:ind w:firstLine="480"/>
        <w:rPr>
          <w:rFonts w:ascii="Times New Roman" w:hAnsi="Times New Roman"/>
          <w:highlight w:val="none"/>
        </w:rPr>
      </w:pPr>
      <w:r>
        <w:rPr>
          <w:rFonts w:ascii="Times New Roman" w:hAnsi="Times New Roman"/>
          <w:highlight w:val="none"/>
        </w:rPr>
        <w:t>E</w:t>
      </w:r>
      <w:r>
        <w:rPr>
          <w:rFonts w:ascii="Times New Roman" w:hAnsi="Times New Roman"/>
          <w:highlight w:val="none"/>
          <w:vertAlign w:val="subscript"/>
        </w:rPr>
        <w:t>SO2</w:t>
      </w:r>
      <w:r>
        <w:rPr>
          <w:rFonts w:ascii="Times New Roman" w:hAnsi="Times New Roman"/>
          <w:highlight w:val="none"/>
        </w:rPr>
        <w:t>——核算时段内二氧化硫排放量，t；</w:t>
      </w:r>
    </w:p>
    <w:p w14:paraId="08EAE354">
      <w:pPr>
        <w:ind w:firstLine="480"/>
        <w:rPr>
          <w:rFonts w:ascii="Times New Roman" w:hAnsi="Times New Roman"/>
          <w:highlight w:val="none"/>
        </w:rPr>
      </w:pPr>
      <w:r>
        <w:rPr>
          <w:rFonts w:ascii="Times New Roman" w:hAnsi="Times New Roman"/>
          <w:highlight w:val="none"/>
        </w:rPr>
        <w:t>R——核算时段内锅炉燃料耗量，t，取</w:t>
      </w:r>
      <w:r>
        <w:rPr>
          <w:rFonts w:hint="eastAsia" w:ascii="Times New Roman" w:hAnsi="Times New Roman"/>
          <w:highlight w:val="none"/>
          <w:lang w:val="en-US" w:eastAsia="zh-CN"/>
        </w:rPr>
        <w:t>28.425（116MW锅炉最大小时燃煤量）、8.688（58MW锅炉最大小时燃煤量）、3.6602（35t/h锅炉最大小时燃煤量）</w:t>
      </w:r>
      <w:r>
        <w:rPr>
          <w:rFonts w:ascii="Times New Roman" w:hAnsi="Times New Roman"/>
          <w:highlight w:val="none"/>
        </w:rPr>
        <w:t>；</w:t>
      </w:r>
    </w:p>
    <w:p w14:paraId="3B7C72DA">
      <w:pPr>
        <w:ind w:firstLine="480"/>
        <w:rPr>
          <w:rFonts w:ascii="Times New Roman" w:hAnsi="Times New Roman"/>
          <w:highlight w:val="none"/>
        </w:rPr>
      </w:pPr>
      <w:r>
        <w:rPr>
          <w:rFonts w:ascii="Times New Roman" w:hAnsi="Times New Roman"/>
          <w:highlight w:val="none"/>
        </w:rPr>
        <w:t>q</w:t>
      </w:r>
      <w:r>
        <w:rPr>
          <w:rFonts w:ascii="Times New Roman" w:hAnsi="Times New Roman"/>
          <w:highlight w:val="none"/>
          <w:vertAlign w:val="subscript"/>
        </w:rPr>
        <w:t>4</w:t>
      </w:r>
      <w:r>
        <w:rPr>
          <w:rFonts w:ascii="Times New Roman" w:hAnsi="Times New Roman"/>
          <w:highlight w:val="none"/>
        </w:rPr>
        <w:t>——锅炉机械不完全燃烧热损失，%，取</w:t>
      </w:r>
      <w:r>
        <w:rPr>
          <w:rFonts w:hint="eastAsia" w:ascii="Times New Roman" w:hAnsi="Times New Roman"/>
          <w:highlight w:val="none"/>
          <w:lang w:val="en-US" w:eastAsia="zh-CN"/>
        </w:rPr>
        <w:t>10</w:t>
      </w:r>
      <w:r>
        <w:rPr>
          <w:rFonts w:ascii="Times New Roman" w:hAnsi="Times New Roman"/>
          <w:highlight w:val="none"/>
        </w:rPr>
        <w:t>；</w:t>
      </w:r>
    </w:p>
    <w:p w14:paraId="71B90366">
      <w:pPr>
        <w:ind w:firstLine="480"/>
        <w:rPr>
          <w:rFonts w:ascii="Times New Roman" w:hAnsi="Times New Roman"/>
          <w:highlight w:val="none"/>
        </w:rPr>
      </w:pPr>
      <w:r>
        <w:rPr>
          <w:rFonts w:ascii="Times New Roman" w:hAnsi="Times New Roman"/>
          <w:highlight w:val="none"/>
        </w:rPr>
        <w:t>Sar——煤中的收到基全硫份，%，取</w:t>
      </w:r>
      <w:r>
        <w:rPr>
          <w:rFonts w:hint="eastAsia" w:ascii="Times New Roman" w:hAnsi="Times New Roman"/>
          <w:highlight w:val="none"/>
          <w:lang w:val="en-US" w:eastAsia="zh-CN"/>
        </w:rPr>
        <w:t>0.21</w:t>
      </w:r>
      <w:r>
        <w:rPr>
          <w:rFonts w:ascii="Times New Roman" w:hAnsi="Times New Roman"/>
          <w:highlight w:val="none"/>
        </w:rPr>
        <w:t>；</w:t>
      </w:r>
    </w:p>
    <w:p w14:paraId="40EE974A">
      <w:pPr>
        <w:ind w:firstLine="480"/>
        <w:rPr>
          <w:rFonts w:ascii="Times New Roman" w:hAnsi="Times New Roman"/>
          <w:highlight w:val="none"/>
        </w:rPr>
      </w:pPr>
      <w:r>
        <w:rPr>
          <w:rFonts w:ascii="Times New Roman" w:hAnsi="Times New Roman"/>
          <w:highlight w:val="none"/>
        </w:rPr>
        <w:t>ɳs——脱硫效率，%，取97；</w:t>
      </w:r>
    </w:p>
    <w:p w14:paraId="75C477EF">
      <w:pPr>
        <w:ind w:firstLine="480"/>
        <w:rPr>
          <w:rFonts w:ascii="Times New Roman" w:hAnsi="Times New Roman"/>
          <w:highlight w:val="none"/>
        </w:rPr>
      </w:pPr>
      <w:r>
        <w:rPr>
          <w:rFonts w:ascii="Times New Roman" w:hAnsi="Times New Roman"/>
          <w:highlight w:val="none"/>
        </w:rPr>
        <w:t>K——燃料中硫燃烧后氧化成二氧化硫的份额，本项目为</w:t>
      </w:r>
      <w:r>
        <w:rPr>
          <w:rFonts w:hint="eastAsia" w:ascii="Times New Roman" w:hAnsi="Times New Roman"/>
          <w:highlight w:val="none"/>
          <w:lang w:val="en-US" w:eastAsia="zh-CN"/>
        </w:rPr>
        <w:t>链条</w:t>
      </w:r>
      <w:r>
        <w:rPr>
          <w:rFonts w:ascii="Times New Roman" w:hAnsi="Times New Roman"/>
          <w:highlight w:val="none"/>
        </w:rPr>
        <w:t>锅炉，取0.8。</w:t>
      </w:r>
    </w:p>
    <w:p w14:paraId="2D73F6F5">
      <w:pPr>
        <w:ind w:firstLine="480"/>
        <w:rPr>
          <w:rFonts w:hint="eastAsia" w:ascii="Times New Roman" w:hAnsi="Times New Roman" w:eastAsia="宋体"/>
          <w:highlight w:val="none"/>
          <w:lang w:eastAsia="zh-CN"/>
        </w:rPr>
      </w:pPr>
      <w:r>
        <w:rPr>
          <w:rFonts w:ascii="Times New Roman" w:hAnsi="Times New Roman"/>
          <w:highlight w:val="none"/>
        </w:rPr>
        <w:t>计算得出</w:t>
      </w:r>
      <w:r>
        <w:rPr>
          <w:rFonts w:hint="eastAsia" w:ascii="Times New Roman" w:hAnsi="Times New Roman"/>
          <w:highlight w:val="none"/>
          <w:lang w:val="en-US" w:eastAsia="zh-CN"/>
        </w:rPr>
        <w:t>116MW锅炉</w:t>
      </w:r>
      <w:r>
        <w:rPr>
          <w:rFonts w:ascii="Times New Roman" w:hAnsi="Times New Roman"/>
          <w:highlight w:val="none"/>
        </w:rPr>
        <w:t>二氧化硫排放量为</w:t>
      </w:r>
      <w:r>
        <w:rPr>
          <w:rFonts w:hint="eastAsia" w:ascii="Times New Roman" w:hAnsi="Times New Roman"/>
          <w:highlight w:val="none"/>
          <w:lang w:val="en-US" w:eastAsia="zh-CN"/>
        </w:rPr>
        <w:t>0.00258</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9.746</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，二氧化硫产生量为</w:t>
      </w:r>
      <w:r>
        <w:rPr>
          <w:rFonts w:hint="eastAsia" w:ascii="Times New Roman" w:hAnsi="Times New Roman"/>
          <w:highlight w:val="none"/>
          <w:lang w:val="en-US" w:eastAsia="zh-CN"/>
        </w:rPr>
        <w:t>0.086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324.882</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58MW锅炉</w:t>
      </w:r>
      <w:r>
        <w:rPr>
          <w:rFonts w:ascii="Times New Roman" w:hAnsi="Times New Roman"/>
          <w:highlight w:val="none"/>
        </w:rPr>
        <w:t>二氧化硫排放量为</w:t>
      </w:r>
      <w:r>
        <w:rPr>
          <w:rFonts w:hint="eastAsia" w:ascii="Times New Roman" w:hAnsi="Times New Roman"/>
          <w:highlight w:val="none"/>
          <w:lang w:val="en-US" w:eastAsia="zh-CN"/>
        </w:rPr>
        <w:t>0.000788</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9.746</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，二氧化硫产生量为</w:t>
      </w:r>
      <w:r>
        <w:rPr>
          <w:rFonts w:hint="eastAsia" w:ascii="Times New Roman" w:hAnsi="Times New Roman"/>
          <w:highlight w:val="none"/>
          <w:lang w:val="en-US" w:eastAsia="zh-CN"/>
        </w:rPr>
        <w:t>0.026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324.882</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35t/h锅炉</w:t>
      </w:r>
      <w:r>
        <w:rPr>
          <w:rFonts w:ascii="Times New Roman" w:hAnsi="Times New Roman"/>
          <w:highlight w:val="none"/>
        </w:rPr>
        <w:t>二氧化硫排放量为</w:t>
      </w:r>
      <w:r>
        <w:rPr>
          <w:rFonts w:hint="eastAsia" w:ascii="Times New Roman" w:hAnsi="Times New Roman"/>
          <w:highlight w:val="none"/>
          <w:lang w:val="en-US" w:eastAsia="zh-CN"/>
        </w:rPr>
        <w:t>0.000332</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9.746</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，二氧化硫产生量为</w:t>
      </w:r>
      <w:r>
        <w:rPr>
          <w:rFonts w:hint="eastAsia" w:ascii="Times New Roman" w:hAnsi="Times New Roman"/>
          <w:highlight w:val="none"/>
          <w:lang w:val="en-US" w:eastAsia="zh-CN"/>
        </w:rPr>
        <w:t>0.011</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324.882</w:t>
      </w:r>
      <w:r>
        <w:rPr>
          <w:rFonts w:ascii="Times New Roman" w:hAnsi="Times New Roman"/>
          <w:highlight w:val="none"/>
        </w:rPr>
        <w:t>mg/m</w:t>
      </w:r>
      <w:r>
        <w:rPr>
          <w:rFonts w:ascii="Times New Roman" w:hAnsi="Times New Roman"/>
          <w:highlight w:val="none"/>
          <w:vertAlign w:val="superscript"/>
        </w:rPr>
        <w:t>3</w:t>
      </w:r>
    </w:p>
    <w:p w14:paraId="03E9DC81">
      <w:pPr>
        <w:ind w:firstLine="480"/>
        <w:rPr>
          <w:rFonts w:hint="default" w:ascii="Times New Roman" w:hAnsi="Times New Roman" w:eastAsia="宋体"/>
          <w:highlight w:val="none"/>
          <w:lang w:val="en-US" w:eastAsia="zh-CN"/>
        </w:rPr>
      </w:pPr>
      <w:r>
        <w:rPr>
          <w:rFonts w:ascii="Times New Roman" w:hAnsi="Times New Roman"/>
          <w:highlight w:val="none"/>
        </w:rPr>
        <w:t>（3）氮氧化物的排放量计算</w:t>
      </w:r>
    </w:p>
    <w:p w14:paraId="08A54385">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3429000" cy="1021080"/>
            <wp:effectExtent l="0" t="0" r="0" b="7620"/>
            <wp:docPr id="10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6" descr="图片1"/>
                    <pic:cNvPicPr>
                      <a:picLocks noChangeAspect="1"/>
                    </pic:cNvPicPr>
                  </pic:nvPicPr>
                  <pic:blipFill>
                    <a:blip r:embed="rId25"/>
                    <a:stretch>
                      <a:fillRect/>
                    </a:stretch>
                  </pic:blipFill>
                  <pic:spPr>
                    <a:xfrm>
                      <a:off x="0" y="0"/>
                      <a:ext cx="3429000" cy="1021080"/>
                    </a:xfrm>
                    <a:prstGeom prst="rect">
                      <a:avLst/>
                    </a:prstGeom>
                    <a:noFill/>
                    <a:ln>
                      <a:noFill/>
                    </a:ln>
                  </pic:spPr>
                </pic:pic>
              </a:graphicData>
            </a:graphic>
          </wp:inline>
        </w:drawing>
      </w:r>
    </w:p>
    <w:p w14:paraId="4E740BC3">
      <w:pPr>
        <w:ind w:firstLine="480"/>
        <w:rPr>
          <w:rFonts w:ascii="Times New Roman" w:hAnsi="Times New Roman"/>
          <w:highlight w:val="none"/>
        </w:rPr>
      </w:pPr>
      <w:r>
        <w:rPr>
          <w:rFonts w:ascii="Times New Roman" w:hAnsi="Times New Roman"/>
          <w:highlight w:val="none"/>
        </w:rPr>
        <w:t>式中：</w:t>
      </w:r>
    </w:p>
    <w:p w14:paraId="3AC530FA">
      <w:pPr>
        <w:ind w:firstLine="480"/>
        <w:rPr>
          <w:rFonts w:ascii="Times New Roman" w:hAnsi="Times New Roman"/>
          <w:highlight w:val="none"/>
        </w:rPr>
      </w:pPr>
      <w:r>
        <w:rPr>
          <w:rFonts w:ascii="Times New Roman" w:hAnsi="Times New Roman"/>
          <w:highlight w:val="none"/>
        </w:rPr>
        <w:t>E</w:t>
      </w:r>
      <w:r>
        <w:rPr>
          <w:rFonts w:ascii="Times New Roman" w:hAnsi="Times New Roman"/>
          <w:highlight w:val="none"/>
          <w:vertAlign w:val="subscript"/>
        </w:rPr>
        <w:t>NOx</w:t>
      </w:r>
      <w:r>
        <w:rPr>
          <w:rFonts w:ascii="Times New Roman" w:hAnsi="Times New Roman"/>
          <w:highlight w:val="none"/>
        </w:rPr>
        <w:t>—核算时段内氮氧化物排放量，t；</w:t>
      </w:r>
    </w:p>
    <w:p w14:paraId="3AC20C02">
      <w:pPr>
        <w:ind w:firstLine="480"/>
        <w:rPr>
          <w:rFonts w:ascii="Times New Roman" w:hAnsi="Times New Roman"/>
          <w:highlight w:val="none"/>
        </w:rPr>
      </w:pPr>
      <w:r>
        <w:rPr>
          <w:rFonts w:ascii="Times New Roman" w:hAnsi="Times New Roman"/>
          <w:highlight w:val="none"/>
        </w:rPr>
        <w:t>ρ</w:t>
      </w:r>
      <w:r>
        <w:rPr>
          <w:rFonts w:ascii="Times New Roman" w:hAnsi="Times New Roman"/>
          <w:highlight w:val="none"/>
          <w:vertAlign w:val="subscript"/>
        </w:rPr>
        <w:t>NOx</w:t>
      </w:r>
      <w:r>
        <w:rPr>
          <w:rFonts w:ascii="Times New Roman" w:hAnsi="Times New Roman"/>
          <w:highlight w:val="none"/>
        </w:rPr>
        <w:t>—锅炉炉膛出口NOx质量浓度，mg/m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highlight w:val="none"/>
        </w:rPr>
        <w:t>通过</w:t>
      </w:r>
      <w:r>
        <w:rPr>
          <w:rFonts w:hint="eastAsia" w:ascii="Times New Roman" w:hAnsi="Times New Roman"/>
          <w:highlight w:val="none"/>
          <w:lang w:val="en-US" w:eastAsia="zh-CN"/>
        </w:rPr>
        <w:t>实测</w:t>
      </w:r>
      <w:r>
        <w:rPr>
          <w:rFonts w:hint="eastAsia" w:ascii="Times New Roman" w:hAnsi="Times New Roman"/>
          <w:highlight w:val="none"/>
        </w:rPr>
        <w:t>可知，</w:t>
      </w:r>
      <w:r>
        <w:rPr>
          <w:rFonts w:ascii="Times New Roman" w:hAnsi="Times New Roman"/>
          <w:highlight w:val="none"/>
        </w:rPr>
        <w:t>本项目氮氧化物初始浓度</w:t>
      </w:r>
      <w:r>
        <w:rPr>
          <w:rFonts w:hint="eastAsia" w:ascii="Times New Roman" w:hAnsi="Times New Roman"/>
          <w:highlight w:val="none"/>
          <w:lang w:val="en-US" w:eastAsia="zh-CN"/>
        </w:rPr>
        <w:t>约为916</w:t>
      </w:r>
      <w:r>
        <w:rPr>
          <w:rFonts w:ascii="Times New Roman" w:hAnsi="Times New Roman"/>
          <w:highlight w:val="none"/>
        </w:rPr>
        <w:t xml:space="preserve"> mg/m</w:t>
      </w:r>
      <w:r>
        <w:rPr>
          <w:rFonts w:ascii="Times New Roman" w:hAnsi="Times New Roman"/>
          <w:highlight w:val="none"/>
          <w:vertAlign w:val="superscript"/>
        </w:rPr>
        <w:t>3</w:t>
      </w:r>
      <w:r>
        <w:rPr>
          <w:rFonts w:ascii="Times New Roman" w:hAnsi="Times New Roman"/>
          <w:highlight w:val="none"/>
        </w:rPr>
        <w:t>；</w:t>
      </w:r>
    </w:p>
    <w:p w14:paraId="6E358B01">
      <w:pPr>
        <w:ind w:firstLine="480"/>
        <w:rPr>
          <w:rFonts w:ascii="Times New Roman" w:hAnsi="Times New Roman"/>
          <w:highlight w:val="none"/>
        </w:rPr>
      </w:pPr>
      <w:r>
        <w:rPr>
          <w:rFonts w:ascii="Times New Roman" w:hAnsi="Times New Roman"/>
          <w:highlight w:val="none"/>
        </w:rPr>
        <w:t>Q—核算时段内标态干烟气排放量，m</w:t>
      </w:r>
      <w:r>
        <w:rPr>
          <w:rFonts w:ascii="Times New Roman" w:hAnsi="Times New Roman"/>
          <w:highlight w:val="none"/>
          <w:vertAlign w:val="superscript"/>
        </w:rPr>
        <w:t>3</w:t>
      </w:r>
      <w:r>
        <w:rPr>
          <w:rFonts w:ascii="Times New Roman" w:hAnsi="Times New Roman"/>
          <w:highlight w:val="none"/>
        </w:rPr>
        <w:t>/h，取</w:t>
      </w:r>
      <w:r>
        <w:rPr>
          <w:rFonts w:hint="eastAsia" w:ascii="Times New Roman" w:hAnsi="Times New Roman"/>
          <w:highlight w:val="none"/>
          <w:lang w:val="en-US" w:eastAsia="zh-CN"/>
        </w:rPr>
        <w:t>264580（116MW）、80868（58MW）、34069（35t/h）</w:t>
      </w:r>
      <w:r>
        <w:rPr>
          <w:rFonts w:ascii="Times New Roman" w:hAnsi="Times New Roman"/>
          <w:highlight w:val="none"/>
        </w:rPr>
        <w:t>；</w:t>
      </w:r>
    </w:p>
    <w:p w14:paraId="6BBAE8BB">
      <w:pPr>
        <w:ind w:firstLine="480"/>
        <w:rPr>
          <w:rFonts w:ascii="Times New Roman" w:hAnsi="Times New Roman"/>
          <w:highlight w:val="none"/>
        </w:rPr>
      </w:pPr>
      <w:r>
        <w:rPr>
          <w:rFonts w:ascii="Times New Roman" w:hAnsi="Times New Roman"/>
          <w:highlight w:val="none"/>
        </w:rPr>
        <w:t>η</w:t>
      </w:r>
      <w:r>
        <w:rPr>
          <w:rFonts w:ascii="Times New Roman" w:hAnsi="Times New Roman"/>
          <w:highlight w:val="none"/>
          <w:vertAlign w:val="subscript"/>
        </w:rPr>
        <w:t>NOx</w:t>
      </w:r>
      <w:r>
        <w:rPr>
          <w:rFonts w:ascii="Times New Roman" w:hAnsi="Times New Roman"/>
          <w:highlight w:val="none"/>
        </w:rPr>
        <w:t>—脱硝效率，</w:t>
      </w:r>
      <w:r>
        <w:rPr>
          <w:rFonts w:hint="eastAsia" w:ascii="Times New Roman" w:hAnsi="Times New Roman"/>
          <w:highlight w:val="none"/>
          <w:lang w:val="en-US" w:eastAsia="zh-CN"/>
        </w:rPr>
        <w:t>链条</w:t>
      </w:r>
      <w:r>
        <w:rPr>
          <w:rFonts w:ascii="Times New Roman" w:hAnsi="Times New Roman"/>
          <w:highlight w:val="none"/>
        </w:rPr>
        <w:t>炉，SNCR-SCR，%，</w:t>
      </w:r>
      <w:r>
        <w:rPr>
          <w:rFonts w:hint="eastAsia" w:ascii="Times New Roman" w:hAnsi="Times New Roman"/>
          <w:highlight w:val="none"/>
          <w:lang w:val="en-US" w:eastAsia="zh-CN"/>
        </w:rPr>
        <w:t>根据实测可知效率为99.13%，本次</w:t>
      </w:r>
      <w:r>
        <w:rPr>
          <w:rFonts w:ascii="Times New Roman" w:hAnsi="Times New Roman"/>
          <w:highlight w:val="none"/>
        </w:rPr>
        <w:t>取</w:t>
      </w:r>
      <w:r>
        <w:rPr>
          <w:rFonts w:hint="eastAsia" w:ascii="Times New Roman" w:hAnsi="Times New Roman"/>
          <w:highlight w:val="none"/>
          <w:lang w:val="en-US" w:eastAsia="zh-CN"/>
        </w:rPr>
        <w:t>99%</w:t>
      </w:r>
      <w:r>
        <w:rPr>
          <w:rFonts w:ascii="Times New Roman" w:hAnsi="Times New Roman"/>
          <w:highlight w:val="none"/>
        </w:rPr>
        <w:t>。</w:t>
      </w:r>
    </w:p>
    <w:p w14:paraId="002B5BDE">
      <w:pPr>
        <w:ind w:firstLine="480"/>
        <w:rPr>
          <w:rFonts w:hint="eastAsia" w:ascii="Times New Roman" w:hAnsi="Times New Roman" w:eastAsia="宋体"/>
          <w:highlight w:val="none"/>
          <w:lang w:eastAsia="zh-CN"/>
        </w:rPr>
      </w:pPr>
      <w:r>
        <w:rPr>
          <w:rFonts w:ascii="Times New Roman" w:hAnsi="Times New Roman"/>
          <w:highlight w:val="none"/>
        </w:rPr>
        <w:t>计算得出</w:t>
      </w:r>
      <w:r>
        <w:rPr>
          <w:rFonts w:hint="eastAsia" w:ascii="Times New Roman" w:hAnsi="Times New Roman"/>
          <w:highlight w:val="none"/>
          <w:lang w:val="en-US" w:eastAsia="zh-CN"/>
        </w:rPr>
        <w:t>116MW</w:t>
      </w:r>
      <w:r>
        <w:rPr>
          <w:rFonts w:ascii="Times New Roman" w:hAnsi="Times New Roman"/>
          <w:highlight w:val="none"/>
        </w:rPr>
        <w:t>氮氧化物排放量为</w:t>
      </w:r>
      <w:r>
        <w:rPr>
          <w:rFonts w:hint="eastAsia" w:ascii="Times New Roman" w:hAnsi="Times New Roman"/>
          <w:highlight w:val="none"/>
          <w:lang w:val="en-US" w:eastAsia="zh-CN"/>
        </w:rPr>
        <w:t>0.0024</w:t>
      </w:r>
      <w:r>
        <w:rPr>
          <w:rFonts w:hint="eastAsia" w:ascii="Times New Roman" w:hAnsi="Times New Roman"/>
          <w:highlight w:val="none"/>
        </w:rPr>
        <w:t>t</w:t>
      </w:r>
      <w:r>
        <w:rPr>
          <w:rFonts w:ascii="Times New Roman" w:hAnsi="Times New Roman"/>
          <w:highlight w:val="none"/>
        </w:rPr>
        <w: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9.07</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，氮氧化物产生量为</w:t>
      </w:r>
      <w:r>
        <w:rPr>
          <w:rFonts w:hint="eastAsia" w:ascii="Times New Roman" w:hAnsi="Times New Roman"/>
          <w:highlight w:val="none"/>
          <w:lang w:val="en-US" w:eastAsia="zh-CN"/>
        </w:rPr>
        <w:t>0.24</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916</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lang w:eastAsia="zh-CN"/>
        </w:rPr>
        <w:t>；</w:t>
      </w:r>
      <w:r>
        <w:rPr>
          <w:rFonts w:hint="eastAsia" w:ascii="Times New Roman" w:hAnsi="Times New Roman"/>
          <w:highlight w:val="none"/>
          <w:lang w:val="en-US" w:eastAsia="zh-CN"/>
        </w:rPr>
        <w:t>58MW</w:t>
      </w:r>
      <w:r>
        <w:rPr>
          <w:rFonts w:ascii="Times New Roman" w:hAnsi="Times New Roman"/>
          <w:highlight w:val="none"/>
        </w:rPr>
        <w:t>氮氧化物排放量为</w:t>
      </w:r>
      <w:r>
        <w:rPr>
          <w:rFonts w:hint="eastAsia" w:ascii="Times New Roman" w:hAnsi="Times New Roman"/>
          <w:highlight w:val="none"/>
          <w:lang w:val="en-US" w:eastAsia="zh-CN"/>
        </w:rPr>
        <w:t>0.00074</w:t>
      </w:r>
      <w:r>
        <w:rPr>
          <w:rFonts w:hint="eastAsia" w:ascii="Times New Roman" w:hAnsi="Times New Roman"/>
          <w:highlight w:val="none"/>
        </w:rPr>
        <w:t>t</w:t>
      </w:r>
      <w:r>
        <w:rPr>
          <w:rFonts w:ascii="Times New Roman" w:hAnsi="Times New Roman"/>
          <w:highlight w:val="none"/>
        </w:rPr>
        <w: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9.07</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，氮氧化物产生量为</w:t>
      </w:r>
      <w:r>
        <w:rPr>
          <w:rFonts w:hint="eastAsia" w:ascii="Times New Roman" w:hAnsi="Times New Roman"/>
          <w:highlight w:val="none"/>
          <w:lang w:val="en-US" w:eastAsia="zh-CN"/>
        </w:rPr>
        <w:t>0.074</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916</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35t/h</w:t>
      </w:r>
      <w:r>
        <w:rPr>
          <w:rFonts w:ascii="Times New Roman" w:hAnsi="Times New Roman"/>
          <w:highlight w:val="none"/>
        </w:rPr>
        <w:t>氮氧化物排放量为</w:t>
      </w:r>
      <w:r>
        <w:rPr>
          <w:rFonts w:hint="eastAsia" w:ascii="Times New Roman" w:hAnsi="Times New Roman"/>
          <w:highlight w:val="none"/>
          <w:lang w:val="en-US" w:eastAsia="zh-CN"/>
        </w:rPr>
        <w:t>0.00031</w:t>
      </w:r>
      <w:r>
        <w:rPr>
          <w:rFonts w:hint="eastAsia" w:ascii="Times New Roman" w:hAnsi="Times New Roman"/>
          <w:highlight w:val="none"/>
        </w:rPr>
        <w:t>t</w:t>
      </w:r>
      <w:r>
        <w:rPr>
          <w:rFonts w:ascii="Times New Roman" w:hAnsi="Times New Roman"/>
          <w:highlight w:val="none"/>
        </w:rPr>
        <w: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9.07</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，氮氧化物产生量为</w:t>
      </w:r>
      <w:r>
        <w:rPr>
          <w:rFonts w:hint="eastAsia" w:ascii="Times New Roman" w:hAnsi="Times New Roman"/>
          <w:highlight w:val="none"/>
          <w:lang w:val="en-US" w:eastAsia="zh-CN"/>
        </w:rPr>
        <w:t>0.031</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916</w:t>
      </w:r>
      <w:r>
        <w:rPr>
          <w:rFonts w:ascii="Times New Roman" w:hAnsi="Times New Roman"/>
          <w:highlight w:val="none"/>
        </w:rPr>
        <w:t>mg/m</w:t>
      </w:r>
      <w:r>
        <w:rPr>
          <w:rFonts w:ascii="Times New Roman" w:hAnsi="Times New Roman"/>
          <w:highlight w:val="none"/>
          <w:vertAlign w:val="superscript"/>
        </w:rPr>
        <w:t>3</w:t>
      </w:r>
    </w:p>
    <w:p w14:paraId="638EF716">
      <w:pPr>
        <w:ind w:firstLine="480"/>
        <w:rPr>
          <w:rFonts w:ascii="Times New Roman" w:hAnsi="Times New Roman"/>
          <w:highlight w:val="none"/>
        </w:rPr>
      </w:pPr>
      <w:r>
        <w:rPr>
          <w:rFonts w:ascii="Times New Roman" w:hAnsi="Times New Roman"/>
          <w:highlight w:val="none"/>
        </w:rPr>
        <w:t>（4）烟尘排放量按下式计算</w:t>
      </w:r>
    </w:p>
    <w:p w14:paraId="1B5DDAEA">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2847975" cy="937260"/>
            <wp:effectExtent l="0" t="0" r="9525" b="15240"/>
            <wp:docPr id="104" name="图片 7" descr="烟尘计算公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7" descr="烟尘计算公式"/>
                    <pic:cNvPicPr>
                      <a:picLocks noChangeAspect="1"/>
                    </pic:cNvPicPr>
                  </pic:nvPicPr>
                  <pic:blipFill>
                    <a:blip r:embed="rId26"/>
                    <a:stretch>
                      <a:fillRect/>
                    </a:stretch>
                  </pic:blipFill>
                  <pic:spPr>
                    <a:xfrm>
                      <a:off x="0" y="0"/>
                      <a:ext cx="2847975" cy="937260"/>
                    </a:xfrm>
                    <a:prstGeom prst="rect">
                      <a:avLst/>
                    </a:prstGeom>
                    <a:noFill/>
                    <a:ln>
                      <a:noFill/>
                    </a:ln>
                  </pic:spPr>
                </pic:pic>
              </a:graphicData>
            </a:graphic>
          </wp:inline>
        </w:drawing>
      </w:r>
    </w:p>
    <w:p w14:paraId="53AE8742">
      <w:pPr>
        <w:ind w:firstLine="480"/>
        <w:rPr>
          <w:rFonts w:ascii="Times New Roman" w:hAnsi="Times New Roman"/>
          <w:highlight w:val="none"/>
        </w:rPr>
      </w:pPr>
      <w:r>
        <w:rPr>
          <w:rFonts w:ascii="Times New Roman" w:hAnsi="Times New Roman"/>
          <w:highlight w:val="none"/>
        </w:rPr>
        <w:t>式中：</w:t>
      </w:r>
    </w:p>
    <w:p w14:paraId="048055FE">
      <w:pPr>
        <w:ind w:firstLine="480"/>
        <w:rPr>
          <w:rFonts w:ascii="Times New Roman" w:hAnsi="Times New Roman"/>
          <w:highlight w:val="none"/>
        </w:rPr>
      </w:pPr>
      <w:r>
        <w:rPr>
          <w:rFonts w:ascii="Times New Roman" w:hAnsi="Times New Roman"/>
          <w:highlight w:val="none"/>
        </w:rPr>
        <w:t>E</w:t>
      </w:r>
      <w:r>
        <w:rPr>
          <w:rFonts w:ascii="Times New Roman" w:hAnsi="Times New Roman"/>
          <w:highlight w:val="none"/>
          <w:vertAlign w:val="subscript"/>
        </w:rPr>
        <w:t>A</w:t>
      </w:r>
      <w:r>
        <w:rPr>
          <w:rFonts w:ascii="Times New Roman" w:hAnsi="Times New Roman"/>
          <w:highlight w:val="none"/>
        </w:rPr>
        <w:t>—核算时段内颗粒物（烟尘）排放量，t；</w:t>
      </w:r>
    </w:p>
    <w:p w14:paraId="7D92A545">
      <w:pPr>
        <w:ind w:firstLine="480"/>
        <w:rPr>
          <w:rFonts w:ascii="Times New Roman" w:hAnsi="Times New Roman"/>
          <w:highlight w:val="none"/>
        </w:rPr>
      </w:pPr>
      <w:r>
        <w:rPr>
          <w:rFonts w:ascii="Times New Roman" w:hAnsi="Times New Roman"/>
          <w:highlight w:val="none"/>
        </w:rPr>
        <w:t>R—核算时段内锅炉燃料耗量，t，取</w:t>
      </w:r>
      <w:r>
        <w:rPr>
          <w:rFonts w:hint="eastAsia" w:ascii="Times New Roman" w:hAnsi="Times New Roman"/>
          <w:highlight w:val="none"/>
          <w:lang w:val="en-US" w:eastAsia="zh-CN"/>
        </w:rPr>
        <w:t>28.425（116MW锅炉最大小时燃煤量）、8.688（58MW锅炉最大小时燃煤量）、3.6602（35t/h锅炉最大小时燃煤量）</w:t>
      </w:r>
      <w:r>
        <w:rPr>
          <w:rFonts w:ascii="Times New Roman" w:hAnsi="Times New Roman"/>
          <w:highlight w:val="none"/>
        </w:rPr>
        <w:t>；</w:t>
      </w:r>
    </w:p>
    <w:p w14:paraId="3B2EDF88">
      <w:pPr>
        <w:ind w:firstLine="480"/>
        <w:rPr>
          <w:rFonts w:ascii="Times New Roman" w:hAnsi="Times New Roman"/>
          <w:highlight w:val="none"/>
        </w:rPr>
      </w:pPr>
      <w:r>
        <w:rPr>
          <w:rFonts w:ascii="Times New Roman" w:hAnsi="Times New Roman"/>
          <w:highlight w:val="none"/>
        </w:rPr>
        <w:t>A</w:t>
      </w:r>
      <w:r>
        <w:rPr>
          <w:rFonts w:ascii="Times New Roman" w:hAnsi="Times New Roman"/>
          <w:highlight w:val="none"/>
          <w:vertAlign w:val="subscript"/>
        </w:rPr>
        <w:t>ar</w:t>
      </w:r>
      <w:r>
        <w:rPr>
          <w:rFonts w:ascii="Times New Roman" w:hAnsi="Times New Roman"/>
          <w:highlight w:val="none"/>
        </w:rPr>
        <w:t>—收到基灰分的质量分数，%，取</w:t>
      </w:r>
      <w:r>
        <w:rPr>
          <w:rFonts w:hint="eastAsia" w:ascii="Times New Roman" w:hAnsi="Times New Roman"/>
          <w:highlight w:val="none"/>
          <w:lang w:val="en-US" w:eastAsia="zh-CN"/>
        </w:rPr>
        <w:t>33.71</w:t>
      </w:r>
      <w:r>
        <w:rPr>
          <w:rFonts w:ascii="Times New Roman" w:hAnsi="Times New Roman"/>
          <w:highlight w:val="none"/>
        </w:rPr>
        <w:t>；</w:t>
      </w:r>
    </w:p>
    <w:p w14:paraId="1906C6A3">
      <w:pPr>
        <w:ind w:firstLine="480"/>
        <w:rPr>
          <w:rFonts w:ascii="Times New Roman" w:hAnsi="Times New Roman"/>
          <w:highlight w:val="none"/>
        </w:rPr>
      </w:pPr>
      <w:r>
        <w:rPr>
          <w:rFonts w:ascii="Times New Roman" w:hAnsi="Times New Roman"/>
          <w:highlight w:val="none"/>
        </w:rPr>
        <w:t>d</w:t>
      </w:r>
      <w:r>
        <w:rPr>
          <w:rFonts w:ascii="Times New Roman" w:hAnsi="Times New Roman"/>
          <w:highlight w:val="none"/>
          <w:vertAlign w:val="subscript"/>
        </w:rPr>
        <w:t>fh</w:t>
      </w:r>
      <w:r>
        <w:rPr>
          <w:rFonts w:ascii="Times New Roman" w:hAnsi="Times New Roman"/>
          <w:highlight w:val="none"/>
        </w:rPr>
        <w:t>—锅炉烟气带出的飞灰份额，%，取</w:t>
      </w:r>
      <w:r>
        <w:rPr>
          <w:rFonts w:hint="eastAsia" w:ascii="Times New Roman" w:hAnsi="Times New Roman"/>
          <w:highlight w:val="none"/>
          <w:lang w:val="en-US" w:eastAsia="zh-CN"/>
        </w:rPr>
        <w:t>20</w:t>
      </w:r>
      <w:r>
        <w:rPr>
          <w:rFonts w:ascii="Times New Roman" w:hAnsi="Times New Roman"/>
          <w:highlight w:val="none"/>
        </w:rPr>
        <w:t>；</w:t>
      </w:r>
    </w:p>
    <w:p w14:paraId="166DE2F1">
      <w:pPr>
        <w:ind w:firstLine="480"/>
        <w:rPr>
          <w:rFonts w:ascii="Times New Roman" w:hAnsi="Times New Roman"/>
          <w:highlight w:val="none"/>
        </w:rPr>
      </w:pPr>
      <w:r>
        <w:rPr>
          <w:rFonts w:ascii="Times New Roman" w:hAnsi="Times New Roman"/>
          <w:highlight w:val="none"/>
        </w:rPr>
        <w:t>ɳ</w:t>
      </w:r>
      <w:r>
        <w:rPr>
          <w:rFonts w:ascii="Times New Roman" w:hAnsi="Times New Roman"/>
          <w:highlight w:val="none"/>
          <w:vertAlign w:val="subscript"/>
        </w:rPr>
        <w:t>c</w:t>
      </w:r>
      <w:r>
        <w:rPr>
          <w:rFonts w:ascii="Times New Roman" w:hAnsi="Times New Roman"/>
          <w:highlight w:val="none"/>
        </w:rPr>
        <w:t>—除尘效率，%，取99.96；</w:t>
      </w:r>
    </w:p>
    <w:p w14:paraId="7EA38991">
      <w:pPr>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fh</w:t>
      </w:r>
      <w:r>
        <w:rPr>
          <w:rFonts w:ascii="Times New Roman" w:hAnsi="Times New Roman"/>
          <w:highlight w:val="none"/>
        </w:rPr>
        <w:t>—飞灰中的可燃物含量，%，取1</w:t>
      </w:r>
      <w:r>
        <w:rPr>
          <w:rFonts w:hint="eastAsia" w:ascii="Times New Roman" w:hAnsi="Times New Roman"/>
          <w:highlight w:val="none"/>
        </w:rPr>
        <w:t>0</w:t>
      </w:r>
      <w:r>
        <w:rPr>
          <w:rFonts w:ascii="Times New Roman" w:hAnsi="Times New Roman"/>
          <w:highlight w:val="none"/>
        </w:rPr>
        <w:t>。</w:t>
      </w:r>
    </w:p>
    <w:p w14:paraId="44420AAE">
      <w:pPr>
        <w:ind w:firstLine="480"/>
        <w:rPr>
          <w:rFonts w:hint="eastAsia" w:ascii="Times New Roman" w:hAnsi="Times New Roman" w:eastAsia="宋体"/>
          <w:highlight w:val="none"/>
          <w:lang w:val="en-US" w:eastAsia="zh-CN"/>
        </w:rPr>
      </w:pPr>
      <w:r>
        <w:rPr>
          <w:rFonts w:ascii="Times New Roman" w:hAnsi="Times New Roman"/>
          <w:highlight w:val="none"/>
        </w:rPr>
        <w:t>计算得出</w:t>
      </w:r>
      <w:r>
        <w:rPr>
          <w:rFonts w:hint="eastAsia" w:ascii="Times New Roman" w:hAnsi="Times New Roman"/>
          <w:highlight w:val="none"/>
          <w:lang w:val="en-US" w:eastAsia="zh-CN"/>
        </w:rPr>
        <w:t>116MW</w:t>
      </w:r>
      <w:r>
        <w:rPr>
          <w:rFonts w:ascii="Times New Roman" w:hAnsi="Times New Roman"/>
          <w:highlight w:val="none"/>
        </w:rPr>
        <w:t>烟尘排放量为</w:t>
      </w:r>
      <w:r>
        <w:rPr>
          <w:rFonts w:hint="eastAsia" w:ascii="Times New Roman" w:hAnsi="Times New Roman"/>
          <w:highlight w:val="none"/>
          <w:lang w:val="en-US" w:eastAsia="zh-CN"/>
        </w:rPr>
        <w:t>0.00085</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3.23</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lang w:eastAsia="zh-CN"/>
        </w:rPr>
        <w:t>，</w:t>
      </w:r>
      <w:r>
        <w:rPr>
          <w:rFonts w:ascii="Times New Roman" w:hAnsi="Times New Roman"/>
          <w:highlight w:val="none"/>
        </w:rPr>
        <w:t>烟尘产生量为</w:t>
      </w:r>
      <w:r>
        <w:rPr>
          <w:rFonts w:hint="eastAsia" w:ascii="Times New Roman" w:hAnsi="Times New Roman"/>
          <w:highlight w:val="none"/>
          <w:lang w:val="en-US" w:eastAsia="zh-CN"/>
        </w:rPr>
        <w:t>2.13</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8048.04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lang w:eastAsia="zh-CN"/>
        </w:rPr>
        <w:t>；</w:t>
      </w:r>
      <w:r>
        <w:rPr>
          <w:rFonts w:hint="eastAsia" w:ascii="Times New Roman" w:hAnsi="Times New Roman"/>
          <w:highlight w:val="none"/>
          <w:lang w:val="en-US" w:eastAsia="zh-CN"/>
        </w:rPr>
        <w:t>58MW</w:t>
      </w:r>
      <w:r>
        <w:rPr>
          <w:rFonts w:ascii="Times New Roman" w:hAnsi="Times New Roman"/>
          <w:highlight w:val="none"/>
        </w:rPr>
        <w:t>烟尘排放量为</w:t>
      </w:r>
      <w:r>
        <w:rPr>
          <w:rFonts w:hint="eastAsia" w:ascii="Times New Roman" w:hAnsi="Times New Roman"/>
          <w:highlight w:val="none"/>
          <w:lang w:val="en-US" w:eastAsia="zh-CN"/>
        </w:rPr>
        <w:t>0.00026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3.23</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lang w:eastAsia="zh-CN"/>
        </w:rPr>
        <w:t>，</w:t>
      </w:r>
      <w:r>
        <w:rPr>
          <w:rFonts w:ascii="Times New Roman" w:hAnsi="Times New Roman"/>
          <w:highlight w:val="none"/>
        </w:rPr>
        <w:t>烟尘产生量为</w:t>
      </w:r>
      <w:r>
        <w:rPr>
          <w:rFonts w:hint="eastAsia" w:ascii="Times New Roman" w:hAnsi="Times New Roman"/>
          <w:highlight w:val="none"/>
          <w:lang w:val="en-US" w:eastAsia="zh-CN"/>
        </w:rPr>
        <w:t>0.65</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8048.04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35t/h</w:t>
      </w:r>
      <w:r>
        <w:rPr>
          <w:rFonts w:ascii="Times New Roman" w:hAnsi="Times New Roman"/>
          <w:highlight w:val="none"/>
        </w:rPr>
        <w:t>烟尘排放量为</w:t>
      </w:r>
      <w:r>
        <w:rPr>
          <w:rFonts w:hint="eastAsia" w:ascii="Times New Roman" w:hAnsi="Times New Roman"/>
          <w:highlight w:val="none"/>
          <w:lang w:val="en-US" w:eastAsia="zh-CN"/>
        </w:rPr>
        <w:t>0.0001</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w:t>
      </w:r>
      <w:r>
        <w:rPr>
          <w:rFonts w:hint="eastAsia" w:ascii="Times New Roman" w:hAnsi="Times New Roman"/>
          <w:highlight w:val="none"/>
          <w:lang w:val="en-US" w:eastAsia="zh-CN"/>
        </w:rPr>
        <w:t>3.23</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lang w:eastAsia="zh-CN"/>
        </w:rPr>
        <w:t>，</w:t>
      </w:r>
      <w:r>
        <w:rPr>
          <w:rFonts w:ascii="Times New Roman" w:hAnsi="Times New Roman"/>
          <w:highlight w:val="none"/>
        </w:rPr>
        <w:t>烟尘产生量为</w:t>
      </w:r>
      <w:r>
        <w:rPr>
          <w:rFonts w:hint="eastAsia" w:ascii="Times New Roman" w:hAnsi="Times New Roman"/>
          <w:highlight w:val="none"/>
          <w:lang w:val="en-US" w:eastAsia="zh-CN"/>
        </w:rPr>
        <w:t>0.27</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8048.04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val="en-US" w:eastAsia="zh-CN"/>
        </w:rPr>
        <w:t>。</w:t>
      </w:r>
    </w:p>
    <w:p w14:paraId="3D86BEA8">
      <w:pPr>
        <w:ind w:firstLine="480"/>
        <w:rPr>
          <w:rFonts w:ascii="Times New Roman" w:hAnsi="Times New Roman"/>
          <w:highlight w:val="none"/>
        </w:rPr>
      </w:pPr>
      <w:r>
        <w:rPr>
          <w:rFonts w:ascii="Times New Roman" w:hAnsi="Times New Roman"/>
          <w:highlight w:val="none"/>
        </w:rPr>
        <w:t>（5）汞及其化合物排放量计算：</w:t>
      </w:r>
    </w:p>
    <w:p w14:paraId="31E188FE">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3019425" cy="533400"/>
            <wp:effectExtent l="0" t="0" r="9525" b="0"/>
            <wp:docPr id="10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8"/>
                    <pic:cNvPicPr>
                      <a:picLocks noChangeAspect="1"/>
                    </pic:cNvPicPr>
                  </pic:nvPicPr>
                  <pic:blipFill>
                    <a:blip r:embed="rId27"/>
                    <a:stretch>
                      <a:fillRect/>
                    </a:stretch>
                  </pic:blipFill>
                  <pic:spPr>
                    <a:xfrm>
                      <a:off x="0" y="0"/>
                      <a:ext cx="3019425" cy="533400"/>
                    </a:xfrm>
                    <a:prstGeom prst="rect">
                      <a:avLst/>
                    </a:prstGeom>
                    <a:noFill/>
                    <a:ln>
                      <a:noFill/>
                    </a:ln>
                  </pic:spPr>
                </pic:pic>
              </a:graphicData>
            </a:graphic>
          </wp:inline>
        </w:drawing>
      </w:r>
    </w:p>
    <w:p w14:paraId="59BDB7A4">
      <w:pPr>
        <w:ind w:firstLine="480"/>
        <w:rPr>
          <w:rFonts w:ascii="Times New Roman" w:hAnsi="Times New Roman"/>
          <w:highlight w:val="none"/>
        </w:rPr>
      </w:pPr>
      <w:r>
        <w:rPr>
          <w:rFonts w:ascii="Times New Roman" w:hAnsi="Times New Roman"/>
          <w:highlight w:val="none"/>
        </w:rPr>
        <w:t>式中：</w:t>
      </w:r>
    </w:p>
    <w:p w14:paraId="301F4F57">
      <w:pPr>
        <w:ind w:firstLine="480"/>
        <w:rPr>
          <w:rFonts w:ascii="Times New Roman" w:hAnsi="Times New Roman"/>
          <w:highlight w:val="none"/>
        </w:rPr>
      </w:pPr>
      <w:r>
        <w:rPr>
          <w:rFonts w:ascii="Times New Roman" w:hAnsi="Times New Roman"/>
          <w:highlight w:val="none"/>
        </w:rPr>
        <w:t>M</w:t>
      </w:r>
      <w:r>
        <w:rPr>
          <w:rFonts w:ascii="Times New Roman" w:hAnsi="Times New Roman"/>
          <w:highlight w:val="none"/>
          <w:vertAlign w:val="subscript"/>
        </w:rPr>
        <w:t>Hg</w:t>
      </w:r>
      <w:r>
        <w:rPr>
          <w:rFonts w:ascii="Times New Roman" w:hAnsi="Times New Roman"/>
          <w:highlight w:val="none"/>
        </w:rPr>
        <w:t>—核算时段内汞及其化合物排放量（以汞计），t；</w:t>
      </w:r>
    </w:p>
    <w:p w14:paraId="1C2A3114">
      <w:pPr>
        <w:ind w:firstLine="480"/>
        <w:rPr>
          <w:rFonts w:ascii="Times New Roman" w:hAnsi="Times New Roman"/>
          <w:highlight w:val="none"/>
        </w:rPr>
      </w:pPr>
      <w:r>
        <w:rPr>
          <w:rFonts w:ascii="Times New Roman" w:hAnsi="Times New Roman"/>
          <w:highlight w:val="none"/>
        </w:rPr>
        <w:t>B</w:t>
      </w:r>
      <w:r>
        <w:rPr>
          <w:rFonts w:ascii="Times New Roman" w:hAnsi="Times New Roman"/>
          <w:highlight w:val="none"/>
          <w:vertAlign w:val="subscript"/>
        </w:rPr>
        <w:t>g</w:t>
      </w:r>
      <w:r>
        <w:rPr>
          <w:rFonts w:ascii="Times New Roman" w:hAnsi="Times New Roman"/>
          <w:highlight w:val="none"/>
        </w:rPr>
        <w:t>—核算时段内锅炉燃料耗量，t；取</w:t>
      </w:r>
      <w:r>
        <w:rPr>
          <w:rFonts w:hint="eastAsia" w:ascii="Times New Roman" w:hAnsi="Times New Roman"/>
          <w:highlight w:val="none"/>
          <w:lang w:val="en-US" w:eastAsia="zh-CN"/>
        </w:rPr>
        <w:t>28.425（116MW锅炉最大小时燃煤量）、8.688（58MW锅炉最大小时燃煤量）、3.6602（35t/h锅炉最大小时燃煤量）</w:t>
      </w:r>
    </w:p>
    <w:p w14:paraId="5260BBB3">
      <w:pPr>
        <w:ind w:firstLine="480"/>
        <w:rPr>
          <w:rFonts w:ascii="Times New Roman" w:hAnsi="Times New Roman"/>
          <w:highlight w:val="none"/>
        </w:rPr>
      </w:pPr>
      <w:r>
        <w:rPr>
          <w:rFonts w:ascii="Times New Roman" w:hAnsi="Times New Roman"/>
          <w:highlight w:val="none"/>
        </w:rPr>
        <w:t>m</w:t>
      </w:r>
      <w:r>
        <w:rPr>
          <w:rFonts w:ascii="Times New Roman" w:hAnsi="Times New Roman"/>
          <w:highlight w:val="none"/>
          <w:vertAlign w:val="subscript"/>
        </w:rPr>
        <w:t>Hgar</w:t>
      </w:r>
      <w:r>
        <w:rPr>
          <w:rFonts w:ascii="Times New Roman" w:hAnsi="Times New Roman"/>
          <w:highlight w:val="none"/>
        </w:rPr>
        <w:t>—收到基汞的含量，μg/g，取</w:t>
      </w:r>
      <w:r>
        <w:rPr>
          <w:rFonts w:hint="eastAsia" w:ascii="Times New Roman" w:hAnsi="Times New Roman"/>
          <w:highlight w:val="none"/>
          <w:lang w:val="en-US" w:eastAsia="zh-CN"/>
        </w:rPr>
        <w:t>0.228</w:t>
      </w:r>
      <w:r>
        <w:rPr>
          <w:rFonts w:ascii="Times New Roman" w:hAnsi="Times New Roman"/>
          <w:highlight w:val="none"/>
        </w:rPr>
        <w:t>；</w:t>
      </w:r>
    </w:p>
    <w:p w14:paraId="741E9363">
      <w:pPr>
        <w:ind w:firstLine="480"/>
        <w:rPr>
          <w:rFonts w:ascii="Times New Roman" w:hAnsi="Times New Roman"/>
          <w:highlight w:val="none"/>
        </w:rPr>
      </w:pPr>
      <w:r>
        <w:rPr>
          <w:rFonts w:ascii="Times New Roman" w:hAnsi="Times New Roman"/>
          <w:highlight w:val="none"/>
        </w:rPr>
        <w:t>η</w:t>
      </w:r>
      <w:r>
        <w:rPr>
          <w:rFonts w:ascii="Times New Roman" w:hAnsi="Times New Roman"/>
          <w:highlight w:val="none"/>
          <w:vertAlign w:val="subscript"/>
        </w:rPr>
        <w:t>Hg</w:t>
      </w:r>
      <w:r>
        <w:rPr>
          <w:rFonts w:ascii="Times New Roman" w:hAnsi="Times New Roman"/>
          <w:highlight w:val="none"/>
        </w:rPr>
        <w:t>—汞的协同脱除效率，%。70</w:t>
      </w:r>
    </w:p>
    <w:p w14:paraId="07CFB9CD">
      <w:pPr>
        <w:ind w:firstLine="480"/>
        <w:rPr>
          <w:rFonts w:hint="eastAsia" w:ascii="Times New Roman" w:hAnsi="Times New Roman" w:eastAsia="宋体"/>
          <w:highlight w:val="none"/>
          <w:lang w:val="en-US" w:eastAsia="zh-CN"/>
        </w:rPr>
      </w:pPr>
      <w:r>
        <w:rPr>
          <w:rFonts w:ascii="Times New Roman" w:hAnsi="Times New Roman"/>
          <w:highlight w:val="none"/>
        </w:rPr>
        <w:t>计算得出</w:t>
      </w:r>
      <w:r>
        <w:rPr>
          <w:rFonts w:hint="eastAsia" w:ascii="Times New Roman" w:hAnsi="Times New Roman"/>
          <w:highlight w:val="none"/>
          <w:lang w:val="en-US" w:eastAsia="zh-CN"/>
        </w:rPr>
        <w:t>35t/h锅炉</w:t>
      </w:r>
      <w:r>
        <w:rPr>
          <w:rFonts w:ascii="Times New Roman" w:hAnsi="Times New Roman"/>
          <w:highlight w:val="none"/>
        </w:rPr>
        <w:t>汞的排放量为</w:t>
      </w:r>
      <w:r>
        <w:rPr>
          <w:rFonts w:hint="eastAsia" w:ascii="Times New Roman" w:hAnsi="Times New Roman"/>
          <w:highlight w:val="none"/>
          <w:lang w:val="en-US" w:eastAsia="zh-CN"/>
        </w:rPr>
        <w:t>2.5×10</w:t>
      </w:r>
      <w:r>
        <w:rPr>
          <w:rFonts w:hint="eastAsia" w:ascii="Times New Roman" w:hAnsi="Times New Roman"/>
          <w:highlight w:val="none"/>
          <w:vertAlign w:val="superscript"/>
          <w:lang w:val="en-US" w:eastAsia="zh-CN"/>
        </w:rPr>
        <w:t>-7</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，排放浓度为0.00</w:t>
      </w:r>
      <w:r>
        <w:rPr>
          <w:rFonts w:hint="eastAsia" w:ascii="Times New Roman" w:hAnsi="Times New Roman"/>
          <w:highlight w:val="none"/>
          <w:lang w:val="en-US" w:eastAsia="zh-CN"/>
        </w:rPr>
        <w:t>73</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，汞的产生量为</w:t>
      </w:r>
      <w:r>
        <w:rPr>
          <w:rFonts w:hint="eastAsia" w:ascii="Times New Roman" w:hAnsi="Times New Roman"/>
          <w:highlight w:val="none"/>
          <w:lang w:val="en-US" w:eastAsia="zh-CN"/>
        </w:rPr>
        <w:t>8.3×10</w:t>
      </w:r>
      <w:r>
        <w:rPr>
          <w:rFonts w:hint="eastAsia" w:ascii="Times New Roman" w:hAnsi="Times New Roman"/>
          <w:highlight w:val="none"/>
          <w:vertAlign w:val="superscript"/>
          <w:lang w:val="en-US" w:eastAsia="zh-CN"/>
        </w:rPr>
        <w:t>-7</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0.024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116MW锅炉</w:t>
      </w:r>
      <w:r>
        <w:rPr>
          <w:rFonts w:ascii="Times New Roman" w:hAnsi="Times New Roman"/>
          <w:highlight w:val="none"/>
        </w:rPr>
        <w:t>汞的排放量为</w:t>
      </w:r>
      <w:r>
        <w:rPr>
          <w:rFonts w:hint="eastAsia" w:ascii="Times New Roman" w:hAnsi="Times New Roman"/>
          <w:highlight w:val="none"/>
          <w:lang w:val="en-US" w:eastAsia="zh-CN"/>
        </w:rPr>
        <w:t>1.94×10</w:t>
      </w:r>
      <w:r>
        <w:rPr>
          <w:rFonts w:hint="eastAsia" w:ascii="Times New Roman" w:hAnsi="Times New Roman"/>
          <w:highlight w:val="none"/>
          <w:vertAlign w:val="superscript"/>
          <w:lang w:val="en-US" w:eastAsia="zh-CN"/>
        </w:rPr>
        <w:t>-6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，排放浓度为0.00</w:t>
      </w:r>
      <w:r>
        <w:rPr>
          <w:rFonts w:hint="eastAsia" w:ascii="Times New Roman" w:hAnsi="Times New Roman"/>
          <w:highlight w:val="none"/>
          <w:lang w:val="en-US" w:eastAsia="zh-CN"/>
        </w:rPr>
        <w:t>73</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，汞的产生量为</w:t>
      </w:r>
      <w:r>
        <w:rPr>
          <w:rFonts w:hint="eastAsia" w:ascii="Times New Roman" w:hAnsi="Times New Roman"/>
          <w:highlight w:val="none"/>
          <w:lang w:val="en-US" w:eastAsia="zh-CN"/>
        </w:rPr>
        <w:t>6.47×10</w:t>
      </w:r>
      <w:r>
        <w:rPr>
          <w:rFonts w:hint="eastAsia" w:ascii="Times New Roman" w:hAnsi="Times New Roman"/>
          <w:highlight w:val="none"/>
          <w:vertAlign w:val="superscript"/>
          <w:lang w:val="en-US" w:eastAsia="zh-CN"/>
        </w:rPr>
        <w:t>-6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0.024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r>
        <w:rPr>
          <w:rFonts w:hint="eastAsia" w:ascii="Times New Roman" w:hAnsi="Times New Roman"/>
          <w:highlight w:val="none"/>
          <w:lang w:val="en-US" w:eastAsia="zh-CN"/>
        </w:rPr>
        <w:t>58MW锅炉</w:t>
      </w:r>
      <w:r>
        <w:rPr>
          <w:rFonts w:ascii="Times New Roman" w:hAnsi="Times New Roman"/>
          <w:highlight w:val="none"/>
        </w:rPr>
        <w:t>汞的排放量为</w:t>
      </w:r>
      <w:r>
        <w:rPr>
          <w:rFonts w:hint="eastAsia" w:ascii="Times New Roman" w:hAnsi="Times New Roman"/>
          <w:highlight w:val="none"/>
          <w:lang w:val="en-US" w:eastAsia="zh-CN"/>
        </w:rPr>
        <w:t>5.94×10</w:t>
      </w:r>
      <w:r>
        <w:rPr>
          <w:rFonts w:hint="eastAsia" w:ascii="Times New Roman" w:hAnsi="Times New Roman"/>
          <w:highlight w:val="none"/>
          <w:vertAlign w:val="superscript"/>
          <w:lang w:val="en-US" w:eastAsia="zh-CN"/>
        </w:rPr>
        <w:t>-7</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，排放浓度为0.00</w:t>
      </w:r>
      <w:r>
        <w:rPr>
          <w:rFonts w:hint="eastAsia" w:ascii="Times New Roman" w:hAnsi="Times New Roman"/>
          <w:highlight w:val="none"/>
          <w:lang w:val="en-US" w:eastAsia="zh-CN"/>
        </w:rPr>
        <w:t>73</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，汞的产生量为</w:t>
      </w:r>
      <w:r>
        <w:rPr>
          <w:rFonts w:hint="eastAsia" w:ascii="Times New Roman" w:hAnsi="Times New Roman"/>
          <w:highlight w:val="none"/>
          <w:lang w:val="en-US" w:eastAsia="zh-CN"/>
        </w:rPr>
        <w:t>1.98×10</w:t>
      </w:r>
      <w:r>
        <w:rPr>
          <w:rFonts w:hint="eastAsia" w:ascii="Times New Roman" w:hAnsi="Times New Roman"/>
          <w:highlight w:val="none"/>
          <w:vertAlign w:val="superscript"/>
          <w:lang w:val="en-US" w:eastAsia="zh-CN"/>
        </w:rPr>
        <w:t>-6</w:t>
      </w:r>
      <w:r>
        <w:rPr>
          <w:rFonts w:ascii="Times New Roman" w:hAnsi="Times New Roman"/>
          <w:highlight w:val="none"/>
        </w:rPr>
        <w:t>t/</w:t>
      </w:r>
      <w:r>
        <w:rPr>
          <w:rFonts w:hint="eastAsia" w:ascii="Times New Roman" w:hAnsi="Times New Roman"/>
          <w:highlight w:val="none"/>
          <w:lang w:val="en-US" w:eastAsia="zh-CN"/>
        </w:rPr>
        <w:t>h</w:t>
      </w:r>
      <w:r>
        <w:rPr>
          <w:rFonts w:ascii="Times New Roman" w:hAnsi="Times New Roman"/>
          <w:highlight w:val="none"/>
        </w:rPr>
        <w:t>，产生浓度为</w:t>
      </w:r>
      <w:r>
        <w:rPr>
          <w:rFonts w:hint="eastAsia" w:ascii="Times New Roman" w:hAnsi="Times New Roman"/>
          <w:highlight w:val="none"/>
          <w:lang w:val="en-US" w:eastAsia="zh-CN"/>
        </w:rPr>
        <w:t>0.024</w:t>
      </w:r>
      <w:r>
        <w:rPr>
          <w:rFonts w:ascii="Times New Roman" w:hAnsi="Times New Roman"/>
          <w:highlight w:val="none"/>
        </w:rPr>
        <w:t>mg/m</w:t>
      </w:r>
      <w:r>
        <w:rPr>
          <w:rFonts w:ascii="Times New Roman" w:hAnsi="Times New Roman"/>
          <w:highlight w:val="none"/>
          <w:vertAlign w:val="superscript"/>
        </w:rPr>
        <w:t>3</w:t>
      </w:r>
      <w:r>
        <w:rPr>
          <w:rFonts w:hint="eastAsia" w:ascii="Times New Roman" w:hAnsi="Times New Roman"/>
          <w:highlight w:val="none"/>
          <w:vertAlign w:val="baseline"/>
          <w:lang w:eastAsia="zh-CN"/>
        </w:rPr>
        <w:t>。</w:t>
      </w:r>
    </w:p>
    <w:p w14:paraId="798EC047">
      <w:pPr>
        <w:pStyle w:val="7"/>
        <w:ind w:firstLine="480"/>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6</w:t>
      </w:r>
      <w:r>
        <w:rPr>
          <w:rFonts w:ascii="Times New Roman" w:hAnsi="Times New Roman"/>
          <w:highlight w:val="none"/>
        </w:rPr>
        <w:t>）氨逃逸</w:t>
      </w:r>
    </w:p>
    <w:p w14:paraId="19FBD747">
      <w:pPr>
        <w:pStyle w:val="7"/>
        <w:ind w:firstLine="480"/>
        <w:rPr>
          <w:rFonts w:ascii="Times New Roman" w:hAnsi="Times New Roman"/>
          <w:highlight w:val="none"/>
        </w:rPr>
      </w:pPr>
      <w:r>
        <w:rPr>
          <w:rFonts w:ascii="Times New Roman" w:hAnsi="Times New Roman"/>
          <w:highlight w:val="none"/>
        </w:rPr>
        <w:t>参照《火电厂烟气脱硝工程技术规范选择性催化还原法》要求脱硝系统氨逃逸质量浓度应控制在2.5mg/m</w:t>
      </w:r>
      <w:r>
        <w:rPr>
          <w:rFonts w:ascii="Times New Roman" w:hAnsi="Times New Roman"/>
          <w:highlight w:val="none"/>
          <w:vertAlign w:val="superscript"/>
        </w:rPr>
        <w:t>3</w:t>
      </w:r>
      <w:r>
        <w:rPr>
          <w:rFonts w:ascii="Times New Roman" w:hAnsi="Times New Roman"/>
          <w:highlight w:val="none"/>
        </w:rPr>
        <w:t>以下，产生强度小于</w:t>
      </w:r>
      <w:r>
        <w:rPr>
          <w:rFonts w:hint="eastAsia" w:ascii="Times New Roman" w:hAnsi="Times New Roman"/>
          <w:highlight w:val="none"/>
          <w:lang w:val="en-US" w:eastAsia="zh-CN"/>
        </w:rPr>
        <w:t>0.66</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116MW锅炉</w:t>
      </w:r>
      <w:r>
        <w:rPr>
          <w:rFonts w:hint="eastAsia" w:ascii="Times New Roman" w:hAnsi="Times New Roman"/>
          <w:highlight w:val="none"/>
          <w:lang w:eastAsia="zh-CN"/>
        </w:rPr>
        <w:t>）、</w:t>
      </w:r>
      <w:r>
        <w:rPr>
          <w:rFonts w:hint="eastAsia" w:ascii="Times New Roman" w:hAnsi="Times New Roman"/>
          <w:highlight w:val="none"/>
          <w:lang w:val="en-US" w:eastAsia="zh-CN"/>
        </w:rPr>
        <w:t>0.202</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58MW锅炉</w:t>
      </w:r>
      <w:r>
        <w:rPr>
          <w:rFonts w:hint="eastAsia" w:ascii="Times New Roman" w:hAnsi="Times New Roman"/>
          <w:highlight w:val="none"/>
          <w:lang w:eastAsia="zh-CN"/>
        </w:rPr>
        <w:t>）、</w:t>
      </w:r>
      <w:r>
        <w:rPr>
          <w:rFonts w:hint="eastAsia" w:ascii="Times New Roman" w:hAnsi="Times New Roman"/>
          <w:highlight w:val="none"/>
          <w:lang w:val="en-US" w:eastAsia="zh-CN"/>
        </w:rPr>
        <w:t>0.085</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35t/h锅炉</w:t>
      </w:r>
      <w:r>
        <w:rPr>
          <w:rFonts w:hint="eastAsia" w:ascii="Times New Roman" w:hAnsi="Times New Roman"/>
          <w:highlight w:val="none"/>
          <w:lang w:eastAsia="zh-CN"/>
        </w:rPr>
        <w:t>）</w:t>
      </w:r>
      <w:r>
        <w:rPr>
          <w:rFonts w:ascii="Times New Roman" w:hAnsi="Times New Roman"/>
          <w:highlight w:val="none"/>
        </w:rPr>
        <w:t>。</w:t>
      </w:r>
    </w:p>
    <w:p w14:paraId="019CF463">
      <w:pPr>
        <w:pStyle w:val="7"/>
        <w:ind w:firstLine="480"/>
        <w:rPr>
          <w:rFonts w:ascii="Times New Roman" w:hAnsi="Times New Roman"/>
          <w:highlight w:val="none"/>
        </w:rPr>
      </w:pPr>
      <w:r>
        <w:rPr>
          <w:rFonts w:ascii="Times New Roman" w:hAnsi="Times New Roman"/>
          <w:highlight w:val="none"/>
        </w:rPr>
        <w:t>（</w:t>
      </w:r>
      <w:r>
        <w:rPr>
          <w:rFonts w:hint="eastAsia" w:ascii="Times New Roman" w:hAnsi="Times New Roman"/>
          <w:highlight w:val="none"/>
        </w:rPr>
        <w:t>7</w:t>
      </w:r>
      <w:r>
        <w:rPr>
          <w:rFonts w:ascii="Times New Roman" w:hAnsi="Times New Roman"/>
          <w:highlight w:val="none"/>
        </w:rPr>
        <w:t>）食堂油烟</w:t>
      </w:r>
    </w:p>
    <w:p w14:paraId="1C7761DB">
      <w:pPr>
        <w:pStyle w:val="7"/>
        <w:ind w:firstLine="480"/>
        <w:rPr>
          <w:rFonts w:ascii="Times New Roman" w:hAnsi="Times New Roman"/>
          <w:highlight w:val="none"/>
        </w:rPr>
      </w:pPr>
      <w:r>
        <w:rPr>
          <w:rFonts w:ascii="Times New Roman" w:hAnsi="Times New Roman"/>
          <w:highlight w:val="none"/>
        </w:rPr>
        <w:t>本项目</w:t>
      </w:r>
      <w:r>
        <w:rPr>
          <w:rFonts w:hint="eastAsia" w:ascii="Times New Roman" w:hAnsi="Times New Roman"/>
          <w:highlight w:val="none"/>
        </w:rPr>
        <w:t>依托并改造</w:t>
      </w:r>
      <w:r>
        <w:rPr>
          <w:rFonts w:ascii="Times New Roman" w:hAnsi="Times New Roman"/>
          <w:highlight w:val="none"/>
        </w:rPr>
        <w:t>现有食堂</w:t>
      </w:r>
      <w:r>
        <w:rPr>
          <w:rFonts w:hint="eastAsia" w:ascii="Times New Roman" w:hAnsi="Times New Roman"/>
          <w:highlight w:val="none"/>
        </w:rPr>
        <w:t>，</w:t>
      </w:r>
      <w:r>
        <w:rPr>
          <w:rFonts w:ascii="Times New Roman" w:hAnsi="Times New Roman"/>
          <w:highlight w:val="none"/>
        </w:rPr>
        <w:t>基础灶头数为3个灶头，为职工提供餐饮（以</w:t>
      </w:r>
      <w:r>
        <w:rPr>
          <w:rFonts w:hint="eastAsia" w:ascii="Times New Roman" w:hAnsi="Times New Roman"/>
          <w:highlight w:val="none"/>
        </w:rPr>
        <w:t>全场</w:t>
      </w:r>
      <w:r>
        <w:rPr>
          <w:rFonts w:hint="eastAsia" w:ascii="Times New Roman" w:hAnsi="Times New Roman"/>
          <w:highlight w:val="none"/>
          <w:lang w:val="en-US" w:eastAsia="zh-CN"/>
        </w:rPr>
        <w:t>175</w:t>
      </w:r>
      <w:r>
        <w:rPr>
          <w:rFonts w:ascii="Times New Roman" w:hAnsi="Times New Roman"/>
          <w:highlight w:val="none"/>
        </w:rPr>
        <w:t>人计）。在食物烹任、加工过程中挥发的油脂、有机质及热分解或裂解，从而产生油烟废气。根据《排放源统计调查产排污核算方法和系数手册》可知，本项目为</w:t>
      </w:r>
      <w:r>
        <w:rPr>
          <w:rFonts w:hint="eastAsia" w:ascii="Times New Roman" w:hAnsi="Times New Roman"/>
          <w:highlight w:val="none"/>
          <w:lang w:val="en-US" w:eastAsia="zh-CN"/>
        </w:rPr>
        <w:t>二</w:t>
      </w:r>
      <w:r>
        <w:rPr>
          <w:rFonts w:ascii="Times New Roman" w:hAnsi="Times New Roman"/>
          <w:highlight w:val="none"/>
        </w:rPr>
        <w:t>类区，食堂油烟系数为301g/（人•年），灶头运行时间按</w:t>
      </w:r>
      <w:r>
        <w:rPr>
          <w:rFonts w:hint="eastAsia" w:ascii="Times New Roman" w:hAnsi="Times New Roman"/>
          <w:highlight w:val="none"/>
        </w:rPr>
        <w:t>3</w:t>
      </w:r>
      <w:r>
        <w:rPr>
          <w:rFonts w:ascii="Times New Roman" w:hAnsi="Times New Roman"/>
          <w:highlight w:val="none"/>
        </w:rPr>
        <w:t>h/d计，处理风量为</w:t>
      </w:r>
      <w:r>
        <w:rPr>
          <w:rFonts w:hint="eastAsia" w:ascii="Times New Roman" w:hAnsi="Times New Roman"/>
          <w:highlight w:val="none"/>
          <w:lang w:val="en-US" w:eastAsia="zh-CN"/>
        </w:rPr>
        <w:t>8</w:t>
      </w:r>
      <w:r>
        <w:rPr>
          <w:rFonts w:ascii="Times New Roman" w:hAnsi="Times New Roman"/>
          <w:highlight w:val="none"/>
        </w:rPr>
        <w:t>000m</w:t>
      </w:r>
      <w:r>
        <w:rPr>
          <w:rFonts w:ascii="Times New Roman" w:hAnsi="Times New Roman"/>
          <w:highlight w:val="none"/>
          <w:vertAlign w:val="superscript"/>
        </w:rPr>
        <w:t>3</w:t>
      </w:r>
      <w:r>
        <w:rPr>
          <w:rFonts w:ascii="Times New Roman" w:hAnsi="Times New Roman"/>
          <w:highlight w:val="none"/>
        </w:rPr>
        <w:t>/h，则本项目产生的食堂油烟为</w:t>
      </w:r>
      <w:r>
        <w:rPr>
          <w:rFonts w:hint="eastAsia" w:ascii="Times New Roman" w:hAnsi="Times New Roman"/>
          <w:highlight w:val="none"/>
          <w:lang w:val="en-US" w:eastAsia="zh-CN"/>
        </w:rPr>
        <w:t>1.31</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，0.0</w:t>
      </w:r>
      <w:r>
        <w:rPr>
          <w:rFonts w:hint="eastAsia" w:ascii="Times New Roman" w:hAnsi="Times New Roman"/>
          <w:highlight w:val="none"/>
          <w:lang w:val="en-US" w:eastAsia="zh-CN"/>
        </w:rPr>
        <w:t>53</w:t>
      </w:r>
      <w:r>
        <w:rPr>
          <w:rFonts w:ascii="Times New Roman" w:hAnsi="Times New Roman"/>
          <w:highlight w:val="none"/>
        </w:rPr>
        <w:t>t/a。食堂安装油烟净化器，净化措施最低去除效率为75%，则本项目油烟排放浓度为0.</w:t>
      </w:r>
      <w:r>
        <w:rPr>
          <w:rFonts w:hint="eastAsia" w:ascii="Times New Roman" w:hAnsi="Times New Roman"/>
          <w:highlight w:val="none"/>
        </w:rPr>
        <w:t>824</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，0.004t/a。可满足《饮食业油烟排放标准（试行）》（GB18483-2001）（中型）油烟最高允许排放浓度为2.0mg/m</w:t>
      </w:r>
      <w:r>
        <w:rPr>
          <w:rFonts w:ascii="Times New Roman" w:hAnsi="Times New Roman"/>
          <w:highlight w:val="none"/>
          <w:vertAlign w:val="superscript"/>
        </w:rPr>
        <w:t>3</w:t>
      </w:r>
      <w:r>
        <w:rPr>
          <w:rFonts w:ascii="Times New Roman" w:hAnsi="Times New Roman"/>
          <w:highlight w:val="none"/>
        </w:rPr>
        <w:t>的要求，净化后的油烟经专用烟道引至楼顶排放。</w:t>
      </w:r>
    </w:p>
    <w:p w14:paraId="76314034">
      <w:pPr>
        <w:bidi w:val="0"/>
        <w:rPr>
          <w:rFonts w:hint="eastAsia"/>
          <w:highlight w:val="none"/>
          <w:lang w:val="en-US" w:eastAsia="zh-CN"/>
        </w:rPr>
      </w:pPr>
      <w:r>
        <w:rPr>
          <w:rFonts w:hint="eastAsia"/>
          <w:highlight w:val="none"/>
          <w:lang w:eastAsia="zh-CN"/>
        </w:rPr>
        <w:t>（</w:t>
      </w:r>
      <w:r>
        <w:rPr>
          <w:rFonts w:hint="eastAsia"/>
          <w:highlight w:val="none"/>
          <w:lang w:val="en-US" w:eastAsia="zh-CN"/>
        </w:rPr>
        <w:t>8</w:t>
      </w:r>
      <w:r>
        <w:rPr>
          <w:rFonts w:hint="eastAsia"/>
          <w:highlight w:val="none"/>
          <w:lang w:eastAsia="zh-CN"/>
        </w:rPr>
        <w:t>）</w:t>
      </w:r>
      <w:r>
        <w:rPr>
          <w:rFonts w:hint="eastAsia"/>
          <w:highlight w:val="none"/>
          <w:lang w:val="en-US" w:eastAsia="zh-CN"/>
        </w:rPr>
        <w:t>原煤破碎粉尘</w:t>
      </w:r>
    </w:p>
    <w:p w14:paraId="040B5115">
      <w:pPr>
        <w:bidi w:val="0"/>
        <w:rPr>
          <w:rFonts w:hint="default"/>
          <w:highlight w:val="none"/>
          <w:lang w:val="en-US" w:eastAsia="zh-CN"/>
        </w:rPr>
      </w:pPr>
      <w:r>
        <w:rPr>
          <w:rFonts w:hint="eastAsia" w:ascii="Times New Roman" w:hAnsi="Times New Roman"/>
          <w:highlight w:val="none"/>
        </w:rPr>
        <w:t>先由给煤机将煤推入地下受煤坑，由给料机加入带式输送机，将原煤送至破碎机进行破碎，粉尘产生量参考《逸散性工业粉尘控制技术》、《工业污染核算》等书，确定粉尘产生系数为1kg/t。</w:t>
      </w:r>
      <w:r>
        <w:rPr>
          <w:rFonts w:hint="eastAsia" w:ascii="Times New Roman" w:hAnsi="Times New Roman"/>
          <w:highlight w:val="none"/>
          <w:lang w:val="en-US" w:eastAsia="zh-CN"/>
        </w:rPr>
        <w:t>本项目年燃煤量为81047.7024t。</w:t>
      </w:r>
      <w:r>
        <w:rPr>
          <w:rFonts w:hint="eastAsia" w:ascii="Times New Roman" w:hAnsi="Times New Roman"/>
          <w:highlight w:val="none"/>
        </w:rPr>
        <w:t>在破碎机上方、三段转运层负压收集系统。该系统采用布袋除尘器，</w:t>
      </w:r>
      <w:r>
        <w:rPr>
          <w:rFonts w:hint="eastAsia"/>
          <w:highlight w:val="none"/>
        </w:rPr>
        <w:t>除尘器风机设计风量为4000m</w:t>
      </w:r>
      <w:r>
        <w:rPr>
          <w:rFonts w:hint="eastAsia"/>
          <w:highlight w:val="none"/>
          <w:vertAlign w:val="superscript"/>
        </w:rPr>
        <w:t>3</w:t>
      </w:r>
      <w:r>
        <w:rPr>
          <w:rFonts w:hint="eastAsia"/>
          <w:highlight w:val="none"/>
        </w:rPr>
        <w:t>/h</w:t>
      </w:r>
      <w:r>
        <w:rPr>
          <w:rFonts w:hint="eastAsia"/>
          <w:highlight w:val="none"/>
          <w:lang w:eastAsia="zh-CN"/>
        </w:rPr>
        <w:t>，</w:t>
      </w:r>
      <w:r>
        <w:rPr>
          <w:rFonts w:hint="eastAsia" w:ascii="Times New Roman" w:hAnsi="Times New Roman"/>
          <w:highlight w:val="none"/>
        </w:rPr>
        <w:t>除尘效率不小于99.9%，处理后的粉尘以</w:t>
      </w:r>
      <w:r>
        <w:rPr>
          <w:rFonts w:hint="eastAsia" w:ascii="Times New Roman" w:hAnsi="Times New Roman"/>
          <w:highlight w:val="none"/>
          <w:lang w:val="en-US" w:eastAsia="zh-CN"/>
        </w:rPr>
        <w:t>15m高排气筒</w:t>
      </w:r>
      <w:r>
        <w:rPr>
          <w:rFonts w:hint="eastAsia" w:ascii="Times New Roman" w:hAnsi="Times New Roman"/>
          <w:highlight w:val="none"/>
        </w:rPr>
        <w:t>排放</w:t>
      </w:r>
      <w:r>
        <w:rPr>
          <w:rFonts w:hint="eastAsia" w:ascii="Times New Roman" w:hAnsi="Times New Roman"/>
          <w:highlight w:val="none"/>
          <w:lang w:eastAsia="zh-CN"/>
        </w:rPr>
        <w:t>。</w:t>
      </w:r>
      <w:r>
        <w:rPr>
          <w:rFonts w:hint="eastAsia" w:ascii="Times New Roman" w:hAnsi="Times New Roman"/>
          <w:highlight w:val="none"/>
        </w:rPr>
        <w:t>碎煤机室产生粉尘量为</w:t>
      </w:r>
      <w:r>
        <w:rPr>
          <w:rFonts w:hint="eastAsia" w:ascii="Times New Roman" w:hAnsi="Times New Roman"/>
          <w:highlight w:val="none"/>
          <w:lang w:val="en-US" w:eastAsia="zh-CN"/>
        </w:rPr>
        <w:t>81.048</w:t>
      </w:r>
      <w:r>
        <w:rPr>
          <w:rFonts w:hint="eastAsia" w:ascii="Times New Roman" w:hAnsi="Times New Roman"/>
          <w:highlight w:val="none"/>
        </w:rPr>
        <w:t>t/a，</w:t>
      </w:r>
      <w:r>
        <w:rPr>
          <w:rFonts w:hint="eastAsia" w:ascii="Times New Roman" w:hAnsi="Times New Roman"/>
          <w:highlight w:val="none"/>
          <w:lang w:val="en-US" w:eastAsia="zh-CN"/>
        </w:rPr>
        <w:t>16.08</w:t>
      </w:r>
      <w:r>
        <w:rPr>
          <w:rFonts w:hint="eastAsia" w:ascii="Times New Roman" w:hAnsi="Times New Roman"/>
          <w:highlight w:val="none"/>
        </w:rPr>
        <w:t>kg/h，</w:t>
      </w:r>
      <w:r>
        <w:rPr>
          <w:rFonts w:hint="eastAsia" w:ascii="Times New Roman" w:hAnsi="Times New Roman"/>
          <w:highlight w:val="none"/>
          <w:lang w:val="en-US" w:eastAsia="zh-CN"/>
        </w:rPr>
        <w:t>产生浓度为4020mg/m</w:t>
      </w:r>
      <w:r>
        <w:rPr>
          <w:rFonts w:hint="eastAsia" w:ascii="Times New Roman" w:hAnsi="Times New Roman"/>
          <w:highlight w:val="none"/>
          <w:vertAlign w:val="superscript"/>
          <w:lang w:val="en-US" w:eastAsia="zh-CN"/>
        </w:rPr>
        <w:t>3</w:t>
      </w:r>
      <w:r>
        <w:rPr>
          <w:rFonts w:hint="eastAsia" w:ascii="Times New Roman" w:hAnsi="Times New Roman"/>
          <w:highlight w:val="none"/>
          <w:lang w:val="en-US" w:eastAsia="zh-CN"/>
        </w:rPr>
        <w:t>，</w:t>
      </w:r>
      <w:r>
        <w:rPr>
          <w:rFonts w:hint="eastAsia" w:ascii="Times New Roman" w:hAnsi="Times New Roman"/>
          <w:highlight w:val="none"/>
        </w:rPr>
        <w:t>粉尘排放量为</w:t>
      </w:r>
      <w:r>
        <w:rPr>
          <w:rFonts w:hint="eastAsia" w:ascii="Times New Roman" w:hAnsi="Times New Roman"/>
          <w:highlight w:val="none"/>
          <w:lang w:val="en-US" w:eastAsia="zh-CN"/>
        </w:rPr>
        <w:t>0.0081</w:t>
      </w:r>
      <w:r>
        <w:rPr>
          <w:rFonts w:hint="eastAsia" w:ascii="Times New Roman" w:hAnsi="Times New Roman"/>
          <w:highlight w:val="none"/>
        </w:rPr>
        <w:t>t/a，</w:t>
      </w:r>
      <w:r>
        <w:rPr>
          <w:rFonts w:hint="eastAsia" w:ascii="Times New Roman" w:hAnsi="Times New Roman"/>
          <w:highlight w:val="none"/>
          <w:lang w:val="en-US" w:eastAsia="zh-CN"/>
        </w:rPr>
        <w:t>0.0016</w:t>
      </w:r>
      <w:r>
        <w:rPr>
          <w:rFonts w:hint="eastAsia"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排放浓度为4mg/m</w:t>
      </w:r>
      <w:r>
        <w:rPr>
          <w:rFonts w:hint="eastAsia" w:ascii="Times New Roman" w:hAnsi="Times New Roman"/>
          <w:highlight w:val="none"/>
          <w:vertAlign w:val="superscript"/>
          <w:lang w:val="en-US" w:eastAsia="zh-CN"/>
        </w:rPr>
        <w:t>3</w:t>
      </w:r>
      <w:r>
        <w:rPr>
          <w:rFonts w:hint="eastAsia" w:ascii="Times New Roman" w:hAnsi="Times New Roman"/>
          <w:highlight w:val="none"/>
        </w:rPr>
        <w:t>。</w:t>
      </w:r>
    </w:p>
    <w:p w14:paraId="54E24490">
      <w:pPr>
        <w:ind w:firstLine="480"/>
        <w:rPr>
          <w:rFonts w:ascii="Times New Roman" w:hAnsi="Times New Roman"/>
          <w:highlight w:val="none"/>
        </w:rPr>
      </w:pPr>
      <w:r>
        <w:rPr>
          <w:rFonts w:ascii="Times New Roman" w:hAnsi="Times New Roman"/>
          <w:highlight w:val="none"/>
        </w:rPr>
        <w:t>本工程锅炉烟气中主要污染物的产生情况详见下表。</w:t>
      </w:r>
    </w:p>
    <w:p w14:paraId="415A4AC9">
      <w:pPr>
        <w:ind w:firstLine="0" w:firstLineChars="0"/>
        <w:jc w:val="center"/>
        <w:rPr>
          <w:rFonts w:hint="eastAsia" w:ascii="黑体" w:hAnsi="黑体" w:eastAsia="黑体" w:cs="黑体"/>
          <w:b w:val="0"/>
          <w:bCs w:val="0"/>
          <w:highlight w:val="none"/>
        </w:rPr>
      </w:pPr>
      <w:r>
        <w:rPr>
          <w:rFonts w:hint="eastAsia" w:ascii="黑体" w:hAnsi="黑体" w:eastAsia="黑体" w:cs="黑体"/>
          <w:b w:val="0"/>
          <w:bCs w:val="0"/>
          <w:highlight w:val="none"/>
        </w:rPr>
        <w:t>表3.3-2锅炉烟气污染物产排结果</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58"/>
        <w:gridCol w:w="750"/>
        <w:gridCol w:w="1215"/>
        <w:gridCol w:w="993"/>
        <w:gridCol w:w="2442"/>
        <w:gridCol w:w="1939"/>
      </w:tblGrid>
      <w:tr w14:paraId="7B9277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3023" w:type="dxa"/>
            <w:gridSpan w:val="3"/>
            <w:noWrap w:val="0"/>
            <w:vAlign w:val="center"/>
          </w:tcPr>
          <w:p w14:paraId="3CA9584F">
            <w:pPr>
              <w:pStyle w:val="27"/>
              <w:rPr>
                <w:rFonts w:ascii="Times New Roman" w:hAnsi="Times New Roman" w:eastAsia="宋体"/>
                <w:b/>
                <w:bCs/>
                <w:highlight w:val="none"/>
              </w:rPr>
            </w:pPr>
            <w:r>
              <w:rPr>
                <w:rFonts w:ascii="Times New Roman" w:hAnsi="Times New Roman" w:eastAsia="宋体"/>
                <w:b/>
                <w:bCs/>
                <w:highlight w:val="none"/>
              </w:rPr>
              <w:t>项目</w:t>
            </w:r>
          </w:p>
        </w:tc>
        <w:tc>
          <w:tcPr>
            <w:tcW w:w="993" w:type="dxa"/>
            <w:noWrap w:val="0"/>
            <w:vAlign w:val="center"/>
          </w:tcPr>
          <w:p w14:paraId="2197412E">
            <w:pPr>
              <w:pStyle w:val="27"/>
              <w:rPr>
                <w:rFonts w:ascii="Times New Roman" w:hAnsi="Times New Roman" w:eastAsia="宋体"/>
                <w:b/>
                <w:bCs/>
                <w:highlight w:val="none"/>
              </w:rPr>
            </w:pPr>
            <w:r>
              <w:rPr>
                <w:rFonts w:ascii="Times New Roman" w:hAnsi="Times New Roman" w:eastAsia="宋体"/>
                <w:b/>
                <w:bCs/>
                <w:highlight w:val="none"/>
              </w:rPr>
              <w:t>符号</w:t>
            </w:r>
          </w:p>
        </w:tc>
        <w:tc>
          <w:tcPr>
            <w:tcW w:w="2442" w:type="dxa"/>
            <w:noWrap w:val="0"/>
            <w:vAlign w:val="center"/>
          </w:tcPr>
          <w:p w14:paraId="09F2C819">
            <w:pPr>
              <w:pStyle w:val="27"/>
              <w:rPr>
                <w:rFonts w:ascii="Times New Roman" w:hAnsi="Times New Roman" w:eastAsia="宋体"/>
                <w:b/>
                <w:bCs/>
                <w:highlight w:val="none"/>
              </w:rPr>
            </w:pPr>
            <w:r>
              <w:rPr>
                <w:rFonts w:ascii="Times New Roman" w:hAnsi="Times New Roman" w:eastAsia="宋体"/>
                <w:b/>
                <w:bCs/>
                <w:highlight w:val="none"/>
              </w:rPr>
              <w:t>单位</w:t>
            </w:r>
          </w:p>
        </w:tc>
        <w:tc>
          <w:tcPr>
            <w:tcW w:w="1939" w:type="dxa"/>
            <w:noWrap w:val="0"/>
            <w:vAlign w:val="center"/>
          </w:tcPr>
          <w:p w14:paraId="238BB44C">
            <w:pPr>
              <w:pStyle w:val="27"/>
              <w:rPr>
                <w:rFonts w:ascii="Times New Roman" w:hAnsi="Times New Roman" w:eastAsia="宋体"/>
                <w:b/>
                <w:bCs/>
                <w:highlight w:val="none"/>
              </w:rPr>
            </w:pPr>
            <w:r>
              <w:rPr>
                <w:rFonts w:ascii="Times New Roman" w:hAnsi="Times New Roman" w:eastAsia="宋体"/>
                <w:b/>
                <w:bCs/>
                <w:highlight w:val="none"/>
              </w:rPr>
              <w:t>数值</w:t>
            </w:r>
          </w:p>
        </w:tc>
      </w:tr>
      <w:tr w14:paraId="10A0B1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023" w:type="dxa"/>
            <w:gridSpan w:val="3"/>
            <w:noWrap w:val="0"/>
            <w:vAlign w:val="center"/>
          </w:tcPr>
          <w:p w14:paraId="6676D80D">
            <w:pPr>
              <w:pStyle w:val="27"/>
              <w:rPr>
                <w:rFonts w:ascii="Times New Roman" w:hAnsi="Times New Roman" w:eastAsia="宋体"/>
                <w:highlight w:val="none"/>
              </w:rPr>
            </w:pPr>
            <w:r>
              <w:rPr>
                <w:rFonts w:ascii="Times New Roman" w:hAnsi="Times New Roman" w:eastAsia="宋体"/>
                <w:highlight w:val="none"/>
              </w:rPr>
              <w:t>锅炉容量</w:t>
            </w:r>
          </w:p>
        </w:tc>
        <w:tc>
          <w:tcPr>
            <w:tcW w:w="993" w:type="dxa"/>
            <w:noWrap w:val="0"/>
            <w:vAlign w:val="center"/>
          </w:tcPr>
          <w:p w14:paraId="1F59F6C2">
            <w:pPr>
              <w:pStyle w:val="27"/>
              <w:rPr>
                <w:rFonts w:ascii="Times New Roman" w:hAnsi="Times New Roman" w:eastAsia="宋体"/>
                <w:highlight w:val="none"/>
              </w:rPr>
            </w:pPr>
            <w:r>
              <w:rPr>
                <w:rFonts w:ascii="Times New Roman" w:hAnsi="Times New Roman" w:eastAsia="宋体"/>
                <w:highlight w:val="none"/>
              </w:rPr>
              <w:t>/</w:t>
            </w:r>
          </w:p>
        </w:tc>
        <w:tc>
          <w:tcPr>
            <w:tcW w:w="2442" w:type="dxa"/>
            <w:noWrap w:val="0"/>
            <w:vAlign w:val="center"/>
          </w:tcPr>
          <w:p w14:paraId="5E34E8F2">
            <w:pPr>
              <w:pStyle w:val="27"/>
              <w:rPr>
                <w:rFonts w:ascii="Times New Roman" w:hAnsi="Times New Roman" w:eastAsia="宋体"/>
                <w:highlight w:val="none"/>
              </w:rPr>
            </w:pPr>
            <w:r>
              <w:rPr>
                <w:rFonts w:ascii="Times New Roman" w:hAnsi="Times New Roman" w:eastAsia="宋体"/>
                <w:highlight w:val="none"/>
              </w:rPr>
              <w:t>/</w:t>
            </w:r>
          </w:p>
        </w:tc>
        <w:tc>
          <w:tcPr>
            <w:tcW w:w="1939" w:type="dxa"/>
            <w:noWrap w:val="0"/>
            <w:vAlign w:val="center"/>
          </w:tcPr>
          <w:p w14:paraId="3C45C7F1">
            <w:pPr>
              <w:pStyle w:val="27"/>
              <w:rPr>
                <w:rFonts w:ascii="Times New Roman" w:hAnsi="Times New Roman" w:eastAsia="宋体"/>
                <w:highlight w:val="none"/>
              </w:rPr>
            </w:pPr>
            <w:r>
              <w:rPr>
                <w:rFonts w:hint="eastAsia" w:ascii="Times New Roman" w:hAnsi="Times New Roman" w:eastAsia="宋体"/>
                <w:highlight w:val="none"/>
                <w:lang w:val="en-US" w:eastAsia="zh-CN"/>
              </w:rPr>
              <w:t>116MW+</w:t>
            </w:r>
            <w:r>
              <w:rPr>
                <w:rFonts w:hint="default" w:ascii="Times New Roman" w:hAnsi="Times New Roman" w:eastAsia="宋体"/>
                <w:highlight w:val="none"/>
                <w:lang w:val="en-US" w:eastAsia="zh-CN"/>
              </w:rPr>
              <w:t>58</w:t>
            </w:r>
            <w:r>
              <w:rPr>
                <w:rFonts w:hint="eastAsia" w:ascii="Times New Roman" w:hAnsi="Times New Roman" w:eastAsia="宋体"/>
                <w:highlight w:val="none"/>
                <w:lang w:val="en-US" w:eastAsia="zh-CN"/>
              </w:rPr>
              <w:t>MW热水锅炉和1台35t/h蒸汽锅炉</w:t>
            </w:r>
          </w:p>
        </w:tc>
      </w:tr>
      <w:tr w14:paraId="770C9F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3023" w:type="dxa"/>
            <w:gridSpan w:val="3"/>
            <w:noWrap w:val="0"/>
            <w:vAlign w:val="center"/>
          </w:tcPr>
          <w:p w14:paraId="2CAE5528">
            <w:pPr>
              <w:pStyle w:val="27"/>
              <w:rPr>
                <w:rFonts w:ascii="Times New Roman" w:hAnsi="Times New Roman" w:eastAsia="宋体"/>
                <w:highlight w:val="none"/>
              </w:rPr>
            </w:pPr>
            <w:r>
              <w:rPr>
                <w:rFonts w:ascii="Times New Roman" w:hAnsi="Times New Roman" w:eastAsia="宋体"/>
                <w:highlight w:val="none"/>
              </w:rPr>
              <w:t>锅炉类型</w:t>
            </w:r>
          </w:p>
        </w:tc>
        <w:tc>
          <w:tcPr>
            <w:tcW w:w="993" w:type="dxa"/>
            <w:noWrap w:val="0"/>
            <w:vAlign w:val="center"/>
          </w:tcPr>
          <w:p w14:paraId="04E1A84F">
            <w:pPr>
              <w:pStyle w:val="27"/>
              <w:rPr>
                <w:rFonts w:ascii="Times New Roman" w:hAnsi="Times New Roman" w:eastAsia="宋体"/>
                <w:highlight w:val="none"/>
              </w:rPr>
            </w:pPr>
            <w:r>
              <w:rPr>
                <w:rFonts w:ascii="Times New Roman" w:hAnsi="Times New Roman" w:eastAsia="宋体"/>
                <w:highlight w:val="none"/>
              </w:rPr>
              <w:t>/</w:t>
            </w:r>
          </w:p>
        </w:tc>
        <w:tc>
          <w:tcPr>
            <w:tcW w:w="2442" w:type="dxa"/>
            <w:noWrap w:val="0"/>
            <w:vAlign w:val="center"/>
          </w:tcPr>
          <w:p w14:paraId="3FFA9E5E">
            <w:pPr>
              <w:pStyle w:val="27"/>
              <w:rPr>
                <w:rFonts w:ascii="Times New Roman" w:hAnsi="Times New Roman" w:eastAsia="宋体"/>
                <w:highlight w:val="none"/>
              </w:rPr>
            </w:pPr>
            <w:r>
              <w:rPr>
                <w:rFonts w:ascii="Times New Roman" w:hAnsi="Times New Roman" w:eastAsia="宋体"/>
                <w:highlight w:val="none"/>
              </w:rPr>
              <w:t>/</w:t>
            </w:r>
          </w:p>
        </w:tc>
        <w:tc>
          <w:tcPr>
            <w:tcW w:w="1939" w:type="dxa"/>
            <w:noWrap w:val="0"/>
            <w:vAlign w:val="center"/>
          </w:tcPr>
          <w:p w14:paraId="7E8E028C">
            <w:pPr>
              <w:pStyle w:val="27"/>
              <w:rPr>
                <w:rFonts w:ascii="Times New Roman" w:hAnsi="Times New Roman" w:eastAsia="宋体"/>
                <w:highlight w:val="none"/>
              </w:rPr>
            </w:pPr>
            <w:r>
              <w:rPr>
                <w:rFonts w:hint="eastAsia" w:ascii="Times New Roman" w:hAnsi="Times New Roman" w:eastAsia="宋体"/>
                <w:highlight w:val="none"/>
                <w:lang w:val="en-US" w:eastAsia="zh-CN"/>
              </w:rPr>
              <w:t>链条</w:t>
            </w:r>
            <w:r>
              <w:rPr>
                <w:rFonts w:ascii="Times New Roman" w:hAnsi="Times New Roman" w:eastAsia="宋体"/>
                <w:highlight w:val="none"/>
              </w:rPr>
              <w:t>炉</w:t>
            </w:r>
          </w:p>
        </w:tc>
      </w:tr>
      <w:tr w14:paraId="2D108D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808" w:type="dxa"/>
            <w:gridSpan w:val="2"/>
            <w:vMerge w:val="restart"/>
            <w:noWrap w:val="0"/>
            <w:vAlign w:val="center"/>
          </w:tcPr>
          <w:p w14:paraId="002D960E">
            <w:pPr>
              <w:pStyle w:val="27"/>
              <w:rPr>
                <w:rFonts w:ascii="Times New Roman" w:hAnsi="Times New Roman" w:eastAsia="宋体"/>
                <w:highlight w:val="none"/>
              </w:rPr>
            </w:pPr>
            <w:r>
              <w:rPr>
                <w:rFonts w:ascii="Times New Roman" w:hAnsi="Times New Roman" w:eastAsia="宋体"/>
                <w:highlight w:val="none"/>
              </w:rPr>
              <w:t>烟囱</w:t>
            </w:r>
          </w:p>
        </w:tc>
        <w:tc>
          <w:tcPr>
            <w:tcW w:w="1215" w:type="dxa"/>
            <w:noWrap w:val="0"/>
            <w:vAlign w:val="center"/>
          </w:tcPr>
          <w:p w14:paraId="39FEF678">
            <w:pPr>
              <w:pStyle w:val="27"/>
              <w:rPr>
                <w:rFonts w:ascii="Times New Roman" w:hAnsi="Times New Roman" w:eastAsia="宋体"/>
                <w:highlight w:val="none"/>
              </w:rPr>
            </w:pPr>
            <w:r>
              <w:rPr>
                <w:rFonts w:ascii="Times New Roman" w:hAnsi="Times New Roman" w:eastAsia="宋体"/>
                <w:highlight w:val="none"/>
              </w:rPr>
              <w:t>高度</w:t>
            </w:r>
          </w:p>
        </w:tc>
        <w:tc>
          <w:tcPr>
            <w:tcW w:w="993" w:type="dxa"/>
            <w:noWrap w:val="0"/>
            <w:vAlign w:val="center"/>
          </w:tcPr>
          <w:p w14:paraId="76624555">
            <w:pPr>
              <w:pStyle w:val="27"/>
              <w:rPr>
                <w:rFonts w:ascii="Times New Roman" w:hAnsi="Times New Roman" w:eastAsia="宋体"/>
                <w:highlight w:val="none"/>
              </w:rPr>
            </w:pPr>
            <w:r>
              <w:rPr>
                <w:rFonts w:ascii="Times New Roman" w:hAnsi="Times New Roman" w:eastAsia="宋体"/>
                <w:highlight w:val="none"/>
              </w:rPr>
              <w:t>H</w:t>
            </w:r>
          </w:p>
        </w:tc>
        <w:tc>
          <w:tcPr>
            <w:tcW w:w="2442" w:type="dxa"/>
            <w:noWrap w:val="0"/>
            <w:vAlign w:val="center"/>
          </w:tcPr>
          <w:p w14:paraId="442BF8E3">
            <w:pPr>
              <w:pStyle w:val="27"/>
              <w:rPr>
                <w:rFonts w:ascii="Times New Roman" w:hAnsi="Times New Roman" w:eastAsia="宋体"/>
                <w:highlight w:val="none"/>
              </w:rPr>
            </w:pPr>
            <w:r>
              <w:rPr>
                <w:rFonts w:ascii="Times New Roman" w:hAnsi="Times New Roman" w:eastAsia="宋体"/>
                <w:highlight w:val="none"/>
              </w:rPr>
              <w:t>m</w:t>
            </w:r>
          </w:p>
        </w:tc>
        <w:tc>
          <w:tcPr>
            <w:tcW w:w="1939" w:type="dxa"/>
            <w:noWrap w:val="0"/>
            <w:vAlign w:val="center"/>
          </w:tcPr>
          <w:p w14:paraId="3E99F5A6">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60</w:t>
            </w:r>
          </w:p>
        </w:tc>
      </w:tr>
      <w:tr w14:paraId="0422CCE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808" w:type="dxa"/>
            <w:gridSpan w:val="2"/>
            <w:vMerge w:val="continue"/>
            <w:noWrap w:val="0"/>
            <w:vAlign w:val="center"/>
          </w:tcPr>
          <w:p w14:paraId="2E19F0F4">
            <w:pPr>
              <w:pStyle w:val="27"/>
              <w:rPr>
                <w:rFonts w:ascii="Times New Roman" w:hAnsi="Times New Roman" w:eastAsia="宋体"/>
                <w:highlight w:val="none"/>
              </w:rPr>
            </w:pPr>
          </w:p>
        </w:tc>
        <w:tc>
          <w:tcPr>
            <w:tcW w:w="1215" w:type="dxa"/>
            <w:noWrap w:val="0"/>
            <w:vAlign w:val="center"/>
          </w:tcPr>
          <w:p w14:paraId="3A0C3C17">
            <w:pPr>
              <w:pStyle w:val="27"/>
              <w:rPr>
                <w:rFonts w:ascii="Times New Roman" w:hAnsi="Times New Roman" w:eastAsia="宋体"/>
                <w:highlight w:val="none"/>
              </w:rPr>
            </w:pPr>
            <w:r>
              <w:rPr>
                <w:rFonts w:ascii="Times New Roman" w:hAnsi="Times New Roman" w:eastAsia="宋体"/>
                <w:highlight w:val="none"/>
              </w:rPr>
              <w:t>出口直径</w:t>
            </w:r>
          </w:p>
        </w:tc>
        <w:tc>
          <w:tcPr>
            <w:tcW w:w="993" w:type="dxa"/>
            <w:noWrap w:val="0"/>
            <w:vAlign w:val="center"/>
          </w:tcPr>
          <w:p w14:paraId="237262A7">
            <w:pPr>
              <w:pStyle w:val="27"/>
              <w:rPr>
                <w:rFonts w:ascii="Times New Roman" w:hAnsi="Times New Roman" w:eastAsia="宋体"/>
                <w:highlight w:val="none"/>
              </w:rPr>
            </w:pPr>
            <w:r>
              <w:rPr>
                <w:rFonts w:ascii="Times New Roman" w:hAnsi="Times New Roman" w:eastAsia="宋体"/>
                <w:highlight w:val="none"/>
              </w:rPr>
              <w:t>D</w:t>
            </w:r>
          </w:p>
        </w:tc>
        <w:tc>
          <w:tcPr>
            <w:tcW w:w="2442" w:type="dxa"/>
            <w:noWrap w:val="0"/>
            <w:vAlign w:val="center"/>
          </w:tcPr>
          <w:p w14:paraId="32243371">
            <w:pPr>
              <w:pStyle w:val="27"/>
              <w:rPr>
                <w:rFonts w:ascii="Times New Roman" w:hAnsi="Times New Roman" w:eastAsia="宋体"/>
                <w:highlight w:val="none"/>
              </w:rPr>
            </w:pPr>
            <w:r>
              <w:rPr>
                <w:rFonts w:ascii="Times New Roman" w:hAnsi="Times New Roman" w:eastAsia="宋体"/>
                <w:highlight w:val="none"/>
              </w:rPr>
              <w:t>m</w:t>
            </w:r>
          </w:p>
        </w:tc>
        <w:tc>
          <w:tcPr>
            <w:tcW w:w="1939" w:type="dxa"/>
            <w:noWrap w:val="0"/>
            <w:vAlign w:val="center"/>
          </w:tcPr>
          <w:p w14:paraId="48E74018">
            <w:pPr>
              <w:pStyle w:val="27"/>
              <w:rPr>
                <w:rFonts w:hint="eastAsia" w:ascii="Times New Roman" w:hAnsi="Times New Roman" w:eastAsia="宋体"/>
                <w:highlight w:val="none"/>
                <w:lang w:eastAsia="zh-CN"/>
              </w:rPr>
            </w:pPr>
            <w:r>
              <w:rPr>
                <w:rFonts w:hint="eastAsia" w:ascii="Times New Roman" w:hAnsi="Times New Roman" w:eastAsia="宋体"/>
                <w:highlight w:val="none"/>
                <w:lang w:val="en-US" w:eastAsia="zh-CN"/>
              </w:rPr>
              <w:t>4</w:t>
            </w:r>
          </w:p>
        </w:tc>
      </w:tr>
      <w:tr w14:paraId="43244C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restart"/>
            <w:noWrap w:val="0"/>
            <w:vAlign w:val="center"/>
          </w:tcPr>
          <w:p w14:paraId="7DD01D4F">
            <w:pPr>
              <w:pStyle w:val="27"/>
              <w:rPr>
                <w:rFonts w:ascii="Times New Roman" w:hAnsi="Times New Roman" w:eastAsia="宋体"/>
                <w:highlight w:val="none"/>
              </w:rPr>
            </w:pPr>
            <w:r>
              <w:rPr>
                <w:rFonts w:ascii="Times New Roman" w:hAnsi="Times New Roman" w:eastAsia="宋体"/>
                <w:highlight w:val="none"/>
              </w:rPr>
              <w:t>环境空气污染物排放情况</w:t>
            </w:r>
          </w:p>
        </w:tc>
        <w:tc>
          <w:tcPr>
            <w:tcW w:w="750" w:type="dxa"/>
            <w:vMerge w:val="restart"/>
            <w:noWrap w:val="0"/>
            <w:vAlign w:val="center"/>
          </w:tcPr>
          <w:p w14:paraId="03DB717A">
            <w:pPr>
              <w:pStyle w:val="27"/>
              <w:rPr>
                <w:rFonts w:hint="eastAsia" w:ascii="Times New Roman" w:hAnsi="Times New Roman" w:eastAsia="宋体"/>
                <w:highlight w:val="none"/>
              </w:rPr>
            </w:pPr>
            <w:r>
              <w:rPr>
                <w:rFonts w:ascii="Times New Roman" w:hAnsi="Times New Roman" w:eastAsia="宋体"/>
                <w:highlight w:val="none"/>
              </w:rPr>
              <w:t>SO</w:t>
            </w:r>
            <w:r>
              <w:rPr>
                <w:rFonts w:ascii="Times New Roman" w:hAnsi="Times New Roman" w:eastAsia="宋体"/>
                <w:highlight w:val="none"/>
                <w:vertAlign w:val="subscript"/>
              </w:rPr>
              <w:t>2</w:t>
            </w:r>
          </w:p>
        </w:tc>
        <w:tc>
          <w:tcPr>
            <w:tcW w:w="1215" w:type="dxa"/>
            <w:noWrap w:val="0"/>
            <w:vAlign w:val="center"/>
          </w:tcPr>
          <w:p w14:paraId="2DE63709">
            <w:pPr>
              <w:pStyle w:val="27"/>
              <w:rPr>
                <w:rFonts w:ascii="Times New Roman" w:hAnsi="Times New Roman" w:eastAsia="宋体"/>
                <w:highlight w:val="none"/>
              </w:rPr>
            </w:pPr>
            <w:r>
              <w:rPr>
                <w:rFonts w:ascii="Times New Roman" w:hAnsi="Times New Roman" w:eastAsia="宋体"/>
                <w:highlight w:val="none"/>
              </w:rPr>
              <w:t>产生浓度</w:t>
            </w:r>
          </w:p>
        </w:tc>
        <w:tc>
          <w:tcPr>
            <w:tcW w:w="993" w:type="dxa"/>
            <w:noWrap w:val="0"/>
            <w:vAlign w:val="center"/>
          </w:tcPr>
          <w:p w14:paraId="796D50EA">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SO2</w:t>
            </w:r>
          </w:p>
        </w:tc>
        <w:tc>
          <w:tcPr>
            <w:tcW w:w="2442" w:type="dxa"/>
            <w:noWrap w:val="0"/>
            <w:vAlign w:val="center"/>
          </w:tcPr>
          <w:p w14:paraId="15D77091">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64659741">
            <w:pPr>
              <w:pStyle w:val="27"/>
              <w:rPr>
                <w:rFonts w:ascii="Times New Roman" w:hAnsi="Times New Roman"/>
                <w:sz w:val="21"/>
                <w:highlight w:val="none"/>
              </w:rPr>
            </w:pPr>
            <w:r>
              <w:rPr>
                <w:rFonts w:hint="eastAsia" w:ascii="Times New Roman" w:hAnsi="Times New Roman" w:eastAsia="宋体"/>
                <w:highlight w:val="none"/>
                <w:lang w:val="en-US" w:eastAsia="zh-CN"/>
              </w:rPr>
              <w:t>324.882</w:t>
            </w:r>
          </w:p>
        </w:tc>
      </w:tr>
      <w:tr w14:paraId="6B69E9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7AD853AC">
            <w:pPr>
              <w:pStyle w:val="27"/>
              <w:rPr>
                <w:rFonts w:ascii="Times New Roman" w:hAnsi="Times New Roman" w:eastAsia="宋体"/>
                <w:highlight w:val="none"/>
              </w:rPr>
            </w:pPr>
          </w:p>
        </w:tc>
        <w:tc>
          <w:tcPr>
            <w:tcW w:w="750" w:type="dxa"/>
            <w:vMerge w:val="continue"/>
            <w:noWrap w:val="0"/>
            <w:vAlign w:val="center"/>
          </w:tcPr>
          <w:p w14:paraId="0285A8FE">
            <w:pPr>
              <w:pStyle w:val="27"/>
              <w:rPr>
                <w:rFonts w:ascii="Times New Roman" w:hAnsi="Times New Roman" w:eastAsia="宋体"/>
                <w:highlight w:val="none"/>
              </w:rPr>
            </w:pPr>
          </w:p>
        </w:tc>
        <w:tc>
          <w:tcPr>
            <w:tcW w:w="1215" w:type="dxa"/>
            <w:vMerge w:val="restart"/>
            <w:noWrap w:val="0"/>
            <w:vAlign w:val="center"/>
          </w:tcPr>
          <w:p w14:paraId="73525139">
            <w:pPr>
              <w:pStyle w:val="27"/>
              <w:rPr>
                <w:rFonts w:ascii="Times New Roman" w:hAnsi="Times New Roman" w:eastAsia="宋体"/>
                <w:highlight w:val="none"/>
              </w:rPr>
            </w:pPr>
            <w:r>
              <w:rPr>
                <w:rFonts w:ascii="Times New Roman" w:hAnsi="Times New Roman" w:eastAsia="宋体"/>
                <w:highlight w:val="none"/>
              </w:rPr>
              <w:t>产生量</w:t>
            </w:r>
          </w:p>
        </w:tc>
        <w:tc>
          <w:tcPr>
            <w:tcW w:w="993" w:type="dxa"/>
            <w:vMerge w:val="restart"/>
            <w:noWrap w:val="0"/>
            <w:vAlign w:val="center"/>
          </w:tcPr>
          <w:p w14:paraId="1BAC4D27">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SO2</w:t>
            </w:r>
          </w:p>
        </w:tc>
        <w:tc>
          <w:tcPr>
            <w:tcW w:w="2442" w:type="dxa"/>
            <w:noWrap w:val="0"/>
            <w:vAlign w:val="center"/>
          </w:tcPr>
          <w:p w14:paraId="158CB085">
            <w:pPr>
              <w:pStyle w:val="27"/>
              <w:rPr>
                <w:rFonts w:hint="eastAsia" w:ascii="Times New Roman" w:hAnsi="Times New Roman" w:eastAsia="宋体"/>
                <w:highlight w:val="none"/>
                <w:lang w:eastAsia="zh-CN"/>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2BFF669C">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86</w:t>
            </w:r>
          </w:p>
        </w:tc>
      </w:tr>
      <w:tr w14:paraId="65AF57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02F039E">
            <w:pPr>
              <w:pStyle w:val="27"/>
              <w:rPr>
                <w:rFonts w:ascii="Times New Roman" w:hAnsi="Times New Roman" w:eastAsia="宋体"/>
                <w:highlight w:val="none"/>
              </w:rPr>
            </w:pPr>
          </w:p>
        </w:tc>
        <w:tc>
          <w:tcPr>
            <w:tcW w:w="750" w:type="dxa"/>
            <w:vMerge w:val="continue"/>
            <w:noWrap w:val="0"/>
            <w:vAlign w:val="center"/>
          </w:tcPr>
          <w:p w14:paraId="13E5ED3B">
            <w:pPr>
              <w:pStyle w:val="27"/>
              <w:rPr>
                <w:rFonts w:ascii="Times New Roman" w:hAnsi="Times New Roman" w:eastAsia="宋体"/>
                <w:highlight w:val="none"/>
              </w:rPr>
            </w:pPr>
          </w:p>
        </w:tc>
        <w:tc>
          <w:tcPr>
            <w:tcW w:w="1215" w:type="dxa"/>
            <w:vMerge w:val="continue"/>
            <w:noWrap w:val="0"/>
            <w:vAlign w:val="center"/>
          </w:tcPr>
          <w:p w14:paraId="40D419A3">
            <w:pPr>
              <w:pStyle w:val="27"/>
              <w:rPr>
                <w:rFonts w:ascii="Times New Roman" w:hAnsi="Times New Roman" w:eastAsia="宋体"/>
                <w:highlight w:val="none"/>
              </w:rPr>
            </w:pPr>
          </w:p>
        </w:tc>
        <w:tc>
          <w:tcPr>
            <w:tcW w:w="993" w:type="dxa"/>
            <w:vMerge w:val="continue"/>
            <w:noWrap w:val="0"/>
            <w:vAlign w:val="center"/>
          </w:tcPr>
          <w:p w14:paraId="7027C48C">
            <w:pPr>
              <w:pStyle w:val="27"/>
              <w:rPr>
                <w:rFonts w:ascii="Times New Roman" w:hAnsi="Times New Roman" w:eastAsia="宋体"/>
                <w:highlight w:val="none"/>
              </w:rPr>
            </w:pPr>
          </w:p>
        </w:tc>
        <w:tc>
          <w:tcPr>
            <w:tcW w:w="2442" w:type="dxa"/>
            <w:noWrap w:val="0"/>
            <w:vAlign w:val="center"/>
          </w:tcPr>
          <w:p w14:paraId="63CA6A87">
            <w:pPr>
              <w:pStyle w:val="27"/>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1742E841">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37</w:t>
            </w:r>
          </w:p>
        </w:tc>
      </w:tr>
      <w:tr w14:paraId="0F3C0C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FE3A334">
            <w:pPr>
              <w:pStyle w:val="27"/>
              <w:rPr>
                <w:rFonts w:ascii="Times New Roman" w:hAnsi="Times New Roman" w:eastAsia="宋体"/>
                <w:highlight w:val="none"/>
              </w:rPr>
            </w:pPr>
          </w:p>
        </w:tc>
        <w:tc>
          <w:tcPr>
            <w:tcW w:w="750" w:type="dxa"/>
            <w:vMerge w:val="continue"/>
            <w:noWrap w:val="0"/>
            <w:vAlign w:val="center"/>
          </w:tcPr>
          <w:p w14:paraId="44862B65">
            <w:pPr>
              <w:pStyle w:val="27"/>
              <w:rPr>
                <w:rFonts w:ascii="Times New Roman" w:hAnsi="Times New Roman" w:eastAsia="宋体"/>
                <w:highlight w:val="none"/>
              </w:rPr>
            </w:pPr>
          </w:p>
        </w:tc>
        <w:tc>
          <w:tcPr>
            <w:tcW w:w="1215" w:type="dxa"/>
            <w:vMerge w:val="continue"/>
            <w:noWrap w:val="0"/>
            <w:vAlign w:val="center"/>
          </w:tcPr>
          <w:p w14:paraId="1912C09F">
            <w:pPr>
              <w:pStyle w:val="27"/>
              <w:rPr>
                <w:rFonts w:ascii="Times New Roman" w:hAnsi="Times New Roman" w:eastAsia="宋体"/>
                <w:highlight w:val="none"/>
              </w:rPr>
            </w:pPr>
          </w:p>
        </w:tc>
        <w:tc>
          <w:tcPr>
            <w:tcW w:w="993" w:type="dxa"/>
            <w:vMerge w:val="continue"/>
            <w:noWrap w:val="0"/>
            <w:vAlign w:val="center"/>
          </w:tcPr>
          <w:p w14:paraId="46D1CE8F">
            <w:pPr>
              <w:pStyle w:val="27"/>
              <w:rPr>
                <w:rFonts w:ascii="Times New Roman" w:hAnsi="Times New Roman" w:eastAsia="宋体"/>
                <w:highlight w:val="none"/>
              </w:rPr>
            </w:pPr>
          </w:p>
        </w:tc>
        <w:tc>
          <w:tcPr>
            <w:tcW w:w="2442" w:type="dxa"/>
            <w:noWrap w:val="0"/>
            <w:vAlign w:val="center"/>
          </w:tcPr>
          <w:p w14:paraId="39AF4D9F">
            <w:pPr>
              <w:pStyle w:val="27"/>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107DB99B">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97</w:t>
            </w:r>
          </w:p>
        </w:tc>
      </w:tr>
      <w:tr w14:paraId="146099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790D32E">
            <w:pPr>
              <w:pStyle w:val="27"/>
              <w:rPr>
                <w:rFonts w:ascii="Times New Roman" w:hAnsi="Times New Roman" w:eastAsia="宋体"/>
                <w:highlight w:val="none"/>
              </w:rPr>
            </w:pPr>
          </w:p>
        </w:tc>
        <w:tc>
          <w:tcPr>
            <w:tcW w:w="750" w:type="dxa"/>
            <w:vMerge w:val="continue"/>
            <w:noWrap w:val="0"/>
            <w:vAlign w:val="center"/>
          </w:tcPr>
          <w:p w14:paraId="2E6FF61C">
            <w:pPr>
              <w:pStyle w:val="27"/>
              <w:rPr>
                <w:rFonts w:ascii="Times New Roman" w:hAnsi="Times New Roman" w:eastAsia="宋体"/>
                <w:highlight w:val="none"/>
              </w:rPr>
            </w:pPr>
          </w:p>
        </w:tc>
        <w:tc>
          <w:tcPr>
            <w:tcW w:w="1215" w:type="dxa"/>
            <w:vMerge w:val="continue"/>
            <w:noWrap w:val="0"/>
            <w:vAlign w:val="center"/>
          </w:tcPr>
          <w:p w14:paraId="638C6185">
            <w:pPr>
              <w:pStyle w:val="27"/>
              <w:rPr>
                <w:rFonts w:ascii="Times New Roman" w:hAnsi="Times New Roman" w:eastAsia="宋体"/>
                <w:highlight w:val="none"/>
              </w:rPr>
            </w:pPr>
          </w:p>
        </w:tc>
        <w:tc>
          <w:tcPr>
            <w:tcW w:w="993" w:type="dxa"/>
            <w:vMerge w:val="continue"/>
            <w:noWrap w:val="0"/>
            <w:vAlign w:val="center"/>
          </w:tcPr>
          <w:p w14:paraId="3925F6FB">
            <w:pPr>
              <w:pStyle w:val="27"/>
              <w:rPr>
                <w:rFonts w:ascii="Times New Roman" w:hAnsi="Times New Roman" w:eastAsia="宋体"/>
                <w:highlight w:val="none"/>
              </w:rPr>
            </w:pPr>
          </w:p>
        </w:tc>
        <w:tc>
          <w:tcPr>
            <w:tcW w:w="2442" w:type="dxa"/>
            <w:noWrap w:val="0"/>
            <w:vAlign w:val="center"/>
          </w:tcPr>
          <w:p w14:paraId="54C80687">
            <w:pPr>
              <w:pStyle w:val="27"/>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3121D5F3">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37</w:t>
            </w:r>
          </w:p>
        </w:tc>
      </w:tr>
      <w:tr w14:paraId="44BE81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88D2481">
            <w:pPr>
              <w:pStyle w:val="27"/>
              <w:rPr>
                <w:rFonts w:ascii="Times New Roman" w:hAnsi="Times New Roman" w:eastAsia="宋体"/>
                <w:highlight w:val="none"/>
              </w:rPr>
            </w:pPr>
          </w:p>
        </w:tc>
        <w:tc>
          <w:tcPr>
            <w:tcW w:w="750" w:type="dxa"/>
            <w:vMerge w:val="continue"/>
            <w:noWrap w:val="0"/>
            <w:vAlign w:val="center"/>
          </w:tcPr>
          <w:p w14:paraId="47E34E4C">
            <w:pPr>
              <w:pStyle w:val="27"/>
              <w:rPr>
                <w:rFonts w:ascii="Times New Roman" w:hAnsi="Times New Roman" w:eastAsia="宋体"/>
                <w:highlight w:val="none"/>
              </w:rPr>
            </w:pPr>
          </w:p>
        </w:tc>
        <w:tc>
          <w:tcPr>
            <w:tcW w:w="1215" w:type="dxa"/>
            <w:vMerge w:val="continue"/>
            <w:noWrap w:val="0"/>
            <w:vAlign w:val="center"/>
          </w:tcPr>
          <w:p w14:paraId="294D5C07">
            <w:pPr>
              <w:pStyle w:val="27"/>
              <w:rPr>
                <w:rFonts w:ascii="Times New Roman" w:hAnsi="Times New Roman" w:eastAsia="宋体"/>
                <w:highlight w:val="none"/>
              </w:rPr>
            </w:pPr>
          </w:p>
        </w:tc>
        <w:tc>
          <w:tcPr>
            <w:tcW w:w="993" w:type="dxa"/>
            <w:vMerge w:val="continue"/>
            <w:noWrap w:val="0"/>
            <w:vAlign w:val="center"/>
          </w:tcPr>
          <w:p w14:paraId="325DFA20">
            <w:pPr>
              <w:pStyle w:val="27"/>
              <w:rPr>
                <w:rFonts w:ascii="Times New Roman" w:hAnsi="Times New Roman" w:eastAsia="宋体"/>
                <w:highlight w:val="none"/>
              </w:rPr>
            </w:pPr>
          </w:p>
        </w:tc>
        <w:tc>
          <w:tcPr>
            <w:tcW w:w="2442" w:type="dxa"/>
            <w:noWrap w:val="0"/>
            <w:vAlign w:val="center"/>
          </w:tcPr>
          <w:p w14:paraId="64D92D67">
            <w:pPr>
              <w:pStyle w:val="27"/>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2EA99B4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26</w:t>
            </w:r>
          </w:p>
        </w:tc>
      </w:tr>
      <w:tr w14:paraId="1AAEA6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489C99C7">
            <w:pPr>
              <w:pStyle w:val="27"/>
              <w:rPr>
                <w:rFonts w:ascii="Times New Roman" w:hAnsi="Times New Roman" w:eastAsia="宋体"/>
                <w:highlight w:val="none"/>
              </w:rPr>
            </w:pPr>
          </w:p>
        </w:tc>
        <w:tc>
          <w:tcPr>
            <w:tcW w:w="750" w:type="dxa"/>
            <w:vMerge w:val="continue"/>
            <w:noWrap w:val="0"/>
            <w:vAlign w:val="center"/>
          </w:tcPr>
          <w:p w14:paraId="547ACF00">
            <w:pPr>
              <w:pStyle w:val="27"/>
              <w:rPr>
                <w:rFonts w:ascii="Times New Roman" w:hAnsi="Times New Roman" w:eastAsia="宋体"/>
                <w:highlight w:val="none"/>
              </w:rPr>
            </w:pPr>
          </w:p>
        </w:tc>
        <w:tc>
          <w:tcPr>
            <w:tcW w:w="1215" w:type="dxa"/>
            <w:vMerge w:val="continue"/>
            <w:noWrap w:val="0"/>
            <w:vAlign w:val="center"/>
          </w:tcPr>
          <w:p w14:paraId="64860AE0">
            <w:pPr>
              <w:pStyle w:val="27"/>
              <w:rPr>
                <w:rFonts w:ascii="Times New Roman" w:hAnsi="Times New Roman" w:eastAsia="宋体"/>
                <w:highlight w:val="none"/>
              </w:rPr>
            </w:pPr>
          </w:p>
        </w:tc>
        <w:tc>
          <w:tcPr>
            <w:tcW w:w="993" w:type="dxa"/>
            <w:vMerge w:val="continue"/>
            <w:noWrap w:val="0"/>
            <w:vAlign w:val="center"/>
          </w:tcPr>
          <w:p w14:paraId="6DC8049E">
            <w:pPr>
              <w:pStyle w:val="27"/>
              <w:rPr>
                <w:rFonts w:ascii="Times New Roman" w:hAnsi="Times New Roman" w:eastAsia="宋体"/>
                <w:highlight w:val="none"/>
              </w:rPr>
            </w:pPr>
          </w:p>
        </w:tc>
        <w:tc>
          <w:tcPr>
            <w:tcW w:w="2442" w:type="dxa"/>
            <w:noWrap w:val="0"/>
            <w:vAlign w:val="center"/>
          </w:tcPr>
          <w:p w14:paraId="02E274F3">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278F455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243.888</w:t>
            </w:r>
          </w:p>
        </w:tc>
      </w:tr>
      <w:tr w14:paraId="47B2FC2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0E64873">
            <w:pPr>
              <w:pStyle w:val="27"/>
              <w:rPr>
                <w:rFonts w:ascii="Times New Roman" w:hAnsi="Times New Roman" w:eastAsia="宋体"/>
                <w:highlight w:val="none"/>
              </w:rPr>
            </w:pPr>
          </w:p>
        </w:tc>
        <w:tc>
          <w:tcPr>
            <w:tcW w:w="750" w:type="dxa"/>
            <w:vMerge w:val="continue"/>
            <w:noWrap w:val="0"/>
            <w:vAlign w:val="center"/>
          </w:tcPr>
          <w:p w14:paraId="58EA0EDE">
            <w:pPr>
              <w:pStyle w:val="27"/>
              <w:rPr>
                <w:rFonts w:ascii="Times New Roman" w:hAnsi="Times New Roman" w:eastAsia="宋体"/>
                <w:highlight w:val="none"/>
              </w:rPr>
            </w:pPr>
          </w:p>
        </w:tc>
        <w:tc>
          <w:tcPr>
            <w:tcW w:w="1215" w:type="dxa"/>
            <w:noWrap w:val="0"/>
            <w:vAlign w:val="center"/>
          </w:tcPr>
          <w:p w14:paraId="7507F26A">
            <w:pPr>
              <w:pStyle w:val="27"/>
              <w:rPr>
                <w:rFonts w:ascii="Times New Roman" w:hAnsi="Times New Roman" w:eastAsia="宋体"/>
                <w:highlight w:val="none"/>
              </w:rPr>
            </w:pPr>
            <w:r>
              <w:rPr>
                <w:rFonts w:ascii="Times New Roman" w:hAnsi="Times New Roman" w:eastAsia="宋体"/>
                <w:highlight w:val="none"/>
              </w:rPr>
              <w:t>预测排放浓度</w:t>
            </w:r>
          </w:p>
        </w:tc>
        <w:tc>
          <w:tcPr>
            <w:tcW w:w="993" w:type="dxa"/>
            <w:noWrap w:val="0"/>
            <w:vAlign w:val="center"/>
          </w:tcPr>
          <w:p w14:paraId="27D8005D">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SO2</w:t>
            </w:r>
          </w:p>
        </w:tc>
        <w:tc>
          <w:tcPr>
            <w:tcW w:w="2442" w:type="dxa"/>
            <w:noWrap w:val="0"/>
            <w:vAlign w:val="center"/>
          </w:tcPr>
          <w:p w14:paraId="3BFD4AC0">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75D8C91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9.746</w:t>
            </w:r>
          </w:p>
        </w:tc>
      </w:tr>
      <w:tr w14:paraId="0760AC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42A39AF">
            <w:pPr>
              <w:pStyle w:val="27"/>
              <w:rPr>
                <w:rFonts w:ascii="Times New Roman" w:hAnsi="Times New Roman" w:eastAsia="宋体"/>
                <w:highlight w:val="none"/>
              </w:rPr>
            </w:pPr>
          </w:p>
        </w:tc>
        <w:tc>
          <w:tcPr>
            <w:tcW w:w="750" w:type="dxa"/>
            <w:vMerge w:val="continue"/>
            <w:noWrap w:val="0"/>
            <w:vAlign w:val="center"/>
          </w:tcPr>
          <w:p w14:paraId="06297BB3">
            <w:pPr>
              <w:pStyle w:val="27"/>
              <w:rPr>
                <w:rFonts w:ascii="Times New Roman" w:hAnsi="Times New Roman" w:eastAsia="宋体"/>
                <w:highlight w:val="none"/>
              </w:rPr>
            </w:pPr>
          </w:p>
        </w:tc>
        <w:tc>
          <w:tcPr>
            <w:tcW w:w="1215" w:type="dxa"/>
            <w:noWrap w:val="0"/>
            <w:vAlign w:val="center"/>
          </w:tcPr>
          <w:p w14:paraId="5546F22C">
            <w:pPr>
              <w:pStyle w:val="27"/>
              <w:rPr>
                <w:rFonts w:ascii="Times New Roman" w:hAnsi="Times New Roman" w:eastAsia="宋体"/>
                <w:highlight w:val="none"/>
              </w:rPr>
            </w:pPr>
            <w:r>
              <w:rPr>
                <w:rFonts w:ascii="Times New Roman" w:hAnsi="Times New Roman" w:eastAsia="宋体"/>
                <w:highlight w:val="none"/>
              </w:rPr>
              <w:t>达标排放浓度</w:t>
            </w:r>
          </w:p>
        </w:tc>
        <w:tc>
          <w:tcPr>
            <w:tcW w:w="993" w:type="dxa"/>
            <w:noWrap w:val="0"/>
            <w:vAlign w:val="center"/>
          </w:tcPr>
          <w:p w14:paraId="04975F6D">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SO2</w:t>
            </w:r>
          </w:p>
        </w:tc>
        <w:tc>
          <w:tcPr>
            <w:tcW w:w="2442" w:type="dxa"/>
            <w:noWrap w:val="0"/>
            <w:vAlign w:val="center"/>
          </w:tcPr>
          <w:p w14:paraId="63872BCC">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0FD10BB1">
            <w:pPr>
              <w:pStyle w:val="27"/>
              <w:rPr>
                <w:rFonts w:ascii="Times New Roman" w:hAnsi="Times New Roman" w:eastAsia="宋体"/>
                <w:highlight w:val="none"/>
              </w:rPr>
            </w:pPr>
            <w:r>
              <w:rPr>
                <w:rFonts w:ascii="Times New Roman" w:hAnsi="Times New Roman" w:eastAsia="宋体"/>
                <w:highlight w:val="none"/>
              </w:rPr>
              <w:t>35</w:t>
            </w:r>
          </w:p>
        </w:tc>
      </w:tr>
      <w:tr w14:paraId="0E91C5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1A0F0CED">
            <w:pPr>
              <w:pStyle w:val="27"/>
              <w:rPr>
                <w:rFonts w:ascii="Times New Roman" w:hAnsi="Times New Roman" w:eastAsia="宋体"/>
                <w:highlight w:val="none"/>
              </w:rPr>
            </w:pPr>
          </w:p>
        </w:tc>
        <w:tc>
          <w:tcPr>
            <w:tcW w:w="750" w:type="dxa"/>
            <w:vMerge w:val="continue"/>
            <w:noWrap w:val="0"/>
            <w:vAlign w:val="center"/>
          </w:tcPr>
          <w:p w14:paraId="63321E5B">
            <w:pPr>
              <w:pStyle w:val="27"/>
              <w:rPr>
                <w:rFonts w:ascii="Times New Roman" w:hAnsi="Times New Roman" w:eastAsia="宋体"/>
                <w:highlight w:val="none"/>
              </w:rPr>
            </w:pPr>
          </w:p>
        </w:tc>
        <w:tc>
          <w:tcPr>
            <w:tcW w:w="1215" w:type="dxa"/>
            <w:vMerge w:val="restart"/>
            <w:noWrap w:val="0"/>
            <w:vAlign w:val="center"/>
          </w:tcPr>
          <w:p w14:paraId="6DF26824">
            <w:pPr>
              <w:pStyle w:val="27"/>
              <w:rPr>
                <w:rFonts w:ascii="Times New Roman" w:hAnsi="Times New Roman" w:eastAsia="宋体"/>
                <w:highlight w:val="none"/>
              </w:rPr>
            </w:pPr>
            <w:r>
              <w:rPr>
                <w:rFonts w:ascii="Times New Roman" w:hAnsi="Times New Roman" w:eastAsia="宋体"/>
                <w:highlight w:val="none"/>
              </w:rPr>
              <w:t>排放量</w:t>
            </w:r>
          </w:p>
        </w:tc>
        <w:tc>
          <w:tcPr>
            <w:tcW w:w="993" w:type="dxa"/>
            <w:vMerge w:val="restart"/>
            <w:noWrap w:val="0"/>
            <w:vAlign w:val="center"/>
          </w:tcPr>
          <w:p w14:paraId="15EE764E">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SO2</w:t>
            </w:r>
          </w:p>
        </w:tc>
        <w:tc>
          <w:tcPr>
            <w:tcW w:w="2442" w:type="dxa"/>
            <w:noWrap w:val="0"/>
            <w:vAlign w:val="center"/>
          </w:tcPr>
          <w:p w14:paraId="5A32E10D">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5832CBB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2.58</w:t>
            </w:r>
          </w:p>
        </w:tc>
      </w:tr>
      <w:tr w14:paraId="02B30A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3DD59E8">
            <w:pPr>
              <w:pStyle w:val="27"/>
              <w:rPr>
                <w:rFonts w:ascii="Times New Roman" w:hAnsi="Times New Roman" w:eastAsia="宋体"/>
                <w:highlight w:val="none"/>
              </w:rPr>
            </w:pPr>
          </w:p>
        </w:tc>
        <w:tc>
          <w:tcPr>
            <w:tcW w:w="750" w:type="dxa"/>
            <w:vMerge w:val="continue"/>
            <w:noWrap w:val="0"/>
            <w:vAlign w:val="center"/>
          </w:tcPr>
          <w:p w14:paraId="79B98790">
            <w:pPr>
              <w:pStyle w:val="27"/>
              <w:rPr>
                <w:rFonts w:ascii="Times New Roman" w:hAnsi="Times New Roman" w:eastAsia="宋体"/>
                <w:highlight w:val="none"/>
              </w:rPr>
            </w:pPr>
          </w:p>
        </w:tc>
        <w:tc>
          <w:tcPr>
            <w:tcW w:w="1215" w:type="dxa"/>
            <w:vMerge w:val="continue"/>
            <w:noWrap w:val="0"/>
            <w:vAlign w:val="center"/>
          </w:tcPr>
          <w:p w14:paraId="21B9DD37">
            <w:pPr>
              <w:pStyle w:val="27"/>
              <w:rPr>
                <w:rFonts w:ascii="Times New Roman" w:hAnsi="Times New Roman" w:eastAsia="宋体"/>
                <w:highlight w:val="none"/>
              </w:rPr>
            </w:pPr>
          </w:p>
        </w:tc>
        <w:tc>
          <w:tcPr>
            <w:tcW w:w="993" w:type="dxa"/>
            <w:vMerge w:val="continue"/>
            <w:noWrap w:val="0"/>
            <w:vAlign w:val="center"/>
          </w:tcPr>
          <w:p w14:paraId="32953E4D">
            <w:pPr>
              <w:pStyle w:val="27"/>
              <w:rPr>
                <w:rFonts w:ascii="Times New Roman" w:hAnsi="Times New Roman" w:eastAsia="宋体"/>
                <w:highlight w:val="none"/>
              </w:rPr>
            </w:pPr>
          </w:p>
        </w:tc>
        <w:tc>
          <w:tcPr>
            <w:tcW w:w="2442" w:type="dxa"/>
            <w:noWrap w:val="0"/>
            <w:vAlign w:val="center"/>
          </w:tcPr>
          <w:p w14:paraId="11F7D0BD">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5A120BDF">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1.12</w:t>
            </w:r>
          </w:p>
        </w:tc>
      </w:tr>
      <w:tr w14:paraId="7BC8CF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9FFD0FE">
            <w:pPr>
              <w:pStyle w:val="27"/>
              <w:rPr>
                <w:rFonts w:ascii="Times New Roman" w:hAnsi="Times New Roman" w:eastAsia="宋体"/>
                <w:highlight w:val="none"/>
              </w:rPr>
            </w:pPr>
          </w:p>
        </w:tc>
        <w:tc>
          <w:tcPr>
            <w:tcW w:w="750" w:type="dxa"/>
            <w:vMerge w:val="continue"/>
            <w:noWrap w:val="0"/>
            <w:vAlign w:val="center"/>
          </w:tcPr>
          <w:p w14:paraId="680F425C">
            <w:pPr>
              <w:pStyle w:val="27"/>
              <w:rPr>
                <w:rFonts w:ascii="Times New Roman" w:hAnsi="Times New Roman" w:eastAsia="宋体"/>
                <w:highlight w:val="none"/>
              </w:rPr>
            </w:pPr>
          </w:p>
        </w:tc>
        <w:tc>
          <w:tcPr>
            <w:tcW w:w="1215" w:type="dxa"/>
            <w:vMerge w:val="continue"/>
            <w:noWrap w:val="0"/>
            <w:vAlign w:val="center"/>
          </w:tcPr>
          <w:p w14:paraId="59D952B3">
            <w:pPr>
              <w:pStyle w:val="27"/>
              <w:rPr>
                <w:rFonts w:ascii="Times New Roman" w:hAnsi="Times New Roman" w:eastAsia="宋体"/>
                <w:highlight w:val="none"/>
              </w:rPr>
            </w:pPr>
          </w:p>
        </w:tc>
        <w:tc>
          <w:tcPr>
            <w:tcW w:w="993" w:type="dxa"/>
            <w:vMerge w:val="continue"/>
            <w:noWrap w:val="0"/>
            <w:vAlign w:val="center"/>
          </w:tcPr>
          <w:p w14:paraId="1393C75A">
            <w:pPr>
              <w:pStyle w:val="27"/>
              <w:rPr>
                <w:rFonts w:ascii="Times New Roman" w:hAnsi="Times New Roman" w:eastAsia="宋体"/>
                <w:highlight w:val="none"/>
              </w:rPr>
            </w:pPr>
          </w:p>
        </w:tc>
        <w:tc>
          <w:tcPr>
            <w:tcW w:w="2442" w:type="dxa"/>
            <w:noWrap w:val="0"/>
            <w:vAlign w:val="center"/>
          </w:tcPr>
          <w:p w14:paraId="20C9692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53AAA2FF">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2.91</w:t>
            </w:r>
          </w:p>
        </w:tc>
      </w:tr>
      <w:tr w14:paraId="222EF1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03185E4">
            <w:pPr>
              <w:pStyle w:val="27"/>
              <w:rPr>
                <w:rFonts w:ascii="Times New Roman" w:hAnsi="Times New Roman" w:eastAsia="宋体"/>
                <w:highlight w:val="none"/>
              </w:rPr>
            </w:pPr>
          </w:p>
        </w:tc>
        <w:tc>
          <w:tcPr>
            <w:tcW w:w="750" w:type="dxa"/>
            <w:vMerge w:val="continue"/>
            <w:noWrap w:val="0"/>
            <w:vAlign w:val="center"/>
          </w:tcPr>
          <w:p w14:paraId="68D34037">
            <w:pPr>
              <w:pStyle w:val="27"/>
              <w:rPr>
                <w:rFonts w:ascii="Times New Roman" w:hAnsi="Times New Roman" w:eastAsia="宋体"/>
                <w:highlight w:val="none"/>
              </w:rPr>
            </w:pPr>
          </w:p>
        </w:tc>
        <w:tc>
          <w:tcPr>
            <w:tcW w:w="1215" w:type="dxa"/>
            <w:vMerge w:val="continue"/>
            <w:noWrap w:val="0"/>
            <w:vAlign w:val="center"/>
          </w:tcPr>
          <w:p w14:paraId="25CB6BA2">
            <w:pPr>
              <w:pStyle w:val="27"/>
              <w:rPr>
                <w:rFonts w:ascii="Times New Roman" w:hAnsi="Times New Roman" w:eastAsia="宋体"/>
                <w:highlight w:val="none"/>
              </w:rPr>
            </w:pPr>
          </w:p>
        </w:tc>
        <w:tc>
          <w:tcPr>
            <w:tcW w:w="993" w:type="dxa"/>
            <w:vMerge w:val="continue"/>
            <w:noWrap w:val="0"/>
            <w:vAlign w:val="center"/>
          </w:tcPr>
          <w:p w14:paraId="2C3B40FC">
            <w:pPr>
              <w:pStyle w:val="27"/>
              <w:rPr>
                <w:rFonts w:ascii="Times New Roman" w:hAnsi="Times New Roman" w:eastAsia="宋体"/>
                <w:highlight w:val="none"/>
              </w:rPr>
            </w:pPr>
          </w:p>
        </w:tc>
        <w:tc>
          <w:tcPr>
            <w:tcW w:w="2442" w:type="dxa"/>
            <w:noWrap w:val="0"/>
            <w:vAlign w:val="center"/>
          </w:tcPr>
          <w:p w14:paraId="49848FF5">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4C20D33F">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1.12</w:t>
            </w:r>
          </w:p>
        </w:tc>
      </w:tr>
      <w:tr w14:paraId="0D0E62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43BE42AC">
            <w:pPr>
              <w:pStyle w:val="27"/>
              <w:rPr>
                <w:rFonts w:ascii="Times New Roman" w:hAnsi="Times New Roman" w:eastAsia="宋体"/>
                <w:highlight w:val="none"/>
              </w:rPr>
            </w:pPr>
          </w:p>
        </w:tc>
        <w:tc>
          <w:tcPr>
            <w:tcW w:w="750" w:type="dxa"/>
            <w:vMerge w:val="continue"/>
            <w:noWrap w:val="0"/>
            <w:vAlign w:val="center"/>
          </w:tcPr>
          <w:p w14:paraId="2CE9B1E6">
            <w:pPr>
              <w:pStyle w:val="27"/>
              <w:rPr>
                <w:rFonts w:ascii="Times New Roman" w:hAnsi="Times New Roman" w:eastAsia="宋体"/>
                <w:highlight w:val="none"/>
              </w:rPr>
            </w:pPr>
          </w:p>
        </w:tc>
        <w:tc>
          <w:tcPr>
            <w:tcW w:w="1215" w:type="dxa"/>
            <w:vMerge w:val="continue"/>
            <w:noWrap w:val="0"/>
            <w:vAlign w:val="center"/>
          </w:tcPr>
          <w:p w14:paraId="3E10CB46">
            <w:pPr>
              <w:pStyle w:val="27"/>
              <w:rPr>
                <w:rFonts w:ascii="Times New Roman" w:hAnsi="Times New Roman" w:eastAsia="宋体"/>
                <w:highlight w:val="none"/>
              </w:rPr>
            </w:pPr>
          </w:p>
        </w:tc>
        <w:tc>
          <w:tcPr>
            <w:tcW w:w="993" w:type="dxa"/>
            <w:vMerge w:val="continue"/>
            <w:noWrap w:val="0"/>
            <w:vAlign w:val="center"/>
          </w:tcPr>
          <w:p w14:paraId="2C3BED61">
            <w:pPr>
              <w:pStyle w:val="27"/>
              <w:rPr>
                <w:rFonts w:ascii="Times New Roman" w:hAnsi="Times New Roman" w:eastAsia="宋体"/>
                <w:highlight w:val="none"/>
              </w:rPr>
            </w:pPr>
          </w:p>
        </w:tc>
        <w:tc>
          <w:tcPr>
            <w:tcW w:w="2442" w:type="dxa"/>
            <w:noWrap w:val="0"/>
            <w:vAlign w:val="center"/>
          </w:tcPr>
          <w:p w14:paraId="582ADC9E">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2C173F31">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0.788</w:t>
            </w:r>
          </w:p>
        </w:tc>
      </w:tr>
      <w:tr w14:paraId="2F915A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2F35B4A4">
            <w:pPr>
              <w:pStyle w:val="27"/>
              <w:rPr>
                <w:rFonts w:ascii="Times New Roman" w:hAnsi="Times New Roman" w:eastAsia="宋体"/>
                <w:highlight w:val="none"/>
              </w:rPr>
            </w:pPr>
          </w:p>
        </w:tc>
        <w:tc>
          <w:tcPr>
            <w:tcW w:w="750" w:type="dxa"/>
            <w:vMerge w:val="continue"/>
            <w:noWrap w:val="0"/>
            <w:vAlign w:val="center"/>
          </w:tcPr>
          <w:p w14:paraId="73E342A7">
            <w:pPr>
              <w:pStyle w:val="27"/>
              <w:rPr>
                <w:rFonts w:ascii="Times New Roman" w:hAnsi="Times New Roman" w:eastAsia="宋体"/>
                <w:highlight w:val="none"/>
              </w:rPr>
            </w:pPr>
          </w:p>
        </w:tc>
        <w:tc>
          <w:tcPr>
            <w:tcW w:w="1215" w:type="dxa"/>
            <w:vMerge w:val="continue"/>
            <w:noWrap w:val="0"/>
            <w:vAlign w:val="center"/>
          </w:tcPr>
          <w:p w14:paraId="35C9415C">
            <w:pPr>
              <w:pStyle w:val="27"/>
              <w:rPr>
                <w:rFonts w:ascii="Times New Roman" w:hAnsi="Times New Roman" w:eastAsia="宋体"/>
                <w:highlight w:val="none"/>
              </w:rPr>
            </w:pPr>
          </w:p>
        </w:tc>
        <w:tc>
          <w:tcPr>
            <w:tcW w:w="993" w:type="dxa"/>
            <w:vMerge w:val="continue"/>
            <w:noWrap w:val="0"/>
            <w:vAlign w:val="center"/>
          </w:tcPr>
          <w:p w14:paraId="710F0653">
            <w:pPr>
              <w:pStyle w:val="27"/>
              <w:rPr>
                <w:rFonts w:ascii="Times New Roman" w:hAnsi="Times New Roman" w:eastAsia="宋体"/>
                <w:highlight w:val="none"/>
              </w:rPr>
            </w:pPr>
          </w:p>
        </w:tc>
        <w:tc>
          <w:tcPr>
            <w:tcW w:w="2442" w:type="dxa"/>
            <w:noWrap w:val="0"/>
            <w:vAlign w:val="center"/>
          </w:tcPr>
          <w:p w14:paraId="507D4BBD">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7F016C00">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7.352</w:t>
            </w:r>
          </w:p>
        </w:tc>
      </w:tr>
      <w:tr w14:paraId="4FAB7A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351E4AE">
            <w:pPr>
              <w:pStyle w:val="27"/>
              <w:rPr>
                <w:rFonts w:ascii="Times New Roman" w:hAnsi="Times New Roman" w:eastAsia="宋体"/>
                <w:highlight w:val="none"/>
              </w:rPr>
            </w:pPr>
          </w:p>
        </w:tc>
        <w:tc>
          <w:tcPr>
            <w:tcW w:w="750" w:type="dxa"/>
            <w:vMerge w:val="restart"/>
            <w:noWrap w:val="0"/>
            <w:vAlign w:val="center"/>
          </w:tcPr>
          <w:p w14:paraId="093DE01B">
            <w:pPr>
              <w:pStyle w:val="27"/>
              <w:rPr>
                <w:rFonts w:ascii="Times New Roman" w:hAnsi="Times New Roman" w:eastAsia="宋体"/>
                <w:highlight w:val="none"/>
              </w:rPr>
            </w:pPr>
            <w:r>
              <w:rPr>
                <w:rFonts w:ascii="Times New Roman" w:hAnsi="Times New Roman" w:eastAsia="宋体"/>
                <w:highlight w:val="none"/>
              </w:rPr>
              <w:t>NO</w:t>
            </w:r>
            <w:r>
              <w:rPr>
                <w:rFonts w:ascii="Times New Roman" w:hAnsi="Times New Roman" w:eastAsia="宋体"/>
                <w:highlight w:val="none"/>
                <w:vertAlign w:val="subscript"/>
              </w:rPr>
              <w:t>x</w:t>
            </w:r>
          </w:p>
        </w:tc>
        <w:tc>
          <w:tcPr>
            <w:tcW w:w="1215" w:type="dxa"/>
            <w:noWrap w:val="0"/>
            <w:vAlign w:val="center"/>
          </w:tcPr>
          <w:p w14:paraId="68BC6921">
            <w:pPr>
              <w:pStyle w:val="27"/>
              <w:rPr>
                <w:rFonts w:ascii="Times New Roman" w:hAnsi="Times New Roman" w:eastAsia="宋体"/>
                <w:highlight w:val="none"/>
              </w:rPr>
            </w:pPr>
            <w:r>
              <w:rPr>
                <w:rFonts w:ascii="Times New Roman" w:hAnsi="Times New Roman" w:eastAsia="宋体"/>
                <w:highlight w:val="none"/>
              </w:rPr>
              <w:t>产生浓度</w:t>
            </w:r>
          </w:p>
        </w:tc>
        <w:tc>
          <w:tcPr>
            <w:tcW w:w="993" w:type="dxa"/>
            <w:noWrap w:val="0"/>
            <w:vAlign w:val="center"/>
          </w:tcPr>
          <w:p w14:paraId="7DE5ADA9">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NOx</w:t>
            </w:r>
          </w:p>
        </w:tc>
        <w:tc>
          <w:tcPr>
            <w:tcW w:w="2442" w:type="dxa"/>
            <w:noWrap w:val="0"/>
            <w:vAlign w:val="center"/>
          </w:tcPr>
          <w:p w14:paraId="0C8B1E45">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53BF52F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916</w:t>
            </w:r>
          </w:p>
        </w:tc>
      </w:tr>
      <w:tr w14:paraId="4CADBDB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5D9093C">
            <w:pPr>
              <w:pStyle w:val="27"/>
              <w:rPr>
                <w:rFonts w:ascii="Times New Roman" w:hAnsi="Times New Roman" w:eastAsia="宋体"/>
                <w:highlight w:val="none"/>
              </w:rPr>
            </w:pPr>
          </w:p>
        </w:tc>
        <w:tc>
          <w:tcPr>
            <w:tcW w:w="750" w:type="dxa"/>
            <w:vMerge w:val="continue"/>
            <w:noWrap w:val="0"/>
            <w:vAlign w:val="center"/>
          </w:tcPr>
          <w:p w14:paraId="282458E1">
            <w:pPr>
              <w:pStyle w:val="27"/>
              <w:rPr>
                <w:rFonts w:ascii="Times New Roman" w:hAnsi="Times New Roman" w:eastAsia="宋体"/>
                <w:highlight w:val="none"/>
              </w:rPr>
            </w:pPr>
          </w:p>
        </w:tc>
        <w:tc>
          <w:tcPr>
            <w:tcW w:w="1215" w:type="dxa"/>
            <w:vMerge w:val="restart"/>
            <w:noWrap w:val="0"/>
            <w:vAlign w:val="center"/>
          </w:tcPr>
          <w:p w14:paraId="51B65806">
            <w:pPr>
              <w:pStyle w:val="27"/>
              <w:rPr>
                <w:rFonts w:ascii="Times New Roman" w:hAnsi="Times New Roman" w:eastAsia="宋体"/>
                <w:highlight w:val="none"/>
              </w:rPr>
            </w:pPr>
            <w:r>
              <w:rPr>
                <w:rFonts w:ascii="Times New Roman" w:hAnsi="Times New Roman" w:eastAsia="宋体"/>
                <w:highlight w:val="none"/>
              </w:rPr>
              <w:t>产生量</w:t>
            </w:r>
          </w:p>
        </w:tc>
        <w:tc>
          <w:tcPr>
            <w:tcW w:w="993" w:type="dxa"/>
            <w:vMerge w:val="restart"/>
            <w:noWrap w:val="0"/>
            <w:vAlign w:val="center"/>
          </w:tcPr>
          <w:p w14:paraId="468BBFF6">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NOx</w:t>
            </w:r>
          </w:p>
        </w:tc>
        <w:tc>
          <w:tcPr>
            <w:tcW w:w="2442" w:type="dxa"/>
            <w:noWrap w:val="0"/>
            <w:vAlign w:val="center"/>
          </w:tcPr>
          <w:p w14:paraId="6A0007E8">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4550D66C">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240</w:t>
            </w:r>
          </w:p>
        </w:tc>
      </w:tr>
      <w:tr w14:paraId="27A99C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03E931C">
            <w:pPr>
              <w:pStyle w:val="27"/>
              <w:rPr>
                <w:rFonts w:ascii="Times New Roman" w:hAnsi="Times New Roman" w:eastAsia="宋体"/>
                <w:highlight w:val="none"/>
              </w:rPr>
            </w:pPr>
          </w:p>
        </w:tc>
        <w:tc>
          <w:tcPr>
            <w:tcW w:w="750" w:type="dxa"/>
            <w:vMerge w:val="continue"/>
            <w:noWrap w:val="0"/>
            <w:vAlign w:val="center"/>
          </w:tcPr>
          <w:p w14:paraId="28C7B471">
            <w:pPr>
              <w:pStyle w:val="27"/>
              <w:rPr>
                <w:rFonts w:ascii="Times New Roman" w:hAnsi="Times New Roman" w:eastAsia="宋体"/>
                <w:highlight w:val="none"/>
              </w:rPr>
            </w:pPr>
          </w:p>
        </w:tc>
        <w:tc>
          <w:tcPr>
            <w:tcW w:w="1215" w:type="dxa"/>
            <w:vMerge w:val="continue"/>
            <w:noWrap w:val="0"/>
            <w:vAlign w:val="center"/>
          </w:tcPr>
          <w:p w14:paraId="3A76896D">
            <w:pPr>
              <w:pStyle w:val="27"/>
              <w:rPr>
                <w:rFonts w:ascii="Times New Roman" w:hAnsi="Times New Roman" w:eastAsia="宋体"/>
                <w:highlight w:val="none"/>
              </w:rPr>
            </w:pPr>
          </w:p>
        </w:tc>
        <w:tc>
          <w:tcPr>
            <w:tcW w:w="993" w:type="dxa"/>
            <w:vMerge w:val="continue"/>
            <w:noWrap w:val="0"/>
            <w:vAlign w:val="center"/>
          </w:tcPr>
          <w:p w14:paraId="23DA3580">
            <w:pPr>
              <w:pStyle w:val="27"/>
              <w:rPr>
                <w:rFonts w:ascii="Times New Roman" w:hAnsi="Times New Roman" w:eastAsia="宋体"/>
                <w:highlight w:val="none"/>
              </w:rPr>
            </w:pPr>
          </w:p>
        </w:tc>
        <w:tc>
          <w:tcPr>
            <w:tcW w:w="2442" w:type="dxa"/>
            <w:noWrap w:val="0"/>
            <w:vAlign w:val="center"/>
          </w:tcPr>
          <w:p w14:paraId="2E301287">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418E1569">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105</w:t>
            </w:r>
          </w:p>
        </w:tc>
      </w:tr>
      <w:tr w14:paraId="4C749C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247A93D2">
            <w:pPr>
              <w:pStyle w:val="27"/>
              <w:rPr>
                <w:rFonts w:ascii="Times New Roman" w:hAnsi="Times New Roman" w:eastAsia="宋体"/>
                <w:highlight w:val="none"/>
              </w:rPr>
            </w:pPr>
          </w:p>
        </w:tc>
        <w:tc>
          <w:tcPr>
            <w:tcW w:w="750" w:type="dxa"/>
            <w:vMerge w:val="continue"/>
            <w:noWrap w:val="0"/>
            <w:vAlign w:val="center"/>
          </w:tcPr>
          <w:p w14:paraId="1C5CF677">
            <w:pPr>
              <w:pStyle w:val="27"/>
              <w:rPr>
                <w:rFonts w:ascii="Times New Roman" w:hAnsi="Times New Roman" w:eastAsia="宋体"/>
                <w:highlight w:val="none"/>
              </w:rPr>
            </w:pPr>
          </w:p>
        </w:tc>
        <w:tc>
          <w:tcPr>
            <w:tcW w:w="1215" w:type="dxa"/>
            <w:vMerge w:val="continue"/>
            <w:noWrap w:val="0"/>
            <w:vAlign w:val="center"/>
          </w:tcPr>
          <w:p w14:paraId="5FC03B96">
            <w:pPr>
              <w:pStyle w:val="27"/>
              <w:rPr>
                <w:rFonts w:ascii="Times New Roman" w:hAnsi="Times New Roman" w:eastAsia="宋体"/>
                <w:highlight w:val="none"/>
              </w:rPr>
            </w:pPr>
          </w:p>
        </w:tc>
        <w:tc>
          <w:tcPr>
            <w:tcW w:w="993" w:type="dxa"/>
            <w:vMerge w:val="continue"/>
            <w:noWrap w:val="0"/>
            <w:vAlign w:val="center"/>
          </w:tcPr>
          <w:p w14:paraId="328A71FC">
            <w:pPr>
              <w:pStyle w:val="27"/>
              <w:rPr>
                <w:rFonts w:ascii="Times New Roman" w:hAnsi="Times New Roman" w:eastAsia="宋体"/>
                <w:highlight w:val="none"/>
              </w:rPr>
            </w:pPr>
          </w:p>
        </w:tc>
        <w:tc>
          <w:tcPr>
            <w:tcW w:w="2442" w:type="dxa"/>
            <w:noWrap w:val="0"/>
            <w:vAlign w:val="center"/>
          </w:tcPr>
          <w:p w14:paraId="59136AF7">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18F05452">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271</w:t>
            </w:r>
          </w:p>
        </w:tc>
      </w:tr>
      <w:tr w14:paraId="56F2AFD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798A0748">
            <w:pPr>
              <w:pStyle w:val="27"/>
              <w:rPr>
                <w:rFonts w:ascii="Times New Roman" w:hAnsi="Times New Roman" w:eastAsia="宋体"/>
                <w:highlight w:val="none"/>
              </w:rPr>
            </w:pPr>
          </w:p>
        </w:tc>
        <w:tc>
          <w:tcPr>
            <w:tcW w:w="750" w:type="dxa"/>
            <w:vMerge w:val="continue"/>
            <w:noWrap w:val="0"/>
            <w:vAlign w:val="center"/>
          </w:tcPr>
          <w:p w14:paraId="7D3E6998">
            <w:pPr>
              <w:pStyle w:val="27"/>
              <w:rPr>
                <w:rFonts w:ascii="Times New Roman" w:hAnsi="Times New Roman" w:eastAsia="宋体"/>
                <w:highlight w:val="none"/>
              </w:rPr>
            </w:pPr>
          </w:p>
        </w:tc>
        <w:tc>
          <w:tcPr>
            <w:tcW w:w="1215" w:type="dxa"/>
            <w:vMerge w:val="continue"/>
            <w:noWrap w:val="0"/>
            <w:vAlign w:val="center"/>
          </w:tcPr>
          <w:p w14:paraId="2C950033">
            <w:pPr>
              <w:pStyle w:val="27"/>
              <w:rPr>
                <w:rFonts w:ascii="Times New Roman" w:hAnsi="Times New Roman" w:eastAsia="宋体"/>
                <w:highlight w:val="none"/>
              </w:rPr>
            </w:pPr>
          </w:p>
        </w:tc>
        <w:tc>
          <w:tcPr>
            <w:tcW w:w="993" w:type="dxa"/>
            <w:vMerge w:val="continue"/>
            <w:noWrap w:val="0"/>
            <w:vAlign w:val="center"/>
          </w:tcPr>
          <w:p w14:paraId="15DD8987">
            <w:pPr>
              <w:pStyle w:val="27"/>
              <w:rPr>
                <w:rFonts w:ascii="Times New Roman" w:hAnsi="Times New Roman" w:eastAsia="宋体"/>
                <w:highlight w:val="none"/>
              </w:rPr>
            </w:pPr>
          </w:p>
        </w:tc>
        <w:tc>
          <w:tcPr>
            <w:tcW w:w="2442" w:type="dxa"/>
            <w:noWrap w:val="0"/>
            <w:vAlign w:val="center"/>
          </w:tcPr>
          <w:p w14:paraId="3A479EFC">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6F6EB7A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105</w:t>
            </w:r>
          </w:p>
        </w:tc>
      </w:tr>
      <w:tr w14:paraId="7A6432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00F7292">
            <w:pPr>
              <w:pStyle w:val="27"/>
              <w:rPr>
                <w:rFonts w:ascii="Times New Roman" w:hAnsi="Times New Roman" w:eastAsia="宋体"/>
                <w:highlight w:val="none"/>
              </w:rPr>
            </w:pPr>
          </w:p>
        </w:tc>
        <w:tc>
          <w:tcPr>
            <w:tcW w:w="750" w:type="dxa"/>
            <w:vMerge w:val="continue"/>
            <w:noWrap w:val="0"/>
            <w:vAlign w:val="center"/>
          </w:tcPr>
          <w:p w14:paraId="1DFDAA1B">
            <w:pPr>
              <w:pStyle w:val="27"/>
              <w:rPr>
                <w:rFonts w:ascii="Times New Roman" w:hAnsi="Times New Roman" w:eastAsia="宋体"/>
                <w:highlight w:val="none"/>
              </w:rPr>
            </w:pPr>
          </w:p>
        </w:tc>
        <w:tc>
          <w:tcPr>
            <w:tcW w:w="1215" w:type="dxa"/>
            <w:vMerge w:val="continue"/>
            <w:noWrap w:val="0"/>
            <w:vAlign w:val="center"/>
          </w:tcPr>
          <w:p w14:paraId="37F09750">
            <w:pPr>
              <w:pStyle w:val="27"/>
              <w:rPr>
                <w:rFonts w:ascii="Times New Roman" w:hAnsi="Times New Roman" w:eastAsia="宋体"/>
                <w:highlight w:val="none"/>
              </w:rPr>
            </w:pPr>
          </w:p>
        </w:tc>
        <w:tc>
          <w:tcPr>
            <w:tcW w:w="993" w:type="dxa"/>
            <w:vMerge w:val="continue"/>
            <w:noWrap w:val="0"/>
            <w:vAlign w:val="center"/>
          </w:tcPr>
          <w:p w14:paraId="3CFEC269">
            <w:pPr>
              <w:pStyle w:val="27"/>
              <w:rPr>
                <w:rFonts w:ascii="Times New Roman" w:hAnsi="Times New Roman" w:eastAsia="宋体"/>
                <w:highlight w:val="none"/>
              </w:rPr>
            </w:pPr>
          </w:p>
        </w:tc>
        <w:tc>
          <w:tcPr>
            <w:tcW w:w="2442" w:type="dxa"/>
            <w:noWrap w:val="0"/>
            <w:vAlign w:val="center"/>
          </w:tcPr>
          <w:p w14:paraId="374A2073">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50B4208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74</w:t>
            </w:r>
          </w:p>
        </w:tc>
      </w:tr>
      <w:tr w14:paraId="16FCA6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15533BE0">
            <w:pPr>
              <w:pStyle w:val="27"/>
              <w:rPr>
                <w:rFonts w:ascii="Times New Roman" w:hAnsi="Times New Roman" w:eastAsia="宋体"/>
                <w:highlight w:val="none"/>
              </w:rPr>
            </w:pPr>
          </w:p>
        </w:tc>
        <w:tc>
          <w:tcPr>
            <w:tcW w:w="750" w:type="dxa"/>
            <w:vMerge w:val="continue"/>
            <w:noWrap w:val="0"/>
            <w:vAlign w:val="center"/>
          </w:tcPr>
          <w:p w14:paraId="4A0BF25C">
            <w:pPr>
              <w:pStyle w:val="27"/>
              <w:rPr>
                <w:rFonts w:ascii="Times New Roman" w:hAnsi="Times New Roman" w:eastAsia="宋体"/>
                <w:highlight w:val="none"/>
              </w:rPr>
            </w:pPr>
          </w:p>
        </w:tc>
        <w:tc>
          <w:tcPr>
            <w:tcW w:w="1215" w:type="dxa"/>
            <w:vMerge w:val="continue"/>
            <w:noWrap w:val="0"/>
            <w:vAlign w:val="center"/>
          </w:tcPr>
          <w:p w14:paraId="22D61E7A">
            <w:pPr>
              <w:pStyle w:val="27"/>
              <w:rPr>
                <w:rFonts w:ascii="Times New Roman" w:hAnsi="Times New Roman" w:eastAsia="宋体"/>
                <w:highlight w:val="none"/>
              </w:rPr>
            </w:pPr>
          </w:p>
        </w:tc>
        <w:tc>
          <w:tcPr>
            <w:tcW w:w="993" w:type="dxa"/>
            <w:vMerge w:val="continue"/>
            <w:noWrap w:val="0"/>
            <w:vAlign w:val="center"/>
          </w:tcPr>
          <w:p w14:paraId="5260A8EF">
            <w:pPr>
              <w:pStyle w:val="27"/>
              <w:rPr>
                <w:rFonts w:ascii="Times New Roman" w:hAnsi="Times New Roman" w:eastAsia="宋体"/>
                <w:highlight w:val="none"/>
              </w:rPr>
            </w:pPr>
          </w:p>
        </w:tc>
        <w:tc>
          <w:tcPr>
            <w:tcW w:w="2442" w:type="dxa"/>
            <w:noWrap w:val="0"/>
            <w:vAlign w:val="center"/>
          </w:tcPr>
          <w:p w14:paraId="1010F390">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433911C6">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687.024</w:t>
            </w:r>
          </w:p>
        </w:tc>
      </w:tr>
      <w:tr w14:paraId="14C300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415AEBE">
            <w:pPr>
              <w:pStyle w:val="27"/>
              <w:rPr>
                <w:rFonts w:ascii="Times New Roman" w:hAnsi="Times New Roman" w:eastAsia="宋体"/>
                <w:highlight w:val="none"/>
              </w:rPr>
            </w:pPr>
          </w:p>
        </w:tc>
        <w:tc>
          <w:tcPr>
            <w:tcW w:w="750" w:type="dxa"/>
            <w:vMerge w:val="continue"/>
            <w:noWrap w:val="0"/>
            <w:vAlign w:val="center"/>
          </w:tcPr>
          <w:p w14:paraId="6F2C7CEE">
            <w:pPr>
              <w:pStyle w:val="27"/>
              <w:rPr>
                <w:rFonts w:ascii="Times New Roman" w:hAnsi="Times New Roman" w:eastAsia="宋体"/>
                <w:highlight w:val="none"/>
              </w:rPr>
            </w:pPr>
          </w:p>
        </w:tc>
        <w:tc>
          <w:tcPr>
            <w:tcW w:w="1215" w:type="dxa"/>
            <w:noWrap w:val="0"/>
            <w:vAlign w:val="center"/>
          </w:tcPr>
          <w:p w14:paraId="0D39BD33">
            <w:pPr>
              <w:pStyle w:val="27"/>
              <w:rPr>
                <w:rFonts w:ascii="Times New Roman" w:hAnsi="Times New Roman" w:eastAsia="宋体"/>
                <w:highlight w:val="none"/>
              </w:rPr>
            </w:pPr>
            <w:r>
              <w:rPr>
                <w:rFonts w:ascii="Times New Roman" w:hAnsi="Times New Roman" w:eastAsia="宋体"/>
                <w:highlight w:val="none"/>
              </w:rPr>
              <w:t>预测排放浓度</w:t>
            </w:r>
          </w:p>
        </w:tc>
        <w:tc>
          <w:tcPr>
            <w:tcW w:w="993" w:type="dxa"/>
            <w:noWrap w:val="0"/>
            <w:vAlign w:val="center"/>
          </w:tcPr>
          <w:p w14:paraId="01E7CD4B">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NOx</w:t>
            </w:r>
          </w:p>
        </w:tc>
        <w:tc>
          <w:tcPr>
            <w:tcW w:w="2442" w:type="dxa"/>
            <w:noWrap w:val="0"/>
            <w:vAlign w:val="center"/>
          </w:tcPr>
          <w:p w14:paraId="3809A785">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617DC928">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9.07</w:t>
            </w:r>
          </w:p>
        </w:tc>
      </w:tr>
      <w:tr w14:paraId="44A880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48C5E7F">
            <w:pPr>
              <w:pStyle w:val="27"/>
              <w:rPr>
                <w:rFonts w:ascii="Times New Roman" w:hAnsi="Times New Roman" w:eastAsia="宋体"/>
                <w:highlight w:val="none"/>
              </w:rPr>
            </w:pPr>
          </w:p>
        </w:tc>
        <w:tc>
          <w:tcPr>
            <w:tcW w:w="750" w:type="dxa"/>
            <w:vMerge w:val="continue"/>
            <w:noWrap w:val="0"/>
            <w:vAlign w:val="center"/>
          </w:tcPr>
          <w:p w14:paraId="299F713B">
            <w:pPr>
              <w:pStyle w:val="27"/>
              <w:rPr>
                <w:rFonts w:ascii="Times New Roman" w:hAnsi="Times New Roman" w:eastAsia="宋体"/>
                <w:highlight w:val="none"/>
              </w:rPr>
            </w:pPr>
          </w:p>
        </w:tc>
        <w:tc>
          <w:tcPr>
            <w:tcW w:w="1215" w:type="dxa"/>
            <w:noWrap w:val="0"/>
            <w:vAlign w:val="center"/>
          </w:tcPr>
          <w:p w14:paraId="33D70E80">
            <w:pPr>
              <w:pStyle w:val="27"/>
              <w:rPr>
                <w:rFonts w:ascii="Times New Roman" w:hAnsi="Times New Roman" w:eastAsia="宋体"/>
                <w:highlight w:val="none"/>
              </w:rPr>
            </w:pPr>
            <w:r>
              <w:rPr>
                <w:rFonts w:ascii="Times New Roman" w:hAnsi="Times New Roman" w:eastAsia="宋体"/>
                <w:highlight w:val="none"/>
              </w:rPr>
              <w:t>达标排放浓度</w:t>
            </w:r>
          </w:p>
        </w:tc>
        <w:tc>
          <w:tcPr>
            <w:tcW w:w="993" w:type="dxa"/>
            <w:noWrap w:val="0"/>
            <w:vAlign w:val="center"/>
          </w:tcPr>
          <w:p w14:paraId="1611A7CB">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NOx</w:t>
            </w:r>
          </w:p>
        </w:tc>
        <w:tc>
          <w:tcPr>
            <w:tcW w:w="2442" w:type="dxa"/>
            <w:noWrap w:val="0"/>
            <w:vAlign w:val="center"/>
          </w:tcPr>
          <w:p w14:paraId="2B635173">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20105378">
            <w:pPr>
              <w:pStyle w:val="27"/>
              <w:rPr>
                <w:rFonts w:ascii="Times New Roman" w:hAnsi="Times New Roman" w:eastAsia="宋体"/>
                <w:highlight w:val="none"/>
              </w:rPr>
            </w:pPr>
            <w:r>
              <w:rPr>
                <w:rFonts w:ascii="Times New Roman" w:hAnsi="Times New Roman" w:eastAsia="宋体"/>
                <w:highlight w:val="none"/>
              </w:rPr>
              <w:t>50</w:t>
            </w:r>
          </w:p>
        </w:tc>
      </w:tr>
      <w:tr w14:paraId="7744A44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58" w:type="dxa"/>
            <w:vMerge w:val="continue"/>
            <w:noWrap w:val="0"/>
            <w:vAlign w:val="center"/>
          </w:tcPr>
          <w:p w14:paraId="7EC1D7E9">
            <w:pPr>
              <w:pStyle w:val="27"/>
              <w:rPr>
                <w:rFonts w:ascii="Times New Roman" w:hAnsi="Times New Roman" w:eastAsia="宋体"/>
                <w:highlight w:val="none"/>
              </w:rPr>
            </w:pPr>
          </w:p>
        </w:tc>
        <w:tc>
          <w:tcPr>
            <w:tcW w:w="750" w:type="dxa"/>
            <w:vMerge w:val="continue"/>
            <w:noWrap w:val="0"/>
            <w:vAlign w:val="center"/>
          </w:tcPr>
          <w:p w14:paraId="6B36140F">
            <w:pPr>
              <w:pStyle w:val="27"/>
              <w:rPr>
                <w:rFonts w:ascii="Times New Roman" w:hAnsi="Times New Roman" w:eastAsia="宋体"/>
                <w:highlight w:val="none"/>
              </w:rPr>
            </w:pPr>
          </w:p>
        </w:tc>
        <w:tc>
          <w:tcPr>
            <w:tcW w:w="1215" w:type="dxa"/>
            <w:vMerge w:val="restart"/>
            <w:noWrap w:val="0"/>
            <w:vAlign w:val="center"/>
          </w:tcPr>
          <w:p w14:paraId="049C89F4">
            <w:pPr>
              <w:pStyle w:val="27"/>
              <w:rPr>
                <w:rFonts w:ascii="Times New Roman" w:hAnsi="Times New Roman" w:eastAsia="宋体"/>
                <w:highlight w:val="none"/>
              </w:rPr>
            </w:pPr>
            <w:r>
              <w:rPr>
                <w:rFonts w:ascii="Times New Roman" w:hAnsi="Times New Roman" w:eastAsia="宋体"/>
                <w:highlight w:val="none"/>
              </w:rPr>
              <w:t>排放量</w:t>
            </w:r>
          </w:p>
        </w:tc>
        <w:tc>
          <w:tcPr>
            <w:tcW w:w="993" w:type="dxa"/>
            <w:vMerge w:val="restart"/>
            <w:noWrap w:val="0"/>
            <w:vAlign w:val="center"/>
          </w:tcPr>
          <w:p w14:paraId="28D6FB5A">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NOx</w:t>
            </w:r>
          </w:p>
        </w:tc>
        <w:tc>
          <w:tcPr>
            <w:tcW w:w="2442" w:type="dxa"/>
            <w:noWrap w:val="0"/>
            <w:vAlign w:val="center"/>
          </w:tcPr>
          <w:p w14:paraId="3E50AA2B">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27A397E0">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2.4</w:t>
            </w:r>
          </w:p>
        </w:tc>
      </w:tr>
      <w:tr w14:paraId="698B73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B6530EB">
            <w:pPr>
              <w:pStyle w:val="27"/>
              <w:rPr>
                <w:rFonts w:ascii="Times New Roman" w:hAnsi="Times New Roman" w:eastAsia="宋体"/>
                <w:highlight w:val="none"/>
              </w:rPr>
            </w:pPr>
          </w:p>
        </w:tc>
        <w:tc>
          <w:tcPr>
            <w:tcW w:w="750" w:type="dxa"/>
            <w:vMerge w:val="continue"/>
            <w:noWrap w:val="0"/>
            <w:vAlign w:val="center"/>
          </w:tcPr>
          <w:p w14:paraId="42668A5D">
            <w:pPr>
              <w:pStyle w:val="27"/>
              <w:rPr>
                <w:rFonts w:ascii="Times New Roman" w:hAnsi="Times New Roman" w:eastAsia="宋体"/>
                <w:highlight w:val="none"/>
              </w:rPr>
            </w:pPr>
          </w:p>
        </w:tc>
        <w:tc>
          <w:tcPr>
            <w:tcW w:w="1215" w:type="dxa"/>
            <w:vMerge w:val="continue"/>
            <w:noWrap w:val="0"/>
            <w:vAlign w:val="center"/>
          </w:tcPr>
          <w:p w14:paraId="3A949A28">
            <w:pPr>
              <w:pStyle w:val="27"/>
              <w:rPr>
                <w:rFonts w:ascii="Times New Roman" w:hAnsi="Times New Roman" w:eastAsia="宋体"/>
                <w:highlight w:val="none"/>
              </w:rPr>
            </w:pPr>
          </w:p>
        </w:tc>
        <w:tc>
          <w:tcPr>
            <w:tcW w:w="993" w:type="dxa"/>
            <w:vMerge w:val="continue"/>
            <w:noWrap w:val="0"/>
            <w:vAlign w:val="center"/>
          </w:tcPr>
          <w:p w14:paraId="005E0503">
            <w:pPr>
              <w:pStyle w:val="27"/>
              <w:rPr>
                <w:rFonts w:ascii="Times New Roman" w:hAnsi="Times New Roman" w:eastAsia="宋体"/>
                <w:highlight w:val="none"/>
              </w:rPr>
            </w:pPr>
          </w:p>
        </w:tc>
        <w:tc>
          <w:tcPr>
            <w:tcW w:w="2442" w:type="dxa"/>
            <w:noWrap w:val="0"/>
            <w:vAlign w:val="center"/>
          </w:tcPr>
          <w:p w14:paraId="117EA21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398AEFE2">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1.05</w:t>
            </w:r>
          </w:p>
        </w:tc>
      </w:tr>
      <w:tr w14:paraId="72181E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B848858">
            <w:pPr>
              <w:pStyle w:val="27"/>
              <w:rPr>
                <w:rFonts w:ascii="Times New Roman" w:hAnsi="Times New Roman" w:eastAsia="宋体"/>
                <w:highlight w:val="none"/>
              </w:rPr>
            </w:pPr>
          </w:p>
        </w:tc>
        <w:tc>
          <w:tcPr>
            <w:tcW w:w="750" w:type="dxa"/>
            <w:vMerge w:val="continue"/>
            <w:noWrap w:val="0"/>
            <w:vAlign w:val="center"/>
          </w:tcPr>
          <w:p w14:paraId="694E6D8C">
            <w:pPr>
              <w:pStyle w:val="27"/>
              <w:rPr>
                <w:rFonts w:ascii="Times New Roman" w:hAnsi="Times New Roman" w:eastAsia="宋体"/>
                <w:highlight w:val="none"/>
              </w:rPr>
            </w:pPr>
          </w:p>
        </w:tc>
        <w:tc>
          <w:tcPr>
            <w:tcW w:w="1215" w:type="dxa"/>
            <w:vMerge w:val="continue"/>
            <w:noWrap w:val="0"/>
            <w:vAlign w:val="center"/>
          </w:tcPr>
          <w:p w14:paraId="77B1A15F">
            <w:pPr>
              <w:pStyle w:val="27"/>
              <w:rPr>
                <w:rFonts w:ascii="Times New Roman" w:hAnsi="Times New Roman" w:eastAsia="宋体"/>
                <w:highlight w:val="none"/>
              </w:rPr>
            </w:pPr>
          </w:p>
        </w:tc>
        <w:tc>
          <w:tcPr>
            <w:tcW w:w="993" w:type="dxa"/>
            <w:vMerge w:val="continue"/>
            <w:noWrap w:val="0"/>
            <w:vAlign w:val="center"/>
          </w:tcPr>
          <w:p w14:paraId="51531DF9">
            <w:pPr>
              <w:pStyle w:val="27"/>
              <w:rPr>
                <w:rFonts w:ascii="Times New Roman" w:hAnsi="Times New Roman" w:eastAsia="宋体"/>
                <w:highlight w:val="none"/>
              </w:rPr>
            </w:pPr>
          </w:p>
        </w:tc>
        <w:tc>
          <w:tcPr>
            <w:tcW w:w="2442" w:type="dxa"/>
            <w:noWrap w:val="0"/>
            <w:vAlign w:val="center"/>
          </w:tcPr>
          <w:p w14:paraId="4699602D">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50404739">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2.71</w:t>
            </w:r>
          </w:p>
        </w:tc>
      </w:tr>
      <w:tr w14:paraId="2CCB9B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B68D831">
            <w:pPr>
              <w:pStyle w:val="27"/>
              <w:rPr>
                <w:rFonts w:ascii="Times New Roman" w:hAnsi="Times New Roman" w:eastAsia="宋体"/>
                <w:highlight w:val="none"/>
              </w:rPr>
            </w:pPr>
          </w:p>
        </w:tc>
        <w:tc>
          <w:tcPr>
            <w:tcW w:w="750" w:type="dxa"/>
            <w:vMerge w:val="continue"/>
            <w:noWrap w:val="0"/>
            <w:vAlign w:val="center"/>
          </w:tcPr>
          <w:p w14:paraId="7AFFB7E7">
            <w:pPr>
              <w:pStyle w:val="27"/>
              <w:rPr>
                <w:rFonts w:ascii="Times New Roman" w:hAnsi="Times New Roman" w:eastAsia="宋体"/>
                <w:highlight w:val="none"/>
              </w:rPr>
            </w:pPr>
          </w:p>
        </w:tc>
        <w:tc>
          <w:tcPr>
            <w:tcW w:w="1215" w:type="dxa"/>
            <w:vMerge w:val="continue"/>
            <w:noWrap w:val="0"/>
            <w:vAlign w:val="center"/>
          </w:tcPr>
          <w:p w14:paraId="5541E766">
            <w:pPr>
              <w:pStyle w:val="27"/>
              <w:rPr>
                <w:rFonts w:ascii="Times New Roman" w:hAnsi="Times New Roman" w:eastAsia="宋体"/>
                <w:highlight w:val="none"/>
              </w:rPr>
            </w:pPr>
          </w:p>
        </w:tc>
        <w:tc>
          <w:tcPr>
            <w:tcW w:w="993" w:type="dxa"/>
            <w:vMerge w:val="continue"/>
            <w:noWrap w:val="0"/>
            <w:vAlign w:val="center"/>
          </w:tcPr>
          <w:p w14:paraId="62A2687B">
            <w:pPr>
              <w:pStyle w:val="27"/>
              <w:rPr>
                <w:rFonts w:ascii="Times New Roman" w:hAnsi="Times New Roman" w:eastAsia="宋体"/>
                <w:highlight w:val="none"/>
              </w:rPr>
            </w:pPr>
          </w:p>
        </w:tc>
        <w:tc>
          <w:tcPr>
            <w:tcW w:w="2442" w:type="dxa"/>
            <w:noWrap w:val="0"/>
            <w:vAlign w:val="center"/>
          </w:tcPr>
          <w:p w14:paraId="5D60209D">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7E7C9979">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1.05</w:t>
            </w:r>
          </w:p>
        </w:tc>
      </w:tr>
      <w:tr w14:paraId="7B8EC7F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7F31797">
            <w:pPr>
              <w:pStyle w:val="27"/>
              <w:rPr>
                <w:rFonts w:ascii="Times New Roman" w:hAnsi="Times New Roman" w:eastAsia="宋体"/>
                <w:highlight w:val="none"/>
              </w:rPr>
            </w:pPr>
          </w:p>
        </w:tc>
        <w:tc>
          <w:tcPr>
            <w:tcW w:w="750" w:type="dxa"/>
            <w:vMerge w:val="continue"/>
            <w:noWrap w:val="0"/>
            <w:vAlign w:val="center"/>
          </w:tcPr>
          <w:p w14:paraId="7DC39943">
            <w:pPr>
              <w:pStyle w:val="27"/>
              <w:rPr>
                <w:rFonts w:ascii="Times New Roman" w:hAnsi="Times New Roman" w:eastAsia="宋体"/>
                <w:highlight w:val="none"/>
              </w:rPr>
            </w:pPr>
          </w:p>
        </w:tc>
        <w:tc>
          <w:tcPr>
            <w:tcW w:w="1215" w:type="dxa"/>
            <w:vMerge w:val="continue"/>
            <w:noWrap w:val="0"/>
            <w:vAlign w:val="center"/>
          </w:tcPr>
          <w:p w14:paraId="20600932">
            <w:pPr>
              <w:pStyle w:val="27"/>
              <w:rPr>
                <w:rFonts w:ascii="Times New Roman" w:hAnsi="Times New Roman" w:eastAsia="宋体"/>
                <w:highlight w:val="none"/>
              </w:rPr>
            </w:pPr>
          </w:p>
        </w:tc>
        <w:tc>
          <w:tcPr>
            <w:tcW w:w="993" w:type="dxa"/>
            <w:vMerge w:val="continue"/>
            <w:noWrap w:val="0"/>
            <w:vAlign w:val="center"/>
          </w:tcPr>
          <w:p w14:paraId="40C4621E">
            <w:pPr>
              <w:pStyle w:val="27"/>
              <w:rPr>
                <w:rFonts w:ascii="Times New Roman" w:hAnsi="Times New Roman" w:eastAsia="宋体"/>
                <w:highlight w:val="none"/>
              </w:rPr>
            </w:pPr>
          </w:p>
        </w:tc>
        <w:tc>
          <w:tcPr>
            <w:tcW w:w="2442" w:type="dxa"/>
            <w:noWrap w:val="0"/>
            <w:vAlign w:val="center"/>
          </w:tcPr>
          <w:p w14:paraId="713E2E20">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699566AE">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0.31</w:t>
            </w:r>
          </w:p>
        </w:tc>
      </w:tr>
      <w:tr w14:paraId="35025B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4A43C03C">
            <w:pPr>
              <w:widowControl/>
              <w:spacing w:line="240" w:lineRule="auto"/>
              <w:ind w:firstLine="0" w:firstLineChars="0"/>
              <w:jc w:val="left"/>
              <w:rPr>
                <w:rFonts w:ascii="Times New Roman" w:hAnsi="Times New Roman"/>
                <w:sz w:val="21"/>
                <w:highlight w:val="none"/>
              </w:rPr>
            </w:pPr>
          </w:p>
        </w:tc>
        <w:tc>
          <w:tcPr>
            <w:tcW w:w="750" w:type="dxa"/>
            <w:vMerge w:val="continue"/>
            <w:noWrap w:val="0"/>
            <w:vAlign w:val="center"/>
          </w:tcPr>
          <w:p w14:paraId="248146E8">
            <w:pPr>
              <w:pStyle w:val="27"/>
              <w:rPr>
                <w:rFonts w:ascii="Times New Roman" w:hAnsi="Times New Roman" w:eastAsia="宋体"/>
                <w:highlight w:val="none"/>
              </w:rPr>
            </w:pPr>
          </w:p>
        </w:tc>
        <w:tc>
          <w:tcPr>
            <w:tcW w:w="1215" w:type="dxa"/>
            <w:vMerge w:val="continue"/>
            <w:noWrap w:val="0"/>
            <w:vAlign w:val="center"/>
          </w:tcPr>
          <w:p w14:paraId="025AA64F">
            <w:pPr>
              <w:pStyle w:val="27"/>
              <w:rPr>
                <w:rFonts w:ascii="Times New Roman" w:hAnsi="Times New Roman" w:eastAsia="宋体"/>
                <w:highlight w:val="none"/>
              </w:rPr>
            </w:pPr>
          </w:p>
        </w:tc>
        <w:tc>
          <w:tcPr>
            <w:tcW w:w="993" w:type="dxa"/>
            <w:noWrap w:val="0"/>
            <w:vAlign w:val="center"/>
          </w:tcPr>
          <w:p w14:paraId="59CACD2D">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NOx</w:t>
            </w:r>
          </w:p>
        </w:tc>
        <w:tc>
          <w:tcPr>
            <w:tcW w:w="2442" w:type="dxa"/>
            <w:noWrap w:val="0"/>
            <w:vAlign w:val="center"/>
          </w:tcPr>
          <w:p w14:paraId="4FC87609">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0A7DDA49">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6.87</w:t>
            </w:r>
          </w:p>
        </w:tc>
      </w:tr>
      <w:tr w14:paraId="698A2F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14393899">
            <w:pPr>
              <w:pStyle w:val="27"/>
              <w:rPr>
                <w:rFonts w:ascii="Times New Roman" w:hAnsi="Times New Roman" w:eastAsia="宋体"/>
                <w:highlight w:val="none"/>
              </w:rPr>
            </w:pPr>
          </w:p>
        </w:tc>
        <w:tc>
          <w:tcPr>
            <w:tcW w:w="750" w:type="dxa"/>
            <w:vMerge w:val="restart"/>
            <w:noWrap w:val="0"/>
            <w:vAlign w:val="center"/>
          </w:tcPr>
          <w:p w14:paraId="7467E41E">
            <w:pPr>
              <w:pStyle w:val="27"/>
              <w:rPr>
                <w:rFonts w:ascii="Times New Roman" w:hAnsi="Times New Roman" w:eastAsia="宋体"/>
                <w:highlight w:val="none"/>
              </w:rPr>
            </w:pPr>
            <w:r>
              <w:rPr>
                <w:rFonts w:ascii="Times New Roman" w:hAnsi="Times New Roman" w:eastAsia="宋体"/>
                <w:highlight w:val="none"/>
              </w:rPr>
              <w:t>烟尘</w:t>
            </w:r>
          </w:p>
        </w:tc>
        <w:tc>
          <w:tcPr>
            <w:tcW w:w="1215" w:type="dxa"/>
            <w:noWrap w:val="0"/>
            <w:vAlign w:val="center"/>
          </w:tcPr>
          <w:p w14:paraId="265ACD3E">
            <w:pPr>
              <w:pStyle w:val="27"/>
              <w:rPr>
                <w:rFonts w:ascii="Times New Roman" w:hAnsi="Times New Roman" w:eastAsia="宋体"/>
                <w:highlight w:val="none"/>
              </w:rPr>
            </w:pPr>
            <w:r>
              <w:rPr>
                <w:rFonts w:ascii="Times New Roman" w:hAnsi="Times New Roman" w:eastAsia="宋体"/>
                <w:highlight w:val="none"/>
              </w:rPr>
              <w:t>产生浓度</w:t>
            </w:r>
          </w:p>
        </w:tc>
        <w:tc>
          <w:tcPr>
            <w:tcW w:w="993" w:type="dxa"/>
            <w:noWrap w:val="0"/>
            <w:vAlign w:val="center"/>
          </w:tcPr>
          <w:p w14:paraId="6B886404">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A</w:t>
            </w:r>
          </w:p>
        </w:tc>
        <w:tc>
          <w:tcPr>
            <w:tcW w:w="2442" w:type="dxa"/>
            <w:noWrap w:val="0"/>
            <w:vAlign w:val="center"/>
          </w:tcPr>
          <w:p w14:paraId="22FAEA72">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25452299">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8048.04</w:t>
            </w:r>
          </w:p>
        </w:tc>
      </w:tr>
      <w:tr w14:paraId="0DA4D5A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23671057">
            <w:pPr>
              <w:pStyle w:val="27"/>
              <w:rPr>
                <w:rFonts w:ascii="Times New Roman" w:hAnsi="Times New Roman" w:eastAsia="宋体"/>
                <w:highlight w:val="none"/>
              </w:rPr>
            </w:pPr>
          </w:p>
        </w:tc>
        <w:tc>
          <w:tcPr>
            <w:tcW w:w="750" w:type="dxa"/>
            <w:vMerge w:val="continue"/>
            <w:noWrap w:val="0"/>
            <w:vAlign w:val="center"/>
          </w:tcPr>
          <w:p w14:paraId="37090685">
            <w:pPr>
              <w:pStyle w:val="27"/>
              <w:rPr>
                <w:rFonts w:ascii="Times New Roman" w:hAnsi="Times New Roman" w:eastAsia="宋体"/>
                <w:highlight w:val="none"/>
              </w:rPr>
            </w:pPr>
          </w:p>
        </w:tc>
        <w:tc>
          <w:tcPr>
            <w:tcW w:w="1215" w:type="dxa"/>
            <w:vMerge w:val="restart"/>
            <w:noWrap w:val="0"/>
            <w:vAlign w:val="center"/>
          </w:tcPr>
          <w:p w14:paraId="477E96C7">
            <w:pPr>
              <w:pStyle w:val="27"/>
              <w:rPr>
                <w:rFonts w:ascii="Times New Roman" w:hAnsi="Times New Roman" w:eastAsia="宋体"/>
                <w:highlight w:val="none"/>
              </w:rPr>
            </w:pPr>
            <w:r>
              <w:rPr>
                <w:rFonts w:ascii="Times New Roman" w:hAnsi="Times New Roman" w:eastAsia="宋体"/>
                <w:highlight w:val="none"/>
              </w:rPr>
              <w:t>产生量</w:t>
            </w:r>
          </w:p>
        </w:tc>
        <w:tc>
          <w:tcPr>
            <w:tcW w:w="993" w:type="dxa"/>
            <w:vMerge w:val="restart"/>
            <w:noWrap w:val="0"/>
            <w:vAlign w:val="center"/>
          </w:tcPr>
          <w:p w14:paraId="1B97F93E">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A</w:t>
            </w:r>
          </w:p>
        </w:tc>
        <w:tc>
          <w:tcPr>
            <w:tcW w:w="2442" w:type="dxa"/>
            <w:noWrap w:val="0"/>
            <w:vAlign w:val="center"/>
          </w:tcPr>
          <w:p w14:paraId="0ACB49A0">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4F9F925C">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2130</w:t>
            </w:r>
          </w:p>
        </w:tc>
      </w:tr>
      <w:tr w14:paraId="2917A5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B1220BC">
            <w:pPr>
              <w:pStyle w:val="27"/>
              <w:rPr>
                <w:rFonts w:ascii="Times New Roman" w:hAnsi="Times New Roman" w:eastAsia="宋体"/>
                <w:highlight w:val="none"/>
              </w:rPr>
            </w:pPr>
          </w:p>
        </w:tc>
        <w:tc>
          <w:tcPr>
            <w:tcW w:w="750" w:type="dxa"/>
            <w:vMerge w:val="continue"/>
            <w:noWrap w:val="0"/>
            <w:vAlign w:val="center"/>
          </w:tcPr>
          <w:p w14:paraId="01207DC3">
            <w:pPr>
              <w:pStyle w:val="27"/>
              <w:rPr>
                <w:rFonts w:ascii="Times New Roman" w:hAnsi="Times New Roman" w:eastAsia="宋体"/>
                <w:highlight w:val="none"/>
              </w:rPr>
            </w:pPr>
          </w:p>
        </w:tc>
        <w:tc>
          <w:tcPr>
            <w:tcW w:w="1215" w:type="dxa"/>
            <w:vMerge w:val="continue"/>
            <w:noWrap w:val="0"/>
            <w:vAlign w:val="center"/>
          </w:tcPr>
          <w:p w14:paraId="77452CD4">
            <w:pPr>
              <w:pStyle w:val="27"/>
              <w:rPr>
                <w:rFonts w:ascii="Times New Roman" w:hAnsi="Times New Roman" w:eastAsia="宋体"/>
                <w:highlight w:val="none"/>
              </w:rPr>
            </w:pPr>
          </w:p>
        </w:tc>
        <w:tc>
          <w:tcPr>
            <w:tcW w:w="993" w:type="dxa"/>
            <w:vMerge w:val="continue"/>
            <w:noWrap w:val="0"/>
            <w:vAlign w:val="center"/>
          </w:tcPr>
          <w:p w14:paraId="7ACA60F6">
            <w:pPr>
              <w:pStyle w:val="27"/>
              <w:rPr>
                <w:rFonts w:ascii="Times New Roman" w:hAnsi="Times New Roman" w:eastAsia="宋体"/>
                <w:highlight w:val="none"/>
              </w:rPr>
            </w:pPr>
          </w:p>
        </w:tc>
        <w:tc>
          <w:tcPr>
            <w:tcW w:w="2442" w:type="dxa"/>
            <w:noWrap w:val="0"/>
            <w:vAlign w:val="center"/>
          </w:tcPr>
          <w:p w14:paraId="1C259EC8">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6BFCB07D">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920</w:t>
            </w:r>
          </w:p>
        </w:tc>
      </w:tr>
      <w:tr w14:paraId="1EA629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230C268E">
            <w:pPr>
              <w:pStyle w:val="27"/>
              <w:rPr>
                <w:rFonts w:ascii="Times New Roman" w:hAnsi="Times New Roman" w:eastAsia="宋体"/>
                <w:highlight w:val="none"/>
              </w:rPr>
            </w:pPr>
          </w:p>
        </w:tc>
        <w:tc>
          <w:tcPr>
            <w:tcW w:w="750" w:type="dxa"/>
            <w:vMerge w:val="continue"/>
            <w:noWrap w:val="0"/>
            <w:vAlign w:val="center"/>
          </w:tcPr>
          <w:p w14:paraId="5CBC80A1">
            <w:pPr>
              <w:pStyle w:val="27"/>
              <w:rPr>
                <w:rFonts w:ascii="Times New Roman" w:hAnsi="Times New Roman" w:eastAsia="宋体"/>
                <w:highlight w:val="none"/>
              </w:rPr>
            </w:pPr>
          </w:p>
        </w:tc>
        <w:tc>
          <w:tcPr>
            <w:tcW w:w="1215" w:type="dxa"/>
            <w:vMerge w:val="continue"/>
            <w:noWrap w:val="0"/>
            <w:vAlign w:val="center"/>
          </w:tcPr>
          <w:p w14:paraId="101018B2">
            <w:pPr>
              <w:pStyle w:val="27"/>
              <w:rPr>
                <w:rFonts w:ascii="Times New Roman" w:hAnsi="Times New Roman" w:eastAsia="宋体"/>
                <w:highlight w:val="none"/>
              </w:rPr>
            </w:pPr>
          </w:p>
        </w:tc>
        <w:tc>
          <w:tcPr>
            <w:tcW w:w="993" w:type="dxa"/>
            <w:vMerge w:val="continue"/>
            <w:noWrap w:val="0"/>
            <w:vAlign w:val="center"/>
          </w:tcPr>
          <w:p w14:paraId="131D24FB">
            <w:pPr>
              <w:pStyle w:val="27"/>
              <w:rPr>
                <w:rFonts w:ascii="Times New Roman" w:hAnsi="Times New Roman" w:eastAsia="宋体"/>
                <w:highlight w:val="none"/>
              </w:rPr>
            </w:pPr>
          </w:p>
        </w:tc>
        <w:tc>
          <w:tcPr>
            <w:tcW w:w="2442" w:type="dxa"/>
            <w:noWrap w:val="0"/>
            <w:vAlign w:val="center"/>
          </w:tcPr>
          <w:p w14:paraId="097230FB">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2C0D6BBE">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2400</w:t>
            </w:r>
          </w:p>
        </w:tc>
      </w:tr>
      <w:tr w14:paraId="25DEC0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C67390F">
            <w:pPr>
              <w:pStyle w:val="27"/>
              <w:rPr>
                <w:rFonts w:ascii="Times New Roman" w:hAnsi="Times New Roman" w:eastAsia="宋体"/>
                <w:highlight w:val="none"/>
              </w:rPr>
            </w:pPr>
          </w:p>
        </w:tc>
        <w:tc>
          <w:tcPr>
            <w:tcW w:w="750" w:type="dxa"/>
            <w:vMerge w:val="continue"/>
            <w:noWrap w:val="0"/>
            <w:vAlign w:val="center"/>
          </w:tcPr>
          <w:p w14:paraId="549355CA">
            <w:pPr>
              <w:pStyle w:val="27"/>
              <w:rPr>
                <w:rFonts w:ascii="Times New Roman" w:hAnsi="Times New Roman" w:eastAsia="宋体"/>
                <w:highlight w:val="none"/>
              </w:rPr>
            </w:pPr>
          </w:p>
        </w:tc>
        <w:tc>
          <w:tcPr>
            <w:tcW w:w="1215" w:type="dxa"/>
            <w:vMerge w:val="continue"/>
            <w:noWrap w:val="0"/>
            <w:vAlign w:val="center"/>
          </w:tcPr>
          <w:p w14:paraId="4C44BB75">
            <w:pPr>
              <w:pStyle w:val="27"/>
              <w:rPr>
                <w:rFonts w:ascii="Times New Roman" w:hAnsi="Times New Roman" w:eastAsia="宋体"/>
                <w:highlight w:val="none"/>
              </w:rPr>
            </w:pPr>
          </w:p>
        </w:tc>
        <w:tc>
          <w:tcPr>
            <w:tcW w:w="993" w:type="dxa"/>
            <w:vMerge w:val="continue"/>
            <w:noWrap w:val="0"/>
            <w:vAlign w:val="center"/>
          </w:tcPr>
          <w:p w14:paraId="6407D903">
            <w:pPr>
              <w:pStyle w:val="27"/>
              <w:rPr>
                <w:rFonts w:ascii="Times New Roman" w:hAnsi="Times New Roman" w:eastAsia="宋体"/>
                <w:highlight w:val="none"/>
              </w:rPr>
            </w:pPr>
          </w:p>
        </w:tc>
        <w:tc>
          <w:tcPr>
            <w:tcW w:w="2442" w:type="dxa"/>
            <w:noWrap w:val="0"/>
            <w:vAlign w:val="center"/>
          </w:tcPr>
          <w:p w14:paraId="7D478187">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11691E2B">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920</w:t>
            </w:r>
          </w:p>
        </w:tc>
      </w:tr>
      <w:tr w14:paraId="336CA99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AB113ED">
            <w:pPr>
              <w:pStyle w:val="27"/>
              <w:rPr>
                <w:rFonts w:ascii="Times New Roman" w:hAnsi="Times New Roman" w:eastAsia="宋体"/>
                <w:highlight w:val="none"/>
              </w:rPr>
            </w:pPr>
          </w:p>
        </w:tc>
        <w:tc>
          <w:tcPr>
            <w:tcW w:w="750" w:type="dxa"/>
            <w:vMerge w:val="continue"/>
            <w:noWrap w:val="0"/>
            <w:vAlign w:val="center"/>
          </w:tcPr>
          <w:p w14:paraId="0BE25EAF">
            <w:pPr>
              <w:pStyle w:val="27"/>
              <w:rPr>
                <w:rFonts w:ascii="Times New Roman" w:hAnsi="Times New Roman" w:eastAsia="宋体"/>
                <w:highlight w:val="none"/>
              </w:rPr>
            </w:pPr>
          </w:p>
        </w:tc>
        <w:tc>
          <w:tcPr>
            <w:tcW w:w="1215" w:type="dxa"/>
            <w:vMerge w:val="continue"/>
            <w:noWrap w:val="0"/>
            <w:vAlign w:val="center"/>
          </w:tcPr>
          <w:p w14:paraId="51F3FADA">
            <w:pPr>
              <w:pStyle w:val="27"/>
              <w:rPr>
                <w:rFonts w:ascii="Times New Roman" w:hAnsi="Times New Roman" w:eastAsia="宋体"/>
                <w:highlight w:val="none"/>
              </w:rPr>
            </w:pPr>
          </w:p>
        </w:tc>
        <w:tc>
          <w:tcPr>
            <w:tcW w:w="993" w:type="dxa"/>
            <w:vMerge w:val="continue"/>
            <w:noWrap w:val="0"/>
            <w:vAlign w:val="center"/>
          </w:tcPr>
          <w:p w14:paraId="086BE283">
            <w:pPr>
              <w:pStyle w:val="27"/>
              <w:rPr>
                <w:rFonts w:ascii="Times New Roman" w:hAnsi="Times New Roman" w:eastAsia="宋体"/>
                <w:highlight w:val="none"/>
              </w:rPr>
            </w:pPr>
          </w:p>
        </w:tc>
        <w:tc>
          <w:tcPr>
            <w:tcW w:w="2442" w:type="dxa"/>
            <w:noWrap w:val="0"/>
            <w:vAlign w:val="center"/>
          </w:tcPr>
          <w:p w14:paraId="1DDF59A5">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16B88F37">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650</w:t>
            </w:r>
          </w:p>
        </w:tc>
      </w:tr>
      <w:tr w14:paraId="2763C7D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DF79FA6">
            <w:pPr>
              <w:pStyle w:val="27"/>
              <w:rPr>
                <w:rFonts w:ascii="Times New Roman" w:hAnsi="Times New Roman" w:eastAsia="宋体"/>
                <w:highlight w:val="none"/>
              </w:rPr>
            </w:pPr>
          </w:p>
        </w:tc>
        <w:tc>
          <w:tcPr>
            <w:tcW w:w="750" w:type="dxa"/>
            <w:vMerge w:val="continue"/>
            <w:noWrap w:val="0"/>
            <w:vAlign w:val="center"/>
          </w:tcPr>
          <w:p w14:paraId="07AD2EAC">
            <w:pPr>
              <w:pStyle w:val="27"/>
              <w:rPr>
                <w:rFonts w:ascii="Times New Roman" w:hAnsi="Times New Roman" w:eastAsia="宋体"/>
                <w:highlight w:val="none"/>
              </w:rPr>
            </w:pPr>
          </w:p>
        </w:tc>
        <w:tc>
          <w:tcPr>
            <w:tcW w:w="1215" w:type="dxa"/>
            <w:vMerge w:val="continue"/>
            <w:noWrap w:val="0"/>
            <w:vAlign w:val="center"/>
          </w:tcPr>
          <w:p w14:paraId="57BE12C6">
            <w:pPr>
              <w:pStyle w:val="27"/>
              <w:rPr>
                <w:rFonts w:ascii="Times New Roman" w:hAnsi="Times New Roman" w:eastAsia="宋体"/>
                <w:highlight w:val="none"/>
              </w:rPr>
            </w:pPr>
          </w:p>
        </w:tc>
        <w:tc>
          <w:tcPr>
            <w:tcW w:w="993" w:type="dxa"/>
            <w:vMerge w:val="continue"/>
            <w:noWrap w:val="0"/>
            <w:vAlign w:val="center"/>
          </w:tcPr>
          <w:p w14:paraId="4F6DB357">
            <w:pPr>
              <w:pStyle w:val="27"/>
              <w:rPr>
                <w:rFonts w:ascii="Times New Roman" w:hAnsi="Times New Roman" w:eastAsia="宋体"/>
                <w:highlight w:val="none"/>
              </w:rPr>
            </w:pPr>
          </w:p>
        </w:tc>
        <w:tc>
          <w:tcPr>
            <w:tcW w:w="2442" w:type="dxa"/>
            <w:noWrap w:val="0"/>
            <w:vAlign w:val="center"/>
          </w:tcPr>
          <w:p w14:paraId="02D05FF7">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28983A7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6053.28</w:t>
            </w:r>
          </w:p>
        </w:tc>
      </w:tr>
      <w:tr w14:paraId="57673B9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1F1067FE">
            <w:pPr>
              <w:pStyle w:val="27"/>
              <w:rPr>
                <w:rFonts w:ascii="Times New Roman" w:hAnsi="Times New Roman" w:eastAsia="宋体"/>
                <w:highlight w:val="none"/>
              </w:rPr>
            </w:pPr>
          </w:p>
        </w:tc>
        <w:tc>
          <w:tcPr>
            <w:tcW w:w="750" w:type="dxa"/>
            <w:vMerge w:val="continue"/>
            <w:noWrap w:val="0"/>
            <w:vAlign w:val="center"/>
          </w:tcPr>
          <w:p w14:paraId="1A000512">
            <w:pPr>
              <w:pStyle w:val="27"/>
              <w:rPr>
                <w:rFonts w:ascii="Times New Roman" w:hAnsi="Times New Roman" w:eastAsia="宋体"/>
                <w:highlight w:val="none"/>
              </w:rPr>
            </w:pPr>
          </w:p>
        </w:tc>
        <w:tc>
          <w:tcPr>
            <w:tcW w:w="1215" w:type="dxa"/>
            <w:noWrap w:val="0"/>
            <w:vAlign w:val="center"/>
          </w:tcPr>
          <w:p w14:paraId="56781685">
            <w:pPr>
              <w:pStyle w:val="27"/>
              <w:rPr>
                <w:rFonts w:ascii="Times New Roman" w:hAnsi="Times New Roman" w:eastAsia="宋体"/>
                <w:highlight w:val="none"/>
              </w:rPr>
            </w:pPr>
            <w:r>
              <w:rPr>
                <w:rFonts w:ascii="Times New Roman" w:hAnsi="Times New Roman" w:eastAsia="宋体"/>
                <w:highlight w:val="none"/>
              </w:rPr>
              <w:t>预测排放浓度</w:t>
            </w:r>
          </w:p>
        </w:tc>
        <w:tc>
          <w:tcPr>
            <w:tcW w:w="993" w:type="dxa"/>
            <w:noWrap w:val="0"/>
            <w:vAlign w:val="center"/>
          </w:tcPr>
          <w:p w14:paraId="22B0D672">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A</w:t>
            </w:r>
          </w:p>
        </w:tc>
        <w:tc>
          <w:tcPr>
            <w:tcW w:w="2442" w:type="dxa"/>
            <w:noWrap w:val="0"/>
            <w:vAlign w:val="center"/>
          </w:tcPr>
          <w:p w14:paraId="33C6933C">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6EE1695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3.23</w:t>
            </w:r>
          </w:p>
        </w:tc>
      </w:tr>
      <w:tr w14:paraId="590F43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C0BBCD8">
            <w:pPr>
              <w:pStyle w:val="27"/>
              <w:rPr>
                <w:rFonts w:ascii="Times New Roman" w:hAnsi="Times New Roman" w:eastAsia="宋体"/>
                <w:highlight w:val="none"/>
              </w:rPr>
            </w:pPr>
          </w:p>
        </w:tc>
        <w:tc>
          <w:tcPr>
            <w:tcW w:w="750" w:type="dxa"/>
            <w:vMerge w:val="continue"/>
            <w:noWrap w:val="0"/>
            <w:vAlign w:val="center"/>
          </w:tcPr>
          <w:p w14:paraId="10A502EA">
            <w:pPr>
              <w:pStyle w:val="27"/>
              <w:rPr>
                <w:rFonts w:ascii="Times New Roman" w:hAnsi="Times New Roman" w:eastAsia="宋体"/>
                <w:highlight w:val="none"/>
              </w:rPr>
            </w:pPr>
          </w:p>
        </w:tc>
        <w:tc>
          <w:tcPr>
            <w:tcW w:w="1215" w:type="dxa"/>
            <w:noWrap w:val="0"/>
            <w:vAlign w:val="center"/>
          </w:tcPr>
          <w:p w14:paraId="14DBEA7A">
            <w:pPr>
              <w:pStyle w:val="27"/>
              <w:rPr>
                <w:rFonts w:ascii="Times New Roman" w:hAnsi="Times New Roman" w:eastAsia="宋体"/>
                <w:highlight w:val="none"/>
              </w:rPr>
            </w:pPr>
            <w:r>
              <w:rPr>
                <w:rFonts w:ascii="Times New Roman" w:hAnsi="Times New Roman" w:eastAsia="宋体"/>
                <w:highlight w:val="none"/>
              </w:rPr>
              <w:t>达标排放浓度</w:t>
            </w:r>
          </w:p>
        </w:tc>
        <w:tc>
          <w:tcPr>
            <w:tcW w:w="993" w:type="dxa"/>
            <w:noWrap w:val="0"/>
            <w:vAlign w:val="center"/>
          </w:tcPr>
          <w:p w14:paraId="495A34F8">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A</w:t>
            </w:r>
          </w:p>
        </w:tc>
        <w:tc>
          <w:tcPr>
            <w:tcW w:w="2442" w:type="dxa"/>
            <w:noWrap w:val="0"/>
            <w:vAlign w:val="center"/>
          </w:tcPr>
          <w:p w14:paraId="131FABEF">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35DC6A71">
            <w:pPr>
              <w:pStyle w:val="27"/>
              <w:rPr>
                <w:rFonts w:ascii="Times New Roman" w:hAnsi="Times New Roman" w:eastAsia="宋体"/>
                <w:highlight w:val="none"/>
              </w:rPr>
            </w:pPr>
            <w:r>
              <w:rPr>
                <w:rFonts w:ascii="Times New Roman" w:hAnsi="Times New Roman" w:eastAsia="宋体"/>
                <w:highlight w:val="none"/>
              </w:rPr>
              <w:t>10</w:t>
            </w:r>
          </w:p>
        </w:tc>
      </w:tr>
      <w:tr w14:paraId="5DD8E7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4F1301EA">
            <w:pPr>
              <w:pStyle w:val="27"/>
              <w:rPr>
                <w:rFonts w:ascii="Times New Roman" w:hAnsi="Times New Roman" w:eastAsia="宋体"/>
                <w:highlight w:val="none"/>
              </w:rPr>
            </w:pPr>
          </w:p>
        </w:tc>
        <w:tc>
          <w:tcPr>
            <w:tcW w:w="750" w:type="dxa"/>
            <w:vMerge w:val="continue"/>
            <w:noWrap w:val="0"/>
            <w:vAlign w:val="center"/>
          </w:tcPr>
          <w:p w14:paraId="4CBC0F70">
            <w:pPr>
              <w:pStyle w:val="27"/>
              <w:rPr>
                <w:rFonts w:ascii="Times New Roman" w:hAnsi="Times New Roman" w:eastAsia="宋体"/>
                <w:highlight w:val="none"/>
              </w:rPr>
            </w:pPr>
          </w:p>
        </w:tc>
        <w:tc>
          <w:tcPr>
            <w:tcW w:w="1215" w:type="dxa"/>
            <w:vMerge w:val="restart"/>
            <w:noWrap w:val="0"/>
            <w:vAlign w:val="center"/>
          </w:tcPr>
          <w:p w14:paraId="5FF05D11">
            <w:pPr>
              <w:pStyle w:val="27"/>
              <w:rPr>
                <w:rFonts w:ascii="Times New Roman" w:hAnsi="Times New Roman" w:eastAsia="宋体"/>
                <w:highlight w:val="none"/>
              </w:rPr>
            </w:pPr>
            <w:r>
              <w:rPr>
                <w:rFonts w:ascii="Times New Roman" w:hAnsi="Times New Roman" w:eastAsia="宋体"/>
                <w:highlight w:val="none"/>
              </w:rPr>
              <w:t>排放量</w:t>
            </w:r>
          </w:p>
        </w:tc>
        <w:tc>
          <w:tcPr>
            <w:tcW w:w="993" w:type="dxa"/>
            <w:vMerge w:val="restart"/>
            <w:noWrap w:val="0"/>
            <w:vAlign w:val="center"/>
          </w:tcPr>
          <w:p w14:paraId="3AD9E9BF">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A</w:t>
            </w:r>
          </w:p>
        </w:tc>
        <w:tc>
          <w:tcPr>
            <w:tcW w:w="2442" w:type="dxa"/>
            <w:noWrap w:val="0"/>
            <w:vAlign w:val="center"/>
          </w:tcPr>
          <w:p w14:paraId="402EBF28">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08A2288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0.85</w:t>
            </w:r>
          </w:p>
        </w:tc>
      </w:tr>
      <w:tr w14:paraId="227CDB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2CB56D78">
            <w:pPr>
              <w:pStyle w:val="27"/>
              <w:rPr>
                <w:rFonts w:ascii="Times New Roman" w:hAnsi="Times New Roman" w:eastAsia="宋体"/>
                <w:highlight w:val="none"/>
              </w:rPr>
            </w:pPr>
          </w:p>
        </w:tc>
        <w:tc>
          <w:tcPr>
            <w:tcW w:w="750" w:type="dxa"/>
            <w:vMerge w:val="continue"/>
            <w:noWrap w:val="0"/>
            <w:vAlign w:val="center"/>
          </w:tcPr>
          <w:p w14:paraId="1C90FFC2">
            <w:pPr>
              <w:pStyle w:val="27"/>
              <w:rPr>
                <w:rFonts w:ascii="Times New Roman" w:hAnsi="Times New Roman" w:eastAsia="宋体"/>
                <w:highlight w:val="none"/>
              </w:rPr>
            </w:pPr>
          </w:p>
        </w:tc>
        <w:tc>
          <w:tcPr>
            <w:tcW w:w="1215" w:type="dxa"/>
            <w:vMerge w:val="continue"/>
            <w:noWrap w:val="0"/>
            <w:vAlign w:val="center"/>
          </w:tcPr>
          <w:p w14:paraId="65660800">
            <w:pPr>
              <w:pStyle w:val="27"/>
              <w:rPr>
                <w:rFonts w:ascii="Times New Roman" w:hAnsi="Times New Roman" w:eastAsia="宋体"/>
                <w:highlight w:val="none"/>
              </w:rPr>
            </w:pPr>
          </w:p>
        </w:tc>
        <w:tc>
          <w:tcPr>
            <w:tcW w:w="993" w:type="dxa"/>
            <w:vMerge w:val="continue"/>
            <w:noWrap w:val="0"/>
            <w:vAlign w:val="center"/>
          </w:tcPr>
          <w:p w14:paraId="2FCB6F64">
            <w:pPr>
              <w:pStyle w:val="27"/>
              <w:rPr>
                <w:rFonts w:ascii="Times New Roman" w:hAnsi="Times New Roman" w:eastAsia="宋体"/>
                <w:highlight w:val="none"/>
              </w:rPr>
            </w:pPr>
          </w:p>
        </w:tc>
        <w:tc>
          <w:tcPr>
            <w:tcW w:w="2442" w:type="dxa"/>
            <w:noWrap w:val="0"/>
            <w:vAlign w:val="center"/>
          </w:tcPr>
          <w:p w14:paraId="1D4FCD61">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2C3ABC8B">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0.36</w:t>
            </w:r>
          </w:p>
        </w:tc>
      </w:tr>
      <w:tr w14:paraId="50CD3C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0E48209">
            <w:pPr>
              <w:pStyle w:val="27"/>
              <w:rPr>
                <w:rFonts w:ascii="Times New Roman" w:hAnsi="Times New Roman" w:eastAsia="宋体"/>
                <w:highlight w:val="none"/>
              </w:rPr>
            </w:pPr>
          </w:p>
        </w:tc>
        <w:tc>
          <w:tcPr>
            <w:tcW w:w="750" w:type="dxa"/>
            <w:vMerge w:val="continue"/>
            <w:noWrap w:val="0"/>
            <w:vAlign w:val="center"/>
          </w:tcPr>
          <w:p w14:paraId="3D2F61CA">
            <w:pPr>
              <w:pStyle w:val="27"/>
              <w:rPr>
                <w:rFonts w:ascii="Times New Roman" w:hAnsi="Times New Roman" w:eastAsia="宋体"/>
                <w:highlight w:val="none"/>
              </w:rPr>
            </w:pPr>
          </w:p>
        </w:tc>
        <w:tc>
          <w:tcPr>
            <w:tcW w:w="1215" w:type="dxa"/>
            <w:vMerge w:val="continue"/>
            <w:noWrap w:val="0"/>
            <w:vAlign w:val="center"/>
          </w:tcPr>
          <w:p w14:paraId="0EC88CCA">
            <w:pPr>
              <w:pStyle w:val="27"/>
              <w:rPr>
                <w:rFonts w:ascii="Times New Roman" w:hAnsi="Times New Roman" w:eastAsia="宋体"/>
                <w:highlight w:val="none"/>
              </w:rPr>
            </w:pPr>
          </w:p>
        </w:tc>
        <w:tc>
          <w:tcPr>
            <w:tcW w:w="993" w:type="dxa"/>
            <w:vMerge w:val="continue"/>
            <w:noWrap w:val="0"/>
            <w:vAlign w:val="center"/>
          </w:tcPr>
          <w:p w14:paraId="46B55861">
            <w:pPr>
              <w:pStyle w:val="27"/>
              <w:rPr>
                <w:rFonts w:ascii="Times New Roman" w:hAnsi="Times New Roman" w:eastAsia="宋体"/>
                <w:highlight w:val="none"/>
              </w:rPr>
            </w:pPr>
          </w:p>
        </w:tc>
        <w:tc>
          <w:tcPr>
            <w:tcW w:w="2442" w:type="dxa"/>
            <w:noWrap w:val="0"/>
            <w:vAlign w:val="center"/>
          </w:tcPr>
          <w:p w14:paraId="643CD14A">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631A0986">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0.95</w:t>
            </w:r>
          </w:p>
        </w:tc>
      </w:tr>
      <w:tr w14:paraId="0F7B16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78D55D2D">
            <w:pPr>
              <w:pStyle w:val="27"/>
              <w:rPr>
                <w:rFonts w:ascii="Times New Roman" w:hAnsi="Times New Roman" w:eastAsia="宋体"/>
                <w:highlight w:val="none"/>
              </w:rPr>
            </w:pPr>
          </w:p>
        </w:tc>
        <w:tc>
          <w:tcPr>
            <w:tcW w:w="750" w:type="dxa"/>
            <w:vMerge w:val="continue"/>
            <w:noWrap w:val="0"/>
            <w:vAlign w:val="center"/>
          </w:tcPr>
          <w:p w14:paraId="2265C697">
            <w:pPr>
              <w:pStyle w:val="27"/>
              <w:rPr>
                <w:rFonts w:ascii="Times New Roman" w:hAnsi="Times New Roman" w:eastAsia="宋体"/>
                <w:highlight w:val="none"/>
              </w:rPr>
            </w:pPr>
          </w:p>
        </w:tc>
        <w:tc>
          <w:tcPr>
            <w:tcW w:w="1215" w:type="dxa"/>
            <w:vMerge w:val="continue"/>
            <w:noWrap w:val="0"/>
            <w:vAlign w:val="center"/>
          </w:tcPr>
          <w:p w14:paraId="757434C3">
            <w:pPr>
              <w:pStyle w:val="27"/>
              <w:rPr>
                <w:rFonts w:ascii="Times New Roman" w:hAnsi="Times New Roman" w:eastAsia="宋体"/>
                <w:highlight w:val="none"/>
              </w:rPr>
            </w:pPr>
          </w:p>
        </w:tc>
        <w:tc>
          <w:tcPr>
            <w:tcW w:w="993" w:type="dxa"/>
            <w:vMerge w:val="continue"/>
            <w:noWrap w:val="0"/>
            <w:vAlign w:val="center"/>
          </w:tcPr>
          <w:p w14:paraId="40C94F32">
            <w:pPr>
              <w:pStyle w:val="27"/>
              <w:rPr>
                <w:rFonts w:ascii="Times New Roman" w:hAnsi="Times New Roman" w:eastAsia="宋体"/>
                <w:highlight w:val="none"/>
              </w:rPr>
            </w:pPr>
          </w:p>
        </w:tc>
        <w:tc>
          <w:tcPr>
            <w:tcW w:w="2442" w:type="dxa"/>
            <w:noWrap w:val="0"/>
            <w:vAlign w:val="center"/>
          </w:tcPr>
          <w:p w14:paraId="3416A73E">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282CFCC7">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0.36</w:t>
            </w:r>
          </w:p>
        </w:tc>
      </w:tr>
      <w:tr w14:paraId="4C9575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7E2ED0C">
            <w:pPr>
              <w:pStyle w:val="27"/>
              <w:rPr>
                <w:rFonts w:ascii="Times New Roman" w:hAnsi="Times New Roman" w:eastAsia="宋体"/>
                <w:highlight w:val="none"/>
              </w:rPr>
            </w:pPr>
          </w:p>
        </w:tc>
        <w:tc>
          <w:tcPr>
            <w:tcW w:w="750" w:type="dxa"/>
            <w:vMerge w:val="continue"/>
            <w:noWrap w:val="0"/>
            <w:vAlign w:val="center"/>
          </w:tcPr>
          <w:p w14:paraId="62DCB70D">
            <w:pPr>
              <w:pStyle w:val="27"/>
              <w:rPr>
                <w:rFonts w:ascii="Times New Roman" w:hAnsi="Times New Roman" w:eastAsia="宋体"/>
                <w:highlight w:val="none"/>
              </w:rPr>
            </w:pPr>
          </w:p>
        </w:tc>
        <w:tc>
          <w:tcPr>
            <w:tcW w:w="1215" w:type="dxa"/>
            <w:vMerge w:val="continue"/>
            <w:noWrap w:val="0"/>
            <w:vAlign w:val="center"/>
          </w:tcPr>
          <w:p w14:paraId="6D65C122">
            <w:pPr>
              <w:pStyle w:val="27"/>
              <w:rPr>
                <w:rFonts w:ascii="Times New Roman" w:hAnsi="Times New Roman" w:eastAsia="宋体"/>
                <w:highlight w:val="none"/>
              </w:rPr>
            </w:pPr>
          </w:p>
        </w:tc>
        <w:tc>
          <w:tcPr>
            <w:tcW w:w="993" w:type="dxa"/>
            <w:vMerge w:val="continue"/>
            <w:noWrap w:val="0"/>
            <w:vAlign w:val="center"/>
          </w:tcPr>
          <w:p w14:paraId="4191A2BE">
            <w:pPr>
              <w:pStyle w:val="27"/>
              <w:rPr>
                <w:rFonts w:ascii="Times New Roman" w:hAnsi="Times New Roman" w:eastAsia="宋体"/>
                <w:highlight w:val="none"/>
              </w:rPr>
            </w:pPr>
          </w:p>
        </w:tc>
        <w:tc>
          <w:tcPr>
            <w:tcW w:w="2442" w:type="dxa"/>
            <w:noWrap w:val="0"/>
            <w:vAlign w:val="center"/>
          </w:tcPr>
          <w:p w14:paraId="401E17C7">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3912167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0.26</w:t>
            </w:r>
          </w:p>
        </w:tc>
      </w:tr>
      <w:tr w14:paraId="30D2A6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88A7FEE">
            <w:pPr>
              <w:pStyle w:val="27"/>
              <w:rPr>
                <w:rFonts w:ascii="Times New Roman" w:hAnsi="Times New Roman" w:eastAsia="宋体"/>
                <w:highlight w:val="none"/>
              </w:rPr>
            </w:pPr>
          </w:p>
        </w:tc>
        <w:tc>
          <w:tcPr>
            <w:tcW w:w="750" w:type="dxa"/>
            <w:vMerge w:val="continue"/>
            <w:noWrap w:val="0"/>
            <w:vAlign w:val="center"/>
          </w:tcPr>
          <w:p w14:paraId="12F4D1CB">
            <w:pPr>
              <w:pStyle w:val="27"/>
              <w:rPr>
                <w:rFonts w:ascii="Times New Roman" w:hAnsi="Times New Roman" w:eastAsia="宋体"/>
                <w:highlight w:val="none"/>
              </w:rPr>
            </w:pPr>
          </w:p>
        </w:tc>
        <w:tc>
          <w:tcPr>
            <w:tcW w:w="1215" w:type="dxa"/>
            <w:vMerge w:val="continue"/>
            <w:noWrap w:val="0"/>
            <w:vAlign w:val="center"/>
          </w:tcPr>
          <w:p w14:paraId="08399BB1">
            <w:pPr>
              <w:pStyle w:val="27"/>
              <w:rPr>
                <w:rFonts w:ascii="Times New Roman" w:hAnsi="Times New Roman" w:eastAsia="宋体"/>
                <w:highlight w:val="none"/>
              </w:rPr>
            </w:pPr>
          </w:p>
        </w:tc>
        <w:tc>
          <w:tcPr>
            <w:tcW w:w="993" w:type="dxa"/>
            <w:vMerge w:val="continue"/>
            <w:noWrap w:val="0"/>
            <w:vAlign w:val="center"/>
          </w:tcPr>
          <w:p w14:paraId="5F42AADE">
            <w:pPr>
              <w:pStyle w:val="27"/>
              <w:rPr>
                <w:rFonts w:ascii="Times New Roman" w:hAnsi="Times New Roman" w:eastAsia="宋体"/>
                <w:highlight w:val="none"/>
              </w:rPr>
            </w:pPr>
          </w:p>
        </w:tc>
        <w:tc>
          <w:tcPr>
            <w:tcW w:w="2442" w:type="dxa"/>
            <w:noWrap w:val="0"/>
            <w:vAlign w:val="center"/>
          </w:tcPr>
          <w:p w14:paraId="2CCD4A75">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7011F957">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2.39</w:t>
            </w:r>
          </w:p>
        </w:tc>
      </w:tr>
      <w:tr w14:paraId="4235AB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7FB0F8D">
            <w:pPr>
              <w:pStyle w:val="27"/>
              <w:rPr>
                <w:rFonts w:ascii="Times New Roman" w:hAnsi="Times New Roman" w:eastAsia="宋体"/>
                <w:highlight w:val="none"/>
              </w:rPr>
            </w:pPr>
          </w:p>
        </w:tc>
        <w:tc>
          <w:tcPr>
            <w:tcW w:w="750" w:type="dxa"/>
            <w:vMerge w:val="restart"/>
            <w:noWrap w:val="0"/>
            <w:vAlign w:val="center"/>
          </w:tcPr>
          <w:p w14:paraId="5AB3F1A4">
            <w:pPr>
              <w:pStyle w:val="27"/>
              <w:rPr>
                <w:rFonts w:ascii="Times New Roman" w:hAnsi="Times New Roman" w:eastAsia="宋体"/>
                <w:highlight w:val="none"/>
              </w:rPr>
            </w:pPr>
            <w:r>
              <w:rPr>
                <w:rFonts w:ascii="Times New Roman" w:hAnsi="Times New Roman" w:eastAsia="宋体"/>
                <w:highlight w:val="none"/>
              </w:rPr>
              <w:t>汞及其化合物</w:t>
            </w:r>
          </w:p>
        </w:tc>
        <w:tc>
          <w:tcPr>
            <w:tcW w:w="1215" w:type="dxa"/>
            <w:noWrap w:val="0"/>
            <w:vAlign w:val="center"/>
          </w:tcPr>
          <w:p w14:paraId="210BA1B3">
            <w:pPr>
              <w:pStyle w:val="27"/>
              <w:rPr>
                <w:rFonts w:ascii="Times New Roman" w:hAnsi="Times New Roman" w:eastAsia="宋体"/>
                <w:highlight w:val="none"/>
              </w:rPr>
            </w:pPr>
            <w:r>
              <w:rPr>
                <w:rFonts w:ascii="Times New Roman" w:hAnsi="Times New Roman" w:eastAsia="宋体"/>
                <w:highlight w:val="none"/>
              </w:rPr>
              <w:t>产生浓度</w:t>
            </w:r>
          </w:p>
        </w:tc>
        <w:tc>
          <w:tcPr>
            <w:tcW w:w="993" w:type="dxa"/>
            <w:noWrap w:val="0"/>
            <w:vAlign w:val="center"/>
          </w:tcPr>
          <w:p w14:paraId="0A819174">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Hg</w:t>
            </w:r>
          </w:p>
        </w:tc>
        <w:tc>
          <w:tcPr>
            <w:tcW w:w="2442" w:type="dxa"/>
            <w:noWrap w:val="0"/>
            <w:vAlign w:val="center"/>
          </w:tcPr>
          <w:p w14:paraId="4E0774C7">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52D71D3C">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0.024</w:t>
            </w:r>
          </w:p>
        </w:tc>
      </w:tr>
      <w:tr w14:paraId="799EEA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7DF8E5C2">
            <w:pPr>
              <w:pStyle w:val="27"/>
              <w:rPr>
                <w:rFonts w:ascii="Times New Roman" w:hAnsi="Times New Roman" w:eastAsia="宋体"/>
                <w:highlight w:val="none"/>
              </w:rPr>
            </w:pPr>
          </w:p>
        </w:tc>
        <w:tc>
          <w:tcPr>
            <w:tcW w:w="750" w:type="dxa"/>
            <w:vMerge w:val="continue"/>
            <w:noWrap w:val="0"/>
            <w:vAlign w:val="center"/>
          </w:tcPr>
          <w:p w14:paraId="51460EF2">
            <w:pPr>
              <w:pStyle w:val="27"/>
              <w:rPr>
                <w:rFonts w:ascii="Times New Roman" w:hAnsi="Times New Roman" w:eastAsia="宋体"/>
                <w:highlight w:val="none"/>
              </w:rPr>
            </w:pPr>
          </w:p>
        </w:tc>
        <w:tc>
          <w:tcPr>
            <w:tcW w:w="1215" w:type="dxa"/>
            <w:vMerge w:val="restart"/>
            <w:noWrap w:val="0"/>
            <w:vAlign w:val="center"/>
          </w:tcPr>
          <w:p w14:paraId="6EB4843A">
            <w:pPr>
              <w:pStyle w:val="27"/>
              <w:rPr>
                <w:rFonts w:ascii="Times New Roman" w:hAnsi="Times New Roman" w:eastAsia="宋体"/>
                <w:highlight w:val="none"/>
              </w:rPr>
            </w:pPr>
            <w:r>
              <w:rPr>
                <w:rFonts w:ascii="Times New Roman" w:hAnsi="Times New Roman" w:eastAsia="宋体"/>
                <w:highlight w:val="none"/>
              </w:rPr>
              <w:t>产生量</w:t>
            </w:r>
          </w:p>
        </w:tc>
        <w:tc>
          <w:tcPr>
            <w:tcW w:w="993" w:type="dxa"/>
            <w:vMerge w:val="restart"/>
            <w:noWrap w:val="0"/>
            <w:vAlign w:val="center"/>
          </w:tcPr>
          <w:p w14:paraId="2B200B74">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Hg</w:t>
            </w:r>
          </w:p>
        </w:tc>
        <w:tc>
          <w:tcPr>
            <w:tcW w:w="2442" w:type="dxa"/>
            <w:noWrap w:val="0"/>
            <w:vAlign w:val="center"/>
          </w:tcPr>
          <w:p w14:paraId="4A3EC31D">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6269DBCF">
            <w:pPr>
              <w:pStyle w:val="27"/>
              <w:rPr>
                <w:rFonts w:hint="default" w:ascii="Times New Roman" w:hAnsi="Times New Roman" w:eastAsia="宋体"/>
                <w:highlight w:val="none"/>
                <w:lang w:val="en-US" w:eastAsia="zh-CN"/>
              </w:rPr>
            </w:pPr>
            <w:r>
              <w:rPr>
                <w:rFonts w:ascii="Times New Roman" w:hAnsi="Times New Roman" w:eastAsia="宋体"/>
                <w:highlight w:val="none"/>
              </w:rPr>
              <w:t>0.00</w:t>
            </w:r>
            <w:r>
              <w:rPr>
                <w:rFonts w:hint="eastAsia" w:ascii="Times New Roman" w:hAnsi="Times New Roman" w:eastAsia="宋体"/>
                <w:highlight w:val="none"/>
                <w:lang w:val="en-US" w:eastAsia="zh-CN"/>
              </w:rPr>
              <w:t>647</w:t>
            </w:r>
          </w:p>
        </w:tc>
      </w:tr>
      <w:tr w14:paraId="32E2C0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6D53D71">
            <w:pPr>
              <w:pStyle w:val="27"/>
              <w:rPr>
                <w:rFonts w:ascii="Times New Roman" w:hAnsi="Times New Roman" w:eastAsia="宋体"/>
                <w:highlight w:val="none"/>
              </w:rPr>
            </w:pPr>
          </w:p>
        </w:tc>
        <w:tc>
          <w:tcPr>
            <w:tcW w:w="750" w:type="dxa"/>
            <w:vMerge w:val="continue"/>
            <w:noWrap w:val="0"/>
            <w:vAlign w:val="center"/>
          </w:tcPr>
          <w:p w14:paraId="0649001C">
            <w:pPr>
              <w:pStyle w:val="27"/>
              <w:rPr>
                <w:rFonts w:ascii="Times New Roman" w:hAnsi="Times New Roman" w:eastAsia="宋体"/>
                <w:highlight w:val="none"/>
              </w:rPr>
            </w:pPr>
          </w:p>
        </w:tc>
        <w:tc>
          <w:tcPr>
            <w:tcW w:w="1215" w:type="dxa"/>
            <w:vMerge w:val="continue"/>
            <w:noWrap w:val="0"/>
            <w:vAlign w:val="center"/>
          </w:tcPr>
          <w:p w14:paraId="39A83287">
            <w:pPr>
              <w:pStyle w:val="27"/>
              <w:rPr>
                <w:rFonts w:ascii="Times New Roman" w:hAnsi="Times New Roman" w:eastAsia="宋体"/>
                <w:highlight w:val="none"/>
              </w:rPr>
            </w:pPr>
          </w:p>
        </w:tc>
        <w:tc>
          <w:tcPr>
            <w:tcW w:w="993" w:type="dxa"/>
            <w:vMerge w:val="continue"/>
            <w:noWrap w:val="0"/>
            <w:vAlign w:val="center"/>
          </w:tcPr>
          <w:p w14:paraId="129B60D6">
            <w:pPr>
              <w:pStyle w:val="27"/>
              <w:rPr>
                <w:rFonts w:ascii="Times New Roman" w:hAnsi="Times New Roman" w:eastAsia="宋体"/>
                <w:highlight w:val="none"/>
              </w:rPr>
            </w:pPr>
          </w:p>
        </w:tc>
        <w:tc>
          <w:tcPr>
            <w:tcW w:w="2442" w:type="dxa"/>
            <w:noWrap w:val="0"/>
            <w:vAlign w:val="center"/>
          </w:tcPr>
          <w:p w14:paraId="0D8636AF">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5DAD2808">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0.00281</w:t>
            </w:r>
          </w:p>
        </w:tc>
      </w:tr>
      <w:tr w14:paraId="0F6947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A989F34">
            <w:pPr>
              <w:pStyle w:val="27"/>
              <w:rPr>
                <w:rFonts w:ascii="Times New Roman" w:hAnsi="Times New Roman" w:eastAsia="宋体"/>
                <w:highlight w:val="none"/>
              </w:rPr>
            </w:pPr>
          </w:p>
        </w:tc>
        <w:tc>
          <w:tcPr>
            <w:tcW w:w="750" w:type="dxa"/>
            <w:vMerge w:val="continue"/>
            <w:noWrap w:val="0"/>
            <w:vAlign w:val="center"/>
          </w:tcPr>
          <w:p w14:paraId="493E6BF3">
            <w:pPr>
              <w:pStyle w:val="27"/>
              <w:rPr>
                <w:rFonts w:ascii="Times New Roman" w:hAnsi="Times New Roman" w:eastAsia="宋体"/>
                <w:highlight w:val="none"/>
              </w:rPr>
            </w:pPr>
          </w:p>
        </w:tc>
        <w:tc>
          <w:tcPr>
            <w:tcW w:w="1215" w:type="dxa"/>
            <w:vMerge w:val="continue"/>
            <w:noWrap w:val="0"/>
            <w:vAlign w:val="center"/>
          </w:tcPr>
          <w:p w14:paraId="40408649">
            <w:pPr>
              <w:pStyle w:val="27"/>
              <w:rPr>
                <w:rFonts w:ascii="Times New Roman" w:hAnsi="Times New Roman" w:eastAsia="宋体"/>
                <w:highlight w:val="none"/>
              </w:rPr>
            </w:pPr>
          </w:p>
        </w:tc>
        <w:tc>
          <w:tcPr>
            <w:tcW w:w="993" w:type="dxa"/>
            <w:vMerge w:val="continue"/>
            <w:noWrap w:val="0"/>
            <w:vAlign w:val="center"/>
          </w:tcPr>
          <w:p w14:paraId="7DD6C19D">
            <w:pPr>
              <w:pStyle w:val="27"/>
              <w:rPr>
                <w:rFonts w:ascii="Times New Roman" w:hAnsi="Times New Roman" w:eastAsia="宋体"/>
                <w:highlight w:val="none"/>
              </w:rPr>
            </w:pPr>
          </w:p>
        </w:tc>
        <w:tc>
          <w:tcPr>
            <w:tcW w:w="2442" w:type="dxa"/>
            <w:noWrap w:val="0"/>
            <w:vAlign w:val="center"/>
          </w:tcPr>
          <w:p w14:paraId="531BC37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45111C4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0.0073</w:t>
            </w:r>
          </w:p>
        </w:tc>
      </w:tr>
      <w:tr w14:paraId="406C786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3DB0E84">
            <w:pPr>
              <w:pStyle w:val="27"/>
              <w:rPr>
                <w:rFonts w:ascii="Times New Roman" w:hAnsi="Times New Roman" w:eastAsia="宋体"/>
                <w:highlight w:val="none"/>
              </w:rPr>
            </w:pPr>
          </w:p>
        </w:tc>
        <w:tc>
          <w:tcPr>
            <w:tcW w:w="750" w:type="dxa"/>
            <w:vMerge w:val="continue"/>
            <w:noWrap w:val="0"/>
            <w:vAlign w:val="center"/>
          </w:tcPr>
          <w:p w14:paraId="6890A73E">
            <w:pPr>
              <w:pStyle w:val="27"/>
              <w:rPr>
                <w:rFonts w:ascii="Times New Roman" w:hAnsi="Times New Roman" w:eastAsia="宋体"/>
                <w:highlight w:val="none"/>
              </w:rPr>
            </w:pPr>
          </w:p>
        </w:tc>
        <w:tc>
          <w:tcPr>
            <w:tcW w:w="1215" w:type="dxa"/>
            <w:vMerge w:val="continue"/>
            <w:noWrap w:val="0"/>
            <w:vAlign w:val="center"/>
          </w:tcPr>
          <w:p w14:paraId="3C95C23A">
            <w:pPr>
              <w:pStyle w:val="27"/>
              <w:rPr>
                <w:rFonts w:ascii="Times New Roman" w:hAnsi="Times New Roman" w:eastAsia="宋体"/>
                <w:highlight w:val="none"/>
              </w:rPr>
            </w:pPr>
          </w:p>
        </w:tc>
        <w:tc>
          <w:tcPr>
            <w:tcW w:w="993" w:type="dxa"/>
            <w:vMerge w:val="continue"/>
            <w:noWrap w:val="0"/>
            <w:vAlign w:val="center"/>
          </w:tcPr>
          <w:p w14:paraId="382E585E">
            <w:pPr>
              <w:pStyle w:val="27"/>
              <w:rPr>
                <w:rFonts w:ascii="Times New Roman" w:hAnsi="Times New Roman" w:eastAsia="宋体"/>
                <w:highlight w:val="none"/>
              </w:rPr>
            </w:pPr>
          </w:p>
        </w:tc>
        <w:tc>
          <w:tcPr>
            <w:tcW w:w="2442" w:type="dxa"/>
            <w:noWrap w:val="0"/>
            <w:vAlign w:val="center"/>
          </w:tcPr>
          <w:p w14:paraId="6374CBE4">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26D7C57D">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0.00281</w:t>
            </w:r>
          </w:p>
        </w:tc>
      </w:tr>
      <w:tr w14:paraId="6456F1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6FCA46C0">
            <w:pPr>
              <w:pStyle w:val="27"/>
              <w:rPr>
                <w:rFonts w:ascii="Times New Roman" w:hAnsi="Times New Roman" w:eastAsia="宋体"/>
                <w:highlight w:val="none"/>
              </w:rPr>
            </w:pPr>
          </w:p>
        </w:tc>
        <w:tc>
          <w:tcPr>
            <w:tcW w:w="750" w:type="dxa"/>
            <w:vMerge w:val="continue"/>
            <w:noWrap w:val="0"/>
            <w:vAlign w:val="center"/>
          </w:tcPr>
          <w:p w14:paraId="180762B1">
            <w:pPr>
              <w:pStyle w:val="27"/>
              <w:rPr>
                <w:rFonts w:ascii="Times New Roman" w:hAnsi="Times New Roman" w:eastAsia="宋体"/>
                <w:highlight w:val="none"/>
              </w:rPr>
            </w:pPr>
          </w:p>
        </w:tc>
        <w:tc>
          <w:tcPr>
            <w:tcW w:w="1215" w:type="dxa"/>
            <w:vMerge w:val="continue"/>
            <w:noWrap w:val="0"/>
            <w:vAlign w:val="center"/>
          </w:tcPr>
          <w:p w14:paraId="18569CC4">
            <w:pPr>
              <w:pStyle w:val="27"/>
              <w:rPr>
                <w:rFonts w:ascii="Times New Roman" w:hAnsi="Times New Roman" w:eastAsia="宋体"/>
                <w:highlight w:val="none"/>
              </w:rPr>
            </w:pPr>
          </w:p>
        </w:tc>
        <w:tc>
          <w:tcPr>
            <w:tcW w:w="993" w:type="dxa"/>
            <w:vMerge w:val="continue"/>
            <w:noWrap w:val="0"/>
            <w:vAlign w:val="center"/>
          </w:tcPr>
          <w:p w14:paraId="460E05A5">
            <w:pPr>
              <w:pStyle w:val="27"/>
              <w:rPr>
                <w:rFonts w:ascii="Times New Roman" w:hAnsi="Times New Roman" w:eastAsia="宋体"/>
                <w:highlight w:val="none"/>
              </w:rPr>
            </w:pPr>
          </w:p>
        </w:tc>
        <w:tc>
          <w:tcPr>
            <w:tcW w:w="2442" w:type="dxa"/>
            <w:noWrap w:val="0"/>
            <w:vAlign w:val="center"/>
          </w:tcPr>
          <w:p w14:paraId="6220829F">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7814BD3E">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0.00198</w:t>
            </w:r>
          </w:p>
        </w:tc>
      </w:tr>
      <w:tr w14:paraId="19108C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101FECA5">
            <w:pPr>
              <w:pStyle w:val="27"/>
              <w:rPr>
                <w:rFonts w:ascii="Times New Roman" w:hAnsi="Times New Roman" w:eastAsia="宋体"/>
                <w:highlight w:val="none"/>
              </w:rPr>
            </w:pPr>
          </w:p>
        </w:tc>
        <w:tc>
          <w:tcPr>
            <w:tcW w:w="750" w:type="dxa"/>
            <w:vMerge w:val="continue"/>
            <w:noWrap w:val="0"/>
            <w:vAlign w:val="center"/>
          </w:tcPr>
          <w:p w14:paraId="6B71F67E">
            <w:pPr>
              <w:pStyle w:val="27"/>
              <w:rPr>
                <w:rFonts w:ascii="Times New Roman" w:hAnsi="Times New Roman" w:eastAsia="宋体"/>
                <w:highlight w:val="none"/>
              </w:rPr>
            </w:pPr>
          </w:p>
        </w:tc>
        <w:tc>
          <w:tcPr>
            <w:tcW w:w="1215" w:type="dxa"/>
            <w:vMerge w:val="continue"/>
            <w:noWrap w:val="0"/>
            <w:vAlign w:val="center"/>
          </w:tcPr>
          <w:p w14:paraId="0710C5E2">
            <w:pPr>
              <w:pStyle w:val="27"/>
              <w:rPr>
                <w:rFonts w:ascii="Times New Roman" w:hAnsi="Times New Roman" w:eastAsia="宋体"/>
                <w:highlight w:val="none"/>
              </w:rPr>
            </w:pPr>
          </w:p>
        </w:tc>
        <w:tc>
          <w:tcPr>
            <w:tcW w:w="993" w:type="dxa"/>
            <w:vMerge w:val="continue"/>
            <w:noWrap w:val="0"/>
            <w:vAlign w:val="center"/>
          </w:tcPr>
          <w:p w14:paraId="2F7F8AF7">
            <w:pPr>
              <w:pStyle w:val="27"/>
              <w:rPr>
                <w:rFonts w:ascii="Times New Roman" w:hAnsi="Times New Roman" w:eastAsia="宋体"/>
                <w:highlight w:val="none"/>
              </w:rPr>
            </w:pPr>
          </w:p>
        </w:tc>
        <w:tc>
          <w:tcPr>
            <w:tcW w:w="2442" w:type="dxa"/>
            <w:noWrap w:val="0"/>
            <w:vAlign w:val="center"/>
          </w:tcPr>
          <w:p w14:paraId="53789780">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4A5726E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0.018</w:t>
            </w:r>
          </w:p>
        </w:tc>
      </w:tr>
      <w:tr w14:paraId="439939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BE37D6A">
            <w:pPr>
              <w:pStyle w:val="27"/>
              <w:rPr>
                <w:rFonts w:ascii="Times New Roman" w:hAnsi="Times New Roman" w:eastAsia="宋体"/>
                <w:highlight w:val="none"/>
              </w:rPr>
            </w:pPr>
          </w:p>
        </w:tc>
        <w:tc>
          <w:tcPr>
            <w:tcW w:w="750" w:type="dxa"/>
            <w:vMerge w:val="continue"/>
            <w:noWrap w:val="0"/>
            <w:vAlign w:val="center"/>
          </w:tcPr>
          <w:p w14:paraId="1A71F4C7">
            <w:pPr>
              <w:pStyle w:val="27"/>
              <w:rPr>
                <w:rFonts w:ascii="Times New Roman" w:hAnsi="Times New Roman" w:eastAsia="宋体"/>
                <w:highlight w:val="none"/>
              </w:rPr>
            </w:pPr>
          </w:p>
        </w:tc>
        <w:tc>
          <w:tcPr>
            <w:tcW w:w="1215" w:type="dxa"/>
            <w:noWrap w:val="0"/>
            <w:vAlign w:val="center"/>
          </w:tcPr>
          <w:p w14:paraId="3BD64118">
            <w:pPr>
              <w:pStyle w:val="27"/>
              <w:rPr>
                <w:rFonts w:ascii="Times New Roman" w:hAnsi="Times New Roman" w:eastAsia="宋体"/>
                <w:highlight w:val="none"/>
              </w:rPr>
            </w:pPr>
            <w:r>
              <w:rPr>
                <w:rFonts w:ascii="Times New Roman" w:hAnsi="Times New Roman" w:eastAsia="宋体"/>
                <w:highlight w:val="none"/>
              </w:rPr>
              <w:t>预测排放浓度</w:t>
            </w:r>
          </w:p>
        </w:tc>
        <w:tc>
          <w:tcPr>
            <w:tcW w:w="993" w:type="dxa"/>
            <w:noWrap w:val="0"/>
            <w:vAlign w:val="center"/>
          </w:tcPr>
          <w:p w14:paraId="79EBEC87">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Hg</w:t>
            </w:r>
          </w:p>
        </w:tc>
        <w:tc>
          <w:tcPr>
            <w:tcW w:w="2442" w:type="dxa"/>
            <w:noWrap w:val="0"/>
            <w:vAlign w:val="center"/>
          </w:tcPr>
          <w:p w14:paraId="5500D212">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2B8B045E">
            <w:pPr>
              <w:pStyle w:val="27"/>
              <w:rPr>
                <w:rFonts w:hint="default" w:ascii="Times New Roman" w:hAnsi="Times New Roman" w:eastAsia="宋体"/>
                <w:highlight w:val="none"/>
                <w:lang w:val="en-US" w:eastAsia="zh-CN"/>
              </w:rPr>
            </w:pPr>
            <w:r>
              <w:rPr>
                <w:rFonts w:ascii="Times New Roman" w:hAnsi="Times New Roman" w:eastAsia="宋体"/>
                <w:highlight w:val="none"/>
              </w:rPr>
              <w:t>0.00</w:t>
            </w:r>
            <w:r>
              <w:rPr>
                <w:rFonts w:hint="eastAsia" w:ascii="Times New Roman" w:hAnsi="Times New Roman" w:eastAsia="宋体"/>
                <w:highlight w:val="none"/>
                <w:lang w:val="en-US" w:eastAsia="zh-CN"/>
              </w:rPr>
              <w:t>73</w:t>
            </w:r>
          </w:p>
        </w:tc>
      </w:tr>
      <w:tr w14:paraId="6BD8FE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1058" w:type="dxa"/>
            <w:vMerge w:val="continue"/>
            <w:noWrap w:val="0"/>
            <w:vAlign w:val="center"/>
          </w:tcPr>
          <w:p w14:paraId="270AAF47">
            <w:pPr>
              <w:pStyle w:val="27"/>
              <w:rPr>
                <w:rFonts w:ascii="Times New Roman" w:hAnsi="Times New Roman" w:eastAsia="宋体"/>
                <w:highlight w:val="none"/>
              </w:rPr>
            </w:pPr>
          </w:p>
        </w:tc>
        <w:tc>
          <w:tcPr>
            <w:tcW w:w="750" w:type="dxa"/>
            <w:vMerge w:val="continue"/>
            <w:noWrap w:val="0"/>
            <w:vAlign w:val="center"/>
          </w:tcPr>
          <w:p w14:paraId="2C433A60">
            <w:pPr>
              <w:pStyle w:val="27"/>
              <w:rPr>
                <w:rFonts w:ascii="Times New Roman" w:hAnsi="Times New Roman" w:eastAsia="宋体"/>
                <w:highlight w:val="none"/>
              </w:rPr>
            </w:pPr>
          </w:p>
        </w:tc>
        <w:tc>
          <w:tcPr>
            <w:tcW w:w="1215" w:type="dxa"/>
            <w:vMerge w:val="restart"/>
            <w:noWrap w:val="0"/>
            <w:vAlign w:val="center"/>
          </w:tcPr>
          <w:p w14:paraId="4EE97C25">
            <w:pPr>
              <w:pStyle w:val="27"/>
              <w:rPr>
                <w:rFonts w:ascii="Times New Roman" w:hAnsi="Times New Roman" w:eastAsia="宋体"/>
                <w:highlight w:val="none"/>
              </w:rPr>
            </w:pPr>
            <w:r>
              <w:rPr>
                <w:rFonts w:ascii="Times New Roman" w:hAnsi="Times New Roman" w:eastAsia="宋体"/>
                <w:highlight w:val="none"/>
              </w:rPr>
              <w:t>排放量</w:t>
            </w:r>
          </w:p>
        </w:tc>
        <w:tc>
          <w:tcPr>
            <w:tcW w:w="993" w:type="dxa"/>
            <w:vMerge w:val="restart"/>
            <w:noWrap w:val="0"/>
            <w:vAlign w:val="center"/>
          </w:tcPr>
          <w:p w14:paraId="5B9DD358">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Hg</w:t>
            </w:r>
          </w:p>
        </w:tc>
        <w:tc>
          <w:tcPr>
            <w:tcW w:w="2442" w:type="dxa"/>
            <w:noWrap w:val="0"/>
            <w:vAlign w:val="center"/>
          </w:tcPr>
          <w:p w14:paraId="02A4C713">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3E4DF934">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0.00194</w:t>
            </w:r>
          </w:p>
        </w:tc>
      </w:tr>
      <w:tr w14:paraId="62CD1C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1058" w:type="dxa"/>
            <w:vMerge w:val="continue"/>
            <w:noWrap w:val="0"/>
            <w:vAlign w:val="center"/>
          </w:tcPr>
          <w:p w14:paraId="039E762B">
            <w:pPr>
              <w:pStyle w:val="27"/>
              <w:rPr>
                <w:rFonts w:ascii="Times New Roman" w:hAnsi="Times New Roman" w:eastAsia="宋体"/>
                <w:highlight w:val="none"/>
              </w:rPr>
            </w:pPr>
          </w:p>
        </w:tc>
        <w:tc>
          <w:tcPr>
            <w:tcW w:w="750" w:type="dxa"/>
            <w:vMerge w:val="continue"/>
            <w:noWrap w:val="0"/>
            <w:vAlign w:val="center"/>
          </w:tcPr>
          <w:p w14:paraId="79744347">
            <w:pPr>
              <w:pStyle w:val="27"/>
              <w:rPr>
                <w:rFonts w:ascii="Times New Roman" w:hAnsi="Times New Roman" w:eastAsia="宋体"/>
                <w:highlight w:val="none"/>
              </w:rPr>
            </w:pPr>
          </w:p>
        </w:tc>
        <w:tc>
          <w:tcPr>
            <w:tcW w:w="1215" w:type="dxa"/>
            <w:vMerge w:val="continue"/>
            <w:noWrap w:val="0"/>
            <w:vAlign w:val="center"/>
          </w:tcPr>
          <w:p w14:paraId="0FF3CF66">
            <w:pPr>
              <w:pStyle w:val="27"/>
              <w:rPr>
                <w:rFonts w:ascii="Times New Roman" w:hAnsi="Times New Roman" w:eastAsia="宋体"/>
                <w:highlight w:val="none"/>
              </w:rPr>
            </w:pPr>
          </w:p>
        </w:tc>
        <w:tc>
          <w:tcPr>
            <w:tcW w:w="993" w:type="dxa"/>
            <w:vMerge w:val="continue"/>
            <w:noWrap w:val="0"/>
            <w:vAlign w:val="center"/>
          </w:tcPr>
          <w:p w14:paraId="7AA71235">
            <w:pPr>
              <w:pStyle w:val="27"/>
              <w:rPr>
                <w:rFonts w:ascii="Times New Roman" w:hAnsi="Times New Roman" w:eastAsia="宋体"/>
                <w:highlight w:val="none"/>
              </w:rPr>
            </w:pPr>
          </w:p>
        </w:tc>
        <w:tc>
          <w:tcPr>
            <w:tcW w:w="2442" w:type="dxa"/>
            <w:noWrap w:val="0"/>
            <w:vAlign w:val="center"/>
          </w:tcPr>
          <w:p w14:paraId="0964A6D5">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3297E1CB">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0.000844</w:t>
            </w:r>
          </w:p>
        </w:tc>
      </w:tr>
      <w:tr w14:paraId="74278E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1058" w:type="dxa"/>
            <w:vMerge w:val="continue"/>
            <w:noWrap w:val="0"/>
            <w:vAlign w:val="center"/>
          </w:tcPr>
          <w:p w14:paraId="4D20CF45">
            <w:pPr>
              <w:pStyle w:val="27"/>
              <w:rPr>
                <w:rFonts w:ascii="Times New Roman" w:hAnsi="Times New Roman" w:eastAsia="宋体"/>
                <w:highlight w:val="none"/>
              </w:rPr>
            </w:pPr>
          </w:p>
        </w:tc>
        <w:tc>
          <w:tcPr>
            <w:tcW w:w="750" w:type="dxa"/>
            <w:vMerge w:val="continue"/>
            <w:noWrap w:val="0"/>
            <w:vAlign w:val="center"/>
          </w:tcPr>
          <w:p w14:paraId="2F47C883">
            <w:pPr>
              <w:pStyle w:val="27"/>
              <w:rPr>
                <w:rFonts w:ascii="Times New Roman" w:hAnsi="Times New Roman" w:eastAsia="宋体"/>
                <w:highlight w:val="none"/>
              </w:rPr>
            </w:pPr>
          </w:p>
        </w:tc>
        <w:tc>
          <w:tcPr>
            <w:tcW w:w="1215" w:type="dxa"/>
            <w:vMerge w:val="continue"/>
            <w:noWrap w:val="0"/>
            <w:vAlign w:val="center"/>
          </w:tcPr>
          <w:p w14:paraId="7C9F9CC3">
            <w:pPr>
              <w:pStyle w:val="27"/>
              <w:rPr>
                <w:rFonts w:ascii="Times New Roman" w:hAnsi="Times New Roman" w:eastAsia="宋体"/>
                <w:highlight w:val="none"/>
              </w:rPr>
            </w:pPr>
          </w:p>
        </w:tc>
        <w:tc>
          <w:tcPr>
            <w:tcW w:w="993" w:type="dxa"/>
            <w:vMerge w:val="continue"/>
            <w:noWrap w:val="0"/>
            <w:vAlign w:val="center"/>
          </w:tcPr>
          <w:p w14:paraId="4B606B6D">
            <w:pPr>
              <w:pStyle w:val="27"/>
              <w:rPr>
                <w:rFonts w:ascii="Times New Roman" w:hAnsi="Times New Roman" w:eastAsia="宋体"/>
                <w:highlight w:val="none"/>
              </w:rPr>
            </w:pPr>
          </w:p>
        </w:tc>
        <w:tc>
          <w:tcPr>
            <w:tcW w:w="2442" w:type="dxa"/>
            <w:noWrap w:val="0"/>
            <w:vAlign w:val="center"/>
          </w:tcPr>
          <w:p w14:paraId="205AD17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52CBF44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0.00219</w:t>
            </w:r>
          </w:p>
        </w:tc>
      </w:tr>
      <w:tr w14:paraId="5EB637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1058" w:type="dxa"/>
            <w:vMerge w:val="continue"/>
            <w:noWrap w:val="0"/>
            <w:vAlign w:val="center"/>
          </w:tcPr>
          <w:p w14:paraId="3CDB4522">
            <w:pPr>
              <w:pStyle w:val="27"/>
              <w:rPr>
                <w:rFonts w:ascii="Times New Roman" w:hAnsi="Times New Roman" w:eastAsia="宋体"/>
                <w:highlight w:val="none"/>
              </w:rPr>
            </w:pPr>
          </w:p>
        </w:tc>
        <w:tc>
          <w:tcPr>
            <w:tcW w:w="750" w:type="dxa"/>
            <w:vMerge w:val="continue"/>
            <w:noWrap w:val="0"/>
            <w:vAlign w:val="center"/>
          </w:tcPr>
          <w:p w14:paraId="16732ABD">
            <w:pPr>
              <w:pStyle w:val="27"/>
              <w:rPr>
                <w:rFonts w:ascii="Times New Roman" w:hAnsi="Times New Roman" w:eastAsia="宋体"/>
                <w:highlight w:val="none"/>
              </w:rPr>
            </w:pPr>
          </w:p>
        </w:tc>
        <w:tc>
          <w:tcPr>
            <w:tcW w:w="1215" w:type="dxa"/>
            <w:vMerge w:val="continue"/>
            <w:noWrap w:val="0"/>
            <w:vAlign w:val="center"/>
          </w:tcPr>
          <w:p w14:paraId="0A4596F1">
            <w:pPr>
              <w:pStyle w:val="27"/>
              <w:rPr>
                <w:rFonts w:ascii="Times New Roman" w:hAnsi="Times New Roman" w:eastAsia="宋体"/>
                <w:highlight w:val="none"/>
              </w:rPr>
            </w:pPr>
          </w:p>
        </w:tc>
        <w:tc>
          <w:tcPr>
            <w:tcW w:w="993" w:type="dxa"/>
            <w:vMerge w:val="continue"/>
            <w:noWrap w:val="0"/>
            <w:vAlign w:val="center"/>
          </w:tcPr>
          <w:p w14:paraId="6AE968E5">
            <w:pPr>
              <w:pStyle w:val="27"/>
              <w:rPr>
                <w:rFonts w:ascii="Times New Roman" w:hAnsi="Times New Roman" w:eastAsia="宋体"/>
                <w:highlight w:val="none"/>
              </w:rPr>
            </w:pPr>
          </w:p>
        </w:tc>
        <w:tc>
          <w:tcPr>
            <w:tcW w:w="2442" w:type="dxa"/>
            <w:noWrap w:val="0"/>
            <w:vAlign w:val="center"/>
          </w:tcPr>
          <w:p w14:paraId="44911092">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51BE5C7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0.000844</w:t>
            </w:r>
          </w:p>
        </w:tc>
      </w:tr>
      <w:tr w14:paraId="4A9D32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00" w:hRule="atLeast"/>
          <w:jc w:val="center"/>
        </w:trPr>
        <w:tc>
          <w:tcPr>
            <w:tcW w:w="1058" w:type="dxa"/>
            <w:vMerge w:val="continue"/>
            <w:noWrap w:val="0"/>
            <w:vAlign w:val="center"/>
          </w:tcPr>
          <w:p w14:paraId="34C5F075">
            <w:pPr>
              <w:pStyle w:val="27"/>
              <w:rPr>
                <w:rFonts w:ascii="Times New Roman" w:hAnsi="Times New Roman" w:eastAsia="宋体"/>
                <w:highlight w:val="none"/>
              </w:rPr>
            </w:pPr>
          </w:p>
        </w:tc>
        <w:tc>
          <w:tcPr>
            <w:tcW w:w="750" w:type="dxa"/>
            <w:vMerge w:val="continue"/>
            <w:noWrap w:val="0"/>
            <w:vAlign w:val="center"/>
          </w:tcPr>
          <w:p w14:paraId="63CDC781">
            <w:pPr>
              <w:pStyle w:val="27"/>
              <w:rPr>
                <w:rFonts w:ascii="Times New Roman" w:hAnsi="Times New Roman" w:eastAsia="宋体"/>
                <w:highlight w:val="none"/>
              </w:rPr>
            </w:pPr>
          </w:p>
        </w:tc>
        <w:tc>
          <w:tcPr>
            <w:tcW w:w="1215" w:type="dxa"/>
            <w:vMerge w:val="continue"/>
            <w:noWrap w:val="0"/>
            <w:vAlign w:val="center"/>
          </w:tcPr>
          <w:p w14:paraId="59A68AEA">
            <w:pPr>
              <w:pStyle w:val="27"/>
              <w:rPr>
                <w:rFonts w:ascii="Times New Roman" w:hAnsi="Times New Roman" w:eastAsia="宋体"/>
                <w:highlight w:val="none"/>
              </w:rPr>
            </w:pPr>
          </w:p>
        </w:tc>
        <w:tc>
          <w:tcPr>
            <w:tcW w:w="993" w:type="dxa"/>
            <w:vMerge w:val="continue"/>
            <w:noWrap w:val="0"/>
            <w:vAlign w:val="center"/>
          </w:tcPr>
          <w:p w14:paraId="4E58B1FB">
            <w:pPr>
              <w:pStyle w:val="27"/>
              <w:rPr>
                <w:rFonts w:ascii="Times New Roman" w:hAnsi="Times New Roman" w:eastAsia="宋体"/>
                <w:highlight w:val="none"/>
              </w:rPr>
            </w:pPr>
          </w:p>
        </w:tc>
        <w:tc>
          <w:tcPr>
            <w:tcW w:w="2442" w:type="dxa"/>
            <w:noWrap w:val="0"/>
            <w:vAlign w:val="center"/>
          </w:tcPr>
          <w:p w14:paraId="71A99EE4">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0D5A80DA">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0.000594</w:t>
            </w:r>
          </w:p>
        </w:tc>
      </w:tr>
      <w:tr w14:paraId="4A2EE6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30DBD33F">
            <w:pPr>
              <w:pStyle w:val="27"/>
              <w:rPr>
                <w:rFonts w:ascii="Times New Roman" w:hAnsi="Times New Roman" w:eastAsia="宋体"/>
                <w:highlight w:val="none"/>
              </w:rPr>
            </w:pPr>
          </w:p>
        </w:tc>
        <w:tc>
          <w:tcPr>
            <w:tcW w:w="750" w:type="dxa"/>
            <w:vMerge w:val="continue"/>
            <w:noWrap w:val="0"/>
            <w:vAlign w:val="center"/>
          </w:tcPr>
          <w:p w14:paraId="34A1A86B">
            <w:pPr>
              <w:pStyle w:val="27"/>
              <w:rPr>
                <w:rFonts w:ascii="Times New Roman" w:hAnsi="Times New Roman" w:eastAsia="宋体"/>
                <w:highlight w:val="none"/>
              </w:rPr>
            </w:pPr>
          </w:p>
        </w:tc>
        <w:tc>
          <w:tcPr>
            <w:tcW w:w="1215" w:type="dxa"/>
            <w:vMerge w:val="continue"/>
            <w:noWrap w:val="0"/>
            <w:vAlign w:val="center"/>
          </w:tcPr>
          <w:p w14:paraId="65FC9048">
            <w:pPr>
              <w:pStyle w:val="27"/>
              <w:rPr>
                <w:rFonts w:ascii="Times New Roman" w:hAnsi="Times New Roman" w:eastAsia="宋体"/>
                <w:highlight w:val="none"/>
              </w:rPr>
            </w:pPr>
          </w:p>
        </w:tc>
        <w:tc>
          <w:tcPr>
            <w:tcW w:w="993" w:type="dxa"/>
            <w:vMerge w:val="continue"/>
            <w:noWrap w:val="0"/>
            <w:vAlign w:val="center"/>
          </w:tcPr>
          <w:p w14:paraId="3BB68629">
            <w:pPr>
              <w:pStyle w:val="27"/>
              <w:rPr>
                <w:rFonts w:ascii="Times New Roman" w:hAnsi="Times New Roman" w:eastAsia="宋体"/>
                <w:highlight w:val="none"/>
              </w:rPr>
            </w:pPr>
          </w:p>
        </w:tc>
        <w:tc>
          <w:tcPr>
            <w:tcW w:w="2442" w:type="dxa"/>
            <w:noWrap w:val="0"/>
            <w:vAlign w:val="center"/>
          </w:tcPr>
          <w:p w14:paraId="64173F3F">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307AC61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0.0055</w:t>
            </w:r>
          </w:p>
        </w:tc>
      </w:tr>
      <w:tr w14:paraId="2D67B1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577F8703">
            <w:pPr>
              <w:pStyle w:val="27"/>
              <w:rPr>
                <w:rFonts w:ascii="Times New Roman" w:hAnsi="Times New Roman" w:eastAsia="宋体"/>
                <w:highlight w:val="none"/>
              </w:rPr>
            </w:pPr>
          </w:p>
        </w:tc>
        <w:tc>
          <w:tcPr>
            <w:tcW w:w="750" w:type="dxa"/>
            <w:vMerge w:val="restart"/>
            <w:noWrap w:val="0"/>
            <w:vAlign w:val="center"/>
          </w:tcPr>
          <w:p w14:paraId="0CF11A30">
            <w:pPr>
              <w:pStyle w:val="27"/>
              <w:rPr>
                <w:rFonts w:ascii="Times New Roman" w:hAnsi="Times New Roman" w:eastAsia="宋体"/>
                <w:highlight w:val="none"/>
              </w:rPr>
            </w:pPr>
            <w:r>
              <w:rPr>
                <w:rFonts w:ascii="Times New Roman" w:hAnsi="Times New Roman" w:eastAsia="宋体"/>
                <w:highlight w:val="none"/>
              </w:rPr>
              <w:t>氨逃逸</w:t>
            </w:r>
          </w:p>
        </w:tc>
        <w:tc>
          <w:tcPr>
            <w:tcW w:w="1215" w:type="dxa"/>
            <w:noWrap w:val="0"/>
            <w:vAlign w:val="center"/>
          </w:tcPr>
          <w:p w14:paraId="20F7C883">
            <w:pPr>
              <w:pStyle w:val="27"/>
              <w:rPr>
                <w:rFonts w:ascii="Times New Roman" w:hAnsi="Times New Roman" w:eastAsia="宋体"/>
                <w:highlight w:val="none"/>
              </w:rPr>
            </w:pPr>
            <w:r>
              <w:rPr>
                <w:rFonts w:ascii="Times New Roman" w:hAnsi="Times New Roman" w:eastAsia="宋体"/>
                <w:highlight w:val="none"/>
              </w:rPr>
              <w:t>产生浓度</w:t>
            </w:r>
          </w:p>
        </w:tc>
        <w:tc>
          <w:tcPr>
            <w:tcW w:w="993" w:type="dxa"/>
            <w:noWrap w:val="0"/>
            <w:vAlign w:val="center"/>
          </w:tcPr>
          <w:p w14:paraId="7AA11DB2">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Hg</w:t>
            </w:r>
          </w:p>
        </w:tc>
        <w:tc>
          <w:tcPr>
            <w:tcW w:w="2442" w:type="dxa"/>
            <w:noWrap w:val="0"/>
            <w:vAlign w:val="center"/>
          </w:tcPr>
          <w:p w14:paraId="5985946F">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0F401600">
            <w:pPr>
              <w:pStyle w:val="27"/>
              <w:rPr>
                <w:rFonts w:ascii="Times New Roman" w:hAnsi="Times New Roman" w:eastAsia="宋体"/>
                <w:highlight w:val="none"/>
              </w:rPr>
            </w:pPr>
            <w:r>
              <w:rPr>
                <w:rFonts w:ascii="Times New Roman" w:hAnsi="Times New Roman" w:eastAsia="宋体"/>
                <w:highlight w:val="none"/>
              </w:rPr>
              <w:t>2.500</w:t>
            </w:r>
          </w:p>
        </w:tc>
      </w:tr>
      <w:tr w14:paraId="4A6C29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41BE9C2A">
            <w:pPr>
              <w:pStyle w:val="27"/>
              <w:rPr>
                <w:rFonts w:ascii="Times New Roman" w:hAnsi="Times New Roman" w:eastAsia="宋体"/>
                <w:highlight w:val="none"/>
              </w:rPr>
            </w:pPr>
          </w:p>
        </w:tc>
        <w:tc>
          <w:tcPr>
            <w:tcW w:w="750" w:type="dxa"/>
            <w:vMerge w:val="continue"/>
            <w:noWrap w:val="0"/>
            <w:vAlign w:val="center"/>
          </w:tcPr>
          <w:p w14:paraId="32253146">
            <w:pPr>
              <w:pStyle w:val="27"/>
              <w:rPr>
                <w:rFonts w:ascii="Times New Roman" w:hAnsi="Times New Roman" w:eastAsia="宋体"/>
                <w:highlight w:val="none"/>
              </w:rPr>
            </w:pPr>
          </w:p>
        </w:tc>
        <w:tc>
          <w:tcPr>
            <w:tcW w:w="1215" w:type="dxa"/>
            <w:vMerge w:val="restart"/>
            <w:noWrap w:val="0"/>
            <w:vAlign w:val="center"/>
          </w:tcPr>
          <w:p w14:paraId="50E0D6F7">
            <w:pPr>
              <w:pStyle w:val="27"/>
              <w:rPr>
                <w:rFonts w:ascii="Times New Roman" w:hAnsi="Times New Roman" w:eastAsia="宋体"/>
                <w:highlight w:val="none"/>
              </w:rPr>
            </w:pPr>
            <w:r>
              <w:rPr>
                <w:rFonts w:ascii="Times New Roman" w:hAnsi="Times New Roman" w:eastAsia="宋体"/>
                <w:highlight w:val="none"/>
              </w:rPr>
              <w:t>产生量</w:t>
            </w:r>
          </w:p>
        </w:tc>
        <w:tc>
          <w:tcPr>
            <w:tcW w:w="993" w:type="dxa"/>
            <w:vMerge w:val="restart"/>
            <w:noWrap w:val="0"/>
            <w:vAlign w:val="center"/>
          </w:tcPr>
          <w:p w14:paraId="5A823943">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Hg</w:t>
            </w:r>
          </w:p>
        </w:tc>
        <w:tc>
          <w:tcPr>
            <w:tcW w:w="2442" w:type="dxa"/>
            <w:noWrap w:val="0"/>
            <w:vAlign w:val="center"/>
          </w:tcPr>
          <w:p w14:paraId="47D25EF8">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6A2D8670">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0.66</w:t>
            </w:r>
          </w:p>
        </w:tc>
      </w:tr>
      <w:tr w14:paraId="0FB890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50416804">
            <w:pPr>
              <w:pStyle w:val="27"/>
              <w:rPr>
                <w:rFonts w:ascii="Times New Roman" w:hAnsi="Times New Roman" w:eastAsia="宋体"/>
                <w:highlight w:val="none"/>
              </w:rPr>
            </w:pPr>
          </w:p>
        </w:tc>
        <w:tc>
          <w:tcPr>
            <w:tcW w:w="750" w:type="dxa"/>
            <w:vMerge w:val="continue"/>
            <w:noWrap w:val="0"/>
            <w:vAlign w:val="center"/>
          </w:tcPr>
          <w:p w14:paraId="327D2FB1">
            <w:pPr>
              <w:pStyle w:val="27"/>
              <w:rPr>
                <w:rFonts w:ascii="Times New Roman" w:hAnsi="Times New Roman" w:eastAsia="宋体"/>
                <w:highlight w:val="none"/>
              </w:rPr>
            </w:pPr>
          </w:p>
        </w:tc>
        <w:tc>
          <w:tcPr>
            <w:tcW w:w="1215" w:type="dxa"/>
            <w:vMerge w:val="continue"/>
            <w:noWrap w:val="0"/>
            <w:vAlign w:val="center"/>
          </w:tcPr>
          <w:p w14:paraId="785B8858">
            <w:pPr>
              <w:pStyle w:val="27"/>
              <w:rPr>
                <w:rFonts w:ascii="Times New Roman" w:hAnsi="Times New Roman" w:eastAsia="宋体"/>
                <w:highlight w:val="none"/>
              </w:rPr>
            </w:pPr>
          </w:p>
        </w:tc>
        <w:tc>
          <w:tcPr>
            <w:tcW w:w="993" w:type="dxa"/>
            <w:vMerge w:val="continue"/>
            <w:noWrap w:val="0"/>
            <w:vAlign w:val="center"/>
          </w:tcPr>
          <w:p w14:paraId="739FD848">
            <w:pPr>
              <w:pStyle w:val="27"/>
              <w:rPr>
                <w:rFonts w:ascii="Times New Roman" w:hAnsi="Times New Roman" w:eastAsia="宋体"/>
                <w:highlight w:val="none"/>
              </w:rPr>
            </w:pPr>
          </w:p>
        </w:tc>
        <w:tc>
          <w:tcPr>
            <w:tcW w:w="2442" w:type="dxa"/>
            <w:noWrap w:val="0"/>
            <w:vAlign w:val="center"/>
          </w:tcPr>
          <w:p w14:paraId="7560B5FE">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2283EC7B">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0.287</w:t>
            </w:r>
          </w:p>
        </w:tc>
      </w:tr>
      <w:tr w14:paraId="36F490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32F3908E">
            <w:pPr>
              <w:pStyle w:val="27"/>
              <w:rPr>
                <w:rFonts w:ascii="Times New Roman" w:hAnsi="Times New Roman" w:eastAsia="宋体"/>
                <w:highlight w:val="none"/>
              </w:rPr>
            </w:pPr>
          </w:p>
        </w:tc>
        <w:tc>
          <w:tcPr>
            <w:tcW w:w="750" w:type="dxa"/>
            <w:vMerge w:val="continue"/>
            <w:noWrap w:val="0"/>
            <w:vAlign w:val="center"/>
          </w:tcPr>
          <w:p w14:paraId="24F6E89F">
            <w:pPr>
              <w:pStyle w:val="27"/>
              <w:rPr>
                <w:rFonts w:ascii="Times New Roman" w:hAnsi="Times New Roman" w:eastAsia="宋体"/>
                <w:highlight w:val="none"/>
              </w:rPr>
            </w:pPr>
          </w:p>
        </w:tc>
        <w:tc>
          <w:tcPr>
            <w:tcW w:w="1215" w:type="dxa"/>
            <w:vMerge w:val="continue"/>
            <w:noWrap w:val="0"/>
            <w:vAlign w:val="center"/>
          </w:tcPr>
          <w:p w14:paraId="1CCDB2D9">
            <w:pPr>
              <w:pStyle w:val="27"/>
              <w:rPr>
                <w:rFonts w:ascii="Times New Roman" w:hAnsi="Times New Roman" w:eastAsia="宋体"/>
                <w:highlight w:val="none"/>
              </w:rPr>
            </w:pPr>
          </w:p>
        </w:tc>
        <w:tc>
          <w:tcPr>
            <w:tcW w:w="993" w:type="dxa"/>
            <w:vMerge w:val="continue"/>
            <w:noWrap w:val="0"/>
            <w:vAlign w:val="center"/>
          </w:tcPr>
          <w:p w14:paraId="7DCB98F6">
            <w:pPr>
              <w:pStyle w:val="27"/>
              <w:rPr>
                <w:rFonts w:ascii="Times New Roman" w:hAnsi="Times New Roman" w:eastAsia="宋体"/>
                <w:highlight w:val="none"/>
              </w:rPr>
            </w:pPr>
          </w:p>
        </w:tc>
        <w:tc>
          <w:tcPr>
            <w:tcW w:w="2442" w:type="dxa"/>
            <w:noWrap w:val="0"/>
            <w:vAlign w:val="center"/>
          </w:tcPr>
          <w:p w14:paraId="2ED2020F">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6EC40DDD">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0.745</w:t>
            </w:r>
          </w:p>
        </w:tc>
      </w:tr>
      <w:tr w14:paraId="455173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2F1A5A7B">
            <w:pPr>
              <w:pStyle w:val="27"/>
              <w:rPr>
                <w:rFonts w:ascii="Times New Roman" w:hAnsi="Times New Roman" w:eastAsia="宋体"/>
                <w:highlight w:val="none"/>
              </w:rPr>
            </w:pPr>
          </w:p>
        </w:tc>
        <w:tc>
          <w:tcPr>
            <w:tcW w:w="750" w:type="dxa"/>
            <w:vMerge w:val="continue"/>
            <w:noWrap w:val="0"/>
            <w:vAlign w:val="center"/>
          </w:tcPr>
          <w:p w14:paraId="5A2F508D">
            <w:pPr>
              <w:pStyle w:val="27"/>
              <w:rPr>
                <w:rFonts w:ascii="Times New Roman" w:hAnsi="Times New Roman" w:eastAsia="宋体"/>
                <w:highlight w:val="none"/>
              </w:rPr>
            </w:pPr>
          </w:p>
        </w:tc>
        <w:tc>
          <w:tcPr>
            <w:tcW w:w="1215" w:type="dxa"/>
            <w:vMerge w:val="continue"/>
            <w:noWrap w:val="0"/>
            <w:vAlign w:val="center"/>
          </w:tcPr>
          <w:p w14:paraId="02FA576A">
            <w:pPr>
              <w:pStyle w:val="27"/>
              <w:rPr>
                <w:rFonts w:ascii="Times New Roman" w:hAnsi="Times New Roman" w:eastAsia="宋体"/>
                <w:highlight w:val="none"/>
              </w:rPr>
            </w:pPr>
          </w:p>
        </w:tc>
        <w:tc>
          <w:tcPr>
            <w:tcW w:w="993" w:type="dxa"/>
            <w:vMerge w:val="continue"/>
            <w:noWrap w:val="0"/>
            <w:vAlign w:val="center"/>
          </w:tcPr>
          <w:p w14:paraId="272542EC">
            <w:pPr>
              <w:pStyle w:val="27"/>
              <w:rPr>
                <w:rFonts w:ascii="Times New Roman" w:hAnsi="Times New Roman" w:eastAsia="宋体"/>
                <w:highlight w:val="none"/>
              </w:rPr>
            </w:pPr>
          </w:p>
        </w:tc>
        <w:tc>
          <w:tcPr>
            <w:tcW w:w="2442" w:type="dxa"/>
            <w:noWrap w:val="0"/>
            <w:vAlign w:val="center"/>
          </w:tcPr>
          <w:p w14:paraId="10253F6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58600E19">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0.287</w:t>
            </w:r>
          </w:p>
        </w:tc>
      </w:tr>
      <w:tr w14:paraId="46D0C1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658AF416">
            <w:pPr>
              <w:pStyle w:val="27"/>
              <w:rPr>
                <w:rFonts w:ascii="Times New Roman" w:hAnsi="Times New Roman" w:eastAsia="宋体"/>
                <w:highlight w:val="none"/>
              </w:rPr>
            </w:pPr>
          </w:p>
        </w:tc>
        <w:tc>
          <w:tcPr>
            <w:tcW w:w="750" w:type="dxa"/>
            <w:vMerge w:val="continue"/>
            <w:noWrap w:val="0"/>
            <w:vAlign w:val="center"/>
          </w:tcPr>
          <w:p w14:paraId="7C4D60C6">
            <w:pPr>
              <w:pStyle w:val="27"/>
              <w:rPr>
                <w:rFonts w:ascii="Times New Roman" w:hAnsi="Times New Roman" w:eastAsia="宋体"/>
                <w:highlight w:val="none"/>
              </w:rPr>
            </w:pPr>
          </w:p>
        </w:tc>
        <w:tc>
          <w:tcPr>
            <w:tcW w:w="1215" w:type="dxa"/>
            <w:vMerge w:val="continue"/>
            <w:noWrap w:val="0"/>
            <w:vAlign w:val="center"/>
          </w:tcPr>
          <w:p w14:paraId="2C2EA429">
            <w:pPr>
              <w:pStyle w:val="27"/>
              <w:rPr>
                <w:rFonts w:ascii="Times New Roman" w:hAnsi="Times New Roman" w:eastAsia="宋体"/>
                <w:highlight w:val="none"/>
              </w:rPr>
            </w:pPr>
          </w:p>
        </w:tc>
        <w:tc>
          <w:tcPr>
            <w:tcW w:w="993" w:type="dxa"/>
            <w:vMerge w:val="continue"/>
            <w:noWrap w:val="0"/>
            <w:vAlign w:val="center"/>
          </w:tcPr>
          <w:p w14:paraId="737FD663">
            <w:pPr>
              <w:pStyle w:val="27"/>
              <w:rPr>
                <w:rFonts w:ascii="Times New Roman" w:hAnsi="Times New Roman" w:eastAsia="宋体"/>
                <w:highlight w:val="none"/>
              </w:rPr>
            </w:pPr>
          </w:p>
        </w:tc>
        <w:tc>
          <w:tcPr>
            <w:tcW w:w="2442" w:type="dxa"/>
            <w:noWrap w:val="0"/>
            <w:vAlign w:val="center"/>
          </w:tcPr>
          <w:p w14:paraId="5A0D0837">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3EE3E17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0.202</w:t>
            </w:r>
          </w:p>
        </w:tc>
      </w:tr>
      <w:tr w14:paraId="141BCB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7" w:hRule="atLeast"/>
          <w:jc w:val="center"/>
        </w:trPr>
        <w:tc>
          <w:tcPr>
            <w:tcW w:w="1058" w:type="dxa"/>
            <w:vMerge w:val="continue"/>
            <w:noWrap w:val="0"/>
            <w:vAlign w:val="center"/>
          </w:tcPr>
          <w:p w14:paraId="18798FCE">
            <w:pPr>
              <w:pStyle w:val="27"/>
              <w:rPr>
                <w:rFonts w:ascii="Times New Roman" w:hAnsi="Times New Roman" w:eastAsia="宋体"/>
                <w:highlight w:val="none"/>
              </w:rPr>
            </w:pPr>
          </w:p>
        </w:tc>
        <w:tc>
          <w:tcPr>
            <w:tcW w:w="750" w:type="dxa"/>
            <w:vMerge w:val="continue"/>
            <w:noWrap w:val="0"/>
            <w:vAlign w:val="center"/>
          </w:tcPr>
          <w:p w14:paraId="7A961E8E">
            <w:pPr>
              <w:pStyle w:val="27"/>
              <w:rPr>
                <w:rFonts w:ascii="Times New Roman" w:hAnsi="Times New Roman" w:eastAsia="宋体"/>
                <w:highlight w:val="none"/>
              </w:rPr>
            </w:pPr>
          </w:p>
        </w:tc>
        <w:tc>
          <w:tcPr>
            <w:tcW w:w="1215" w:type="dxa"/>
            <w:vMerge w:val="continue"/>
            <w:noWrap w:val="0"/>
            <w:vAlign w:val="center"/>
          </w:tcPr>
          <w:p w14:paraId="31D51FF5">
            <w:pPr>
              <w:pStyle w:val="27"/>
              <w:rPr>
                <w:rFonts w:ascii="Times New Roman" w:hAnsi="Times New Roman" w:eastAsia="宋体"/>
                <w:highlight w:val="none"/>
              </w:rPr>
            </w:pPr>
          </w:p>
        </w:tc>
        <w:tc>
          <w:tcPr>
            <w:tcW w:w="993" w:type="dxa"/>
            <w:vMerge w:val="continue"/>
            <w:noWrap w:val="0"/>
            <w:vAlign w:val="center"/>
          </w:tcPr>
          <w:p w14:paraId="24883D82">
            <w:pPr>
              <w:pStyle w:val="27"/>
              <w:rPr>
                <w:rFonts w:ascii="Times New Roman" w:hAnsi="Times New Roman" w:eastAsia="宋体"/>
                <w:highlight w:val="none"/>
              </w:rPr>
            </w:pPr>
          </w:p>
        </w:tc>
        <w:tc>
          <w:tcPr>
            <w:tcW w:w="2442" w:type="dxa"/>
            <w:noWrap w:val="0"/>
            <w:vAlign w:val="center"/>
          </w:tcPr>
          <w:p w14:paraId="57855D4A">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16B4E153">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1.88</w:t>
            </w:r>
          </w:p>
        </w:tc>
      </w:tr>
      <w:tr w14:paraId="6404895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058" w:type="dxa"/>
            <w:vMerge w:val="continue"/>
            <w:noWrap w:val="0"/>
            <w:vAlign w:val="center"/>
          </w:tcPr>
          <w:p w14:paraId="00AFAE91">
            <w:pPr>
              <w:pStyle w:val="27"/>
              <w:rPr>
                <w:rFonts w:ascii="Times New Roman" w:hAnsi="Times New Roman" w:eastAsia="宋体"/>
                <w:highlight w:val="none"/>
              </w:rPr>
            </w:pPr>
          </w:p>
        </w:tc>
        <w:tc>
          <w:tcPr>
            <w:tcW w:w="750" w:type="dxa"/>
            <w:vMerge w:val="continue"/>
            <w:noWrap w:val="0"/>
            <w:vAlign w:val="center"/>
          </w:tcPr>
          <w:p w14:paraId="7E500EB1">
            <w:pPr>
              <w:pStyle w:val="27"/>
              <w:rPr>
                <w:rFonts w:ascii="Times New Roman" w:hAnsi="Times New Roman" w:eastAsia="宋体"/>
                <w:highlight w:val="none"/>
              </w:rPr>
            </w:pPr>
          </w:p>
        </w:tc>
        <w:tc>
          <w:tcPr>
            <w:tcW w:w="1215" w:type="dxa"/>
            <w:noWrap w:val="0"/>
            <w:vAlign w:val="center"/>
          </w:tcPr>
          <w:p w14:paraId="216C3632">
            <w:pPr>
              <w:pStyle w:val="27"/>
              <w:rPr>
                <w:rFonts w:ascii="Times New Roman" w:hAnsi="Times New Roman" w:eastAsia="宋体"/>
                <w:highlight w:val="none"/>
              </w:rPr>
            </w:pPr>
            <w:r>
              <w:rPr>
                <w:rFonts w:ascii="Times New Roman" w:hAnsi="Times New Roman" w:eastAsia="宋体"/>
                <w:highlight w:val="none"/>
              </w:rPr>
              <w:t>预测排放浓度</w:t>
            </w:r>
          </w:p>
        </w:tc>
        <w:tc>
          <w:tcPr>
            <w:tcW w:w="993" w:type="dxa"/>
            <w:noWrap w:val="0"/>
            <w:vAlign w:val="center"/>
          </w:tcPr>
          <w:p w14:paraId="25C0132D">
            <w:pPr>
              <w:pStyle w:val="27"/>
              <w:rPr>
                <w:rFonts w:ascii="Times New Roman" w:hAnsi="Times New Roman" w:eastAsia="宋体"/>
                <w:highlight w:val="none"/>
              </w:rPr>
            </w:pPr>
            <w:r>
              <w:rPr>
                <w:rFonts w:ascii="Times New Roman" w:hAnsi="Times New Roman" w:eastAsia="宋体"/>
                <w:highlight w:val="none"/>
              </w:rPr>
              <w:t>C</w:t>
            </w:r>
            <w:r>
              <w:rPr>
                <w:rFonts w:ascii="Times New Roman" w:hAnsi="Times New Roman" w:eastAsia="宋体"/>
                <w:highlight w:val="none"/>
                <w:vertAlign w:val="subscript"/>
              </w:rPr>
              <w:t>Hg</w:t>
            </w:r>
          </w:p>
        </w:tc>
        <w:tc>
          <w:tcPr>
            <w:tcW w:w="2442" w:type="dxa"/>
            <w:noWrap w:val="0"/>
            <w:vAlign w:val="center"/>
          </w:tcPr>
          <w:p w14:paraId="17E58481">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1939" w:type="dxa"/>
            <w:noWrap w:val="0"/>
            <w:vAlign w:val="center"/>
          </w:tcPr>
          <w:p w14:paraId="36FE2ED3">
            <w:pPr>
              <w:pStyle w:val="27"/>
              <w:rPr>
                <w:rFonts w:ascii="Times New Roman" w:hAnsi="Times New Roman" w:eastAsia="宋体"/>
                <w:highlight w:val="none"/>
              </w:rPr>
            </w:pPr>
            <w:r>
              <w:rPr>
                <w:rFonts w:ascii="Times New Roman" w:hAnsi="Times New Roman" w:eastAsia="宋体"/>
                <w:highlight w:val="none"/>
              </w:rPr>
              <w:t>2.500</w:t>
            </w:r>
          </w:p>
        </w:tc>
      </w:tr>
      <w:tr w14:paraId="166EAD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05D7A75F">
            <w:pPr>
              <w:pStyle w:val="27"/>
              <w:rPr>
                <w:rFonts w:ascii="Times New Roman" w:hAnsi="Times New Roman" w:eastAsia="宋体"/>
                <w:highlight w:val="none"/>
              </w:rPr>
            </w:pPr>
          </w:p>
        </w:tc>
        <w:tc>
          <w:tcPr>
            <w:tcW w:w="750" w:type="dxa"/>
            <w:vMerge w:val="continue"/>
            <w:noWrap w:val="0"/>
            <w:vAlign w:val="center"/>
          </w:tcPr>
          <w:p w14:paraId="67AF34CC">
            <w:pPr>
              <w:pStyle w:val="27"/>
              <w:rPr>
                <w:rFonts w:ascii="Times New Roman" w:hAnsi="Times New Roman" w:eastAsia="宋体"/>
                <w:highlight w:val="none"/>
              </w:rPr>
            </w:pPr>
          </w:p>
        </w:tc>
        <w:tc>
          <w:tcPr>
            <w:tcW w:w="1215" w:type="dxa"/>
            <w:vMerge w:val="restart"/>
            <w:noWrap w:val="0"/>
            <w:vAlign w:val="center"/>
          </w:tcPr>
          <w:p w14:paraId="15050263">
            <w:pPr>
              <w:pStyle w:val="27"/>
              <w:rPr>
                <w:rFonts w:ascii="Times New Roman" w:hAnsi="Times New Roman" w:eastAsia="宋体"/>
                <w:highlight w:val="none"/>
              </w:rPr>
            </w:pPr>
            <w:r>
              <w:rPr>
                <w:rFonts w:ascii="Times New Roman" w:hAnsi="Times New Roman" w:eastAsia="宋体"/>
                <w:highlight w:val="none"/>
              </w:rPr>
              <w:t>排放量</w:t>
            </w:r>
          </w:p>
        </w:tc>
        <w:tc>
          <w:tcPr>
            <w:tcW w:w="993" w:type="dxa"/>
            <w:vMerge w:val="restart"/>
            <w:noWrap w:val="0"/>
            <w:vAlign w:val="center"/>
          </w:tcPr>
          <w:p w14:paraId="66A2C64A">
            <w:pPr>
              <w:pStyle w:val="27"/>
              <w:rPr>
                <w:rFonts w:ascii="Times New Roman" w:hAnsi="Times New Roman" w:eastAsia="宋体"/>
                <w:highlight w:val="none"/>
              </w:rPr>
            </w:pPr>
            <w:r>
              <w:rPr>
                <w:rFonts w:ascii="Times New Roman" w:hAnsi="Times New Roman" w:eastAsia="宋体"/>
                <w:highlight w:val="none"/>
              </w:rPr>
              <w:t>M</w:t>
            </w:r>
            <w:r>
              <w:rPr>
                <w:rFonts w:ascii="Times New Roman" w:hAnsi="Times New Roman" w:eastAsia="宋体"/>
                <w:highlight w:val="none"/>
                <w:vertAlign w:val="subscript"/>
              </w:rPr>
              <w:t>Hg</w:t>
            </w:r>
          </w:p>
        </w:tc>
        <w:tc>
          <w:tcPr>
            <w:tcW w:w="2442" w:type="dxa"/>
            <w:noWrap w:val="0"/>
            <w:vAlign w:val="center"/>
          </w:tcPr>
          <w:p w14:paraId="62EC3090">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10.10~10.25使用116MW锅炉</w:t>
            </w:r>
            <w:r>
              <w:rPr>
                <w:rFonts w:hint="eastAsia" w:ascii="Times New Roman" w:hAnsi="Times New Roman" w:eastAsia="宋体"/>
                <w:highlight w:val="none"/>
                <w:lang w:eastAsia="zh-CN"/>
              </w:rPr>
              <w:t>）</w:t>
            </w:r>
          </w:p>
        </w:tc>
        <w:tc>
          <w:tcPr>
            <w:tcW w:w="1939" w:type="dxa"/>
            <w:noWrap w:val="0"/>
            <w:vAlign w:val="center"/>
          </w:tcPr>
          <w:p w14:paraId="6D9FF8D8">
            <w:pPr>
              <w:pStyle w:val="27"/>
              <w:ind w:firstLine="0" w:firstLineChars="0"/>
              <w:rPr>
                <w:rFonts w:ascii="Times New Roman" w:hAnsi="Times New Roman" w:eastAsia="宋体"/>
                <w:highlight w:val="none"/>
              </w:rPr>
            </w:pPr>
            <w:r>
              <w:rPr>
                <w:rFonts w:hint="eastAsia" w:ascii="Times New Roman" w:hAnsi="Times New Roman" w:eastAsia="宋体"/>
                <w:highlight w:val="none"/>
                <w:lang w:val="en-US" w:eastAsia="zh-CN"/>
              </w:rPr>
              <w:t>0.66</w:t>
            </w:r>
          </w:p>
        </w:tc>
      </w:tr>
      <w:tr w14:paraId="17029E3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4745C880">
            <w:pPr>
              <w:pStyle w:val="27"/>
              <w:rPr>
                <w:rFonts w:ascii="Times New Roman" w:hAnsi="Times New Roman" w:eastAsia="宋体"/>
                <w:highlight w:val="none"/>
              </w:rPr>
            </w:pPr>
          </w:p>
        </w:tc>
        <w:tc>
          <w:tcPr>
            <w:tcW w:w="750" w:type="dxa"/>
            <w:vMerge w:val="continue"/>
            <w:noWrap w:val="0"/>
            <w:vAlign w:val="center"/>
          </w:tcPr>
          <w:p w14:paraId="07957C29">
            <w:pPr>
              <w:pStyle w:val="27"/>
              <w:rPr>
                <w:rFonts w:ascii="Times New Roman" w:hAnsi="Times New Roman" w:eastAsia="宋体"/>
                <w:highlight w:val="none"/>
              </w:rPr>
            </w:pPr>
          </w:p>
        </w:tc>
        <w:tc>
          <w:tcPr>
            <w:tcW w:w="1215" w:type="dxa"/>
            <w:vMerge w:val="continue"/>
            <w:noWrap w:val="0"/>
            <w:vAlign w:val="center"/>
          </w:tcPr>
          <w:p w14:paraId="21D3D9F9">
            <w:pPr>
              <w:pStyle w:val="27"/>
              <w:rPr>
                <w:rFonts w:ascii="Times New Roman" w:hAnsi="Times New Roman" w:eastAsia="宋体"/>
                <w:highlight w:val="none"/>
              </w:rPr>
            </w:pPr>
          </w:p>
        </w:tc>
        <w:tc>
          <w:tcPr>
            <w:tcW w:w="993" w:type="dxa"/>
            <w:vMerge w:val="continue"/>
            <w:noWrap w:val="0"/>
            <w:vAlign w:val="center"/>
          </w:tcPr>
          <w:p w14:paraId="3B436B1F">
            <w:pPr>
              <w:pStyle w:val="27"/>
              <w:rPr>
                <w:rFonts w:ascii="Times New Roman" w:hAnsi="Times New Roman" w:eastAsia="宋体"/>
                <w:highlight w:val="none"/>
              </w:rPr>
            </w:pPr>
          </w:p>
        </w:tc>
        <w:tc>
          <w:tcPr>
            <w:tcW w:w="2442" w:type="dxa"/>
            <w:noWrap w:val="0"/>
            <w:vAlign w:val="center"/>
          </w:tcPr>
          <w:p w14:paraId="4B562300">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10.25~12.15使用58MW+35t/h锅炉</w:t>
            </w:r>
            <w:r>
              <w:rPr>
                <w:rFonts w:hint="eastAsia" w:ascii="Times New Roman" w:hAnsi="Times New Roman" w:eastAsia="宋体"/>
                <w:highlight w:val="none"/>
                <w:lang w:eastAsia="zh-CN"/>
              </w:rPr>
              <w:t>）</w:t>
            </w:r>
          </w:p>
        </w:tc>
        <w:tc>
          <w:tcPr>
            <w:tcW w:w="1939" w:type="dxa"/>
            <w:noWrap w:val="0"/>
            <w:vAlign w:val="center"/>
          </w:tcPr>
          <w:p w14:paraId="0CDB5D1D">
            <w:pPr>
              <w:pStyle w:val="27"/>
              <w:ind w:firstLine="0" w:firstLineChars="0"/>
              <w:rPr>
                <w:rFonts w:hint="eastAsia" w:ascii="Times New Roman" w:hAnsi="Times New Roman" w:eastAsia="宋体"/>
                <w:highlight w:val="none"/>
              </w:rPr>
            </w:pPr>
            <w:r>
              <w:rPr>
                <w:rFonts w:hint="eastAsia" w:ascii="Times New Roman" w:hAnsi="Times New Roman" w:eastAsia="宋体"/>
                <w:highlight w:val="none"/>
                <w:lang w:val="en-US" w:eastAsia="zh-CN"/>
              </w:rPr>
              <w:t>0.287</w:t>
            </w:r>
          </w:p>
        </w:tc>
      </w:tr>
      <w:tr w14:paraId="44A67F2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107A58BE">
            <w:pPr>
              <w:pStyle w:val="27"/>
              <w:rPr>
                <w:rFonts w:ascii="Times New Roman" w:hAnsi="Times New Roman" w:eastAsia="宋体"/>
                <w:highlight w:val="none"/>
              </w:rPr>
            </w:pPr>
          </w:p>
        </w:tc>
        <w:tc>
          <w:tcPr>
            <w:tcW w:w="750" w:type="dxa"/>
            <w:vMerge w:val="continue"/>
            <w:noWrap w:val="0"/>
            <w:vAlign w:val="center"/>
          </w:tcPr>
          <w:p w14:paraId="1502B930">
            <w:pPr>
              <w:pStyle w:val="27"/>
              <w:rPr>
                <w:rFonts w:ascii="Times New Roman" w:hAnsi="Times New Roman" w:eastAsia="宋体"/>
                <w:highlight w:val="none"/>
              </w:rPr>
            </w:pPr>
          </w:p>
        </w:tc>
        <w:tc>
          <w:tcPr>
            <w:tcW w:w="1215" w:type="dxa"/>
            <w:vMerge w:val="continue"/>
            <w:noWrap w:val="0"/>
            <w:vAlign w:val="center"/>
          </w:tcPr>
          <w:p w14:paraId="75010A5C">
            <w:pPr>
              <w:pStyle w:val="27"/>
              <w:rPr>
                <w:rFonts w:ascii="Times New Roman" w:hAnsi="Times New Roman" w:eastAsia="宋体"/>
                <w:highlight w:val="none"/>
              </w:rPr>
            </w:pPr>
          </w:p>
        </w:tc>
        <w:tc>
          <w:tcPr>
            <w:tcW w:w="993" w:type="dxa"/>
            <w:vMerge w:val="continue"/>
            <w:noWrap w:val="0"/>
            <w:vAlign w:val="center"/>
          </w:tcPr>
          <w:p w14:paraId="1185AF14">
            <w:pPr>
              <w:pStyle w:val="27"/>
              <w:rPr>
                <w:rFonts w:ascii="Times New Roman" w:hAnsi="Times New Roman" w:eastAsia="宋体"/>
                <w:highlight w:val="none"/>
              </w:rPr>
            </w:pPr>
          </w:p>
        </w:tc>
        <w:tc>
          <w:tcPr>
            <w:tcW w:w="2442" w:type="dxa"/>
            <w:noWrap w:val="0"/>
            <w:vAlign w:val="center"/>
          </w:tcPr>
          <w:p w14:paraId="4E07E1DB">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12.15~1.20使用116MW+35t/h锅炉</w:t>
            </w:r>
            <w:r>
              <w:rPr>
                <w:rFonts w:hint="eastAsia" w:ascii="Times New Roman" w:hAnsi="Times New Roman" w:eastAsia="宋体"/>
                <w:highlight w:val="none"/>
                <w:lang w:eastAsia="zh-CN"/>
              </w:rPr>
              <w:t>）</w:t>
            </w:r>
          </w:p>
        </w:tc>
        <w:tc>
          <w:tcPr>
            <w:tcW w:w="1939" w:type="dxa"/>
            <w:noWrap w:val="0"/>
            <w:vAlign w:val="center"/>
          </w:tcPr>
          <w:p w14:paraId="2BCD96A6">
            <w:pPr>
              <w:pStyle w:val="27"/>
              <w:ind w:firstLine="0" w:firstLineChars="0"/>
              <w:rPr>
                <w:rFonts w:hint="eastAsia" w:ascii="Times New Roman" w:hAnsi="Times New Roman" w:eastAsia="宋体"/>
                <w:highlight w:val="none"/>
              </w:rPr>
            </w:pPr>
            <w:r>
              <w:rPr>
                <w:rFonts w:hint="eastAsia" w:ascii="Times New Roman" w:hAnsi="Times New Roman" w:eastAsia="宋体"/>
                <w:highlight w:val="none"/>
                <w:lang w:val="en-US" w:eastAsia="zh-CN"/>
              </w:rPr>
              <w:t>0.745</w:t>
            </w:r>
          </w:p>
        </w:tc>
      </w:tr>
      <w:tr w14:paraId="152F64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0EB9623C">
            <w:pPr>
              <w:pStyle w:val="27"/>
              <w:rPr>
                <w:rFonts w:ascii="Times New Roman" w:hAnsi="Times New Roman" w:eastAsia="宋体"/>
                <w:highlight w:val="none"/>
              </w:rPr>
            </w:pPr>
          </w:p>
        </w:tc>
        <w:tc>
          <w:tcPr>
            <w:tcW w:w="750" w:type="dxa"/>
            <w:vMerge w:val="continue"/>
            <w:noWrap w:val="0"/>
            <w:vAlign w:val="center"/>
          </w:tcPr>
          <w:p w14:paraId="4F8EEC89">
            <w:pPr>
              <w:pStyle w:val="27"/>
              <w:rPr>
                <w:rFonts w:ascii="Times New Roman" w:hAnsi="Times New Roman" w:eastAsia="宋体"/>
                <w:highlight w:val="none"/>
              </w:rPr>
            </w:pPr>
          </w:p>
        </w:tc>
        <w:tc>
          <w:tcPr>
            <w:tcW w:w="1215" w:type="dxa"/>
            <w:vMerge w:val="continue"/>
            <w:noWrap w:val="0"/>
            <w:vAlign w:val="center"/>
          </w:tcPr>
          <w:p w14:paraId="5767B749">
            <w:pPr>
              <w:pStyle w:val="27"/>
              <w:rPr>
                <w:rFonts w:ascii="Times New Roman" w:hAnsi="Times New Roman" w:eastAsia="宋体"/>
                <w:highlight w:val="none"/>
              </w:rPr>
            </w:pPr>
          </w:p>
        </w:tc>
        <w:tc>
          <w:tcPr>
            <w:tcW w:w="993" w:type="dxa"/>
            <w:vMerge w:val="continue"/>
            <w:noWrap w:val="0"/>
            <w:vAlign w:val="center"/>
          </w:tcPr>
          <w:p w14:paraId="244101FA">
            <w:pPr>
              <w:pStyle w:val="27"/>
              <w:rPr>
                <w:rFonts w:ascii="Times New Roman" w:hAnsi="Times New Roman" w:eastAsia="宋体"/>
                <w:highlight w:val="none"/>
              </w:rPr>
            </w:pPr>
          </w:p>
        </w:tc>
        <w:tc>
          <w:tcPr>
            <w:tcW w:w="2442" w:type="dxa"/>
            <w:noWrap w:val="0"/>
            <w:vAlign w:val="center"/>
          </w:tcPr>
          <w:p w14:paraId="4F30C2B9">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1.20~4.1使用58MW+35t/h锅炉</w:t>
            </w:r>
            <w:r>
              <w:rPr>
                <w:rFonts w:hint="eastAsia" w:ascii="Times New Roman" w:hAnsi="Times New Roman" w:eastAsia="宋体"/>
                <w:highlight w:val="none"/>
                <w:lang w:eastAsia="zh-CN"/>
              </w:rPr>
              <w:t>）</w:t>
            </w:r>
          </w:p>
        </w:tc>
        <w:tc>
          <w:tcPr>
            <w:tcW w:w="1939" w:type="dxa"/>
            <w:noWrap w:val="0"/>
            <w:vAlign w:val="center"/>
          </w:tcPr>
          <w:p w14:paraId="6ED5B51D">
            <w:pPr>
              <w:pStyle w:val="27"/>
              <w:ind w:firstLine="0" w:firstLineChars="0"/>
              <w:rPr>
                <w:rFonts w:hint="eastAsia" w:ascii="Times New Roman" w:hAnsi="Times New Roman" w:eastAsia="宋体"/>
                <w:highlight w:val="none"/>
              </w:rPr>
            </w:pPr>
            <w:r>
              <w:rPr>
                <w:rFonts w:hint="eastAsia" w:ascii="Times New Roman" w:hAnsi="Times New Roman" w:eastAsia="宋体"/>
                <w:highlight w:val="none"/>
                <w:lang w:val="en-US" w:eastAsia="zh-CN"/>
              </w:rPr>
              <w:t>0.287</w:t>
            </w:r>
          </w:p>
        </w:tc>
      </w:tr>
      <w:tr w14:paraId="1E7101E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1058" w:type="dxa"/>
            <w:vMerge w:val="continue"/>
            <w:noWrap w:val="0"/>
            <w:vAlign w:val="center"/>
          </w:tcPr>
          <w:p w14:paraId="2A56579A">
            <w:pPr>
              <w:pStyle w:val="27"/>
              <w:rPr>
                <w:rFonts w:ascii="Times New Roman" w:hAnsi="Times New Roman" w:eastAsia="宋体"/>
                <w:highlight w:val="none"/>
              </w:rPr>
            </w:pPr>
          </w:p>
        </w:tc>
        <w:tc>
          <w:tcPr>
            <w:tcW w:w="750" w:type="dxa"/>
            <w:vMerge w:val="continue"/>
            <w:noWrap w:val="0"/>
            <w:vAlign w:val="center"/>
          </w:tcPr>
          <w:p w14:paraId="07FCB807">
            <w:pPr>
              <w:pStyle w:val="27"/>
              <w:rPr>
                <w:rFonts w:ascii="Times New Roman" w:hAnsi="Times New Roman" w:eastAsia="宋体"/>
                <w:highlight w:val="none"/>
              </w:rPr>
            </w:pPr>
          </w:p>
        </w:tc>
        <w:tc>
          <w:tcPr>
            <w:tcW w:w="1215" w:type="dxa"/>
            <w:vMerge w:val="continue"/>
            <w:noWrap w:val="0"/>
            <w:vAlign w:val="center"/>
          </w:tcPr>
          <w:p w14:paraId="107ED917">
            <w:pPr>
              <w:pStyle w:val="27"/>
              <w:rPr>
                <w:rFonts w:ascii="Times New Roman" w:hAnsi="Times New Roman" w:eastAsia="宋体"/>
                <w:highlight w:val="none"/>
              </w:rPr>
            </w:pPr>
          </w:p>
        </w:tc>
        <w:tc>
          <w:tcPr>
            <w:tcW w:w="993" w:type="dxa"/>
            <w:vMerge w:val="continue"/>
            <w:noWrap w:val="0"/>
            <w:vAlign w:val="center"/>
          </w:tcPr>
          <w:p w14:paraId="7062106D">
            <w:pPr>
              <w:pStyle w:val="27"/>
              <w:rPr>
                <w:rFonts w:ascii="Times New Roman" w:hAnsi="Times New Roman" w:eastAsia="宋体"/>
                <w:highlight w:val="none"/>
              </w:rPr>
            </w:pPr>
          </w:p>
        </w:tc>
        <w:tc>
          <w:tcPr>
            <w:tcW w:w="2442" w:type="dxa"/>
            <w:noWrap w:val="0"/>
            <w:vAlign w:val="center"/>
          </w:tcPr>
          <w:p w14:paraId="0C2D34AE">
            <w:pPr>
              <w:pStyle w:val="27"/>
              <w:ind w:firstLine="0" w:firstLineChars="0"/>
              <w:rPr>
                <w:rFonts w:ascii="Times New Roman" w:hAnsi="Times New Roman" w:eastAsia="宋体"/>
                <w:highlight w:val="none"/>
              </w:rPr>
            </w:pPr>
            <w:r>
              <w:rPr>
                <w:rFonts w:ascii="Times New Roman" w:hAnsi="Times New Roman" w:eastAsia="宋体"/>
                <w:highlight w:val="none"/>
              </w:rPr>
              <w:t>kg/h</w:t>
            </w:r>
            <w:r>
              <w:rPr>
                <w:rFonts w:hint="eastAsia" w:ascii="Times New Roman" w:hAnsi="Times New Roman" w:eastAsia="宋体"/>
                <w:highlight w:val="none"/>
                <w:lang w:eastAsia="zh-CN"/>
              </w:rPr>
              <w:t>（</w:t>
            </w:r>
            <w:r>
              <w:rPr>
                <w:rFonts w:hint="eastAsia" w:ascii="Times New Roman" w:hAnsi="Times New Roman" w:eastAsia="宋体"/>
                <w:highlight w:val="none"/>
                <w:lang w:val="en-US" w:eastAsia="zh-CN"/>
              </w:rPr>
              <w:t>4.1~4.30使用58MW锅炉</w:t>
            </w:r>
            <w:r>
              <w:rPr>
                <w:rFonts w:hint="eastAsia" w:ascii="Times New Roman" w:hAnsi="Times New Roman" w:eastAsia="宋体"/>
                <w:highlight w:val="none"/>
                <w:lang w:eastAsia="zh-CN"/>
              </w:rPr>
              <w:t>）</w:t>
            </w:r>
          </w:p>
        </w:tc>
        <w:tc>
          <w:tcPr>
            <w:tcW w:w="1939" w:type="dxa"/>
            <w:noWrap w:val="0"/>
            <w:vAlign w:val="center"/>
          </w:tcPr>
          <w:p w14:paraId="368D7021">
            <w:pPr>
              <w:pStyle w:val="27"/>
              <w:ind w:firstLine="0" w:firstLineChars="0"/>
              <w:rPr>
                <w:rFonts w:hint="eastAsia" w:ascii="Times New Roman" w:hAnsi="Times New Roman" w:eastAsia="宋体"/>
                <w:highlight w:val="none"/>
              </w:rPr>
            </w:pPr>
            <w:r>
              <w:rPr>
                <w:rFonts w:hint="eastAsia" w:ascii="Times New Roman" w:hAnsi="Times New Roman" w:eastAsia="宋体"/>
                <w:highlight w:val="none"/>
                <w:lang w:val="en-US" w:eastAsia="zh-CN"/>
              </w:rPr>
              <w:t>0.202</w:t>
            </w:r>
          </w:p>
        </w:tc>
      </w:tr>
      <w:tr w14:paraId="2ECE64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7" w:hRule="atLeast"/>
          <w:jc w:val="center"/>
        </w:trPr>
        <w:tc>
          <w:tcPr>
            <w:tcW w:w="1058" w:type="dxa"/>
            <w:vMerge w:val="continue"/>
            <w:noWrap w:val="0"/>
            <w:vAlign w:val="center"/>
          </w:tcPr>
          <w:p w14:paraId="3A178E2B">
            <w:pPr>
              <w:pStyle w:val="27"/>
              <w:rPr>
                <w:rFonts w:ascii="Times New Roman" w:hAnsi="Times New Roman" w:eastAsia="宋体"/>
                <w:highlight w:val="none"/>
              </w:rPr>
            </w:pPr>
          </w:p>
        </w:tc>
        <w:tc>
          <w:tcPr>
            <w:tcW w:w="750" w:type="dxa"/>
            <w:vMerge w:val="continue"/>
            <w:noWrap w:val="0"/>
            <w:vAlign w:val="center"/>
          </w:tcPr>
          <w:p w14:paraId="002D578E">
            <w:pPr>
              <w:pStyle w:val="27"/>
              <w:rPr>
                <w:rFonts w:ascii="Times New Roman" w:hAnsi="Times New Roman" w:eastAsia="宋体"/>
                <w:highlight w:val="none"/>
              </w:rPr>
            </w:pPr>
          </w:p>
        </w:tc>
        <w:tc>
          <w:tcPr>
            <w:tcW w:w="1215" w:type="dxa"/>
            <w:vMerge w:val="continue"/>
            <w:noWrap w:val="0"/>
            <w:vAlign w:val="center"/>
          </w:tcPr>
          <w:p w14:paraId="7A989C45">
            <w:pPr>
              <w:pStyle w:val="27"/>
              <w:rPr>
                <w:rFonts w:ascii="Times New Roman" w:hAnsi="Times New Roman" w:eastAsia="宋体"/>
                <w:highlight w:val="none"/>
              </w:rPr>
            </w:pPr>
          </w:p>
        </w:tc>
        <w:tc>
          <w:tcPr>
            <w:tcW w:w="993" w:type="dxa"/>
            <w:vMerge w:val="continue"/>
            <w:noWrap w:val="0"/>
            <w:vAlign w:val="center"/>
          </w:tcPr>
          <w:p w14:paraId="39035151">
            <w:pPr>
              <w:pStyle w:val="27"/>
              <w:rPr>
                <w:rFonts w:ascii="Times New Roman" w:hAnsi="Times New Roman" w:eastAsia="宋体"/>
                <w:highlight w:val="none"/>
              </w:rPr>
            </w:pPr>
          </w:p>
        </w:tc>
        <w:tc>
          <w:tcPr>
            <w:tcW w:w="2442" w:type="dxa"/>
            <w:noWrap w:val="0"/>
            <w:vAlign w:val="center"/>
          </w:tcPr>
          <w:p w14:paraId="3B514A9A">
            <w:pPr>
              <w:pStyle w:val="27"/>
              <w:rPr>
                <w:rFonts w:ascii="Times New Roman" w:hAnsi="Times New Roman" w:eastAsia="宋体"/>
                <w:highlight w:val="none"/>
              </w:rPr>
            </w:pPr>
            <w:r>
              <w:rPr>
                <w:rFonts w:ascii="Times New Roman" w:hAnsi="Times New Roman" w:eastAsia="宋体"/>
                <w:highlight w:val="none"/>
              </w:rPr>
              <w:t>t/a</w:t>
            </w:r>
          </w:p>
        </w:tc>
        <w:tc>
          <w:tcPr>
            <w:tcW w:w="1939" w:type="dxa"/>
            <w:noWrap w:val="0"/>
            <w:vAlign w:val="center"/>
          </w:tcPr>
          <w:p w14:paraId="7BC92F1F">
            <w:pPr>
              <w:pStyle w:val="27"/>
              <w:ind w:firstLine="0" w:firstLineChars="0"/>
              <w:rPr>
                <w:rFonts w:ascii="Times New Roman" w:hAnsi="Times New Roman" w:eastAsia="宋体"/>
                <w:highlight w:val="none"/>
              </w:rPr>
            </w:pPr>
            <w:r>
              <w:rPr>
                <w:rFonts w:hint="eastAsia" w:ascii="Times New Roman" w:hAnsi="Times New Roman" w:eastAsia="宋体"/>
                <w:highlight w:val="none"/>
                <w:lang w:val="en-US" w:eastAsia="zh-CN"/>
              </w:rPr>
              <w:t>1.88</w:t>
            </w:r>
          </w:p>
        </w:tc>
      </w:tr>
    </w:tbl>
    <w:p w14:paraId="61035D97">
      <w:pPr>
        <w:rPr>
          <w:rFonts w:hint="default"/>
          <w:highlight w:val="none"/>
          <w:lang w:val="en-US" w:eastAsia="zh-CN"/>
        </w:rPr>
      </w:pPr>
    </w:p>
    <w:p w14:paraId="35ADA098">
      <w:pPr>
        <w:pStyle w:val="23"/>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3502F18">
      <w:pPr>
        <w:ind w:firstLine="482"/>
        <w:rPr>
          <w:rFonts w:ascii="Times New Roman" w:hAnsi="Times New Roman"/>
          <w:b/>
          <w:highlight w:val="none"/>
        </w:rPr>
      </w:pPr>
      <w:r>
        <w:rPr>
          <w:rFonts w:ascii="Times New Roman" w:hAnsi="Times New Roman"/>
          <w:b/>
          <w:highlight w:val="none"/>
        </w:rPr>
        <w:t>无组织</w:t>
      </w:r>
    </w:p>
    <w:p w14:paraId="058A9BBC">
      <w:pPr>
        <w:ind w:firstLine="480"/>
        <w:rPr>
          <w:rFonts w:ascii="Times New Roman" w:hAnsi="Times New Roman"/>
          <w:highlight w:val="none"/>
        </w:rPr>
      </w:pPr>
      <w:r>
        <w:rPr>
          <w:rFonts w:ascii="Times New Roman" w:hAnsi="Times New Roman"/>
          <w:highlight w:val="none"/>
        </w:rPr>
        <w:t>（1）原煤储运粉尘</w:t>
      </w:r>
    </w:p>
    <w:p w14:paraId="4EB46B07">
      <w:pPr>
        <w:ind w:firstLine="480"/>
        <w:rPr>
          <w:rFonts w:ascii="Times New Roman" w:hAnsi="Times New Roman"/>
          <w:highlight w:val="none"/>
        </w:rPr>
      </w:pPr>
      <w:r>
        <w:rPr>
          <w:rFonts w:hint="eastAsia" w:ascii="Times New Roman" w:hAnsi="Times New Roman"/>
          <w:highlight w:val="none"/>
        </w:rPr>
        <w:t>全场</w:t>
      </w:r>
      <w:r>
        <w:rPr>
          <w:rFonts w:ascii="Times New Roman" w:hAnsi="Times New Roman"/>
          <w:highlight w:val="none"/>
        </w:rPr>
        <w:t>锅炉燃料煤自</w:t>
      </w:r>
      <w:r>
        <w:rPr>
          <w:rFonts w:hint="eastAsia" w:ascii="Times New Roman" w:hAnsi="Times New Roman"/>
          <w:highlight w:val="none"/>
        </w:rPr>
        <w:t>全封闭</w:t>
      </w:r>
      <w:r>
        <w:rPr>
          <w:rFonts w:ascii="Times New Roman" w:hAnsi="Times New Roman"/>
          <w:highlight w:val="none"/>
        </w:rPr>
        <w:t>储煤库由皮带运输机经破碎后送入锅炉煤仓间的原煤仓中，原煤仓的燃煤经全封闭式计量给煤机送至炉前溜煤管，进入燃烧室燃烧。</w:t>
      </w:r>
    </w:p>
    <w:p w14:paraId="45D38EA5">
      <w:pPr>
        <w:ind w:firstLine="480"/>
        <w:rPr>
          <w:rFonts w:ascii="Times New Roman" w:hAnsi="Times New Roman"/>
          <w:highlight w:val="none"/>
        </w:rPr>
      </w:pPr>
      <w:r>
        <w:rPr>
          <w:rFonts w:ascii="Times New Roman" w:hAnsi="Times New Roman"/>
          <w:highlight w:val="none"/>
        </w:rPr>
        <w:t>1）输煤系统粉尘</w:t>
      </w:r>
    </w:p>
    <w:p w14:paraId="4B653604">
      <w:pPr>
        <w:ind w:firstLine="480"/>
        <w:rPr>
          <w:rFonts w:ascii="Times New Roman" w:hAnsi="Times New Roman"/>
          <w:highlight w:val="none"/>
        </w:rPr>
      </w:pPr>
      <w:r>
        <w:rPr>
          <w:rFonts w:ascii="Times New Roman" w:hAnsi="Times New Roman"/>
          <w:highlight w:val="none"/>
        </w:rPr>
        <w:t>本项目输煤栈桥采用全封闭布置，岩棉夹心复合彩钢板围护，皮带上方设有喷淋水管用于燃料干燥时的加湿，因此输煤栈桥基本无粉尘外排，本次评价不考虑输煤栈桥无组织扬尘。</w:t>
      </w:r>
    </w:p>
    <w:p w14:paraId="618D02DF">
      <w:pPr>
        <w:ind w:firstLine="480"/>
        <w:rPr>
          <w:rFonts w:ascii="Times New Roman" w:hAnsi="Times New Roman"/>
          <w:highlight w:val="none"/>
        </w:rPr>
      </w:pPr>
      <w:r>
        <w:rPr>
          <w:rFonts w:ascii="Times New Roman" w:hAnsi="Times New Roman"/>
          <w:highlight w:val="none"/>
        </w:rPr>
        <w:t>2）炉前筒仓粉尘</w:t>
      </w:r>
    </w:p>
    <w:p w14:paraId="2F6C35B5">
      <w:pPr>
        <w:ind w:firstLine="480"/>
        <w:rPr>
          <w:rFonts w:ascii="Times New Roman" w:hAnsi="Times New Roman"/>
          <w:highlight w:val="none"/>
        </w:rPr>
      </w:pPr>
      <w:r>
        <w:rPr>
          <w:rFonts w:ascii="Times New Roman" w:hAnsi="Times New Roman"/>
          <w:highlight w:val="none"/>
        </w:rPr>
        <w:t>每台锅炉设置1座炉前钢煤仓，筒仓位于密闭的室内，且定期在室内洒水抑尘，可有效防止煤尘飞扬。炉前筒仓粉尘无组织排放量较小，难以量化计算，通过采取上述措施后，因此炉前筒仓基本无粉尘外排，本次评价不考虑炉前筒仓无组织扬尘。</w:t>
      </w:r>
    </w:p>
    <w:p w14:paraId="6894FC77">
      <w:pPr>
        <w:ind w:firstLine="480"/>
        <w:rPr>
          <w:rFonts w:ascii="Times New Roman" w:hAnsi="Times New Roman"/>
          <w:highlight w:val="none"/>
        </w:rPr>
      </w:pPr>
      <w:r>
        <w:rPr>
          <w:rFonts w:ascii="Times New Roman" w:hAnsi="Times New Roman"/>
          <w:highlight w:val="none"/>
        </w:rPr>
        <w:t>3）煤场扬尘</w:t>
      </w:r>
    </w:p>
    <w:p w14:paraId="06D12C51">
      <w:pPr>
        <w:ind w:firstLine="480"/>
        <w:rPr>
          <w:highlight w:val="none"/>
        </w:rPr>
      </w:pPr>
      <w:r>
        <w:rPr>
          <w:rFonts w:ascii="Times New Roman" w:hAnsi="Times New Roman"/>
          <w:highlight w:val="none"/>
        </w:rPr>
        <w:t>项目设置1座</w:t>
      </w:r>
      <w:r>
        <w:rPr>
          <w:rFonts w:hint="eastAsia" w:ascii="Times New Roman" w:hAnsi="Times New Roman"/>
          <w:highlight w:val="none"/>
          <w:lang w:val="en-US" w:eastAsia="zh-CN"/>
        </w:rPr>
        <w:t>半</w:t>
      </w:r>
      <w:r>
        <w:rPr>
          <w:rFonts w:ascii="Times New Roman" w:hAnsi="Times New Roman"/>
          <w:highlight w:val="none"/>
        </w:rPr>
        <w:t>封闭储煤</w:t>
      </w:r>
      <w:r>
        <w:rPr>
          <w:rFonts w:hint="eastAsia" w:ascii="Times New Roman" w:hAnsi="Times New Roman"/>
          <w:highlight w:val="none"/>
          <w:lang w:val="en-US" w:eastAsia="zh-CN"/>
        </w:rPr>
        <w:t>厂</w:t>
      </w:r>
      <w:r>
        <w:rPr>
          <w:rFonts w:ascii="Times New Roman" w:hAnsi="Times New Roman"/>
          <w:highlight w:val="none"/>
        </w:rPr>
        <w:t>，</w:t>
      </w:r>
      <w:r>
        <w:rPr>
          <w:rFonts w:hint="eastAsia" w:cs="Times New Roman"/>
          <w:highlight w:val="none"/>
        </w:rPr>
        <w:t>采用挡煤墙（</w:t>
      </w:r>
      <w:r>
        <w:rPr>
          <w:rFonts w:hint="eastAsia" w:cs="Times New Roman"/>
          <w:highlight w:val="none"/>
          <w:lang w:val="en-US" w:eastAsia="zh-CN"/>
        </w:rPr>
        <w:t>2</w:t>
      </w:r>
      <w:r>
        <w:rPr>
          <w:rFonts w:hint="eastAsia" w:cs="Times New Roman"/>
          <w:highlight w:val="none"/>
        </w:rPr>
        <w:t>m高维护砖墙+</w:t>
      </w:r>
      <w:r>
        <w:rPr>
          <w:rFonts w:hint="eastAsia" w:cs="Times New Roman"/>
          <w:highlight w:val="none"/>
          <w:lang w:val="en-US" w:eastAsia="zh-CN"/>
        </w:rPr>
        <w:t>7</w:t>
      </w:r>
      <w:r>
        <w:rPr>
          <w:rFonts w:hint="eastAsia" w:cs="Times New Roman"/>
          <w:highlight w:val="none"/>
        </w:rPr>
        <w:t>m高防风抑尘网）+</w:t>
      </w:r>
      <w:r>
        <w:rPr>
          <w:rFonts w:hint="eastAsia" w:cs="Times New Roman"/>
          <w:highlight w:val="none"/>
          <w:lang w:val="en-US" w:eastAsia="zh-CN"/>
        </w:rPr>
        <w:t>苫布苫盖半</w:t>
      </w:r>
      <w:r>
        <w:rPr>
          <w:rFonts w:hint="eastAsia" w:cs="Times New Roman"/>
          <w:highlight w:val="none"/>
        </w:rPr>
        <w:t>封闭形式</w:t>
      </w:r>
      <w:r>
        <w:rPr>
          <w:rFonts w:hint="eastAsia" w:cs="Times New Roman"/>
          <w:highlight w:val="none"/>
          <w:lang w:val="en-US" w:eastAsia="zh-CN"/>
        </w:rPr>
        <w:t>+定期洒水降尘</w:t>
      </w:r>
      <w:r>
        <w:rPr>
          <w:rFonts w:hint="eastAsia" w:cs="Times New Roman"/>
          <w:highlight w:val="none"/>
        </w:rPr>
        <w:t>，</w:t>
      </w:r>
      <w:r>
        <w:rPr>
          <w:rFonts w:hint="eastAsia" w:cs="Times New Roman"/>
          <w:highlight w:val="none"/>
          <w:lang w:val="en-US" w:eastAsia="zh-CN"/>
        </w:rPr>
        <w:t>采取以上措施</w:t>
      </w:r>
      <w:r>
        <w:rPr>
          <w:rFonts w:hint="eastAsia" w:cs="Times New Roman"/>
          <w:highlight w:val="none"/>
        </w:rPr>
        <w:t>可有效减少煤场粉尘产生量。</w:t>
      </w:r>
      <w:r>
        <w:rPr>
          <w:rFonts w:hint="eastAsia" w:cs="Times New Roman"/>
          <w:highlight w:val="none"/>
          <w:lang w:val="en-US" w:eastAsia="zh-CN"/>
        </w:rPr>
        <w:t>煤厂粉尘量</w:t>
      </w:r>
      <w:r>
        <w:rPr>
          <w:rFonts w:hint="eastAsia" w:cs="Times New Roman"/>
          <w:highlight w:val="none"/>
        </w:rPr>
        <w:t>保守估计按露天堆场产生量的1%计算本项目无组织粉尘量。根据清华大学在霍州电厂现场实验的模拟计算，煤堆起尘量按下式计算：</w:t>
      </w:r>
    </w:p>
    <w:p w14:paraId="649FAA85">
      <w:pPr>
        <w:pStyle w:val="23"/>
        <w:rPr>
          <w:color w:val="auto"/>
          <w:highlight w:val="none"/>
        </w:rPr>
      </w:pPr>
      <w:r>
        <w:rPr>
          <w:color w:val="auto"/>
          <w:highlight w:val="none"/>
        </w:rPr>
        <w:drawing>
          <wp:inline distT="0" distB="0" distL="0" distR="0">
            <wp:extent cx="1933575" cy="314325"/>
            <wp:effectExtent l="0" t="0" r="9525" b="9525"/>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1933575" cy="314325"/>
                    </a:xfrm>
                    <a:prstGeom prst="rect">
                      <a:avLst/>
                    </a:prstGeom>
                    <a:noFill/>
                    <a:ln>
                      <a:noFill/>
                    </a:ln>
                    <a:effectLst/>
                  </pic:spPr>
                </pic:pic>
              </a:graphicData>
            </a:graphic>
          </wp:inline>
        </w:drawing>
      </w:r>
    </w:p>
    <w:p w14:paraId="52F04BD9">
      <w:pPr>
        <w:ind w:firstLine="480"/>
        <w:rPr>
          <w:highlight w:val="none"/>
        </w:rPr>
      </w:pPr>
      <w:r>
        <w:rPr>
          <w:rFonts w:hint="eastAsia"/>
          <w:highlight w:val="none"/>
        </w:rPr>
        <w:t>式中：</w:t>
      </w:r>
    </w:p>
    <w:p w14:paraId="4C87E29E">
      <w:pPr>
        <w:ind w:firstLine="480"/>
        <w:rPr>
          <w:highlight w:val="none"/>
        </w:rPr>
      </w:pPr>
      <w:r>
        <w:rPr>
          <w:rFonts w:hint="eastAsia"/>
          <w:highlight w:val="none"/>
        </w:rPr>
        <w:t>Q——煤堆起尘量，mg/s；</w:t>
      </w:r>
    </w:p>
    <w:p w14:paraId="7719F2A6">
      <w:pPr>
        <w:ind w:firstLine="480"/>
        <w:rPr>
          <w:highlight w:val="none"/>
        </w:rPr>
      </w:pPr>
      <w:r>
        <w:rPr>
          <w:rFonts w:hint="eastAsia"/>
          <w:highlight w:val="none"/>
        </w:rPr>
        <w:t>U——平均风速，m/s，根据</w:t>
      </w:r>
      <w:r>
        <w:rPr>
          <w:rFonts w:hint="eastAsia"/>
          <w:highlight w:val="none"/>
          <w:lang w:val="en-US" w:eastAsia="zh-CN"/>
        </w:rPr>
        <w:t>绥芬河</w:t>
      </w:r>
      <w:r>
        <w:rPr>
          <w:rFonts w:hint="eastAsia"/>
          <w:highlight w:val="none"/>
        </w:rPr>
        <w:t>市近20年气象统计资料，年平均风速约</w:t>
      </w:r>
      <w:r>
        <w:rPr>
          <w:rFonts w:hint="eastAsia"/>
          <w:highlight w:val="none"/>
          <w:lang w:val="en-US" w:eastAsia="zh-CN"/>
        </w:rPr>
        <w:t>3.4</w:t>
      </w:r>
      <w:r>
        <w:rPr>
          <w:rFonts w:hint="eastAsia"/>
          <w:highlight w:val="none"/>
        </w:rPr>
        <w:t>m/s；</w:t>
      </w:r>
    </w:p>
    <w:p w14:paraId="08522D09">
      <w:pPr>
        <w:ind w:firstLine="480"/>
        <w:rPr>
          <w:highlight w:val="none"/>
        </w:rPr>
      </w:pPr>
      <w:r>
        <w:rPr>
          <w:rFonts w:hint="eastAsia"/>
          <w:highlight w:val="none"/>
        </w:rPr>
        <w:t>S——煤堆表面积（可取煤场占地面积），m</w:t>
      </w:r>
      <w:r>
        <w:rPr>
          <w:rFonts w:hint="eastAsia"/>
          <w:highlight w:val="none"/>
          <w:vertAlign w:val="superscript"/>
        </w:rPr>
        <w:t>2</w:t>
      </w:r>
      <w:r>
        <w:rPr>
          <w:rFonts w:hint="eastAsia"/>
          <w:highlight w:val="none"/>
        </w:rPr>
        <w:t>，本项目</w:t>
      </w:r>
      <w:r>
        <w:rPr>
          <w:rFonts w:hint="eastAsia"/>
          <w:highlight w:val="none"/>
          <w:lang w:val="en-US" w:eastAsia="zh-CN"/>
        </w:rPr>
        <w:t>储煤场</w:t>
      </w:r>
      <w:r>
        <w:rPr>
          <w:rFonts w:hint="eastAsia" w:cs="Times New Roman"/>
          <w:highlight w:val="none"/>
          <w:lang w:val="en-US" w:eastAsia="zh-CN"/>
        </w:rPr>
        <w:t>4250</w:t>
      </w:r>
      <w:r>
        <w:rPr>
          <w:rFonts w:hint="eastAsia"/>
          <w:highlight w:val="none"/>
        </w:rPr>
        <w:t>m</w:t>
      </w:r>
      <w:r>
        <w:rPr>
          <w:rFonts w:hint="eastAsia"/>
          <w:highlight w:val="none"/>
          <w:vertAlign w:val="superscript"/>
        </w:rPr>
        <w:t>2</w:t>
      </w:r>
      <w:r>
        <w:rPr>
          <w:rFonts w:hint="eastAsia"/>
          <w:highlight w:val="none"/>
        </w:rPr>
        <w:t>；</w:t>
      </w:r>
    </w:p>
    <w:p w14:paraId="75F176EC">
      <w:pPr>
        <w:ind w:firstLine="480"/>
        <w:rPr>
          <w:highlight w:val="none"/>
        </w:rPr>
      </w:pPr>
      <w:r>
        <w:rPr>
          <w:rFonts w:hint="eastAsia"/>
          <w:highlight w:val="none"/>
        </w:rPr>
        <w:t>W——煤炭湿度，%，含水率取</w:t>
      </w:r>
      <w:r>
        <w:rPr>
          <w:rFonts w:hint="eastAsia"/>
          <w:highlight w:val="none"/>
          <w:lang w:val="en-US" w:eastAsia="zh-CN"/>
        </w:rPr>
        <w:t>6</w:t>
      </w:r>
      <w:r>
        <w:rPr>
          <w:rFonts w:hint="eastAsia"/>
          <w:highlight w:val="none"/>
        </w:rPr>
        <w:t>%。</w:t>
      </w:r>
    </w:p>
    <w:p w14:paraId="149BCED8">
      <w:pPr>
        <w:ind w:firstLine="480"/>
        <w:rPr>
          <w:highlight w:val="none"/>
        </w:rPr>
      </w:pPr>
      <w:r>
        <w:rPr>
          <w:rFonts w:hint="eastAsia"/>
          <w:highlight w:val="none"/>
        </w:rPr>
        <w:t>经上述公式计算可知，煤场煤尘产生量约</w:t>
      </w:r>
      <w:r>
        <w:rPr>
          <w:rFonts w:hint="eastAsia"/>
          <w:highlight w:val="none"/>
          <w:lang w:val="en-US" w:eastAsia="zh-CN"/>
        </w:rPr>
        <w:t>4063.09</w:t>
      </w:r>
      <w:r>
        <w:rPr>
          <w:rFonts w:hint="eastAsia"/>
          <w:highlight w:val="none"/>
        </w:rPr>
        <w:t xml:space="preserve"> mg/s即</w:t>
      </w:r>
      <w:r>
        <w:rPr>
          <w:rFonts w:hint="eastAsia"/>
          <w:highlight w:val="none"/>
          <w:lang w:val="en-US" w:eastAsia="zh-CN"/>
        </w:rPr>
        <w:t>73.72</w:t>
      </w:r>
      <w:r>
        <w:rPr>
          <w:rFonts w:hint="eastAsia"/>
          <w:highlight w:val="none"/>
        </w:rPr>
        <w:t xml:space="preserve"> t/a</w:t>
      </w:r>
      <w:r>
        <w:rPr>
          <w:rFonts w:hint="eastAsia"/>
          <w:highlight w:val="none"/>
          <w:lang w:val="en-US" w:eastAsia="zh-CN"/>
        </w:rPr>
        <w:t>半</w:t>
      </w:r>
      <w:r>
        <w:rPr>
          <w:rFonts w:hint="eastAsia"/>
          <w:highlight w:val="none"/>
        </w:rPr>
        <w:t>密闭煤</w:t>
      </w:r>
      <w:r>
        <w:rPr>
          <w:rFonts w:hint="eastAsia"/>
          <w:highlight w:val="none"/>
          <w:lang w:val="en-US" w:eastAsia="zh-CN"/>
        </w:rPr>
        <w:t>厂</w:t>
      </w:r>
      <w:r>
        <w:rPr>
          <w:rFonts w:hint="eastAsia"/>
          <w:highlight w:val="none"/>
        </w:rPr>
        <w:t>降尘量≥99%。则本项目无组织粉尘量排放量约为</w:t>
      </w:r>
      <w:r>
        <w:rPr>
          <w:rFonts w:hint="eastAsia"/>
          <w:highlight w:val="none"/>
          <w:lang w:val="en-US" w:eastAsia="zh-CN"/>
        </w:rPr>
        <w:t>0.7372</w:t>
      </w:r>
      <w:r>
        <w:rPr>
          <w:rFonts w:hint="eastAsia"/>
          <w:highlight w:val="none"/>
        </w:rPr>
        <w:t>t/a。</w:t>
      </w:r>
    </w:p>
    <w:p w14:paraId="075DD2ED">
      <w:pPr>
        <w:ind w:firstLine="480"/>
        <w:rPr>
          <w:rFonts w:ascii="Times New Roman" w:hAnsi="Times New Roman"/>
          <w:highlight w:val="none"/>
        </w:rPr>
      </w:pPr>
      <w:r>
        <w:rPr>
          <w:rFonts w:cs="Times New Roman"/>
          <w:highlight w:val="none"/>
        </w:rPr>
        <w:t>本项目采用</w:t>
      </w:r>
      <w:r>
        <w:rPr>
          <w:rFonts w:hint="eastAsia" w:cs="Times New Roman"/>
          <w:highlight w:val="none"/>
        </w:rPr>
        <w:t>采用挡煤墙（</w:t>
      </w:r>
      <w:r>
        <w:rPr>
          <w:rFonts w:hint="eastAsia" w:cs="Times New Roman"/>
          <w:highlight w:val="none"/>
          <w:lang w:val="en-US" w:eastAsia="zh-CN"/>
        </w:rPr>
        <w:t>2</w:t>
      </w:r>
      <w:r>
        <w:rPr>
          <w:rFonts w:hint="eastAsia" w:cs="Times New Roman"/>
          <w:highlight w:val="none"/>
        </w:rPr>
        <w:t>m高维护砖墙+</w:t>
      </w:r>
      <w:r>
        <w:rPr>
          <w:rFonts w:hint="eastAsia" w:cs="Times New Roman"/>
          <w:highlight w:val="none"/>
          <w:lang w:val="en-US" w:eastAsia="zh-CN"/>
        </w:rPr>
        <w:t>7</w:t>
      </w:r>
      <w:r>
        <w:rPr>
          <w:rFonts w:hint="eastAsia" w:cs="Times New Roman"/>
          <w:highlight w:val="none"/>
        </w:rPr>
        <w:t>m高防风抑尘网）+</w:t>
      </w:r>
      <w:r>
        <w:rPr>
          <w:rFonts w:hint="eastAsia" w:cs="Times New Roman"/>
          <w:highlight w:val="none"/>
          <w:lang w:val="en-US" w:eastAsia="zh-CN"/>
        </w:rPr>
        <w:t>苫布苫盖半</w:t>
      </w:r>
      <w:r>
        <w:rPr>
          <w:rFonts w:hint="eastAsia" w:cs="Times New Roman"/>
          <w:highlight w:val="none"/>
        </w:rPr>
        <w:t>封闭形式，</w:t>
      </w:r>
      <w:r>
        <w:rPr>
          <w:rFonts w:cs="Times New Roman"/>
          <w:highlight w:val="none"/>
        </w:rPr>
        <w:t>类比其他</w:t>
      </w:r>
      <w:r>
        <w:rPr>
          <w:rFonts w:hint="eastAsia" w:cs="Times New Roman"/>
          <w:highlight w:val="none"/>
          <w:lang w:val="en-US" w:eastAsia="zh-CN"/>
        </w:rPr>
        <w:t>供热企业</w:t>
      </w:r>
      <w:r>
        <w:rPr>
          <w:rFonts w:cs="Times New Roman"/>
          <w:highlight w:val="none"/>
        </w:rPr>
        <w:t>的煤场</w:t>
      </w:r>
      <w:r>
        <w:rPr>
          <w:rFonts w:hint="eastAsia" w:cs="Times New Roman"/>
          <w:highlight w:val="none"/>
        </w:rPr>
        <w:t>，通过采取上述措施后</w:t>
      </w:r>
      <w:r>
        <w:rPr>
          <w:rFonts w:hint="eastAsia" w:cs="Times New Roman"/>
          <w:highlight w:val="none"/>
          <w:lang w:val="en-US" w:eastAsia="zh-CN"/>
        </w:rPr>
        <w:t>储煤厂</w:t>
      </w:r>
      <w:r>
        <w:rPr>
          <w:rFonts w:hint="eastAsia" w:cs="Times New Roman"/>
          <w:highlight w:val="none"/>
        </w:rPr>
        <w:t>下风向厂界处颗粒物排放满足《大气污染物综合排放标准》(G</w:t>
      </w:r>
      <w:r>
        <w:rPr>
          <w:rFonts w:cs="Times New Roman"/>
          <w:highlight w:val="none"/>
        </w:rPr>
        <w:t>B16297-1996</w:t>
      </w:r>
      <w:r>
        <w:rPr>
          <w:rFonts w:hint="eastAsia" w:cs="Times New Roman"/>
          <w:highlight w:val="none"/>
        </w:rPr>
        <w:t>）中无组织排放监控浓度限值，且扬尘影响主要集中在</w:t>
      </w:r>
      <w:r>
        <w:rPr>
          <w:rFonts w:cs="Times New Roman"/>
          <w:highlight w:val="none"/>
        </w:rPr>
        <w:t>厂区周边</w:t>
      </w:r>
      <w:r>
        <w:rPr>
          <w:rFonts w:hint="eastAsia" w:cs="Times New Roman"/>
          <w:highlight w:val="none"/>
        </w:rPr>
        <w:t>，</w:t>
      </w:r>
      <w:r>
        <w:rPr>
          <w:rFonts w:cs="Times New Roman"/>
          <w:highlight w:val="none"/>
        </w:rPr>
        <w:t>对区域环境空气质量影响较小。</w:t>
      </w:r>
    </w:p>
    <w:p w14:paraId="54716D12">
      <w:pPr>
        <w:pStyle w:val="23"/>
        <w:ind w:firstLine="480"/>
        <w:rPr>
          <w:rFonts w:hint="eastAsia" w:ascii="Times New Roman" w:hAnsi="Times New Roman"/>
          <w:color w:val="auto"/>
          <w:highlight w:val="none"/>
        </w:rPr>
      </w:pPr>
      <w:r>
        <w:rPr>
          <w:rFonts w:hint="eastAsia" w:ascii="Times New Roman" w:hAnsi="Times New Roman"/>
          <w:color w:val="auto"/>
          <w:highlight w:val="none"/>
        </w:rPr>
        <w:t>（</w:t>
      </w:r>
      <w:r>
        <w:rPr>
          <w:rFonts w:hint="eastAsia" w:ascii="Times New Roman" w:hAnsi="Times New Roman"/>
          <w:color w:val="auto"/>
          <w:highlight w:val="none"/>
          <w:lang w:val="en-US" w:eastAsia="zh-CN"/>
        </w:rPr>
        <w:t>2</w:t>
      </w:r>
      <w:r>
        <w:rPr>
          <w:rFonts w:hint="eastAsia" w:ascii="Times New Roman" w:hAnsi="Times New Roman"/>
          <w:color w:val="auto"/>
          <w:highlight w:val="none"/>
        </w:rPr>
        <w:t>）灰仓粉尘</w:t>
      </w:r>
    </w:p>
    <w:p w14:paraId="253ED0CF">
      <w:pPr>
        <w:pStyle w:val="23"/>
        <w:ind w:firstLine="480"/>
        <w:rPr>
          <w:rFonts w:hint="eastAsia" w:ascii="Times New Roman" w:hAnsi="Times New Roman"/>
          <w:color w:val="auto"/>
          <w:highlight w:val="none"/>
        </w:rPr>
      </w:pPr>
      <w:r>
        <w:rPr>
          <w:rFonts w:hint="eastAsia" w:ascii="Times New Roman" w:hAnsi="Times New Roman"/>
          <w:color w:val="auto"/>
          <w:highlight w:val="none"/>
        </w:rPr>
        <w:t>本项目灰仓采用钢结构全封闭结构，粉尘产生量参考《逸散性工业粉尘控制技术》、《工业污染核算》等书，确定粉尘产生系数为1kg/t，则灰仓产生粉尘量均为</w:t>
      </w:r>
      <w:r>
        <w:rPr>
          <w:rFonts w:hint="eastAsia" w:ascii="Times New Roman" w:hAnsi="Times New Roman"/>
          <w:color w:val="auto"/>
          <w:highlight w:val="none"/>
          <w:lang w:val="en-US" w:eastAsia="zh-CN"/>
        </w:rPr>
        <w:t>6.05</w:t>
      </w:r>
      <w:r>
        <w:rPr>
          <w:rFonts w:hint="eastAsia" w:ascii="Times New Roman" w:hAnsi="Times New Roman"/>
          <w:color w:val="auto"/>
          <w:highlight w:val="none"/>
        </w:rPr>
        <w:t>t/a（1</w:t>
      </w:r>
      <w:r>
        <w:rPr>
          <w:rFonts w:hint="eastAsia" w:ascii="Times New Roman" w:hAnsi="Times New Roman"/>
          <w:color w:val="auto"/>
          <w:highlight w:val="none"/>
          <w:lang w:val="en-US" w:eastAsia="zh-CN"/>
        </w:rPr>
        <w:t>.2</w:t>
      </w:r>
      <w:r>
        <w:rPr>
          <w:rFonts w:hint="eastAsia" w:ascii="Times New Roman" w:hAnsi="Times New Roman"/>
          <w:color w:val="auto"/>
          <w:highlight w:val="none"/>
        </w:rPr>
        <w:t>kg/h）。</w:t>
      </w:r>
    </w:p>
    <w:p w14:paraId="01666E30">
      <w:pPr>
        <w:pStyle w:val="23"/>
        <w:ind w:firstLine="480"/>
        <w:rPr>
          <w:rFonts w:hint="eastAsia" w:ascii="Times New Roman" w:hAnsi="Times New Roman"/>
          <w:color w:val="auto"/>
          <w:highlight w:val="none"/>
        </w:rPr>
      </w:pPr>
      <w:r>
        <w:rPr>
          <w:rFonts w:hint="eastAsia" w:ascii="Times New Roman" w:hAnsi="Times New Roman"/>
          <w:color w:val="auto"/>
          <w:highlight w:val="none"/>
        </w:rPr>
        <w:t>灰仓顶设置效率为9</w:t>
      </w:r>
      <w:r>
        <w:rPr>
          <w:rFonts w:hint="eastAsia" w:ascii="Times New Roman" w:hAnsi="Times New Roman"/>
          <w:color w:val="auto"/>
          <w:highlight w:val="none"/>
          <w:lang w:val="en-US" w:eastAsia="zh-CN"/>
        </w:rPr>
        <w:t>9.</w:t>
      </w:r>
      <w:r>
        <w:rPr>
          <w:rFonts w:hint="eastAsia" w:ascii="Times New Roman" w:hAnsi="Times New Roman"/>
          <w:color w:val="auto"/>
          <w:highlight w:val="none"/>
        </w:rPr>
        <w:t>9%的脉冲袋式除尘器收集粉尘，灰仓排放粉尘量为</w:t>
      </w:r>
      <w:r>
        <w:rPr>
          <w:rFonts w:hint="eastAsia" w:ascii="Times New Roman" w:hAnsi="Times New Roman"/>
          <w:color w:val="auto"/>
          <w:highlight w:val="none"/>
          <w:lang w:val="en-US" w:eastAsia="zh-CN"/>
        </w:rPr>
        <w:t>0.00605</w:t>
      </w:r>
      <w:r>
        <w:rPr>
          <w:rFonts w:hint="eastAsia" w:ascii="Times New Roman" w:hAnsi="Times New Roman"/>
          <w:color w:val="auto"/>
          <w:highlight w:val="none"/>
        </w:rPr>
        <w:t>t/a（</w:t>
      </w:r>
      <w:r>
        <w:rPr>
          <w:rFonts w:hint="eastAsia" w:ascii="Times New Roman" w:hAnsi="Times New Roman"/>
          <w:color w:val="auto"/>
          <w:highlight w:val="none"/>
          <w:lang w:val="en-US" w:eastAsia="zh-CN"/>
        </w:rPr>
        <w:t>0.0012</w:t>
      </w:r>
      <w:r>
        <w:rPr>
          <w:rFonts w:hint="eastAsia" w:ascii="Times New Roman" w:hAnsi="Times New Roman"/>
          <w:color w:val="auto"/>
          <w:highlight w:val="none"/>
        </w:rPr>
        <w:t>kg/h）。灰仓产生的粉尘经</w:t>
      </w:r>
      <w:r>
        <w:rPr>
          <w:rFonts w:hint="eastAsia" w:ascii="Times New Roman" w:hAnsi="Times New Roman"/>
          <w:color w:val="auto"/>
          <w:highlight w:val="none"/>
          <w:lang w:val="en-US" w:eastAsia="zh-CN"/>
        </w:rPr>
        <w:t>脉冲袋式</w:t>
      </w:r>
      <w:r>
        <w:rPr>
          <w:rFonts w:hint="eastAsia" w:ascii="Times New Roman" w:hAnsi="Times New Roman"/>
          <w:color w:val="auto"/>
          <w:highlight w:val="none"/>
        </w:rPr>
        <w:t>除尘器处理后，通过除尘器排气口排放，排放高度8m，以无组织形式排放。</w:t>
      </w:r>
    </w:p>
    <w:p w14:paraId="7F209212">
      <w:pPr>
        <w:pStyle w:val="23"/>
        <w:ind w:firstLine="480"/>
        <w:rPr>
          <w:rFonts w:hint="eastAsia" w:ascii="Times New Roman" w:hAnsi="Times New Roman"/>
          <w:color w:val="auto"/>
          <w:highlight w:val="none"/>
        </w:rPr>
      </w:pPr>
      <w:r>
        <w:rPr>
          <w:rFonts w:hint="eastAsia" w:ascii="Times New Roman" w:hAnsi="Times New Roman"/>
          <w:color w:val="auto"/>
          <w:highlight w:val="none"/>
        </w:rPr>
        <w:t>（</w:t>
      </w:r>
      <w:r>
        <w:rPr>
          <w:rFonts w:hint="eastAsia" w:ascii="Times New Roman" w:hAnsi="Times New Roman"/>
          <w:color w:val="auto"/>
          <w:highlight w:val="none"/>
          <w:lang w:val="en-US" w:eastAsia="zh-CN"/>
        </w:rPr>
        <w:t>3）</w:t>
      </w:r>
      <w:r>
        <w:rPr>
          <w:rFonts w:hint="eastAsia" w:ascii="Times New Roman" w:hAnsi="Times New Roman"/>
          <w:color w:val="auto"/>
          <w:highlight w:val="none"/>
        </w:rPr>
        <w:t>渣仓粉尘</w:t>
      </w:r>
    </w:p>
    <w:p w14:paraId="1B55B32E">
      <w:pPr>
        <w:pStyle w:val="23"/>
        <w:ind w:firstLine="480"/>
        <w:rPr>
          <w:rFonts w:hint="eastAsia" w:ascii="Times New Roman" w:hAnsi="Times New Roman"/>
          <w:color w:val="auto"/>
          <w:highlight w:val="none"/>
        </w:rPr>
      </w:pPr>
      <w:r>
        <w:rPr>
          <w:rFonts w:hint="eastAsia" w:ascii="Times New Roman" w:hAnsi="Times New Roman"/>
          <w:color w:val="auto"/>
          <w:highlight w:val="none"/>
        </w:rPr>
        <w:t>本项目渣仓采用钢结构全封闭结构，粉尘产生量参考《逸散性工业粉尘控制技术》、《工业污染核算》等书，确定粉尘产生系数为1kg/t，则渣仓产生粉尘量为</w:t>
      </w:r>
      <w:r>
        <w:rPr>
          <w:rFonts w:hint="eastAsia" w:ascii="Times New Roman" w:hAnsi="Times New Roman"/>
          <w:color w:val="auto"/>
          <w:highlight w:val="none"/>
          <w:lang w:val="en-US" w:eastAsia="zh-CN"/>
        </w:rPr>
        <w:t>25.92</w:t>
      </w:r>
      <w:r>
        <w:rPr>
          <w:rFonts w:hint="eastAsia" w:ascii="Times New Roman" w:hAnsi="Times New Roman"/>
          <w:color w:val="auto"/>
          <w:highlight w:val="none"/>
        </w:rPr>
        <w:t>t/a（</w:t>
      </w:r>
      <w:r>
        <w:rPr>
          <w:rFonts w:hint="eastAsia" w:ascii="Times New Roman" w:hAnsi="Times New Roman"/>
          <w:color w:val="auto"/>
          <w:highlight w:val="none"/>
          <w:lang w:val="en-US" w:eastAsia="zh-CN"/>
        </w:rPr>
        <w:t>5.143</w:t>
      </w:r>
      <w:r>
        <w:rPr>
          <w:rFonts w:hint="eastAsia" w:ascii="Times New Roman" w:hAnsi="Times New Roman"/>
          <w:color w:val="auto"/>
          <w:highlight w:val="none"/>
        </w:rPr>
        <w:t>kg/h）。</w:t>
      </w:r>
    </w:p>
    <w:p w14:paraId="2C8208AF">
      <w:pPr>
        <w:pStyle w:val="23"/>
        <w:ind w:firstLine="480"/>
        <w:rPr>
          <w:rFonts w:hint="eastAsia" w:ascii="Times New Roman" w:hAnsi="Times New Roman"/>
          <w:color w:val="auto"/>
          <w:highlight w:val="none"/>
        </w:rPr>
      </w:pPr>
      <w:r>
        <w:rPr>
          <w:rFonts w:hint="eastAsia" w:ascii="Times New Roman" w:hAnsi="Times New Roman"/>
          <w:color w:val="auto"/>
          <w:highlight w:val="none"/>
        </w:rPr>
        <w:t>渣仓仓顶设置效率为9</w:t>
      </w:r>
      <w:r>
        <w:rPr>
          <w:rFonts w:hint="eastAsia" w:ascii="Times New Roman" w:hAnsi="Times New Roman"/>
          <w:color w:val="auto"/>
          <w:highlight w:val="none"/>
          <w:lang w:val="en-US" w:eastAsia="zh-CN"/>
        </w:rPr>
        <w:t>9.</w:t>
      </w:r>
      <w:r>
        <w:rPr>
          <w:rFonts w:hint="eastAsia" w:ascii="Times New Roman" w:hAnsi="Times New Roman"/>
          <w:color w:val="auto"/>
          <w:highlight w:val="none"/>
        </w:rPr>
        <w:t>9%的脉冲袋式除尘器收集粉尘</w:t>
      </w:r>
      <w:r>
        <w:rPr>
          <w:rFonts w:hint="eastAsia" w:ascii="Times New Roman" w:hAnsi="Times New Roman"/>
          <w:highlight w:val="none"/>
        </w:rPr>
        <w:t>，</w:t>
      </w:r>
      <w:r>
        <w:rPr>
          <w:rFonts w:hint="eastAsia" w:ascii="Times New Roman" w:hAnsi="Times New Roman"/>
          <w:color w:val="auto"/>
          <w:highlight w:val="none"/>
        </w:rPr>
        <w:t>收集粉尘，渣仓排放粉尘量为</w:t>
      </w:r>
      <w:r>
        <w:rPr>
          <w:rFonts w:hint="eastAsia" w:ascii="Times New Roman" w:hAnsi="Times New Roman"/>
          <w:color w:val="auto"/>
          <w:highlight w:val="none"/>
          <w:lang w:val="en-US" w:eastAsia="zh-CN"/>
        </w:rPr>
        <w:t>0.02592</w:t>
      </w:r>
      <w:r>
        <w:rPr>
          <w:rFonts w:hint="eastAsia" w:ascii="Times New Roman" w:hAnsi="Times New Roman"/>
          <w:color w:val="auto"/>
          <w:highlight w:val="none"/>
        </w:rPr>
        <w:t>t/a（0.</w:t>
      </w:r>
      <w:r>
        <w:rPr>
          <w:rFonts w:hint="eastAsia" w:ascii="Times New Roman" w:hAnsi="Times New Roman"/>
          <w:color w:val="auto"/>
          <w:highlight w:val="none"/>
          <w:lang w:val="en-US" w:eastAsia="zh-CN"/>
        </w:rPr>
        <w:t>005143</w:t>
      </w:r>
      <w:r>
        <w:rPr>
          <w:rFonts w:hint="eastAsia" w:ascii="Times New Roman" w:hAnsi="Times New Roman"/>
          <w:color w:val="auto"/>
          <w:highlight w:val="none"/>
        </w:rPr>
        <w:t>kg/h）。渣仓产生的粉尘经</w:t>
      </w:r>
      <w:r>
        <w:rPr>
          <w:rFonts w:hint="eastAsia" w:ascii="Times New Roman" w:hAnsi="Times New Roman"/>
          <w:color w:val="auto"/>
          <w:highlight w:val="none"/>
          <w:lang w:val="en-US" w:eastAsia="zh-CN"/>
        </w:rPr>
        <w:t>脉冲袋式</w:t>
      </w:r>
      <w:r>
        <w:rPr>
          <w:rFonts w:hint="eastAsia" w:ascii="Times New Roman" w:hAnsi="Times New Roman"/>
          <w:color w:val="auto"/>
          <w:highlight w:val="none"/>
        </w:rPr>
        <w:t>除尘器处理后，通过除尘器排气口排放，排放高度8m，以无组织形式排放。</w:t>
      </w:r>
    </w:p>
    <w:p w14:paraId="3C0A225E">
      <w:pPr>
        <w:ind w:firstLine="480"/>
        <w:rPr>
          <w:rFonts w:ascii="Times New Roman" w:hAnsi="Times New Roman"/>
          <w:highlight w:val="none"/>
        </w:rPr>
      </w:pPr>
      <w:r>
        <w:rPr>
          <w:rFonts w:ascii="Times New Roman" w:hAnsi="Times New Roman"/>
          <w:highlight w:val="none"/>
        </w:rPr>
        <w:t>（</w:t>
      </w:r>
      <w:r>
        <w:rPr>
          <w:rFonts w:hint="eastAsia" w:ascii="Times New Roman" w:hAnsi="Times New Roman"/>
          <w:highlight w:val="none"/>
          <w:lang w:val="en-US" w:eastAsia="zh-CN"/>
        </w:rPr>
        <w:t>4</w:t>
      </w:r>
      <w:r>
        <w:rPr>
          <w:rFonts w:ascii="Times New Roman" w:hAnsi="Times New Roman"/>
          <w:highlight w:val="none"/>
        </w:rPr>
        <w:t>）石灰石粉仓粉尘</w:t>
      </w:r>
    </w:p>
    <w:p w14:paraId="686D5555">
      <w:pPr>
        <w:ind w:firstLine="480"/>
        <w:rPr>
          <w:rFonts w:ascii="Times New Roman" w:hAnsi="Times New Roman"/>
          <w:highlight w:val="none"/>
        </w:rPr>
      </w:pPr>
      <w:r>
        <w:rPr>
          <w:rFonts w:ascii="Times New Roman" w:hAnsi="Times New Roman"/>
          <w:highlight w:val="none"/>
        </w:rPr>
        <w:t>本项目石灰石粉仓采用钢结构全封闭结构，粉尘产生量参考《逸散性工业粉尘控制技术》、《工业污染核算》等书，确定粉尘产生系数为1kg/t，则石灰石粉仓产生粉尘量为</w:t>
      </w:r>
      <w:r>
        <w:rPr>
          <w:rFonts w:hint="eastAsia" w:ascii="Times New Roman" w:hAnsi="Times New Roman"/>
          <w:highlight w:val="none"/>
          <w:lang w:val="en-US" w:eastAsia="zh-CN"/>
        </w:rPr>
        <w:t>0.75</w:t>
      </w:r>
      <w:r>
        <w:rPr>
          <w:rFonts w:ascii="Times New Roman" w:hAnsi="Times New Roman"/>
          <w:highlight w:val="none"/>
        </w:rPr>
        <w:t>t/a（</w:t>
      </w:r>
      <w:r>
        <w:rPr>
          <w:rFonts w:hint="eastAsia" w:ascii="Times New Roman" w:hAnsi="Times New Roman"/>
          <w:highlight w:val="none"/>
          <w:lang w:val="en-US" w:eastAsia="zh-CN"/>
        </w:rPr>
        <w:t>0.148</w:t>
      </w:r>
      <w:r>
        <w:rPr>
          <w:rFonts w:ascii="Times New Roman" w:hAnsi="Times New Roman"/>
          <w:highlight w:val="none"/>
        </w:rPr>
        <w:t>kg/h）。</w:t>
      </w:r>
    </w:p>
    <w:p w14:paraId="13B5064A">
      <w:pPr>
        <w:ind w:firstLine="480"/>
        <w:rPr>
          <w:rFonts w:ascii="Times New Roman" w:hAnsi="Times New Roman"/>
          <w:highlight w:val="none"/>
        </w:rPr>
      </w:pPr>
      <w:r>
        <w:rPr>
          <w:rFonts w:ascii="Times New Roman" w:hAnsi="Times New Roman"/>
          <w:highlight w:val="none"/>
        </w:rPr>
        <w:t>石灰石粉仓顶设置效率为99</w:t>
      </w:r>
      <w:r>
        <w:rPr>
          <w:rFonts w:hint="eastAsia" w:ascii="Times New Roman" w:hAnsi="Times New Roman"/>
          <w:highlight w:val="none"/>
          <w:lang w:val="en-US" w:eastAsia="zh-CN"/>
        </w:rPr>
        <w:t>.9</w:t>
      </w:r>
      <w:r>
        <w:rPr>
          <w:rFonts w:ascii="Times New Roman" w:hAnsi="Times New Roman"/>
          <w:highlight w:val="none"/>
        </w:rPr>
        <w:t>%的脉冲袋式除尘器收集粉尘，石灰石粉仓排放粉尘量为</w:t>
      </w:r>
      <w:r>
        <w:rPr>
          <w:rFonts w:hint="eastAsia" w:ascii="Times New Roman" w:hAnsi="Times New Roman"/>
          <w:highlight w:val="none"/>
          <w:lang w:val="en-US" w:eastAsia="zh-CN"/>
        </w:rPr>
        <w:t>0.00075</w:t>
      </w:r>
      <w:r>
        <w:rPr>
          <w:rFonts w:ascii="Times New Roman" w:hAnsi="Times New Roman"/>
          <w:highlight w:val="none"/>
        </w:rPr>
        <w:t>t/a（0.00</w:t>
      </w:r>
      <w:r>
        <w:rPr>
          <w:rFonts w:hint="eastAsia" w:ascii="Times New Roman" w:hAnsi="Times New Roman"/>
          <w:highlight w:val="none"/>
          <w:lang w:val="en-US" w:eastAsia="zh-CN"/>
        </w:rPr>
        <w:t>0148</w:t>
      </w:r>
      <w:r>
        <w:rPr>
          <w:rFonts w:ascii="Times New Roman" w:hAnsi="Times New Roman"/>
          <w:highlight w:val="none"/>
        </w:rPr>
        <w:t>kg/h）。石灰石粉仓产生的粉尘经</w:t>
      </w:r>
      <w:r>
        <w:rPr>
          <w:rFonts w:hint="eastAsia" w:ascii="Times New Roman" w:hAnsi="Times New Roman"/>
          <w:highlight w:val="none"/>
          <w:lang w:val="en-US" w:eastAsia="zh-CN"/>
        </w:rPr>
        <w:t>脉冲袋式</w:t>
      </w:r>
      <w:r>
        <w:rPr>
          <w:rFonts w:ascii="Times New Roman" w:hAnsi="Times New Roman"/>
          <w:highlight w:val="none"/>
        </w:rPr>
        <w:t>除尘器处理后，通过除尘器排气口排放，排放高度8m，以无组织形式排放。</w:t>
      </w:r>
    </w:p>
    <w:p w14:paraId="3A83E36B">
      <w:pPr>
        <w:pStyle w:val="23"/>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5</w:t>
      </w:r>
      <w:r>
        <w:rPr>
          <w:rFonts w:ascii="Times New Roman" w:hAnsi="Times New Roman"/>
          <w:color w:val="auto"/>
          <w:highlight w:val="none"/>
        </w:rPr>
        <w:t>）燃煤及灰渣运输过程扬尘环境影响分析</w:t>
      </w:r>
    </w:p>
    <w:p w14:paraId="762766A8">
      <w:pPr>
        <w:rPr>
          <w:rFonts w:ascii="Times New Roman" w:hAnsi="Times New Roman"/>
          <w:color w:val="auto"/>
          <w:highlight w:val="none"/>
        </w:rPr>
      </w:pPr>
      <w:r>
        <w:rPr>
          <w:rFonts w:ascii="Times New Roman" w:hAnsi="Times New Roman"/>
          <w:color w:val="auto"/>
          <w:highlight w:val="none"/>
        </w:rPr>
        <w:t>本项目燃煤运输车辆采用苫布遮盖；炉渣经渣仓由卸干渣设备装车外运至综合利用单位；干灰采用气力输送至灰仓，采用封闭罐车运输至综合利用单位。车辆行驶过程中由于轮胎与路面接触会产生路面风蚀扬尘，由于运输道路全部为是水泥路面，运输车辆行驶过程中产生的扬尘量较少，因此运输车辆行驶过程中产生的路面扬尘对环境影响较小。</w:t>
      </w:r>
    </w:p>
    <w:p w14:paraId="695D33BF">
      <w:pPr>
        <w:pStyle w:val="5"/>
        <w:bidi w:val="0"/>
        <w:ind w:left="0" w:leftChars="0" w:firstLine="0" w:firstLineChars="0"/>
        <w:rPr>
          <w:rFonts w:hint="eastAsia"/>
          <w:highlight w:val="none"/>
          <w:lang w:val="en-US" w:eastAsia="zh-CN"/>
        </w:rPr>
      </w:pPr>
      <w:bookmarkStart w:id="88" w:name="_Toc29786"/>
      <w:r>
        <w:rPr>
          <w:rFonts w:hint="eastAsia"/>
          <w:highlight w:val="none"/>
          <w:lang w:val="en-US" w:eastAsia="zh-CN"/>
        </w:rPr>
        <w:t>3.3.2非正常工况大气污染源强分析</w:t>
      </w:r>
      <w:bookmarkEnd w:id="88"/>
    </w:p>
    <w:p w14:paraId="2B5F53A2">
      <w:pPr>
        <w:ind w:firstLine="480"/>
        <w:rPr>
          <w:rFonts w:ascii="Times New Roman" w:hAnsi="Times New Roman"/>
          <w:highlight w:val="none"/>
        </w:rPr>
      </w:pPr>
      <w:r>
        <w:rPr>
          <w:rFonts w:ascii="Times New Roman" w:hAnsi="Times New Roman"/>
          <w:highlight w:val="none"/>
        </w:rPr>
        <w:t>非正常工况参照《污染源源强核算技术指南 锅炉》（HJ 991-2018）对非正常工况废气污染源源强进行核算。</w:t>
      </w:r>
    </w:p>
    <w:p w14:paraId="66571C21">
      <w:pPr>
        <w:ind w:firstLine="480"/>
        <w:rPr>
          <w:rFonts w:ascii="Times New Roman" w:hAnsi="Times New Roman"/>
          <w:highlight w:val="none"/>
        </w:rPr>
      </w:pPr>
      <w:r>
        <w:rPr>
          <w:rFonts w:ascii="Times New Roman" w:hAnsi="Times New Roman"/>
          <w:highlight w:val="none"/>
        </w:rPr>
        <w:t>（1）SO</w:t>
      </w:r>
      <w:r>
        <w:rPr>
          <w:rFonts w:ascii="Times New Roman" w:hAnsi="Times New Roman"/>
          <w:highlight w:val="none"/>
          <w:vertAlign w:val="subscript"/>
        </w:rPr>
        <w:t>2</w:t>
      </w:r>
    </w:p>
    <w:p w14:paraId="56E86BC8">
      <w:pPr>
        <w:ind w:firstLine="480"/>
        <w:rPr>
          <w:rFonts w:ascii="Times New Roman" w:hAnsi="Times New Roman"/>
          <w:highlight w:val="none"/>
        </w:rPr>
      </w:pPr>
      <w:r>
        <w:rPr>
          <w:rFonts w:ascii="Times New Roman" w:hAnsi="Times New Roman"/>
          <w:highlight w:val="none"/>
        </w:rPr>
        <w:t>脱硫设备故障的情况下，脱硫效率为50%。SO</w:t>
      </w:r>
      <w:r>
        <w:rPr>
          <w:rFonts w:ascii="Times New Roman" w:hAnsi="Times New Roman"/>
          <w:highlight w:val="none"/>
          <w:vertAlign w:val="subscript"/>
        </w:rPr>
        <w:t>2</w:t>
      </w:r>
      <w:r>
        <w:rPr>
          <w:rFonts w:ascii="Times New Roman" w:hAnsi="Times New Roman"/>
          <w:highlight w:val="none"/>
        </w:rPr>
        <w:t>排放量</w:t>
      </w:r>
      <w:r>
        <w:rPr>
          <w:rFonts w:hint="eastAsia" w:ascii="Times New Roman" w:hAnsi="Times New Roman"/>
          <w:highlight w:val="none"/>
          <w:lang w:val="en-US" w:eastAsia="zh-CN"/>
        </w:rPr>
        <w:t>分别</w:t>
      </w:r>
      <w:r>
        <w:rPr>
          <w:rFonts w:ascii="Times New Roman" w:hAnsi="Times New Roman"/>
          <w:highlight w:val="none"/>
        </w:rPr>
        <w:t>为</w:t>
      </w:r>
      <w:r>
        <w:rPr>
          <w:rFonts w:hint="eastAsia" w:ascii="Times New Roman" w:hAnsi="Times New Roman"/>
          <w:highlight w:val="none"/>
          <w:lang w:val="en-US" w:eastAsia="zh-CN"/>
        </w:rPr>
        <w:t>43</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单独使用116MW锅炉</w:t>
      </w:r>
      <w:r>
        <w:rPr>
          <w:rFonts w:hint="eastAsia" w:ascii="Times New Roman" w:hAnsi="Times New Roman"/>
          <w:highlight w:val="none"/>
          <w:lang w:eastAsia="zh-CN"/>
        </w:rPr>
        <w:t>）、</w:t>
      </w:r>
      <w:r>
        <w:rPr>
          <w:rFonts w:hint="eastAsia" w:ascii="Times New Roman" w:hAnsi="Times New Roman"/>
          <w:highlight w:val="none"/>
          <w:lang w:val="en-US" w:eastAsia="zh-CN"/>
        </w:rPr>
        <w:t>18.5kg/h（使用58MW+35t/h锅炉）、48.5kg/h（使用116MW+35t/h锅炉）、13kg/h（单独使用58MW锅炉）</w:t>
      </w:r>
      <w:r>
        <w:rPr>
          <w:rFonts w:ascii="Times New Roman" w:hAnsi="Times New Roman"/>
          <w:highlight w:val="none"/>
        </w:rPr>
        <w:t>，排放浓度为</w:t>
      </w:r>
      <w:r>
        <w:rPr>
          <w:rFonts w:hint="eastAsia" w:ascii="Times New Roman" w:hAnsi="Times New Roman"/>
          <w:highlight w:val="none"/>
          <w:lang w:val="en-US" w:eastAsia="zh-CN"/>
        </w:rPr>
        <w:t>162.44</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w:t>
      </w:r>
    </w:p>
    <w:p w14:paraId="57213083">
      <w:pPr>
        <w:ind w:firstLine="480"/>
        <w:rPr>
          <w:rFonts w:ascii="Times New Roman" w:hAnsi="Times New Roman"/>
          <w:highlight w:val="none"/>
        </w:rPr>
      </w:pPr>
      <w:r>
        <w:rPr>
          <w:rFonts w:ascii="Times New Roman" w:hAnsi="Times New Roman"/>
          <w:highlight w:val="none"/>
        </w:rPr>
        <w:t>（2）NOx</w:t>
      </w:r>
    </w:p>
    <w:p w14:paraId="0BC0C963">
      <w:pPr>
        <w:ind w:firstLine="480"/>
        <w:rPr>
          <w:rFonts w:ascii="Times New Roman" w:hAnsi="Times New Roman"/>
          <w:highlight w:val="none"/>
        </w:rPr>
      </w:pPr>
      <w:r>
        <w:rPr>
          <w:rFonts w:ascii="Times New Roman" w:hAnsi="Times New Roman"/>
          <w:highlight w:val="none"/>
        </w:rPr>
        <w:t>NOx非正常工况主要是指在点火启动、停炉熄火导致脱硝系统不能投运和低负荷运行或设备故障导致脱硝系统不能投运，SNCR-SCR脱硝效率按0%考虑，则NOx的排放量</w:t>
      </w:r>
      <w:r>
        <w:rPr>
          <w:rFonts w:hint="eastAsia" w:ascii="Times New Roman" w:hAnsi="Times New Roman"/>
          <w:highlight w:val="none"/>
          <w:lang w:val="en-US" w:eastAsia="zh-CN"/>
        </w:rPr>
        <w:t>分别</w:t>
      </w:r>
      <w:r>
        <w:rPr>
          <w:rFonts w:ascii="Times New Roman" w:hAnsi="Times New Roman"/>
          <w:highlight w:val="none"/>
        </w:rPr>
        <w:t>为</w:t>
      </w:r>
      <w:r>
        <w:rPr>
          <w:rFonts w:hint="eastAsia" w:ascii="Times New Roman" w:hAnsi="Times New Roman"/>
          <w:highlight w:val="none"/>
          <w:lang w:val="en-US" w:eastAsia="zh-CN"/>
        </w:rPr>
        <w:t>240</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单独使用116MW锅炉</w:t>
      </w:r>
      <w:r>
        <w:rPr>
          <w:rFonts w:hint="eastAsia" w:ascii="Times New Roman" w:hAnsi="Times New Roman"/>
          <w:highlight w:val="none"/>
          <w:lang w:eastAsia="zh-CN"/>
        </w:rPr>
        <w:t>）、</w:t>
      </w:r>
      <w:r>
        <w:rPr>
          <w:rFonts w:hint="eastAsia" w:ascii="Times New Roman" w:hAnsi="Times New Roman"/>
          <w:highlight w:val="none"/>
          <w:lang w:val="en-US" w:eastAsia="zh-CN"/>
        </w:rPr>
        <w:t>105kg/h（使用58MW+35t/h锅炉）、271kg/h（使用116MW+35t/h锅炉）、74kg/h（单独使用58MW锅炉）</w:t>
      </w:r>
      <w:r>
        <w:rPr>
          <w:rFonts w:ascii="Times New Roman" w:hAnsi="Times New Roman"/>
          <w:highlight w:val="none"/>
        </w:rPr>
        <w:t>，排放浓度为</w:t>
      </w:r>
      <w:r>
        <w:rPr>
          <w:rFonts w:hint="eastAsia" w:ascii="Times New Roman" w:hAnsi="Times New Roman"/>
          <w:highlight w:val="none"/>
          <w:lang w:val="en-US" w:eastAsia="zh-CN"/>
        </w:rPr>
        <w:t>916</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w:t>
      </w:r>
    </w:p>
    <w:p w14:paraId="1584DD7C">
      <w:pPr>
        <w:ind w:firstLine="480"/>
        <w:rPr>
          <w:rFonts w:ascii="Times New Roman" w:hAnsi="Times New Roman"/>
          <w:highlight w:val="none"/>
        </w:rPr>
      </w:pPr>
      <w:r>
        <w:rPr>
          <w:rFonts w:ascii="Times New Roman" w:hAnsi="Times New Roman"/>
          <w:highlight w:val="none"/>
        </w:rPr>
        <w:t>（3）颗粒物</w:t>
      </w:r>
    </w:p>
    <w:p w14:paraId="2D9DBDA6">
      <w:pPr>
        <w:ind w:firstLine="480"/>
        <w:rPr>
          <w:rFonts w:ascii="Times New Roman" w:hAnsi="Times New Roman"/>
          <w:highlight w:val="none"/>
        </w:rPr>
      </w:pPr>
      <w:r>
        <w:rPr>
          <w:rFonts w:ascii="Times New Roman" w:hAnsi="Times New Roman"/>
          <w:highlight w:val="none"/>
        </w:rPr>
        <w:t>颗粒物非正常工况主要是指袋式除尘器滤袋破损后，除尘效率降低。袋式除尘器滤袋破损后，颗粒物排放增加量</w:t>
      </w:r>
    </w:p>
    <w:p w14:paraId="3F3592E6">
      <w:pPr>
        <w:ind w:firstLine="0" w:firstLineChars="0"/>
        <w:jc w:val="center"/>
        <w:rPr>
          <w:rFonts w:ascii="Times New Roman" w:hAnsi="Times New Roman"/>
          <w:sz w:val="36"/>
          <w:highlight w:val="none"/>
        </w:rPr>
      </w:pPr>
      <w:r>
        <w:rPr>
          <w:rFonts w:ascii="Times New Roman" w:hAnsi="Times New Roman"/>
          <w:sz w:val="36"/>
          <w:highlight w:val="none"/>
        </w:rPr>
        <w:t>ΔMA=ρd×S×v</w:t>
      </w:r>
    </w:p>
    <w:p w14:paraId="4EAB2677">
      <w:pPr>
        <w:ind w:firstLine="480"/>
        <w:rPr>
          <w:rFonts w:ascii="Times New Roman" w:hAnsi="Times New Roman"/>
          <w:highlight w:val="none"/>
        </w:rPr>
      </w:pPr>
      <w:r>
        <w:rPr>
          <w:rFonts w:ascii="Times New Roman" w:hAnsi="Times New Roman"/>
          <w:highlight w:val="none"/>
        </w:rPr>
        <w:t>式中：</w:t>
      </w:r>
    </w:p>
    <w:p w14:paraId="076D842F">
      <w:pPr>
        <w:ind w:firstLine="480"/>
        <w:rPr>
          <w:rFonts w:ascii="Times New Roman" w:hAnsi="Times New Roman"/>
          <w:highlight w:val="none"/>
        </w:rPr>
      </w:pPr>
      <w:r>
        <w:rPr>
          <w:rFonts w:ascii="Times New Roman" w:hAnsi="Times New Roman"/>
          <w:highlight w:val="none"/>
        </w:rPr>
        <w:t>ΔMA—滤袋破损后增加的颗粒物排放量，g/s；</w:t>
      </w:r>
    </w:p>
    <w:p w14:paraId="6FA4336B">
      <w:pPr>
        <w:ind w:firstLine="480"/>
        <w:rPr>
          <w:rFonts w:ascii="Times New Roman" w:hAnsi="Times New Roman"/>
          <w:highlight w:val="none"/>
        </w:rPr>
      </w:pPr>
      <w:r>
        <w:rPr>
          <w:rFonts w:ascii="Times New Roman" w:hAnsi="Times New Roman"/>
          <w:highlight w:val="none"/>
        </w:rPr>
        <w:t>ρd—原烟气含尘浓度，g/m</w:t>
      </w:r>
      <w:r>
        <w:rPr>
          <w:rFonts w:ascii="Times New Roman" w:hAnsi="Times New Roman"/>
          <w:highlight w:val="none"/>
          <w:vertAlign w:val="superscript"/>
        </w:rPr>
        <w:t>3</w:t>
      </w:r>
      <w:r>
        <w:rPr>
          <w:rFonts w:ascii="Times New Roman" w:hAnsi="Times New Roman"/>
          <w:highlight w:val="none"/>
        </w:rPr>
        <w:t>；</w:t>
      </w:r>
    </w:p>
    <w:p w14:paraId="49A57019">
      <w:pPr>
        <w:ind w:firstLine="480"/>
        <w:rPr>
          <w:rFonts w:ascii="Times New Roman" w:hAnsi="Times New Roman"/>
          <w:highlight w:val="none"/>
        </w:rPr>
      </w:pPr>
      <w:r>
        <w:rPr>
          <w:rFonts w:ascii="Times New Roman" w:hAnsi="Times New Roman"/>
          <w:highlight w:val="none"/>
        </w:rPr>
        <w:t>S—滤袋破口面积，m</w:t>
      </w:r>
      <w:r>
        <w:rPr>
          <w:rFonts w:ascii="Times New Roman" w:hAnsi="Times New Roman"/>
          <w:highlight w:val="none"/>
          <w:vertAlign w:val="superscript"/>
        </w:rPr>
        <w:t>2</w:t>
      </w:r>
      <w:r>
        <w:rPr>
          <w:rFonts w:ascii="Times New Roman" w:hAnsi="Times New Roman"/>
          <w:highlight w:val="none"/>
        </w:rPr>
        <w:t>，本次评价取破裂口为半径10cm圆，面积为0.0314m</w:t>
      </w:r>
      <w:r>
        <w:rPr>
          <w:rFonts w:ascii="Times New Roman" w:hAnsi="Times New Roman"/>
          <w:highlight w:val="none"/>
          <w:vertAlign w:val="superscript"/>
        </w:rPr>
        <w:t>2</w:t>
      </w:r>
      <w:r>
        <w:rPr>
          <w:rFonts w:ascii="Times New Roman" w:hAnsi="Times New Roman"/>
          <w:highlight w:val="none"/>
        </w:rPr>
        <w:t>；</w:t>
      </w:r>
    </w:p>
    <w:p w14:paraId="2C0A0DFF">
      <w:pPr>
        <w:ind w:firstLine="480"/>
        <w:rPr>
          <w:rFonts w:ascii="Times New Roman" w:hAnsi="Times New Roman"/>
          <w:highlight w:val="none"/>
        </w:rPr>
      </w:pPr>
      <w:r>
        <w:rPr>
          <w:rFonts w:ascii="Times New Roman" w:hAnsi="Times New Roman"/>
          <w:highlight w:val="none"/>
        </w:rPr>
        <w:t>v—布袋除尘器内烟气流速，m/s，本次评价取20。</w:t>
      </w:r>
    </w:p>
    <w:p w14:paraId="16422865">
      <w:pPr>
        <w:ind w:firstLine="480"/>
        <w:rPr>
          <w:rFonts w:hint="eastAsia" w:ascii="Times New Roman" w:hAnsi="Times New Roman"/>
          <w:highlight w:val="none"/>
        </w:rPr>
      </w:pPr>
      <w:r>
        <w:rPr>
          <w:rFonts w:ascii="Times New Roman" w:hAnsi="Times New Roman"/>
          <w:highlight w:val="none"/>
        </w:rPr>
        <w:t>本项目原烟气含PM</w:t>
      </w:r>
      <w:r>
        <w:rPr>
          <w:rFonts w:ascii="Times New Roman" w:hAnsi="Times New Roman"/>
          <w:highlight w:val="none"/>
          <w:vertAlign w:val="subscript"/>
        </w:rPr>
        <w:t>10</w:t>
      </w:r>
      <w:r>
        <w:rPr>
          <w:rFonts w:ascii="Times New Roman" w:hAnsi="Times New Roman"/>
          <w:highlight w:val="none"/>
        </w:rPr>
        <w:t>浓度为</w:t>
      </w:r>
      <w:r>
        <w:rPr>
          <w:rFonts w:hint="eastAsia" w:ascii="Times New Roman" w:hAnsi="Times New Roman"/>
          <w:highlight w:val="none"/>
          <w:lang w:val="en-US" w:eastAsia="zh-CN"/>
        </w:rPr>
        <w:t>8048.04</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highlight w:val="none"/>
          <w:lang w:val="en-US" w:eastAsia="zh-CN"/>
        </w:rPr>
        <w:t>8.04804</w:t>
      </w:r>
      <w:r>
        <w:rPr>
          <w:rFonts w:ascii="Times New Roman" w:hAnsi="Times New Roman"/>
          <w:highlight w:val="none"/>
        </w:rPr>
        <w:t>g/m</w:t>
      </w:r>
      <w:r>
        <w:rPr>
          <w:rFonts w:ascii="Times New Roman" w:hAnsi="Times New Roman"/>
          <w:highlight w:val="none"/>
          <w:vertAlign w:val="superscript"/>
        </w:rPr>
        <w:t>3</w:t>
      </w:r>
      <w:r>
        <w:rPr>
          <w:rFonts w:ascii="Times New Roman" w:hAnsi="Times New Roman"/>
          <w:highlight w:val="none"/>
        </w:rPr>
        <w:t>），则滤袋破损后增加的PM</w:t>
      </w:r>
      <w:r>
        <w:rPr>
          <w:rFonts w:ascii="Times New Roman" w:hAnsi="Times New Roman"/>
          <w:highlight w:val="none"/>
          <w:vertAlign w:val="subscript"/>
        </w:rPr>
        <w:t>10</w:t>
      </w:r>
      <w:r>
        <w:rPr>
          <w:rFonts w:ascii="Times New Roman" w:hAnsi="Times New Roman"/>
          <w:highlight w:val="none"/>
        </w:rPr>
        <w:t>排放量为</w:t>
      </w:r>
      <w:r>
        <w:rPr>
          <w:rFonts w:hint="eastAsia" w:ascii="Times New Roman" w:hAnsi="Times New Roman"/>
          <w:highlight w:val="none"/>
          <w:lang w:val="en-US" w:eastAsia="zh-CN"/>
        </w:rPr>
        <w:t>5.05</w:t>
      </w:r>
      <w:r>
        <w:rPr>
          <w:rFonts w:ascii="Times New Roman" w:hAnsi="Times New Roman"/>
          <w:highlight w:val="none"/>
        </w:rPr>
        <w:t>g/s（</w:t>
      </w:r>
      <w:r>
        <w:rPr>
          <w:rFonts w:hint="eastAsia" w:ascii="Times New Roman" w:hAnsi="Times New Roman"/>
          <w:highlight w:val="none"/>
          <w:lang w:val="en-US" w:eastAsia="zh-CN"/>
        </w:rPr>
        <w:t>18.18</w:t>
      </w:r>
      <w:r>
        <w:rPr>
          <w:rFonts w:ascii="Times New Roman" w:hAnsi="Times New Roman"/>
          <w:highlight w:val="none"/>
        </w:rPr>
        <w:t>kg/h）；除尘器正常运行情况下PM</w:t>
      </w:r>
      <w:r>
        <w:rPr>
          <w:rFonts w:ascii="Times New Roman" w:hAnsi="Times New Roman"/>
          <w:highlight w:val="none"/>
          <w:vertAlign w:val="subscript"/>
        </w:rPr>
        <w:t>10</w:t>
      </w:r>
      <w:r>
        <w:rPr>
          <w:rFonts w:ascii="Times New Roman" w:hAnsi="Times New Roman"/>
          <w:highlight w:val="none"/>
        </w:rPr>
        <w:t>排放量</w:t>
      </w:r>
      <w:r>
        <w:rPr>
          <w:rFonts w:hint="eastAsia" w:ascii="Times New Roman" w:hAnsi="Times New Roman"/>
          <w:highlight w:val="none"/>
          <w:lang w:val="en-US" w:eastAsia="zh-CN"/>
        </w:rPr>
        <w:t>分别</w:t>
      </w:r>
      <w:r>
        <w:rPr>
          <w:rFonts w:ascii="Times New Roman" w:hAnsi="Times New Roman"/>
          <w:highlight w:val="none"/>
        </w:rPr>
        <w:t>为</w:t>
      </w:r>
      <w:r>
        <w:rPr>
          <w:rFonts w:hint="eastAsia" w:ascii="Times New Roman" w:hAnsi="Times New Roman"/>
          <w:highlight w:val="none"/>
          <w:lang w:val="en-US" w:eastAsia="zh-CN"/>
        </w:rPr>
        <w:t>0.85</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单独使用116MW锅炉</w:t>
      </w:r>
      <w:r>
        <w:rPr>
          <w:rFonts w:hint="eastAsia" w:ascii="Times New Roman" w:hAnsi="Times New Roman"/>
          <w:highlight w:val="none"/>
          <w:lang w:eastAsia="zh-CN"/>
        </w:rPr>
        <w:t>）、</w:t>
      </w:r>
      <w:r>
        <w:rPr>
          <w:rFonts w:hint="eastAsia" w:ascii="Times New Roman" w:hAnsi="Times New Roman"/>
          <w:highlight w:val="none"/>
          <w:lang w:val="en-US" w:eastAsia="zh-CN"/>
        </w:rPr>
        <w:t>0.36kg/h（使用58MW+35t/h锅炉）、0.95kg/h（使用116MW+35t/h锅炉）、0.26kg/h（单独使用58MW锅炉）</w:t>
      </w:r>
      <w:r>
        <w:rPr>
          <w:rFonts w:ascii="Times New Roman" w:hAnsi="Times New Roman"/>
          <w:highlight w:val="none"/>
        </w:rPr>
        <w:t>，排放浓度</w:t>
      </w:r>
      <w:r>
        <w:rPr>
          <w:rFonts w:hint="eastAsia" w:ascii="Times New Roman" w:hAnsi="Times New Roman"/>
          <w:highlight w:val="none"/>
          <w:lang w:val="en-US" w:eastAsia="zh-CN"/>
        </w:rPr>
        <w:t>3.23</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，则滤袋破损后PM</w:t>
      </w:r>
      <w:r>
        <w:rPr>
          <w:rFonts w:ascii="Times New Roman" w:hAnsi="Times New Roman"/>
          <w:highlight w:val="none"/>
          <w:vertAlign w:val="subscript"/>
        </w:rPr>
        <w:t>10</w:t>
      </w:r>
      <w:r>
        <w:rPr>
          <w:rFonts w:ascii="Times New Roman" w:hAnsi="Times New Roman"/>
          <w:highlight w:val="none"/>
        </w:rPr>
        <w:t>排放量</w:t>
      </w:r>
      <w:r>
        <w:rPr>
          <w:rFonts w:hint="eastAsia" w:ascii="Times New Roman" w:hAnsi="Times New Roman"/>
          <w:highlight w:val="none"/>
          <w:lang w:val="en-US" w:eastAsia="zh-CN"/>
        </w:rPr>
        <w:t>分别</w:t>
      </w:r>
      <w:r>
        <w:rPr>
          <w:rFonts w:ascii="Times New Roman" w:hAnsi="Times New Roman"/>
          <w:highlight w:val="none"/>
        </w:rPr>
        <w:t>为</w:t>
      </w:r>
      <w:r>
        <w:rPr>
          <w:rFonts w:hint="eastAsia" w:ascii="Times New Roman" w:hAnsi="Times New Roman"/>
          <w:highlight w:val="none"/>
          <w:lang w:val="en-US" w:eastAsia="zh-CN"/>
        </w:rPr>
        <w:t>19.03</w:t>
      </w:r>
      <w:r>
        <w:rPr>
          <w:rFonts w:ascii="Times New Roman" w:hAnsi="Times New Roman"/>
          <w:highlight w:val="none"/>
        </w:rPr>
        <w:t>kg/h</w:t>
      </w:r>
      <w:r>
        <w:rPr>
          <w:rFonts w:hint="eastAsia" w:ascii="Times New Roman" w:hAnsi="Times New Roman"/>
          <w:highlight w:val="none"/>
          <w:lang w:eastAsia="zh-CN"/>
        </w:rPr>
        <w:t>（</w:t>
      </w:r>
      <w:r>
        <w:rPr>
          <w:rFonts w:hint="eastAsia" w:ascii="Times New Roman" w:hAnsi="Times New Roman"/>
          <w:highlight w:val="none"/>
          <w:lang w:val="en-US" w:eastAsia="zh-CN"/>
        </w:rPr>
        <w:t>单独使用116MW锅炉</w:t>
      </w:r>
      <w:r>
        <w:rPr>
          <w:rFonts w:hint="eastAsia" w:ascii="Times New Roman" w:hAnsi="Times New Roman"/>
          <w:highlight w:val="none"/>
          <w:lang w:eastAsia="zh-CN"/>
        </w:rPr>
        <w:t>）、</w:t>
      </w:r>
      <w:r>
        <w:rPr>
          <w:rFonts w:hint="eastAsia" w:ascii="Times New Roman" w:hAnsi="Times New Roman"/>
          <w:highlight w:val="none"/>
          <w:lang w:val="en-US" w:eastAsia="zh-CN"/>
        </w:rPr>
        <w:t>18.54kg/h（使用58MW+35t/h锅炉）、19.13kg/h（使用116MW+35t/h锅炉）、18.44kg/h（单独使用58MW锅炉）</w:t>
      </w:r>
      <w:r>
        <w:rPr>
          <w:rFonts w:ascii="Times New Roman" w:hAnsi="Times New Roman"/>
          <w:highlight w:val="none"/>
        </w:rPr>
        <w:t>，排放浓度为</w:t>
      </w:r>
      <w:r>
        <w:rPr>
          <w:rFonts w:hint="eastAsia" w:ascii="Times New Roman" w:hAnsi="Times New Roman"/>
          <w:highlight w:val="none"/>
          <w:lang w:val="en-US" w:eastAsia="zh-CN"/>
        </w:rPr>
        <w:t>16.09</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，则PM</w:t>
      </w:r>
      <w:r>
        <w:rPr>
          <w:rFonts w:ascii="Times New Roman" w:hAnsi="Times New Roman"/>
          <w:highlight w:val="none"/>
          <w:vertAlign w:val="subscript"/>
        </w:rPr>
        <w:t>10</w:t>
      </w:r>
      <w:r>
        <w:rPr>
          <w:rFonts w:ascii="Times New Roman" w:hAnsi="Times New Roman"/>
          <w:highlight w:val="none"/>
        </w:rPr>
        <w:t>效率为99.</w:t>
      </w:r>
      <w:r>
        <w:rPr>
          <w:rFonts w:hint="eastAsia" w:ascii="Times New Roman" w:hAnsi="Times New Roman"/>
          <w:highlight w:val="none"/>
          <w:lang w:val="en-US" w:eastAsia="zh-CN"/>
        </w:rPr>
        <w:t>8</w:t>
      </w:r>
      <w:r>
        <w:rPr>
          <w:rFonts w:ascii="Times New Roman" w:hAnsi="Times New Roman"/>
          <w:highlight w:val="none"/>
        </w:rPr>
        <w:t>%。</w:t>
      </w:r>
    </w:p>
    <w:p w14:paraId="791093D0">
      <w:pPr>
        <w:ind w:firstLine="480"/>
        <w:rPr>
          <w:rFonts w:ascii="Times New Roman" w:hAnsi="Times New Roman"/>
          <w:highlight w:val="none"/>
        </w:rPr>
      </w:pPr>
      <w:r>
        <w:rPr>
          <w:rFonts w:ascii="Times New Roman" w:hAnsi="Times New Roman"/>
          <w:highlight w:val="none"/>
        </w:rPr>
        <w:t>本项目发生非正常排放时颗粒物、NOx和SO</w:t>
      </w:r>
      <w:r>
        <w:rPr>
          <w:rFonts w:ascii="Times New Roman" w:hAnsi="Times New Roman"/>
          <w:highlight w:val="none"/>
          <w:vertAlign w:val="subscript"/>
        </w:rPr>
        <w:t>2</w:t>
      </w:r>
      <w:r>
        <w:rPr>
          <w:rFonts w:ascii="Times New Roman" w:hAnsi="Times New Roman"/>
          <w:highlight w:val="none"/>
        </w:rPr>
        <w:t>排放量见表见表3.3-3。</w:t>
      </w:r>
    </w:p>
    <w:p w14:paraId="6326F53E">
      <w:pPr>
        <w:ind w:firstLine="0" w:firstLineChars="0"/>
        <w:jc w:val="center"/>
        <w:rPr>
          <w:rFonts w:ascii="Times New Roman" w:hAnsi="Times New Roman"/>
          <w:highlight w:val="none"/>
        </w:rPr>
      </w:pPr>
      <w:r>
        <w:rPr>
          <w:rFonts w:ascii="Times New Roman" w:hAnsi="Times New Roman"/>
          <w:b/>
          <w:bCs/>
          <w:highlight w:val="none"/>
        </w:rPr>
        <w:t>表3.3-3不同工况条件下污染物排放情况一览表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829"/>
        <w:gridCol w:w="1616"/>
        <w:gridCol w:w="1081"/>
        <w:gridCol w:w="931"/>
        <w:gridCol w:w="885"/>
        <w:gridCol w:w="1792"/>
        <w:gridCol w:w="1388"/>
      </w:tblGrid>
      <w:tr w14:paraId="0C7CAD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restart"/>
            <w:noWrap w:val="0"/>
            <w:vAlign w:val="center"/>
          </w:tcPr>
          <w:p w14:paraId="4814481D">
            <w:pPr>
              <w:pStyle w:val="27"/>
              <w:textAlignment w:val="center"/>
              <w:rPr>
                <w:rFonts w:ascii="Times New Roman" w:hAnsi="Times New Roman"/>
                <w:highlight w:val="none"/>
              </w:rPr>
            </w:pPr>
            <w:r>
              <w:rPr>
                <w:rFonts w:ascii="Times New Roman" w:hAnsi="Times New Roman"/>
                <w:highlight w:val="none"/>
              </w:rPr>
              <w:t>工况</w:t>
            </w:r>
          </w:p>
        </w:tc>
        <w:tc>
          <w:tcPr>
            <w:tcW w:w="948" w:type="pct"/>
            <w:vMerge w:val="restart"/>
            <w:noWrap w:val="0"/>
            <w:vAlign w:val="center"/>
          </w:tcPr>
          <w:p w14:paraId="703A8342">
            <w:pPr>
              <w:pStyle w:val="27"/>
              <w:textAlignment w:val="center"/>
              <w:rPr>
                <w:rFonts w:ascii="Times New Roman" w:hAnsi="Times New Roman"/>
                <w:highlight w:val="none"/>
              </w:rPr>
            </w:pPr>
            <w:r>
              <w:rPr>
                <w:rFonts w:ascii="Times New Roman" w:hAnsi="Times New Roman"/>
                <w:highlight w:val="none"/>
              </w:rPr>
              <w:t>情景模式</w:t>
            </w:r>
          </w:p>
        </w:tc>
        <w:tc>
          <w:tcPr>
            <w:tcW w:w="634" w:type="pct"/>
            <w:vMerge w:val="restart"/>
            <w:noWrap w:val="0"/>
            <w:vAlign w:val="center"/>
          </w:tcPr>
          <w:p w14:paraId="27B985F2">
            <w:pPr>
              <w:pStyle w:val="27"/>
              <w:textAlignment w:val="center"/>
              <w:rPr>
                <w:rFonts w:ascii="Times New Roman" w:hAnsi="Times New Roman"/>
                <w:highlight w:val="none"/>
              </w:rPr>
            </w:pPr>
            <w:r>
              <w:rPr>
                <w:rFonts w:ascii="Times New Roman" w:hAnsi="Times New Roman"/>
                <w:highlight w:val="none"/>
              </w:rPr>
              <w:t>允许持续时间（h）</w:t>
            </w:r>
          </w:p>
        </w:tc>
        <w:tc>
          <w:tcPr>
            <w:tcW w:w="546" w:type="pct"/>
            <w:vMerge w:val="restart"/>
            <w:noWrap w:val="0"/>
            <w:vAlign w:val="center"/>
          </w:tcPr>
          <w:p w14:paraId="69B3FF5B">
            <w:pPr>
              <w:pStyle w:val="27"/>
              <w:textAlignment w:val="center"/>
              <w:rPr>
                <w:rFonts w:ascii="Times New Roman" w:hAnsi="Times New Roman"/>
                <w:highlight w:val="none"/>
              </w:rPr>
            </w:pPr>
            <w:r>
              <w:rPr>
                <w:rFonts w:ascii="Times New Roman" w:hAnsi="Times New Roman"/>
                <w:highlight w:val="none"/>
              </w:rPr>
              <w:t>污染物名称</w:t>
            </w:r>
          </w:p>
        </w:tc>
        <w:tc>
          <w:tcPr>
            <w:tcW w:w="519" w:type="pct"/>
            <w:vMerge w:val="restart"/>
            <w:noWrap w:val="0"/>
            <w:vAlign w:val="center"/>
          </w:tcPr>
          <w:p w14:paraId="25406EB7">
            <w:pPr>
              <w:pStyle w:val="27"/>
              <w:textAlignment w:val="center"/>
              <w:rPr>
                <w:rFonts w:ascii="Times New Roman" w:hAnsi="Times New Roman"/>
                <w:highlight w:val="none"/>
              </w:rPr>
            </w:pPr>
            <w:r>
              <w:rPr>
                <w:rFonts w:ascii="Times New Roman" w:hAnsi="Times New Roman"/>
                <w:highlight w:val="none"/>
              </w:rPr>
              <w:t>去除率（%）</w:t>
            </w:r>
          </w:p>
        </w:tc>
        <w:tc>
          <w:tcPr>
            <w:tcW w:w="1865" w:type="pct"/>
            <w:gridSpan w:val="2"/>
            <w:noWrap w:val="0"/>
            <w:vAlign w:val="center"/>
          </w:tcPr>
          <w:p w14:paraId="4994C0CA">
            <w:pPr>
              <w:pStyle w:val="27"/>
              <w:textAlignment w:val="center"/>
              <w:rPr>
                <w:rFonts w:ascii="Times New Roman" w:hAnsi="Times New Roman"/>
                <w:highlight w:val="none"/>
              </w:rPr>
            </w:pPr>
            <w:r>
              <w:rPr>
                <w:rFonts w:ascii="Times New Roman" w:hAnsi="Times New Roman"/>
                <w:highlight w:val="none"/>
              </w:rPr>
              <w:t>排放情况</w:t>
            </w:r>
          </w:p>
        </w:tc>
      </w:tr>
      <w:tr w14:paraId="10FCE87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2C418755">
            <w:pPr>
              <w:pStyle w:val="27"/>
              <w:textAlignment w:val="center"/>
              <w:rPr>
                <w:rFonts w:ascii="Times New Roman" w:hAnsi="Times New Roman"/>
                <w:highlight w:val="none"/>
              </w:rPr>
            </w:pPr>
          </w:p>
        </w:tc>
        <w:tc>
          <w:tcPr>
            <w:tcW w:w="948" w:type="pct"/>
            <w:vMerge w:val="continue"/>
            <w:noWrap w:val="0"/>
            <w:vAlign w:val="center"/>
          </w:tcPr>
          <w:p w14:paraId="3AA14883">
            <w:pPr>
              <w:pStyle w:val="27"/>
              <w:textAlignment w:val="center"/>
              <w:rPr>
                <w:rFonts w:ascii="Times New Roman" w:hAnsi="Times New Roman"/>
                <w:highlight w:val="none"/>
              </w:rPr>
            </w:pPr>
          </w:p>
        </w:tc>
        <w:tc>
          <w:tcPr>
            <w:tcW w:w="634" w:type="pct"/>
            <w:vMerge w:val="continue"/>
            <w:noWrap w:val="0"/>
            <w:vAlign w:val="center"/>
          </w:tcPr>
          <w:p w14:paraId="4B2BC86F">
            <w:pPr>
              <w:pStyle w:val="27"/>
              <w:textAlignment w:val="center"/>
              <w:rPr>
                <w:rFonts w:ascii="Times New Roman" w:hAnsi="Times New Roman"/>
                <w:highlight w:val="none"/>
              </w:rPr>
            </w:pPr>
          </w:p>
        </w:tc>
        <w:tc>
          <w:tcPr>
            <w:tcW w:w="546" w:type="pct"/>
            <w:vMerge w:val="continue"/>
            <w:noWrap w:val="0"/>
            <w:vAlign w:val="center"/>
          </w:tcPr>
          <w:p w14:paraId="4FA9ADD4">
            <w:pPr>
              <w:pStyle w:val="27"/>
              <w:textAlignment w:val="center"/>
              <w:rPr>
                <w:rFonts w:ascii="Times New Roman" w:hAnsi="Times New Roman"/>
                <w:highlight w:val="none"/>
              </w:rPr>
            </w:pPr>
          </w:p>
        </w:tc>
        <w:tc>
          <w:tcPr>
            <w:tcW w:w="519" w:type="pct"/>
            <w:vMerge w:val="continue"/>
            <w:noWrap w:val="0"/>
            <w:vAlign w:val="center"/>
          </w:tcPr>
          <w:p w14:paraId="29043054">
            <w:pPr>
              <w:pStyle w:val="27"/>
              <w:textAlignment w:val="center"/>
              <w:rPr>
                <w:rFonts w:ascii="Times New Roman" w:hAnsi="Times New Roman"/>
                <w:highlight w:val="none"/>
              </w:rPr>
            </w:pPr>
          </w:p>
        </w:tc>
        <w:tc>
          <w:tcPr>
            <w:tcW w:w="1051" w:type="pct"/>
            <w:noWrap w:val="0"/>
            <w:vAlign w:val="center"/>
          </w:tcPr>
          <w:p w14:paraId="272AB6FD">
            <w:pPr>
              <w:pStyle w:val="27"/>
              <w:textAlignment w:val="center"/>
              <w:rPr>
                <w:rFonts w:hint="default" w:ascii="Times New Roman" w:hAnsi="Times New Roman" w:eastAsia="新宋体"/>
                <w:highlight w:val="none"/>
                <w:lang w:val="en-US" w:eastAsia="zh-CN"/>
              </w:rPr>
            </w:pPr>
            <w:r>
              <w:rPr>
                <w:rFonts w:hint="eastAsia" w:ascii="Times New Roman" w:hAnsi="Times New Roman"/>
                <w:highlight w:val="none"/>
                <w:lang w:val="en-US" w:eastAsia="zh-CN"/>
              </w:rPr>
              <w:t>排放量kg/h</w:t>
            </w:r>
          </w:p>
        </w:tc>
        <w:tc>
          <w:tcPr>
            <w:tcW w:w="813" w:type="pct"/>
            <w:noWrap w:val="0"/>
            <w:vAlign w:val="center"/>
          </w:tcPr>
          <w:p w14:paraId="3438950E">
            <w:pPr>
              <w:pStyle w:val="27"/>
              <w:textAlignment w:val="center"/>
              <w:rPr>
                <w:rFonts w:ascii="Times New Roman" w:hAnsi="Times New Roman"/>
                <w:highlight w:val="none"/>
              </w:rPr>
            </w:pPr>
            <w:r>
              <w:rPr>
                <w:rFonts w:ascii="Times New Roman" w:hAnsi="Times New Roman"/>
                <w:highlight w:val="none"/>
              </w:rPr>
              <w:t>浓度mg/m</w:t>
            </w:r>
            <w:r>
              <w:rPr>
                <w:rFonts w:ascii="Times New Roman" w:hAnsi="Times New Roman"/>
                <w:highlight w:val="none"/>
                <w:vertAlign w:val="superscript"/>
              </w:rPr>
              <w:t>3</w:t>
            </w:r>
          </w:p>
        </w:tc>
      </w:tr>
      <w:tr w14:paraId="48F7DBA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5" w:hRule="atLeast"/>
          <w:jc w:val="center"/>
        </w:trPr>
        <w:tc>
          <w:tcPr>
            <w:tcW w:w="486" w:type="pct"/>
            <w:vMerge w:val="restart"/>
            <w:noWrap w:val="0"/>
            <w:vAlign w:val="center"/>
          </w:tcPr>
          <w:p w14:paraId="1724D25D">
            <w:pPr>
              <w:pStyle w:val="27"/>
              <w:textAlignment w:val="center"/>
              <w:rPr>
                <w:rFonts w:ascii="Times New Roman" w:hAnsi="Times New Roman"/>
                <w:highlight w:val="none"/>
              </w:rPr>
            </w:pPr>
            <w:r>
              <w:rPr>
                <w:rFonts w:ascii="Times New Roman" w:hAnsi="Times New Roman"/>
                <w:highlight w:val="none"/>
              </w:rPr>
              <w:t>正常工况</w:t>
            </w:r>
          </w:p>
        </w:tc>
        <w:tc>
          <w:tcPr>
            <w:tcW w:w="948" w:type="pct"/>
            <w:vMerge w:val="restart"/>
            <w:noWrap w:val="0"/>
            <w:vAlign w:val="center"/>
          </w:tcPr>
          <w:p w14:paraId="10D6AB6C">
            <w:pPr>
              <w:pStyle w:val="27"/>
              <w:textAlignment w:val="center"/>
              <w:rPr>
                <w:rFonts w:ascii="Times New Roman" w:hAnsi="Times New Roman"/>
                <w:highlight w:val="none"/>
              </w:rPr>
            </w:pPr>
            <w:r>
              <w:rPr>
                <w:rFonts w:ascii="Times New Roman" w:hAnsi="Times New Roman"/>
                <w:highlight w:val="none"/>
              </w:rPr>
              <w:t>/</w:t>
            </w:r>
          </w:p>
        </w:tc>
        <w:tc>
          <w:tcPr>
            <w:tcW w:w="634" w:type="pct"/>
            <w:vMerge w:val="restart"/>
            <w:noWrap w:val="0"/>
            <w:vAlign w:val="center"/>
          </w:tcPr>
          <w:p w14:paraId="5AB68750">
            <w:pPr>
              <w:pStyle w:val="27"/>
              <w:textAlignment w:val="center"/>
              <w:rPr>
                <w:rFonts w:ascii="Times New Roman" w:hAnsi="Times New Roman"/>
                <w:highlight w:val="none"/>
              </w:rPr>
            </w:pPr>
            <w:r>
              <w:rPr>
                <w:rFonts w:ascii="Times New Roman" w:hAnsi="Times New Roman"/>
                <w:highlight w:val="none"/>
              </w:rPr>
              <w:t>长期</w:t>
            </w:r>
          </w:p>
        </w:tc>
        <w:tc>
          <w:tcPr>
            <w:tcW w:w="546" w:type="pct"/>
            <w:vMerge w:val="restart"/>
            <w:noWrap w:val="0"/>
            <w:vAlign w:val="center"/>
          </w:tcPr>
          <w:p w14:paraId="36F141BA">
            <w:pPr>
              <w:pStyle w:val="27"/>
              <w:textAlignment w:val="center"/>
              <w:rPr>
                <w:rFonts w:ascii="Times New Roman" w:hAnsi="Times New Roman"/>
                <w:highlight w:val="none"/>
              </w:rPr>
            </w:pPr>
            <w:r>
              <w:rPr>
                <w:rFonts w:ascii="Times New Roman" w:hAnsi="Times New Roman"/>
                <w:highlight w:val="none"/>
              </w:rPr>
              <w:t>颗粒物</w:t>
            </w:r>
          </w:p>
        </w:tc>
        <w:tc>
          <w:tcPr>
            <w:tcW w:w="519" w:type="pct"/>
            <w:vMerge w:val="restart"/>
            <w:noWrap w:val="0"/>
            <w:vAlign w:val="center"/>
          </w:tcPr>
          <w:p w14:paraId="00D2E652">
            <w:pPr>
              <w:spacing w:line="240" w:lineRule="auto"/>
              <w:ind w:firstLine="0" w:firstLineChars="0"/>
              <w:jc w:val="center"/>
              <w:textAlignment w:val="center"/>
              <w:rPr>
                <w:rFonts w:ascii="Times New Roman" w:hAnsi="Times New Roman"/>
                <w:highlight w:val="none"/>
              </w:rPr>
            </w:pPr>
            <w:r>
              <w:rPr>
                <w:rFonts w:ascii="Times New Roman" w:hAnsi="Times New Roman"/>
                <w:sz w:val="21"/>
                <w:highlight w:val="none"/>
              </w:rPr>
              <w:t>99.96</w:t>
            </w:r>
          </w:p>
        </w:tc>
        <w:tc>
          <w:tcPr>
            <w:tcW w:w="1051" w:type="pct"/>
            <w:noWrap w:val="0"/>
            <w:vAlign w:val="center"/>
          </w:tcPr>
          <w:p w14:paraId="65D2F2C2">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0.85（单独使用116MW锅炉）</w:t>
            </w:r>
          </w:p>
        </w:tc>
        <w:tc>
          <w:tcPr>
            <w:tcW w:w="813" w:type="pct"/>
            <w:noWrap w:val="0"/>
            <w:vAlign w:val="center"/>
          </w:tcPr>
          <w:p w14:paraId="7FD63420">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3.23</w:t>
            </w:r>
          </w:p>
        </w:tc>
      </w:tr>
      <w:tr w14:paraId="3A1A49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5" w:hRule="atLeast"/>
          <w:jc w:val="center"/>
        </w:trPr>
        <w:tc>
          <w:tcPr>
            <w:tcW w:w="486" w:type="pct"/>
            <w:vMerge w:val="continue"/>
            <w:noWrap w:val="0"/>
            <w:vAlign w:val="center"/>
          </w:tcPr>
          <w:p w14:paraId="12D32876">
            <w:pPr>
              <w:pStyle w:val="27"/>
              <w:textAlignment w:val="center"/>
              <w:rPr>
                <w:rFonts w:ascii="Times New Roman" w:hAnsi="Times New Roman"/>
                <w:highlight w:val="none"/>
              </w:rPr>
            </w:pPr>
          </w:p>
        </w:tc>
        <w:tc>
          <w:tcPr>
            <w:tcW w:w="948" w:type="pct"/>
            <w:vMerge w:val="continue"/>
            <w:noWrap w:val="0"/>
            <w:vAlign w:val="center"/>
          </w:tcPr>
          <w:p w14:paraId="19D88EFE">
            <w:pPr>
              <w:pStyle w:val="27"/>
              <w:textAlignment w:val="center"/>
              <w:rPr>
                <w:rFonts w:ascii="Times New Roman" w:hAnsi="Times New Roman"/>
                <w:highlight w:val="none"/>
              </w:rPr>
            </w:pPr>
          </w:p>
        </w:tc>
        <w:tc>
          <w:tcPr>
            <w:tcW w:w="634" w:type="pct"/>
            <w:vMerge w:val="continue"/>
            <w:noWrap w:val="0"/>
            <w:vAlign w:val="center"/>
          </w:tcPr>
          <w:p w14:paraId="717A6186">
            <w:pPr>
              <w:pStyle w:val="27"/>
              <w:textAlignment w:val="center"/>
              <w:rPr>
                <w:rFonts w:ascii="Times New Roman" w:hAnsi="Times New Roman"/>
                <w:highlight w:val="none"/>
              </w:rPr>
            </w:pPr>
          </w:p>
        </w:tc>
        <w:tc>
          <w:tcPr>
            <w:tcW w:w="546" w:type="pct"/>
            <w:vMerge w:val="continue"/>
            <w:noWrap w:val="0"/>
            <w:vAlign w:val="center"/>
          </w:tcPr>
          <w:p w14:paraId="54A05E5A">
            <w:pPr>
              <w:pStyle w:val="27"/>
              <w:textAlignment w:val="center"/>
              <w:rPr>
                <w:rFonts w:ascii="Times New Roman" w:hAnsi="Times New Roman"/>
                <w:highlight w:val="none"/>
              </w:rPr>
            </w:pPr>
          </w:p>
        </w:tc>
        <w:tc>
          <w:tcPr>
            <w:tcW w:w="519" w:type="pct"/>
            <w:vMerge w:val="continue"/>
            <w:noWrap w:val="0"/>
            <w:vAlign w:val="center"/>
          </w:tcPr>
          <w:p w14:paraId="7132F7C1">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3B4293A3">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0.36（使用58MW+35t/h锅炉）</w:t>
            </w:r>
          </w:p>
        </w:tc>
        <w:tc>
          <w:tcPr>
            <w:tcW w:w="813" w:type="pct"/>
            <w:noWrap w:val="0"/>
            <w:vAlign w:val="center"/>
          </w:tcPr>
          <w:p w14:paraId="53D79F85">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3.23</w:t>
            </w:r>
          </w:p>
        </w:tc>
      </w:tr>
      <w:tr w14:paraId="6ED209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5" w:hRule="atLeast"/>
          <w:jc w:val="center"/>
        </w:trPr>
        <w:tc>
          <w:tcPr>
            <w:tcW w:w="486" w:type="pct"/>
            <w:vMerge w:val="continue"/>
            <w:noWrap w:val="0"/>
            <w:vAlign w:val="center"/>
          </w:tcPr>
          <w:p w14:paraId="0E2F1EB7">
            <w:pPr>
              <w:pStyle w:val="27"/>
              <w:textAlignment w:val="center"/>
              <w:rPr>
                <w:rFonts w:ascii="Times New Roman" w:hAnsi="Times New Roman"/>
                <w:highlight w:val="none"/>
              </w:rPr>
            </w:pPr>
          </w:p>
        </w:tc>
        <w:tc>
          <w:tcPr>
            <w:tcW w:w="948" w:type="pct"/>
            <w:vMerge w:val="continue"/>
            <w:noWrap w:val="0"/>
            <w:vAlign w:val="center"/>
          </w:tcPr>
          <w:p w14:paraId="071EE237">
            <w:pPr>
              <w:pStyle w:val="27"/>
              <w:textAlignment w:val="center"/>
              <w:rPr>
                <w:rFonts w:ascii="Times New Roman" w:hAnsi="Times New Roman"/>
                <w:highlight w:val="none"/>
              </w:rPr>
            </w:pPr>
          </w:p>
        </w:tc>
        <w:tc>
          <w:tcPr>
            <w:tcW w:w="634" w:type="pct"/>
            <w:vMerge w:val="continue"/>
            <w:noWrap w:val="0"/>
            <w:vAlign w:val="center"/>
          </w:tcPr>
          <w:p w14:paraId="4AE12996">
            <w:pPr>
              <w:pStyle w:val="27"/>
              <w:textAlignment w:val="center"/>
              <w:rPr>
                <w:rFonts w:ascii="Times New Roman" w:hAnsi="Times New Roman"/>
                <w:highlight w:val="none"/>
              </w:rPr>
            </w:pPr>
          </w:p>
        </w:tc>
        <w:tc>
          <w:tcPr>
            <w:tcW w:w="546" w:type="pct"/>
            <w:vMerge w:val="continue"/>
            <w:noWrap w:val="0"/>
            <w:vAlign w:val="center"/>
          </w:tcPr>
          <w:p w14:paraId="3F85557B">
            <w:pPr>
              <w:pStyle w:val="27"/>
              <w:textAlignment w:val="center"/>
              <w:rPr>
                <w:rFonts w:ascii="Times New Roman" w:hAnsi="Times New Roman"/>
                <w:highlight w:val="none"/>
              </w:rPr>
            </w:pPr>
          </w:p>
        </w:tc>
        <w:tc>
          <w:tcPr>
            <w:tcW w:w="519" w:type="pct"/>
            <w:vMerge w:val="continue"/>
            <w:noWrap w:val="0"/>
            <w:vAlign w:val="center"/>
          </w:tcPr>
          <w:p w14:paraId="49426C9C">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395BDD20">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0.95（使用116MW+35t/h锅炉）</w:t>
            </w:r>
          </w:p>
        </w:tc>
        <w:tc>
          <w:tcPr>
            <w:tcW w:w="813" w:type="pct"/>
            <w:noWrap w:val="0"/>
            <w:vAlign w:val="center"/>
          </w:tcPr>
          <w:p w14:paraId="52322D2C">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3.23</w:t>
            </w:r>
          </w:p>
        </w:tc>
      </w:tr>
      <w:tr w14:paraId="418625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5" w:hRule="atLeast"/>
          <w:jc w:val="center"/>
        </w:trPr>
        <w:tc>
          <w:tcPr>
            <w:tcW w:w="486" w:type="pct"/>
            <w:vMerge w:val="continue"/>
            <w:noWrap w:val="0"/>
            <w:vAlign w:val="center"/>
          </w:tcPr>
          <w:p w14:paraId="30B013ED">
            <w:pPr>
              <w:pStyle w:val="27"/>
              <w:textAlignment w:val="center"/>
              <w:rPr>
                <w:rFonts w:ascii="Times New Roman" w:hAnsi="Times New Roman"/>
                <w:highlight w:val="none"/>
              </w:rPr>
            </w:pPr>
          </w:p>
        </w:tc>
        <w:tc>
          <w:tcPr>
            <w:tcW w:w="948" w:type="pct"/>
            <w:vMerge w:val="continue"/>
            <w:noWrap w:val="0"/>
            <w:vAlign w:val="center"/>
          </w:tcPr>
          <w:p w14:paraId="7D3082FF">
            <w:pPr>
              <w:pStyle w:val="27"/>
              <w:textAlignment w:val="center"/>
              <w:rPr>
                <w:rFonts w:ascii="Times New Roman" w:hAnsi="Times New Roman"/>
                <w:highlight w:val="none"/>
              </w:rPr>
            </w:pPr>
          </w:p>
        </w:tc>
        <w:tc>
          <w:tcPr>
            <w:tcW w:w="634" w:type="pct"/>
            <w:vMerge w:val="continue"/>
            <w:noWrap w:val="0"/>
            <w:vAlign w:val="center"/>
          </w:tcPr>
          <w:p w14:paraId="6070CC86">
            <w:pPr>
              <w:pStyle w:val="27"/>
              <w:textAlignment w:val="center"/>
              <w:rPr>
                <w:rFonts w:ascii="Times New Roman" w:hAnsi="Times New Roman"/>
                <w:highlight w:val="none"/>
              </w:rPr>
            </w:pPr>
          </w:p>
        </w:tc>
        <w:tc>
          <w:tcPr>
            <w:tcW w:w="546" w:type="pct"/>
            <w:vMerge w:val="continue"/>
            <w:noWrap w:val="0"/>
            <w:vAlign w:val="center"/>
          </w:tcPr>
          <w:p w14:paraId="64D73359">
            <w:pPr>
              <w:pStyle w:val="27"/>
              <w:textAlignment w:val="center"/>
              <w:rPr>
                <w:rFonts w:ascii="Times New Roman" w:hAnsi="Times New Roman"/>
                <w:highlight w:val="none"/>
              </w:rPr>
            </w:pPr>
          </w:p>
        </w:tc>
        <w:tc>
          <w:tcPr>
            <w:tcW w:w="519" w:type="pct"/>
            <w:vMerge w:val="continue"/>
            <w:noWrap w:val="0"/>
            <w:vAlign w:val="center"/>
          </w:tcPr>
          <w:p w14:paraId="645C8A35">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1071965C">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0.26（单独使用58MW锅炉）</w:t>
            </w:r>
          </w:p>
        </w:tc>
        <w:tc>
          <w:tcPr>
            <w:tcW w:w="813" w:type="pct"/>
            <w:noWrap w:val="0"/>
            <w:vAlign w:val="center"/>
          </w:tcPr>
          <w:p w14:paraId="0CA9091D">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3.23</w:t>
            </w:r>
          </w:p>
        </w:tc>
      </w:tr>
      <w:tr w14:paraId="485755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622BE2FC">
            <w:pPr>
              <w:pStyle w:val="27"/>
              <w:textAlignment w:val="center"/>
              <w:rPr>
                <w:rFonts w:ascii="Times New Roman" w:hAnsi="Times New Roman"/>
                <w:highlight w:val="none"/>
              </w:rPr>
            </w:pPr>
          </w:p>
        </w:tc>
        <w:tc>
          <w:tcPr>
            <w:tcW w:w="948" w:type="pct"/>
            <w:vMerge w:val="continue"/>
            <w:noWrap w:val="0"/>
            <w:vAlign w:val="center"/>
          </w:tcPr>
          <w:p w14:paraId="6177893A">
            <w:pPr>
              <w:pStyle w:val="27"/>
              <w:textAlignment w:val="center"/>
              <w:rPr>
                <w:rFonts w:ascii="Times New Roman" w:hAnsi="Times New Roman"/>
                <w:highlight w:val="none"/>
              </w:rPr>
            </w:pPr>
          </w:p>
        </w:tc>
        <w:tc>
          <w:tcPr>
            <w:tcW w:w="634" w:type="pct"/>
            <w:vMerge w:val="continue"/>
            <w:noWrap w:val="0"/>
            <w:vAlign w:val="center"/>
          </w:tcPr>
          <w:p w14:paraId="6AC6A247">
            <w:pPr>
              <w:pStyle w:val="27"/>
              <w:textAlignment w:val="center"/>
              <w:rPr>
                <w:rFonts w:ascii="Times New Roman" w:hAnsi="Times New Roman"/>
                <w:highlight w:val="none"/>
              </w:rPr>
            </w:pPr>
          </w:p>
        </w:tc>
        <w:tc>
          <w:tcPr>
            <w:tcW w:w="546" w:type="pct"/>
            <w:vMerge w:val="restart"/>
            <w:noWrap w:val="0"/>
            <w:vAlign w:val="center"/>
          </w:tcPr>
          <w:p w14:paraId="2981B9C6">
            <w:pPr>
              <w:pStyle w:val="27"/>
              <w:textAlignment w:val="center"/>
              <w:rPr>
                <w:rFonts w:ascii="Times New Roman" w:hAnsi="Times New Roman"/>
                <w:highlight w:val="none"/>
              </w:rPr>
            </w:pPr>
            <w:r>
              <w:rPr>
                <w:rFonts w:ascii="Times New Roman" w:hAnsi="Times New Roman"/>
                <w:highlight w:val="none"/>
              </w:rPr>
              <w:t>SO</w:t>
            </w:r>
            <w:r>
              <w:rPr>
                <w:rFonts w:ascii="Times New Roman" w:hAnsi="Times New Roman"/>
                <w:highlight w:val="none"/>
                <w:vertAlign w:val="subscript"/>
              </w:rPr>
              <w:t>2</w:t>
            </w:r>
          </w:p>
        </w:tc>
        <w:tc>
          <w:tcPr>
            <w:tcW w:w="519" w:type="pct"/>
            <w:vMerge w:val="restart"/>
            <w:noWrap w:val="0"/>
            <w:vAlign w:val="center"/>
          </w:tcPr>
          <w:p w14:paraId="6C8FA021">
            <w:pPr>
              <w:spacing w:line="240" w:lineRule="auto"/>
              <w:ind w:firstLine="0" w:firstLineChars="0"/>
              <w:jc w:val="center"/>
              <w:textAlignment w:val="center"/>
              <w:rPr>
                <w:rFonts w:ascii="Times New Roman" w:hAnsi="Times New Roman"/>
                <w:highlight w:val="none"/>
              </w:rPr>
            </w:pPr>
            <w:r>
              <w:rPr>
                <w:rFonts w:ascii="Times New Roman" w:hAnsi="Times New Roman"/>
                <w:sz w:val="21"/>
                <w:highlight w:val="none"/>
              </w:rPr>
              <w:t>97</w:t>
            </w:r>
          </w:p>
        </w:tc>
        <w:tc>
          <w:tcPr>
            <w:tcW w:w="1051" w:type="pct"/>
            <w:noWrap w:val="0"/>
            <w:vAlign w:val="center"/>
          </w:tcPr>
          <w:p w14:paraId="5AFB1AF5">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2.58（单独使用116MW锅炉）</w:t>
            </w:r>
          </w:p>
        </w:tc>
        <w:tc>
          <w:tcPr>
            <w:tcW w:w="813" w:type="pct"/>
            <w:noWrap w:val="0"/>
            <w:vAlign w:val="center"/>
          </w:tcPr>
          <w:p w14:paraId="5FF5CD37">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9.746</w:t>
            </w:r>
          </w:p>
        </w:tc>
      </w:tr>
      <w:tr w14:paraId="201C6B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74E59828">
            <w:pPr>
              <w:pStyle w:val="27"/>
              <w:textAlignment w:val="center"/>
              <w:rPr>
                <w:rFonts w:ascii="Times New Roman" w:hAnsi="Times New Roman"/>
                <w:highlight w:val="none"/>
              </w:rPr>
            </w:pPr>
          </w:p>
        </w:tc>
        <w:tc>
          <w:tcPr>
            <w:tcW w:w="948" w:type="pct"/>
            <w:vMerge w:val="continue"/>
            <w:noWrap w:val="0"/>
            <w:vAlign w:val="center"/>
          </w:tcPr>
          <w:p w14:paraId="3C9F51A4">
            <w:pPr>
              <w:pStyle w:val="27"/>
              <w:textAlignment w:val="center"/>
              <w:rPr>
                <w:rFonts w:ascii="Times New Roman" w:hAnsi="Times New Roman"/>
                <w:highlight w:val="none"/>
              </w:rPr>
            </w:pPr>
          </w:p>
        </w:tc>
        <w:tc>
          <w:tcPr>
            <w:tcW w:w="634" w:type="pct"/>
            <w:vMerge w:val="continue"/>
            <w:noWrap w:val="0"/>
            <w:vAlign w:val="center"/>
          </w:tcPr>
          <w:p w14:paraId="030C90D6">
            <w:pPr>
              <w:pStyle w:val="27"/>
              <w:textAlignment w:val="center"/>
              <w:rPr>
                <w:rFonts w:ascii="Times New Roman" w:hAnsi="Times New Roman"/>
                <w:highlight w:val="none"/>
              </w:rPr>
            </w:pPr>
          </w:p>
        </w:tc>
        <w:tc>
          <w:tcPr>
            <w:tcW w:w="546" w:type="pct"/>
            <w:vMerge w:val="continue"/>
            <w:noWrap w:val="0"/>
            <w:vAlign w:val="center"/>
          </w:tcPr>
          <w:p w14:paraId="55BE916D">
            <w:pPr>
              <w:pStyle w:val="27"/>
              <w:textAlignment w:val="center"/>
              <w:rPr>
                <w:rFonts w:ascii="Times New Roman" w:hAnsi="Times New Roman"/>
                <w:highlight w:val="none"/>
              </w:rPr>
            </w:pPr>
          </w:p>
        </w:tc>
        <w:tc>
          <w:tcPr>
            <w:tcW w:w="519" w:type="pct"/>
            <w:vMerge w:val="continue"/>
            <w:noWrap w:val="0"/>
            <w:vAlign w:val="center"/>
          </w:tcPr>
          <w:p w14:paraId="5FD5B096">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43FC242F">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1.12（使用58MW+35t/h锅炉）</w:t>
            </w:r>
          </w:p>
        </w:tc>
        <w:tc>
          <w:tcPr>
            <w:tcW w:w="813" w:type="pct"/>
            <w:noWrap w:val="0"/>
            <w:vAlign w:val="center"/>
          </w:tcPr>
          <w:p w14:paraId="10605B5F">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9.746</w:t>
            </w:r>
          </w:p>
        </w:tc>
      </w:tr>
      <w:tr w14:paraId="766646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05F1EA73">
            <w:pPr>
              <w:pStyle w:val="27"/>
              <w:textAlignment w:val="center"/>
              <w:rPr>
                <w:rFonts w:ascii="Times New Roman" w:hAnsi="Times New Roman"/>
                <w:highlight w:val="none"/>
              </w:rPr>
            </w:pPr>
          </w:p>
        </w:tc>
        <w:tc>
          <w:tcPr>
            <w:tcW w:w="948" w:type="pct"/>
            <w:vMerge w:val="continue"/>
            <w:noWrap w:val="0"/>
            <w:vAlign w:val="center"/>
          </w:tcPr>
          <w:p w14:paraId="0B870E35">
            <w:pPr>
              <w:pStyle w:val="27"/>
              <w:textAlignment w:val="center"/>
              <w:rPr>
                <w:rFonts w:ascii="Times New Roman" w:hAnsi="Times New Roman"/>
                <w:highlight w:val="none"/>
              </w:rPr>
            </w:pPr>
          </w:p>
        </w:tc>
        <w:tc>
          <w:tcPr>
            <w:tcW w:w="634" w:type="pct"/>
            <w:vMerge w:val="continue"/>
            <w:noWrap w:val="0"/>
            <w:vAlign w:val="center"/>
          </w:tcPr>
          <w:p w14:paraId="7D6FB9AA">
            <w:pPr>
              <w:pStyle w:val="27"/>
              <w:textAlignment w:val="center"/>
              <w:rPr>
                <w:rFonts w:ascii="Times New Roman" w:hAnsi="Times New Roman"/>
                <w:highlight w:val="none"/>
              </w:rPr>
            </w:pPr>
          </w:p>
        </w:tc>
        <w:tc>
          <w:tcPr>
            <w:tcW w:w="546" w:type="pct"/>
            <w:vMerge w:val="continue"/>
            <w:noWrap w:val="0"/>
            <w:vAlign w:val="center"/>
          </w:tcPr>
          <w:p w14:paraId="14AE3DE1">
            <w:pPr>
              <w:pStyle w:val="27"/>
              <w:textAlignment w:val="center"/>
              <w:rPr>
                <w:rFonts w:ascii="Times New Roman" w:hAnsi="Times New Roman"/>
                <w:highlight w:val="none"/>
              </w:rPr>
            </w:pPr>
          </w:p>
        </w:tc>
        <w:tc>
          <w:tcPr>
            <w:tcW w:w="519" w:type="pct"/>
            <w:vMerge w:val="continue"/>
            <w:noWrap w:val="0"/>
            <w:vAlign w:val="center"/>
          </w:tcPr>
          <w:p w14:paraId="2D7C0527">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1EC3C57D">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2.91（使用116MW+35t/h锅炉）</w:t>
            </w:r>
          </w:p>
        </w:tc>
        <w:tc>
          <w:tcPr>
            <w:tcW w:w="813" w:type="pct"/>
            <w:noWrap w:val="0"/>
            <w:vAlign w:val="center"/>
          </w:tcPr>
          <w:p w14:paraId="59980C73">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9.746</w:t>
            </w:r>
          </w:p>
        </w:tc>
      </w:tr>
      <w:tr w14:paraId="1B8655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6E6713EF">
            <w:pPr>
              <w:pStyle w:val="27"/>
              <w:textAlignment w:val="center"/>
              <w:rPr>
                <w:rFonts w:ascii="Times New Roman" w:hAnsi="Times New Roman"/>
                <w:highlight w:val="none"/>
              </w:rPr>
            </w:pPr>
          </w:p>
        </w:tc>
        <w:tc>
          <w:tcPr>
            <w:tcW w:w="948" w:type="pct"/>
            <w:vMerge w:val="continue"/>
            <w:noWrap w:val="0"/>
            <w:vAlign w:val="center"/>
          </w:tcPr>
          <w:p w14:paraId="127464BB">
            <w:pPr>
              <w:pStyle w:val="27"/>
              <w:textAlignment w:val="center"/>
              <w:rPr>
                <w:rFonts w:ascii="Times New Roman" w:hAnsi="Times New Roman"/>
                <w:highlight w:val="none"/>
              </w:rPr>
            </w:pPr>
          </w:p>
        </w:tc>
        <w:tc>
          <w:tcPr>
            <w:tcW w:w="634" w:type="pct"/>
            <w:vMerge w:val="continue"/>
            <w:noWrap w:val="0"/>
            <w:vAlign w:val="center"/>
          </w:tcPr>
          <w:p w14:paraId="3D87F5A5">
            <w:pPr>
              <w:pStyle w:val="27"/>
              <w:textAlignment w:val="center"/>
              <w:rPr>
                <w:rFonts w:ascii="Times New Roman" w:hAnsi="Times New Roman"/>
                <w:highlight w:val="none"/>
              </w:rPr>
            </w:pPr>
          </w:p>
        </w:tc>
        <w:tc>
          <w:tcPr>
            <w:tcW w:w="546" w:type="pct"/>
            <w:vMerge w:val="continue"/>
            <w:noWrap w:val="0"/>
            <w:vAlign w:val="center"/>
          </w:tcPr>
          <w:p w14:paraId="6509C416">
            <w:pPr>
              <w:pStyle w:val="27"/>
              <w:textAlignment w:val="center"/>
              <w:rPr>
                <w:rFonts w:ascii="Times New Roman" w:hAnsi="Times New Roman"/>
                <w:highlight w:val="none"/>
              </w:rPr>
            </w:pPr>
          </w:p>
        </w:tc>
        <w:tc>
          <w:tcPr>
            <w:tcW w:w="519" w:type="pct"/>
            <w:vMerge w:val="continue"/>
            <w:noWrap w:val="0"/>
            <w:vAlign w:val="center"/>
          </w:tcPr>
          <w:p w14:paraId="16251D54">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08AEB5FD">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0.788（单独使用58MW锅炉）</w:t>
            </w:r>
          </w:p>
        </w:tc>
        <w:tc>
          <w:tcPr>
            <w:tcW w:w="813" w:type="pct"/>
            <w:noWrap w:val="0"/>
            <w:vAlign w:val="center"/>
          </w:tcPr>
          <w:p w14:paraId="019F7D96">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9.746</w:t>
            </w:r>
          </w:p>
        </w:tc>
      </w:tr>
      <w:tr w14:paraId="19C43F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5D0AA78B">
            <w:pPr>
              <w:pStyle w:val="27"/>
              <w:textAlignment w:val="center"/>
              <w:rPr>
                <w:rFonts w:ascii="Times New Roman" w:hAnsi="Times New Roman"/>
                <w:highlight w:val="none"/>
              </w:rPr>
            </w:pPr>
          </w:p>
        </w:tc>
        <w:tc>
          <w:tcPr>
            <w:tcW w:w="948" w:type="pct"/>
            <w:vMerge w:val="continue"/>
            <w:noWrap w:val="0"/>
            <w:vAlign w:val="center"/>
          </w:tcPr>
          <w:p w14:paraId="064CEE58">
            <w:pPr>
              <w:pStyle w:val="27"/>
              <w:textAlignment w:val="center"/>
              <w:rPr>
                <w:rFonts w:ascii="Times New Roman" w:hAnsi="Times New Roman"/>
                <w:highlight w:val="none"/>
              </w:rPr>
            </w:pPr>
          </w:p>
        </w:tc>
        <w:tc>
          <w:tcPr>
            <w:tcW w:w="634" w:type="pct"/>
            <w:vMerge w:val="continue"/>
            <w:noWrap w:val="0"/>
            <w:vAlign w:val="center"/>
          </w:tcPr>
          <w:p w14:paraId="77CEE2E6">
            <w:pPr>
              <w:pStyle w:val="27"/>
              <w:textAlignment w:val="center"/>
              <w:rPr>
                <w:rFonts w:ascii="Times New Roman" w:hAnsi="Times New Roman"/>
                <w:highlight w:val="none"/>
              </w:rPr>
            </w:pPr>
          </w:p>
        </w:tc>
        <w:tc>
          <w:tcPr>
            <w:tcW w:w="546" w:type="pct"/>
            <w:vMerge w:val="restart"/>
            <w:noWrap w:val="0"/>
            <w:vAlign w:val="center"/>
          </w:tcPr>
          <w:p w14:paraId="22B87EF5">
            <w:pPr>
              <w:pStyle w:val="27"/>
              <w:textAlignment w:val="center"/>
              <w:rPr>
                <w:rFonts w:ascii="Times New Roman" w:hAnsi="Times New Roman"/>
                <w:highlight w:val="none"/>
              </w:rPr>
            </w:pPr>
            <w:r>
              <w:rPr>
                <w:rFonts w:ascii="Times New Roman" w:hAnsi="Times New Roman"/>
                <w:highlight w:val="none"/>
              </w:rPr>
              <w:t>NO</w:t>
            </w:r>
            <w:r>
              <w:rPr>
                <w:rFonts w:ascii="Times New Roman" w:hAnsi="Times New Roman"/>
                <w:highlight w:val="none"/>
                <w:vertAlign w:val="subscript"/>
              </w:rPr>
              <w:t>x</w:t>
            </w:r>
          </w:p>
        </w:tc>
        <w:tc>
          <w:tcPr>
            <w:tcW w:w="519" w:type="pct"/>
            <w:vMerge w:val="restart"/>
            <w:noWrap w:val="0"/>
            <w:vAlign w:val="center"/>
          </w:tcPr>
          <w:p w14:paraId="3ABA77D7">
            <w:pPr>
              <w:spacing w:line="240" w:lineRule="auto"/>
              <w:ind w:firstLine="0" w:firstLineChars="0"/>
              <w:jc w:val="center"/>
              <w:textAlignment w:val="center"/>
              <w:rPr>
                <w:rFonts w:hint="default" w:ascii="Times New Roman" w:hAnsi="Times New Roman" w:eastAsia="宋体"/>
                <w:highlight w:val="none"/>
                <w:lang w:val="en-US" w:eastAsia="zh-CN"/>
              </w:rPr>
            </w:pPr>
            <w:r>
              <w:rPr>
                <w:rFonts w:hint="eastAsia" w:ascii="Times New Roman" w:hAnsi="Times New Roman"/>
                <w:sz w:val="21"/>
                <w:highlight w:val="none"/>
                <w:lang w:val="en-US" w:eastAsia="zh-CN"/>
              </w:rPr>
              <w:t>99</w:t>
            </w:r>
          </w:p>
        </w:tc>
        <w:tc>
          <w:tcPr>
            <w:tcW w:w="1051" w:type="pct"/>
            <w:noWrap w:val="0"/>
            <w:vAlign w:val="center"/>
          </w:tcPr>
          <w:p w14:paraId="66CECC63">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2.4（单独使用116MW锅炉）</w:t>
            </w:r>
          </w:p>
        </w:tc>
        <w:tc>
          <w:tcPr>
            <w:tcW w:w="813" w:type="pct"/>
            <w:noWrap w:val="0"/>
            <w:vAlign w:val="center"/>
          </w:tcPr>
          <w:p w14:paraId="1CE65AFC">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9.07</w:t>
            </w:r>
          </w:p>
        </w:tc>
      </w:tr>
      <w:tr w14:paraId="2FAACD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05D3FA27">
            <w:pPr>
              <w:pStyle w:val="27"/>
              <w:textAlignment w:val="center"/>
              <w:rPr>
                <w:rFonts w:ascii="Times New Roman" w:hAnsi="Times New Roman"/>
                <w:highlight w:val="none"/>
              </w:rPr>
            </w:pPr>
          </w:p>
        </w:tc>
        <w:tc>
          <w:tcPr>
            <w:tcW w:w="948" w:type="pct"/>
            <w:vMerge w:val="continue"/>
            <w:noWrap w:val="0"/>
            <w:vAlign w:val="center"/>
          </w:tcPr>
          <w:p w14:paraId="20996E0C">
            <w:pPr>
              <w:pStyle w:val="27"/>
              <w:textAlignment w:val="center"/>
              <w:rPr>
                <w:rFonts w:ascii="Times New Roman" w:hAnsi="Times New Roman"/>
                <w:highlight w:val="none"/>
              </w:rPr>
            </w:pPr>
          </w:p>
        </w:tc>
        <w:tc>
          <w:tcPr>
            <w:tcW w:w="634" w:type="pct"/>
            <w:vMerge w:val="continue"/>
            <w:noWrap w:val="0"/>
            <w:vAlign w:val="center"/>
          </w:tcPr>
          <w:p w14:paraId="2B8E170E">
            <w:pPr>
              <w:pStyle w:val="27"/>
              <w:textAlignment w:val="center"/>
              <w:rPr>
                <w:rFonts w:ascii="Times New Roman" w:hAnsi="Times New Roman"/>
                <w:highlight w:val="none"/>
              </w:rPr>
            </w:pPr>
          </w:p>
        </w:tc>
        <w:tc>
          <w:tcPr>
            <w:tcW w:w="546" w:type="pct"/>
            <w:vMerge w:val="continue"/>
            <w:noWrap w:val="0"/>
            <w:vAlign w:val="center"/>
          </w:tcPr>
          <w:p w14:paraId="27563AF2">
            <w:pPr>
              <w:pStyle w:val="27"/>
              <w:textAlignment w:val="center"/>
              <w:rPr>
                <w:rFonts w:ascii="Times New Roman" w:hAnsi="Times New Roman"/>
                <w:highlight w:val="none"/>
              </w:rPr>
            </w:pPr>
          </w:p>
        </w:tc>
        <w:tc>
          <w:tcPr>
            <w:tcW w:w="519" w:type="pct"/>
            <w:vMerge w:val="continue"/>
            <w:noWrap w:val="0"/>
            <w:vAlign w:val="center"/>
          </w:tcPr>
          <w:p w14:paraId="7BEF7E4C">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22C57707">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1.05（使用58MW+35t/h锅炉）</w:t>
            </w:r>
          </w:p>
        </w:tc>
        <w:tc>
          <w:tcPr>
            <w:tcW w:w="813" w:type="pct"/>
            <w:noWrap w:val="0"/>
            <w:vAlign w:val="center"/>
          </w:tcPr>
          <w:p w14:paraId="52F4FAEF">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9.07</w:t>
            </w:r>
          </w:p>
        </w:tc>
      </w:tr>
      <w:tr w14:paraId="6FC707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74464C14">
            <w:pPr>
              <w:pStyle w:val="27"/>
              <w:textAlignment w:val="center"/>
              <w:rPr>
                <w:rFonts w:ascii="Times New Roman" w:hAnsi="Times New Roman"/>
                <w:highlight w:val="none"/>
              </w:rPr>
            </w:pPr>
          </w:p>
        </w:tc>
        <w:tc>
          <w:tcPr>
            <w:tcW w:w="948" w:type="pct"/>
            <w:vMerge w:val="continue"/>
            <w:noWrap w:val="0"/>
            <w:vAlign w:val="center"/>
          </w:tcPr>
          <w:p w14:paraId="6C5E775F">
            <w:pPr>
              <w:pStyle w:val="27"/>
              <w:textAlignment w:val="center"/>
              <w:rPr>
                <w:rFonts w:ascii="Times New Roman" w:hAnsi="Times New Roman"/>
                <w:highlight w:val="none"/>
              </w:rPr>
            </w:pPr>
          </w:p>
        </w:tc>
        <w:tc>
          <w:tcPr>
            <w:tcW w:w="634" w:type="pct"/>
            <w:vMerge w:val="continue"/>
            <w:noWrap w:val="0"/>
            <w:vAlign w:val="center"/>
          </w:tcPr>
          <w:p w14:paraId="6F65772F">
            <w:pPr>
              <w:pStyle w:val="27"/>
              <w:textAlignment w:val="center"/>
              <w:rPr>
                <w:rFonts w:ascii="Times New Roman" w:hAnsi="Times New Roman"/>
                <w:highlight w:val="none"/>
              </w:rPr>
            </w:pPr>
          </w:p>
        </w:tc>
        <w:tc>
          <w:tcPr>
            <w:tcW w:w="546" w:type="pct"/>
            <w:vMerge w:val="continue"/>
            <w:noWrap w:val="0"/>
            <w:vAlign w:val="center"/>
          </w:tcPr>
          <w:p w14:paraId="7D6366A4">
            <w:pPr>
              <w:pStyle w:val="27"/>
              <w:textAlignment w:val="center"/>
              <w:rPr>
                <w:rFonts w:ascii="Times New Roman" w:hAnsi="Times New Roman"/>
                <w:highlight w:val="none"/>
              </w:rPr>
            </w:pPr>
          </w:p>
        </w:tc>
        <w:tc>
          <w:tcPr>
            <w:tcW w:w="519" w:type="pct"/>
            <w:vMerge w:val="continue"/>
            <w:noWrap w:val="0"/>
            <w:vAlign w:val="center"/>
          </w:tcPr>
          <w:p w14:paraId="4E1EB7F0">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15A95B30">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2.71（使用116MW+35t/h锅炉）</w:t>
            </w:r>
          </w:p>
        </w:tc>
        <w:tc>
          <w:tcPr>
            <w:tcW w:w="813" w:type="pct"/>
            <w:noWrap w:val="0"/>
            <w:vAlign w:val="center"/>
          </w:tcPr>
          <w:p w14:paraId="601756BC">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9.07</w:t>
            </w:r>
          </w:p>
        </w:tc>
      </w:tr>
      <w:tr w14:paraId="5D1B94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2FCEF556">
            <w:pPr>
              <w:pStyle w:val="27"/>
              <w:textAlignment w:val="center"/>
              <w:rPr>
                <w:rFonts w:ascii="Times New Roman" w:hAnsi="Times New Roman"/>
                <w:highlight w:val="none"/>
              </w:rPr>
            </w:pPr>
          </w:p>
        </w:tc>
        <w:tc>
          <w:tcPr>
            <w:tcW w:w="948" w:type="pct"/>
            <w:vMerge w:val="continue"/>
            <w:noWrap w:val="0"/>
            <w:vAlign w:val="center"/>
          </w:tcPr>
          <w:p w14:paraId="5AB94E31">
            <w:pPr>
              <w:pStyle w:val="27"/>
              <w:textAlignment w:val="center"/>
              <w:rPr>
                <w:rFonts w:ascii="Times New Roman" w:hAnsi="Times New Roman"/>
                <w:highlight w:val="none"/>
              </w:rPr>
            </w:pPr>
          </w:p>
        </w:tc>
        <w:tc>
          <w:tcPr>
            <w:tcW w:w="634" w:type="pct"/>
            <w:vMerge w:val="continue"/>
            <w:noWrap w:val="0"/>
            <w:vAlign w:val="center"/>
          </w:tcPr>
          <w:p w14:paraId="5BE53A8E">
            <w:pPr>
              <w:pStyle w:val="27"/>
              <w:textAlignment w:val="center"/>
              <w:rPr>
                <w:rFonts w:ascii="Times New Roman" w:hAnsi="Times New Roman"/>
                <w:highlight w:val="none"/>
              </w:rPr>
            </w:pPr>
          </w:p>
        </w:tc>
        <w:tc>
          <w:tcPr>
            <w:tcW w:w="546" w:type="pct"/>
            <w:vMerge w:val="continue"/>
            <w:noWrap w:val="0"/>
            <w:vAlign w:val="center"/>
          </w:tcPr>
          <w:p w14:paraId="098C144E">
            <w:pPr>
              <w:pStyle w:val="27"/>
              <w:textAlignment w:val="center"/>
              <w:rPr>
                <w:rFonts w:ascii="Times New Roman" w:hAnsi="Times New Roman"/>
                <w:highlight w:val="none"/>
              </w:rPr>
            </w:pPr>
          </w:p>
        </w:tc>
        <w:tc>
          <w:tcPr>
            <w:tcW w:w="519" w:type="pct"/>
            <w:vMerge w:val="continue"/>
            <w:noWrap w:val="0"/>
            <w:vAlign w:val="center"/>
          </w:tcPr>
          <w:p w14:paraId="423C4254">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2E49BCF9">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0.31（单独使用58MW锅炉）</w:t>
            </w:r>
          </w:p>
        </w:tc>
        <w:tc>
          <w:tcPr>
            <w:tcW w:w="813" w:type="pct"/>
            <w:noWrap w:val="0"/>
            <w:vAlign w:val="center"/>
          </w:tcPr>
          <w:p w14:paraId="5F1992C5">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9.07</w:t>
            </w:r>
          </w:p>
        </w:tc>
      </w:tr>
      <w:tr w14:paraId="14E549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restart"/>
            <w:noWrap w:val="0"/>
            <w:vAlign w:val="center"/>
          </w:tcPr>
          <w:p w14:paraId="652A5006">
            <w:pPr>
              <w:pStyle w:val="27"/>
              <w:textAlignment w:val="center"/>
              <w:rPr>
                <w:rFonts w:ascii="Times New Roman" w:hAnsi="Times New Roman"/>
                <w:highlight w:val="none"/>
              </w:rPr>
            </w:pPr>
            <w:r>
              <w:rPr>
                <w:rFonts w:ascii="Times New Roman" w:hAnsi="Times New Roman"/>
                <w:highlight w:val="none"/>
              </w:rPr>
              <w:t>非正常工况</w:t>
            </w:r>
          </w:p>
        </w:tc>
        <w:tc>
          <w:tcPr>
            <w:tcW w:w="948" w:type="pct"/>
            <w:vMerge w:val="restart"/>
            <w:noWrap w:val="0"/>
            <w:vAlign w:val="center"/>
          </w:tcPr>
          <w:p w14:paraId="672C38CD">
            <w:pPr>
              <w:pStyle w:val="27"/>
              <w:textAlignment w:val="center"/>
              <w:rPr>
                <w:rFonts w:ascii="Times New Roman" w:hAnsi="Times New Roman"/>
                <w:highlight w:val="none"/>
              </w:rPr>
            </w:pPr>
            <w:r>
              <w:rPr>
                <w:rFonts w:ascii="Times New Roman" w:hAnsi="Times New Roman"/>
                <w:kern w:val="0"/>
                <w:highlight w:val="none"/>
              </w:rPr>
              <w:t>污染防治措施去除效率未达到设计值</w:t>
            </w:r>
          </w:p>
        </w:tc>
        <w:tc>
          <w:tcPr>
            <w:tcW w:w="634" w:type="pct"/>
            <w:vMerge w:val="restart"/>
            <w:noWrap w:val="0"/>
            <w:vAlign w:val="center"/>
          </w:tcPr>
          <w:p w14:paraId="19DFD02D">
            <w:pPr>
              <w:pStyle w:val="27"/>
              <w:textAlignment w:val="center"/>
              <w:rPr>
                <w:rFonts w:ascii="Times New Roman" w:hAnsi="Times New Roman"/>
                <w:highlight w:val="none"/>
              </w:rPr>
            </w:pPr>
            <w:r>
              <w:rPr>
                <w:rFonts w:ascii="Times New Roman" w:hAnsi="Times New Roman"/>
                <w:highlight w:val="none"/>
              </w:rPr>
              <w:t>24</w:t>
            </w:r>
          </w:p>
        </w:tc>
        <w:tc>
          <w:tcPr>
            <w:tcW w:w="546" w:type="pct"/>
            <w:vMerge w:val="restart"/>
            <w:noWrap w:val="0"/>
            <w:vAlign w:val="center"/>
          </w:tcPr>
          <w:p w14:paraId="3EEEDB5F">
            <w:pPr>
              <w:pStyle w:val="27"/>
              <w:textAlignment w:val="center"/>
              <w:rPr>
                <w:rFonts w:ascii="Times New Roman" w:hAnsi="Times New Roman"/>
                <w:highlight w:val="none"/>
              </w:rPr>
            </w:pPr>
            <w:r>
              <w:rPr>
                <w:rFonts w:ascii="Times New Roman" w:hAnsi="Times New Roman"/>
                <w:highlight w:val="none"/>
              </w:rPr>
              <w:t>颗粒物</w:t>
            </w:r>
          </w:p>
        </w:tc>
        <w:tc>
          <w:tcPr>
            <w:tcW w:w="519" w:type="pct"/>
            <w:vMerge w:val="restart"/>
            <w:noWrap w:val="0"/>
            <w:vAlign w:val="center"/>
          </w:tcPr>
          <w:p w14:paraId="2B1041F6">
            <w:pPr>
              <w:spacing w:line="240" w:lineRule="auto"/>
              <w:ind w:firstLine="0" w:firstLineChars="0"/>
              <w:jc w:val="center"/>
              <w:textAlignment w:val="center"/>
              <w:rPr>
                <w:rFonts w:hint="eastAsia" w:ascii="Times New Roman" w:hAnsi="Times New Roman" w:eastAsia="宋体"/>
                <w:highlight w:val="none"/>
                <w:lang w:eastAsia="zh-CN"/>
              </w:rPr>
            </w:pPr>
            <w:r>
              <w:rPr>
                <w:rFonts w:ascii="Times New Roman" w:hAnsi="Times New Roman"/>
                <w:sz w:val="21"/>
                <w:highlight w:val="none"/>
              </w:rPr>
              <w:t>99.</w:t>
            </w:r>
            <w:r>
              <w:rPr>
                <w:rFonts w:hint="eastAsia" w:ascii="Times New Roman" w:hAnsi="Times New Roman"/>
                <w:sz w:val="21"/>
                <w:highlight w:val="none"/>
                <w:lang w:val="en-US" w:eastAsia="zh-CN"/>
              </w:rPr>
              <w:t>8</w:t>
            </w:r>
          </w:p>
        </w:tc>
        <w:tc>
          <w:tcPr>
            <w:tcW w:w="1051" w:type="pct"/>
            <w:noWrap w:val="0"/>
            <w:vAlign w:val="center"/>
          </w:tcPr>
          <w:p w14:paraId="0858AB00">
            <w:pPr>
              <w:spacing w:line="240" w:lineRule="auto"/>
              <w:ind w:firstLine="0" w:firstLineChars="0"/>
              <w:jc w:val="center"/>
              <w:textAlignment w:val="center"/>
              <w:rPr>
                <w:rFonts w:hint="default" w:ascii="Times New Roman" w:hAnsi="Times New Roman" w:eastAsia="宋体"/>
                <w:highlight w:val="none"/>
                <w:lang w:val="en-US" w:eastAsia="zh-CN"/>
              </w:rPr>
            </w:pPr>
            <w:r>
              <w:rPr>
                <w:rFonts w:hint="eastAsia" w:ascii="Times New Roman" w:hAnsi="Times New Roman"/>
                <w:sz w:val="21"/>
                <w:highlight w:val="none"/>
                <w:lang w:val="en-US" w:eastAsia="zh-CN"/>
              </w:rPr>
              <w:t>19.03（单独使用116MW锅炉）</w:t>
            </w:r>
          </w:p>
        </w:tc>
        <w:tc>
          <w:tcPr>
            <w:tcW w:w="813" w:type="pct"/>
            <w:noWrap w:val="0"/>
            <w:vAlign w:val="center"/>
          </w:tcPr>
          <w:p w14:paraId="3AD40E26">
            <w:pPr>
              <w:spacing w:line="240" w:lineRule="auto"/>
              <w:ind w:firstLine="0" w:firstLineChars="0"/>
              <w:jc w:val="center"/>
              <w:textAlignment w:val="center"/>
              <w:rPr>
                <w:rFonts w:hint="default" w:ascii="Times New Roman" w:hAnsi="Times New Roman" w:eastAsia="宋体"/>
                <w:highlight w:val="none"/>
                <w:lang w:val="en-US" w:eastAsia="zh-CN"/>
              </w:rPr>
            </w:pPr>
            <w:r>
              <w:rPr>
                <w:rFonts w:hint="eastAsia" w:ascii="Times New Roman" w:hAnsi="Times New Roman"/>
                <w:sz w:val="21"/>
                <w:highlight w:val="none"/>
                <w:lang w:val="en-US" w:eastAsia="zh-CN"/>
              </w:rPr>
              <w:t>16.09</w:t>
            </w:r>
          </w:p>
        </w:tc>
      </w:tr>
      <w:tr w14:paraId="5C53AD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77FE4B0E">
            <w:pPr>
              <w:pStyle w:val="27"/>
              <w:textAlignment w:val="center"/>
              <w:rPr>
                <w:rFonts w:ascii="Times New Roman" w:hAnsi="Times New Roman"/>
                <w:highlight w:val="none"/>
              </w:rPr>
            </w:pPr>
          </w:p>
        </w:tc>
        <w:tc>
          <w:tcPr>
            <w:tcW w:w="948" w:type="pct"/>
            <w:vMerge w:val="continue"/>
            <w:noWrap w:val="0"/>
            <w:vAlign w:val="center"/>
          </w:tcPr>
          <w:p w14:paraId="6A766069">
            <w:pPr>
              <w:pStyle w:val="27"/>
              <w:textAlignment w:val="center"/>
              <w:rPr>
                <w:rFonts w:ascii="Times New Roman" w:hAnsi="Times New Roman"/>
                <w:kern w:val="0"/>
                <w:highlight w:val="none"/>
              </w:rPr>
            </w:pPr>
          </w:p>
        </w:tc>
        <w:tc>
          <w:tcPr>
            <w:tcW w:w="634" w:type="pct"/>
            <w:vMerge w:val="continue"/>
            <w:noWrap w:val="0"/>
            <w:vAlign w:val="center"/>
          </w:tcPr>
          <w:p w14:paraId="6A0B572B">
            <w:pPr>
              <w:pStyle w:val="27"/>
              <w:textAlignment w:val="center"/>
              <w:rPr>
                <w:rFonts w:ascii="Times New Roman" w:hAnsi="Times New Roman"/>
                <w:highlight w:val="none"/>
              </w:rPr>
            </w:pPr>
          </w:p>
        </w:tc>
        <w:tc>
          <w:tcPr>
            <w:tcW w:w="546" w:type="pct"/>
            <w:vMerge w:val="continue"/>
            <w:noWrap w:val="0"/>
            <w:vAlign w:val="center"/>
          </w:tcPr>
          <w:p w14:paraId="27E46207">
            <w:pPr>
              <w:pStyle w:val="27"/>
              <w:textAlignment w:val="center"/>
              <w:rPr>
                <w:rFonts w:ascii="Times New Roman" w:hAnsi="Times New Roman"/>
                <w:highlight w:val="none"/>
              </w:rPr>
            </w:pPr>
          </w:p>
        </w:tc>
        <w:tc>
          <w:tcPr>
            <w:tcW w:w="519" w:type="pct"/>
            <w:vMerge w:val="continue"/>
            <w:noWrap w:val="0"/>
            <w:vAlign w:val="center"/>
          </w:tcPr>
          <w:p w14:paraId="3C2D0091">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25DE5C99">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18.54（使用58MW+35t/h锅炉）</w:t>
            </w:r>
          </w:p>
        </w:tc>
        <w:tc>
          <w:tcPr>
            <w:tcW w:w="813" w:type="pct"/>
            <w:noWrap w:val="0"/>
            <w:vAlign w:val="center"/>
          </w:tcPr>
          <w:p w14:paraId="50A8218A">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16.09</w:t>
            </w:r>
          </w:p>
        </w:tc>
      </w:tr>
      <w:tr w14:paraId="0CB6BA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303E79AB">
            <w:pPr>
              <w:pStyle w:val="27"/>
              <w:textAlignment w:val="center"/>
              <w:rPr>
                <w:rFonts w:ascii="Times New Roman" w:hAnsi="Times New Roman"/>
                <w:highlight w:val="none"/>
              </w:rPr>
            </w:pPr>
          </w:p>
        </w:tc>
        <w:tc>
          <w:tcPr>
            <w:tcW w:w="948" w:type="pct"/>
            <w:vMerge w:val="continue"/>
            <w:noWrap w:val="0"/>
            <w:vAlign w:val="center"/>
          </w:tcPr>
          <w:p w14:paraId="680543D8">
            <w:pPr>
              <w:pStyle w:val="27"/>
              <w:textAlignment w:val="center"/>
              <w:rPr>
                <w:rFonts w:ascii="Times New Roman" w:hAnsi="Times New Roman"/>
                <w:kern w:val="0"/>
                <w:highlight w:val="none"/>
              </w:rPr>
            </w:pPr>
          </w:p>
        </w:tc>
        <w:tc>
          <w:tcPr>
            <w:tcW w:w="634" w:type="pct"/>
            <w:vMerge w:val="continue"/>
            <w:noWrap w:val="0"/>
            <w:vAlign w:val="center"/>
          </w:tcPr>
          <w:p w14:paraId="2213F8A1">
            <w:pPr>
              <w:pStyle w:val="27"/>
              <w:textAlignment w:val="center"/>
              <w:rPr>
                <w:rFonts w:ascii="Times New Roman" w:hAnsi="Times New Roman"/>
                <w:highlight w:val="none"/>
              </w:rPr>
            </w:pPr>
          </w:p>
        </w:tc>
        <w:tc>
          <w:tcPr>
            <w:tcW w:w="546" w:type="pct"/>
            <w:vMerge w:val="continue"/>
            <w:noWrap w:val="0"/>
            <w:vAlign w:val="center"/>
          </w:tcPr>
          <w:p w14:paraId="720276FE">
            <w:pPr>
              <w:pStyle w:val="27"/>
              <w:textAlignment w:val="center"/>
              <w:rPr>
                <w:rFonts w:ascii="Times New Roman" w:hAnsi="Times New Roman"/>
                <w:highlight w:val="none"/>
              </w:rPr>
            </w:pPr>
          </w:p>
        </w:tc>
        <w:tc>
          <w:tcPr>
            <w:tcW w:w="519" w:type="pct"/>
            <w:vMerge w:val="continue"/>
            <w:noWrap w:val="0"/>
            <w:vAlign w:val="center"/>
          </w:tcPr>
          <w:p w14:paraId="747D0AFB">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0FF199F0">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19.13（使用116MW+35t/h锅炉）</w:t>
            </w:r>
          </w:p>
        </w:tc>
        <w:tc>
          <w:tcPr>
            <w:tcW w:w="813" w:type="pct"/>
            <w:noWrap w:val="0"/>
            <w:vAlign w:val="center"/>
          </w:tcPr>
          <w:p w14:paraId="7CB3ED0F">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16.09</w:t>
            </w:r>
          </w:p>
        </w:tc>
      </w:tr>
      <w:tr w14:paraId="00B3B0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31B644AE">
            <w:pPr>
              <w:pStyle w:val="27"/>
              <w:textAlignment w:val="center"/>
              <w:rPr>
                <w:rFonts w:ascii="Times New Roman" w:hAnsi="Times New Roman"/>
                <w:highlight w:val="none"/>
              </w:rPr>
            </w:pPr>
          </w:p>
        </w:tc>
        <w:tc>
          <w:tcPr>
            <w:tcW w:w="948" w:type="pct"/>
            <w:vMerge w:val="continue"/>
            <w:noWrap w:val="0"/>
            <w:vAlign w:val="center"/>
          </w:tcPr>
          <w:p w14:paraId="5CFDB5A1">
            <w:pPr>
              <w:pStyle w:val="27"/>
              <w:textAlignment w:val="center"/>
              <w:rPr>
                <w:rFonts w:ascii="Times New Roman" w:hAnsi="Times New Roman"/>
                <w:kern w:val="0"/>
                <w:highlight w:val="none"/>
              </w:rPr>
            </w:pPr>
          </w:p>
        </w:tc>
        <w:tc>
          <w:tcPr>
            <w:tcW w:w="634" w:type="pct"/>
            <w:vMerge w:val="continue"/>
            <w:noWrap w:val="0"/>
            <w:vAlign w:val="center"/>
          </w:tcPr>
          <w:p w14:paraId="39C5088B">
            <w:pPr>
              <w:pStyle w:val="27"/>
              <w:textAlignment w:val="center"/>
              <w:rPr>
                <w:rFonts w:ascii="Times New Roman" w:hAnsi="Times New Roman"/>
                <w:highlight w:val="none"/>
              </w:rPr>
            </w:pPr>
          </w:p>
        </w:tc>
        <w:tc>
          <w:tcPr>
            <w:tcW w:w="546" w:type="pct"/>
            <w:vMerge w:val="continue"/>
            <w:noWrap w:val="0"/>
            <w:vAlign w:val="center"/>
          </w:tcPr>
          <w:p w14:paraId="756061EC">
            <w:pPr>
              <w:pStyle w:val="27"/>
              <w:textAlignment w:val="center"/>
              <w:rPr>
                <w:rFonts w:ascii="Times New Roman" w:hAnsi="Times New Roman"/>
                <w:highlight w:val="none"/>
              </w:rPr>
            </w:pPr>
          </w:p>
        </w:tc>
        <w:tc>
          <w:tcPr>
            <w:tcW w:w="519" w:type="pct"/>
            <w:vMerge w:val="continue"/>
            <w:noWrap w:val="0"/>
            <w:vAlign w:val="center"/>
          </w:tcPr>
          <w:p w14:paraId="1422CD86">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38250133">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18.44（单独使用58MW锅炉）</w:t>
            </w:r>
          </w:p>
        </w:tc>
        <w:tc>
          <w:tcPr>
            <w:tcW w:w="813" w:type="pct"/>
            <w:noWrap w:val="0"/>
            <w:vAlign w:val="center"/>
          </w:tcPr>
          <w:p w14:paraId="3AC20671">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16.09</w:t>
            </w:r>
          </w:p>
        </w:tc>
      </w:tr>
      <w:tr w14:paraId="4671C86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51F49306">
            <w:pPr>
              <w:pStyle w:val="27"/>
              <w:textAlignment w:val="center"/>
              <w:rPr>
                <w:rFonts w:ascii="Times New Roman" w:hAnsi="Times New Roman"/>
                <w:highlight w:val="none"/>
              </w:rPr>
            </w:pPr>
          </w:p>
        </w:tc>
        <w:tc>
          <w:tcPr>
            <w:tcW w:w="948" w:type="pct"/>
            <w:vMerge w:val="continue"/>
            <w:noWrap w:val="0"/>
            <w:vAlign w:val="center"/>
          </w:tcPr>
          <w:p w14:paraId="268FDDB8">
            <w:pPr>
              <w:pStyle w:val="27"/>
              <w:textAlignment w:val="center"/>
              <w:rPr>
                <w:rFonts w:ascii="Times New Roman" w:hAnsi="Times New Roman"/>
                <w:highlight w:val="none"/>
              </w:rPr>
            </w:pPr>
          </w:p>
        </w:tc>
        <w:tc>
          <w:tcPr>
            <w:tcW w:w="634" w:type="pct"/>
            <w:vMerge w:val="continue"/>
            <w:noWrap w:val="0"/>
            <w:vAlign w:val="center"/>
          </w:tcPr>
          <w:p w14:paraId="533F88B7">
            <w:pPr>
              <w:pStyle w:val="27"/>
              <w:textAlignment w:val="center"/>
              <w:rPr>
                <w:rFonts w:ascii="Times New Roman" w:hAnsi="Times New Roman"/>
                <w:highlight w:val="none"/>
              </w:rPr>
            </w:pPr>
          </w:p>
        </w:tc>
        <w:tc>
          <w:tcPr>
            <w:tcW w:w="546" w:type="pct"/>
            <w:vMerge w:val="restart"/>
            <w:noWrap w:val="0"/>
            <w:vAlign w:val="center"/>
          </w:tcPr>
          <w:p w14:paraId="7B324ACA">
            <w:pPr>
              <w:pStyle w:val="27"/>
              <w:textAlignment w:val="center"/>
              <w:rPr>
                <w:rFonts w:ascii="Times New Roman" w:hAnsi="Times New Roman"/>
                <w:highlight w:val="none"/>
              </w:rPr>
            </w:pPr>
            <w:r>
              <w:rPr>
                <w:rFonts w:ascii="Times New Roman" w:hAnsi="Times New Roman"/>
                <w:highlight w:val="none"/>
              </w:rPr>
              <w:t>SO</w:t>
            </w:r>
            <w:r>
              <w:rPr>
                <w:rFonts w:ascii="Times New Roman" w:hAnsi="Times New Roman"/>
                <w:highlight w:val="none"/>
                <w:vertAlign w:val="subscript"/>
              </w:rPr>
              <w:t>2</w:t>
            </w:r>
          </w:p>
        </w:tc>
        <w:tc>
          <w:tcPr>
            <w:tcW w:w="519" w:type="pct"/>
            <w:vMerge w:val="restart"/>
            <w:noWrap w:val="0"/>
            <w:vAlign w:val="center"/>
          </w:tcPr>
          <w:p w14:paraId="3B8320DC">
            <w:pPr>
              <w:spacing w:line="240" w:lineRule="auto"/>
              <w:ind w:firstLine="0" w:firstLineChars="0"/>
              <w:jc w:val="center"/>
              <w:textAlignment w:val="center"/>
              <w:rPr>
                <w:rFonts w:ascii="Times New Roman" w:hAnsi="Times New Roman"/>
                <w:highlight w:val="none"/>
              </w:rPr>
            </w:pPr>
            <w:r>
              <w:rPr>
                <w:rFonts w:ascii="Times New Roman" w:hAnsi="Times New Roman"/>
                <w:sz w:val="21"/>
                <w:highlight w:val="none"/>
              </w:rPr>
              <w:t>50</w:t>
            </w:r>
          </w:p>
        </w:tc>
        <w:tc>
          <w:tcPr>
            <w:tcW w:w="1051" w:type="pct"/>
            <w:noWrap w:val="0"/>
            <w:vAlign w:val="center"/>
          </w:tcPr>
          <w:p w14:paraId="6715A283">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43（单独使用116MW锅炉）</w:t>
            </w:r>
          </w:p>
        </w:tc>
        <w:tc>
          <w:tcPr>
            <w:tcW w:w="813" w:type="pct"/>
            <w:noWrap w:val="0"/>
            <w:vAlign w:val="center"/>
          </w:tcPr>
          <w:p w14:paraId="0938F25B">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162.44</w:t>
            </w:r>
          </w:p>
        </w:tc>
      </w:tr>
      <w:tr w14:paraId="250D33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4D0884BE">
            <w:pPr>
              <w:pStyle w:val="27"/>
              <w:textAlignment w:val="center"/>
              <w:rPr>
                <w:rFonts w:ascii="Times New Roman" w:hAnsi="Times New Roman"/>
                <w:highlight w:val="none"/>
              </w:rPr>
            </w:pPr>
          </w:p>
        </w:tc>
        <w:tc>
          <w:tcPr>
            <w:tcW w:w="948" w:type="pct"/>
            <w:vMerge w:val="continue"/>
            <w:noWrap w:val="0"/>
            <w:vAlign w:val="center"/>
          </w:tcPr>
          <w:p w14:paraId="5A30A103">
            <w:pPr>
              <w:pStyle w:val="27"/>
              <w:textAlignment w:val="center"/>
              <w:rPr>
                <w:rFonts w:ascii="Times New Roman" w:hAnsi="Times New Roman"/>
                <w:highlight w:val="none"/>
              </w:rPr>
            </w:pPr>
          </w:p>
        </w:tc>
        <w:tc>
          <w:tcPr>
            <w:tcW w:w="634" w:type="pct"/>
            <w:vMerge w:val="continue"/>
            <w:noWrap w:val="0"/>
            <w:vAlign w:val="center"/>
          </w:tcPr>
          <w:p w14:paraId="1B99D8BD">
            <w:pPr>
              <w:pStyle w:val="27"/>
              <w:textAlignment w:val="center"/>
              <w:rPr>
                <w:rFonts w:ascii="Times New Roman" w:hAnsi="Times New Roman"/>
                <w:highlight w:val="none"/>
              </w:rPr>
            </w:pPr>
          </w:p>
        </w:tc>
        <w:tc>
          <w:tcPr>
            <w:tcW w:w="546" w:type="pct"/>
            <w:vMerge w:val="continue"/>
            <w:noWrap w:val="0"/>
            <w:vAlign w:val="center"/>
          </w:tcPr>
          <w:p w14:paraId="3FC41ECB">
            <w:pPr>
              <w:pStyle w:val="27"/>
              <w:textAlignment w:val="center"/>
              <w:rPr>
                <w:rFonts w:ascii="Times New Roman" w:hAnsi="Times New Roman"/>
                <w:highlight w:val="none"/>
              </w:rPr>
            </w:pPr>
          </w:p>
        </w:tc>
        <w:tc>
          <w:tcPr>
            <w:tcW w:w="519" w:type="pct"/>
            <w:vMerge w:val="continue"/>
            <w:noWrap w:val="0"/>
            <w:vAlign w:val="center"/>
          </w:tcPr>
          <w:p w14:paraId="59250464">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59E4C17E">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18.5（使用58MW+35t/h锅炉）</w:t>
            </w:r>
          </w:p>
        </w:tc>
        <w:tc>
          <w:tcPr>
            <w:tcW w:w="813" w:type="pct"/>
            <w:noWrap w:val="0"/>
            <w:vAlign w:val="center"/>
          </w:tcPr>
          <w:p w14:paraId="10E7C15D">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162.44</w:t>
            </w:r>
          </w:p>
        </w:tc>
      </w:tr>
      <w:tr w14:paraId="6C412B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5A4E7D3D">
            <w:pPr>
              <w:pStyle w:val="27"/>
              <w:textAlignment w:val="center"/>
              <w:rPr>
                <w:rFonts w:ascii="Times New Roman" w:hAnsi="Times New Roman"/>
                <w:highlight w:val="none"/>
              </w:rPr>
            </w:pPr>
          </w:p>
        </w:tc>
        <w:tc>
          <w:tcPr>
            <w:tcW w:w="948" w:type="pct"/>
            <w:vMerge w:val="continue"/>
            <w:noWrap w:val="0"/>
            <w:vAlign w:val="center"/>
          </w:tcPr>
          <w:p w14:paraId="631A4E9F">
            <w:pPr>
              <w:pStyle w:val="27"/>
              <w:textAlignment w:val="center"/>
              <w:rPr>
                <w:rFonts w:ascii="Times New Roman" w:hAnsi="Times New Roman"/>
                <w:highlight w:val="none"/>
              </w:rPr>
            </w:pPr>
          </w:p>
        </w:tc>
        <w:tc>
          <w:tcPr>
            <w:tcW w:w="634" w:type="pct"/>
            <w:vMerge w:val="continue"/>
            <w:noWrap w:val="0"/>
            <w:vAlign w:val="center"/>
          </w:tcPr>
          <w:p w14:paraId="7E211685">
            <w:pPr>
              <w:pStyle w:val="27"/>
              <w:textAlignment w:val="center"/>
              <w:rPr>
                <w:rFonts w:ascii="Times New Roman" w:hAnsi="Times New Roman"/>
                <w:highlight w:val="none"/>
              </w:rPr>
            </w:pPr>
          </w:p>
        </w:tc>
        <w:tc>
          <w:tcPr>
            <w:tcW w:w="546" w:type="pct"/>
            <w:vMerge w:val="continue"/>
            <w:noWrap w:val="0"/>
            <w:vAlign w:val="center"/>
          </w:tcPr>
          <w:p w14:paraId="104D3BD3">
            <w:pPr>
              <w:pStyle w:val="27"/>
              <w:textAlignment w:val="center"/>
              <w:rPr>
                <w:rFonts w:ascii="Times New Roman" w:hAnsi="Times New Roman"/>
                <w:highlight w:val="none"/>
              </w:rPr>
            </w:pPr>
          </w:p>
        </w:tc>
        <w:tc>
          <w:tcPr>
            <w:tcW w:w="519" w:type="pct"/>
            <w:vMerge w:val="continue"/>
            <w:noWrap w:val="0"/>
            <w:vAlign w:val="center"/>
          </w:tcPr>
          <w:p w14:paraId="102A5910">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05985677">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48.5（使用116MW+35t/h锅炉）</w:t>
            </w:r>
          </w:p>
        </w:tc>
        <w:tc>
          <w:tcPr>
            <w:tcW w:w="813" w:type="pct"/>
            <w:noWrap w:val="0"/>
            <w:vAlign w:val="center"/>
          </w:tcPr>
          <w:p w14:paraId="4D86210B">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162.44</w:t>
            </w:r>
          </w:p>
        </w:tc>
      </w:tr>
      <w:tr w14:paraId="36F28E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152671AD">
            <w:pPr>
              <w:pStyle w:val="27"/>
              <w:textAlignment w:val="center"/>
              <w:rPr>
                <w:rFonts w:ascii="Times New Roman" w:hAnsi="Times New Roman"/>
                <w:highlight w:val="none"/>
              </w:rPr>
            </w:pPr>
          </w:p>
        </w:tc>
        <w:tc>
          <w:tcPr>
            <w:tcW w:w="948" w:type="pct"/>
            <w:vMerge w:val="continue"/>
            <w:noWrap w:val="0"/>
            <w:vAlign w:val="center"/>
          </w:tcPr>
          <w:p w14:paraId="7B37B3A6">
            <w:pPr>
              <w:pStyle w:val="27"/>
              <w:textAlignment w:val="center"/>
              <w:rPr>
                <w:rFonts w:ascii="Times New Roman" w:hAnsi="Times New Roman"/>
                <w:highlight w:val="none"/>
              </w:rPr>
            </w:pPr>
          </w:p>
        </w:tc>
        <w:tc>
          <w:tcPr>
            <w:tcW w:w="634" w:type="pct"/>
            <w:vMerge w:val="continue"/>
            <w:noWrap w:val="0"/>
            <w:vAlign w:val="center"/>
          </w:tcPr>
          <w:p w14:paraId="3DE663A7">
            <w:pPr>
              <w:pStyle w:val="27"/>
              <w:textAlignment w:val="center"/>
              <w:rPr>
                <w:rFonts w:ascii="Times New Roman" w:hAnsi="Times New Roman"/>
                <w:highlight w:val="none"/>
              </w:rPr>
            </w:pPr>
          </w:p>
        </w:tc>
        <w:tc>
          <w:tcPr>
            <w:tcW w:w="546" w:type="pct"/>
            <w:vMerge w:val="continue"/>
            <w:noWrap w:val="0"/>
            <w:vAlign w:val="center"/>
          </w:tcPr>
          <w:p w14:paraId="04B6747C">
            <w:pPr>
              <w:pStyle w:val="27"/>
              <w:textAlignment w:val="center"/>
              <w:rPr>
                <w:rFonts w:ascii="Times New Roman" w:hAnsi="Times New Roman"/>
                <w:highlight w:val="none"/>
              </w:rPr>
            </w:pPr>
          </w:p>
        </w:tc>
        <w:tc>
          <w:tcPr>
            <w:tcW w:w="519" w:type="pct"/>
            <w:vMerge w:val="continue"/>
            <w:noWrap w:val="0"/>
            <w:vAlign w:val="center"/>
          </w:tcPr>
          <w:p w14:paraId="46223ECD">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73C43DEA">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13（单独使用58MW锅炉）</w:t>
            </w:r>
          </w:p>
        </w:tc>
        <w:tc>
          <w:tcPr>
            <w:tcW w:w="813" w:type="pct"/>
            <w:noWrap w:val="0"/>
            <w:vAlign w:val="center"/>
          </w:tcPr>
          <w:p w14:paraId="2C39B190">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162.44</w:t>
            </w:r>
          </w:p>
        </w:tc>
      </w:tr>
      <w:tr w14:paraId="2D42FC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4B29673A">
            <w:pPr>
              <w:pStyle w:val="27"/>
              <w:textAlignment w:val="center"/>
              <w:rPr>
                <w:rFonts w:ascii="Times New Roman" w:hAnsi="Times New Roman"/>
                <w:highlight w:val="none"/>
              </w:rPr>
            </w:pPr>
          </w:p>
        </w:tc>
        <w:tc>
          <w:tcPr>
            <w:tcW w:w="948" w:type="pct"/>
            <w:vMerge w:val="continue"/>
            <w:noWrap w:val="0"/>
            <w:vAlign w:val="center"/>
          </w:tcPr>
          <w:p w14:paraId="1BEBA036">
            <w:pPr>
              <w:pStyle w:val="27"/>
              <w:textAlignment w:val="center"/>
              <w:rPr>
                <w:rFonts w:ascii="Times New Roman" w:hAnsi="Times New Roman"/>
                <w:highlight w:val="none"/>
              </w:rPr>
            </w:pPr>
          </w:p>
        </w:tc>
        <w:tc>
          <w:tcPr>
            <w:tcW w:w="634" w:type="pct"/>
            <w:vMerge w:val="continue"/>
            <w:noWrap w:val="0"/>
            <w:vAlign w:val="center"/>
          </w:tcPr>
          <w:p w14:paraId="52E3C595">
            <w:pPr>
              <w:pStyle w:val="27"/>
              <w:textAlignment w:val="center"/>
              <w:rPr>
                <w:rFonts w:ascii="Times New Roman" w:hAnsi="Times New Roman"/>
                <w:highlight w:val="none"/>
              </w:rPr>
            </w:pPr>
          </w:p>
        </w:tc>
        <w:tc>
          <w:tcPr>
            <w:tcW w:w="546" w:type="pct"/>
            <w:vMerge w:val="restart"/>
            <w:noWrap w:val="0"/>
            <w:vAlign w:val="center"/>
          </w:tcPr>
          <w:p w14:paraId="2723E32D">
            <w:pPr>
              <w:pStyle w:val="27"/>
              <w:textAlignment w:val="center"/>
              <w:rPr>
                <w:rFonts w:ascii="Times New Roman" w:hAnsi="Times New Roman"/>
                <w:highlight w:val="none"/>
              </w:rPr>
            </w:pPr>
            <w:r>
              <w:rPr>
                <w:rFonts w:ascii="Times New Roman" w:hAnsi="Times New Roman"/>
                <w:highlight w:val="none"/>
              </w:rPr>
              <w:t>NO</w:t>
            </w:r>
            <w:r>
              <w:rPr>
                <w:rFonts w:ascii="Times New Roman" w:hAnsi="Times New Roman"/>
                <w:highlight w:val="none"/>
                <w:vertAlign w:val="subscript"/>
              </w:rPr>
              <w:t>x</w:t>
            </w:r>
          </w:p>
        </w:tc>
        <w:tc>
          <w:tcPr>
            <w:tcW w:w="519" w:type="pct"/>
            <w:vMerge w:val="restart"/>
            <w:noWrap w:val="0"/>
            <w:vAlign w:val="center"/>
          </w:tcPr>
          <w:p w14:paraId="190043FE">
            <w:pPr>
              <w:spacing w:line="240" w:lineRule="auto"/>
              <w:ind w:firstLine="0" w:firstLineChars="0"/>
              <w:jc w:val="center"/>
              <w:textAlignment w:val="center"/>
              <w:rPr>
                <w:rFonts w:ascii="Times New Roman" w:hAnsi="Times New Roman"/>
                <w:highlight w:val="none"/>
              </w:rPr>
            </w:pPr>
            <w:r>
              <w:rPr>
                <w:rFonts w:ascii="Times New Roman" w:hAnsi="Times New Roman"/>
                <w:sz w:val="21"/>
                <w:highlight w:val="none"/>
              </w:rPr>
              <w:t>0</w:t>
            </w:r>
          </w:p>
        </w:tc>
        <w:tc>
          <w:tcPr>
            <w:tcW w:w="1051" w:type="pct"/>
            <w:noWrap w:val="0"/>
            <w:vAlign w:val="center"/>
          </w:tcPr>
          <w:p w14:paraId="18E71F4F">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240（单独使用116MW锅炉）</w:t>
            </w:r>
          </w:p>
        </w:tc>
        <w:tc>
          <w:tcPr>
            <w:tcW w:w="813" w:type="pct"/>
            <w:noWrap w:val="0"/>
            <w:vAlign w:val="center"/>
          </w:tcPr>
          <w:p w14:paraId="7A59B629">
            <w:pPr>
              <w:spacing w:line="240" w:lineRule="auto"/>
              <w:ind w:firstLine="0" w:firstLineChars="0"/>
              <w:jc w:val="center"/>
              <w:textAlignment w:val="center"/>
              <w:rPr>
                <w:rFonts w:hint="default" w:ascii="Times New Roman" w:hAnsi="Times New Roman" w:eastAsia="宋体"/>
                <w:highlight w:val="none"/>
                <w:lang w:val="en-US" w:eastAsia="zh-CN"/>
              </w:rPr>
            </w:pPr>
            <w:r>
              <w:rPr>
                <w:rFonts w:hint="eastAsia" w:ascii="Times New Roman" w:hAnsi="Times New Roman"/>
                <w:sz w:val="21"/>
                <w:highlight w:val="none"/>
                <w:lang w:val="en-US" w:eastAsia="zh-CN"/>
              </w:rPr>
              <w:t>916</w:t>
            </w:r>
          </w:p>
        </w:tc>
      </w:tr>
      <w:tr w14:paraId="4FF07A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0E716EB2">
            <w:pPr>
              <w:pStyle w:val="27"/>
              <w:textAlignment w:val="center"/>
              <w:rPr>
                <w:rFonts w:ascii="Times New Roman" w:hAnsi="Times New Roman"/>
                <w:highlight w:val="none"/>
              </w:rPr>
            </w:pPr>
          </w:p>
        </w:tc>
        <w:tc>
          <w:tcPr>
            <w:tcW w:w="948" w:type="pct"/>
            <w:vMerge w:val="continue"/>
            <w:noWrap w:val="0"/>
            <w:vAlign w:val="center"/>
          </w:tcPr>
          <w:p w14:paraId="49F0B580">
            <w:pPr>
              <w:pStyle w:val="27"/>
              <w:textAlignment w:val="center"/>
              <w:rPr>
                <w:rFonts w:ascii="Times New Roman" w:hAnsi="Times New Roman"/>
                <w:highlight w:val="none"/>
              </w:rPr>
            </w:pPr>
          </w:p>
        </w:tc>
        <w:tc>
          <w:tcPr>
            <w:tcW w:w="634" w:type="pct"/>
            <w:vMerge w:val="continue"/>
            <w:noWrap w:val="0"/>
            <w:vAlign w:val="center"/>
          </w:tcPr>
          <w:p w14:paraId="3E49A5D7">
            <w:pPr>
              <w:pStyle w:val="27"/>
              <w:textAlignment w:val="center"/>
              <w:rPr>
                <w:rFonts w:ascii="Times New Roman" w:hAnsi="Times New Roman"/>
                <w:highlight w:val="none"/>
              </w:rPr>
            </w:pPr>
          </w:p>
        </w:tc>
        <w:tc>
          <w:tcPr>
            <w:tcW w:w="546" w:type="pct"/>
            <w:vMerge w:val="continue"/>
            <w:noWrap w:val="0"/>
            <w:vAlign w:val="center"/>
          </w:tcPr>
          <w:p w14:paraId="412E604F">
            <w:pPr>
              <w:pStyle w:val="27"/>
              <w:textAlignment w:val="center"/>
              <w:rPr>
                <w:rFonts w:ascii="Times New Roman" w:hAnsi="Times New Roman"/>
                <w:highlight w:val="none"/>
              </w:rPr>
            </w:pPr>
          </w:p>
        </w:tc>
        <w:tc>
          <w:tcPr>
            <w:tcW w:w="519" w:type="pct"/>
            <w:vMerge w:val="continue"/>
            <w:noWrap w:val="0"/>
            <w:vAlign w:val="center"/>
          </w:tcPr>
          <w:p w14:paraId="25CD543A">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26A4376D">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105（使用58MW+35t/h锅炉）</w:t>
            </w:r>
          </w:p>
        </w:tc>
        <w:tc>
          <w:tcPr>
            <w:tcW w:w="813" w:type="pct"/>
            <w:noWrap w:val="0"/>
            <w:vAlign w:val="center"/>
          </w:tcPr>
          <w:p w14:paraId="74CC34B0">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916</w:t>
            </w:r>
          </w:p>
        </w:tc>
      </w:tr>
      <w:tr w14:paraId="2423CB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0607AEDE">
            <w:pPr>
              <w:pStyle w:val="27"/>
              <w:textAlignment w:val="center"/>
              <w:rPr>
                <w:rFonts w:ascii="Times New Roman" w:hAnsi="Times New Roman"/>
                <w:highlight w:val="none"/>
              </w:rPr>
            </w:pPr>
          </w:p>
        </w:tc>
        <w:tc>
          <w:tcPr>
            <w:tcW w:w="948" w:type="pct"/>
            <w:vMerge w:val="continue"/>
            <w:noWrap w:val="0"/>
            <w:vAlign w:val="center"/>
          </w:tcPr>
          <w:p w14:paraId="7B0EE680">
            <w:pPr>
              <w:pStyle w:val="27"/>
              <w:textAlignment w:val="center"/>
              <w:rPr>
                <w:rFonts w:ascii="Times New Roman" w:hAnsi="Times New Roman"/>
                <w:highlight w:val="none"/>
              </w:rPr>
            </w:pPr>
          </w:p>
        </w:tc>
        <w:tc>
          <w:tcPr>
            <w:tcW w:w="634" w:type="pct"/>
            <w:vMerge w:val="continue"/>
            <w:noWrap w:val="0"/>
            <w:vAlign w:val="center"/>
          </w:tcPr>
          <w:p w14:paraId="03C46DA5">
            <w:pPr>
              <w:pStyle w:val="27"/>
              <w:textAlignment w:val="center"/>
              <w:rPr>
                <w:rFonts w:ascii="Times New Roman" w:hAnsi="Times New Roman"/>
                <w:highlight w:val="none"/>
              </w:rPr>
            </w:pPr>
          </w:p>
        </w:tc>
        <w:tc>
          <w:tcPr>
            <w:tcW w:w="546" w:type="pct"/>
            <w:vMerge w:val="continue"/>
            <w:noWrap w:val="0"/>
            <w:vAlign w:val="center"/>
          </w:tcPr>
          <w:p w14:paraId="3A39FB56">
            <w:pPr>
              <w:pStyle w:val="27"/>
              <w:textAlignment w:val="center"/>
              <w:rPr>
                <w:rFonts w:ascii="Times New Roman" w:hAnsi="Times New Roman"/>
                <w:highlight w:val="none"/>
              </w:rPr>
            </w:pPr>
          </w:p>
        </w:tc>
        <w:tc>
          <w:tcPr>
            <w:tcW w:w="519" w:type="pct"/>
            <w:vMerge w:val="continue"/>
            <w:noWrap w:val="0"/>
            <w:vAlign w:val="center"/>
          </w:tcPr>
          <w:p w14:paraId="24CA1650">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591D3E40">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271（使用116MW+35t/h锅炉）</w:t>
            </w:r>
          </w:p>
        </w:tc>
        <w:tc>
          <w:tcPr>
            <w:tcW w:w="813" w:type="pct"/>
            <w:noWrap w:val="0"/>
            <w:vAlign w:val="center"/>
          </w:tcPr>
          <w:p w14:paraId="047EDA49">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916</w:t>
            </w:r>
          </w:p>
        </w:tc>
      </w:tr>
      <w:tr w14:paraId="3D3F70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86" w:type="pct"/>
            <w:vMerge w:val="continue"/>
            <w:noWrap w:val="0"/>
            <w:vAlign w:val="center"/>
          </w:tcPr>
          <w:p w14:paraId="05EB3094">
            <w:pPr>
              <w:pStyle w:val="27"/>
              <w:textAlignment w:val="center"/>
              <w:rPr>
                <w:rFonts w:ascii="Times New Roman" w:hAnsi="Times New Roman"/>
                <w:highlight w:val="none"/>
              </w:rPr>
            </w:pPr>
          </w:p>
        </w:tc>
        <w:tc>
          <w:tcPr>
            <w:tcW w:w="948" w:type="pct"/>
            <w:vMerge w:val="continue"/>
            <w:noWrap w:val="0"/>
            <w:vAlign w:val="center"/>
          </w:tcPr>
          <w:p w14:paraId="7BB27B09">
            <w:pPr>
              <w:pStyle w:val="27"/>
              <w:textAlignment w:val="center"/>
              <w:rPr>
                <w:rFonts w:ascii="Times New Roman" w:hAnsi="Times New Roman"/>
                <w:highlight w:val="none"/>
              </w:rPr>
            </w:pPr>
          </w:p>
        </w:tc>
        <w:tc>
          <w:tcPr>
            <w:tcW w:w="634" w:type="pct"/>
            <w:vMerge w:val="continue"/>
            <w:noWrap w:val="0"/>
            <w:vAlign w:val="center"/>
          </w:tcPr>
          <w:p w14:paraId="2CEAD930">
            <w:pPr>
              <w:pStyle w:val="27"/>
              <w:textAlignment w:val="center"/>
              <w:rPr>
                <w:rFonts w:ascii="Times New Roman" w:hAnsi="Times New Roman"/>
                <w:highlight w:val="none"/>
              </w:rPr>
            </w:pPr>
          </w:p>
        </w:tc>
        <w:tc>
          <w:tcPr>
            <w:tcW w:w="546" w:type="pct"/>
            <w:vMerge w:val="continue"/>
            <w:noWrap w:val="0"/>
            <w:vAlign w:val="center"/>
          </w:tcPr>
          <w:p w14:paraId="3153250B">
            <w:pPr>
              <w:pStyle w:val="27"/>
              <w:textAlignment w:val="center"/>
              <w:rPr>
                <w:rFonts w:ascii="Times New Roman" w:hAnsi="Times New Roman"/>
                <w:highlight w:val="none"/>
              </w:rPr>
            </w:pPr>
          </w:p>
        </w:tc>
        <w:tc>
          <w:tcPr>
            <w:tcW w:w="519" w:type="pct"/>
            <w:vMerge w:val="continue"/>
            <w:noWrap w:val="0"/>
            <w:vAlign w:val="center"/>
          </w:tcPr>
          <w:p w14:paraId="719EE675">
            <w:pPr>
              <w:spacing w:line="240" w:lineRule="auto"/>
              <w:ind w:firstLine="0" w:firstLineChars="0"/>
              <w:jc w:val="center"/>
              <w:textAlignment w:val="center"/>
              <w:rPr>
                <w:rFonts w:ascii="Times New Roman" w:hAnsi="Times New Roman"/>
                <w:sz w:val="21"/>
                <w:highlight w:val="none"/>
              </w:rPr>
            </w:pPr>
          </w:p>
        </w:tc>
        <w:tc>
          <w:tcPr>
            <w:tcW w:w="1051" w:type="pct"/>
            <w:noWrap w:val="0"/>
            <w:vAlign w:val="center"/>
          </w:tcPr>
          <w:p w14:paraId="5C379CC5">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lang w:val="en-US" w:eastAsia="zh-CN"/>
              </w:rPr>
              <w:t>31（单独使用58MW锅炉）</w:t>
            </w:r>
          </w:p>
        </w:tc>
        <w:tc>
          <w:tcPr>
            <w:tcW w:w="813" w:type="pct"/>
            <w:noWrap w:val="0"/>
            <w:vAlign w:val="center"/>
          </w:tcPr>
          <w:p w14:paraId="2C66C5BE">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916</w:t>
            </w:r>
          </w:p>
        </w:tc>
      </w:tr>
    </w:tbl>
    <w:p w14:paraId="1958A853">
      <w:pPr>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7C9E45B">
      <w:pPr>
        <w:ind w:firstLine="0" w:firstLineChars="0"/>
        <w:jc w:val="center"/>
        <w:rPr>
          <w:rFonts w:ascii="Times New Roman" w:hAnsi="Times New Roman"/>
          <w:b/>
          <w:bCs/>
          <w:highlight w:val="none"/>
        </w:rPr>
      </w:pPr>
      <w:r>
        <w:rPr>
          <w:rFonts w:ascii="Times New Roman" w:hAnsi="Times New Roman"/>
          <w:b/>
          <w:bCs/>
          <w:highlight w:val="none"/>
        </w:rPr>
        <w:t>表3.3-4废气污染源源强核算结果及相关参数一览表</w:t>
      </w:r>
    </w:p>
    <w:tbl>
      <w:tblPr>
        <w:tblStyle w:val="17"/>
        <w:tblW w:w="142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912"/>
        <w:gridCol w:w="748"/>
        <w:gridCol w:w="737"/>
        <w:gridCol w:w="660"/>
        <w:gridCol w:w="1430"/>
        <w:gridCol w:w="1059"/>
        <w:gridCol w:w="887"/>
        <w:gridCol w:w="1173"/>
        <w:gridCol w:w="874"/>
        <w:gridCol w:w="805"/>
        <w:gridCol w:w="1245"/>
        <w:gridCol w:w="936"/>
        <w:gridCol w:w="951"/>
        <w:gridCol w:w="913"/>
      </w:tblGrid>
      <w:tr w14:paraId="044DF3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restart"/>
            <w:noWrap w:val="0"/>
            <w:vAlign w:val="center"/>
          </w:tcPr>
          <w:p w14:paraId="4FB5E091">
            <w:pPr>
              <w:pStyle w:val="42"/>
              <w:spacing w:before="81" w:after="81"/>
              <w:textAlignment w:val="center"/>
              <w:rPr>
                <w:rFonts w:ascii="Times New Roman" w:hAnsi="Times New Roman"/>
                <w:szCs w:val="21"/>
                <w:highlight w:val="none"/>
              </w:rPr>
            </w:pPr>
            <w:r>
              <w:rPr>
                <w:rFonts w:ascii="Times New Roman" w:hAnsi="Times New Roman"/>
                <w:szCs w:val="21"/>
                <w:highlight w:val="none"/>
              </w:rPr>
              <w:t>类型</w:t>
            </w:r>
          </w:p>
        </w:tc>
        <w:tc>
          <w:tcPr>
            <w:tcW w:w="912" w:type="dxa"/>
            <w:vMerge w:val="restart"/>
            <w:noWrap w:val="0"/>
            <w:vAlign w:val="center"/>
          </w:tcPr>
          <w:p w14:paraId="3B569347">
            <w:pPr>
              <w:pStyle w:val="42"/>
              <w:spacing w:before="81" w:after="81"/>
              <w:textAlignment w:val="center"/>
              <w:rPr>
                <w:rFonts w:ascii="Times New Roman" w:hAnsi="Times New Roman"/>
                <w:szCs w:val="21"/>
                <w:highlight w:val="none"/>
              </w:rPr>
            </w:pPr>
            <w:r>
              <w:rPr>
                <w:rFonts w:ascii="Times New Roman" w:hAnsi="Times New Roman"/>
                <w:szCs w:val="21"/>
                <w:highlight w:val="none"/>
              </w:rPr>
              <w:t>装置</w:t>
            </w:r>
          </w:p>
        </w:tc>
        <w:tc>
          <w:tcPr>
            <w:tcW w:w="748" w:type="dxa"/>
            <w:vMerge w:val="restart"/>
            <w:noWrap w:val="0"/>
            <w:vAlign w:val="center"/>
          </w:tcPr>
          <w:p w14:paraId="59A77742">
            <w:pPr>
              <w:pStyle w:val="42"/>
              <w:spacing w:before="81" w:after="81"/>
              <w:textAlignment w:val="center"/>
              <w:rPr>
                <w:rFonts w:ascii="Times New Roman" w:hAnsi="Times New Roman"/>
                <w:szCs w:val="21"/>
                <w:highlight w:val="none"/>
              </w:rPr>
            </w:pPr>
            <w:r>
              <w:rPr>
                <w:rFonts w:ascii="Times New Roman" w:hAnsi="Times New Roman"/>
                <w:szCs w:val="21"/>
                <w:highlight w:val="none"/>
              </w:rPr>
              <w:t>污染源</w:t>
            </w:r>
          </w:p>
        </w:tc>
        <w:tc>
          <w:tcPr>
            <w:tcW w:w="737" w:type="dxa"/>
            <w:vMerge w:val="restart"/>
            <w:noWrap w:val="0"/>
            <w:vAlign w:val="center"/>
          </w:tcPr>
          <w:p w14:paraId="6C2E47DA">
            <w:pPr>
              <w:pStyle w:val="42"/>
              <w:spacing w:before="81" w:after="81"/>
              <w:textAlignment w:val="center"/>
              <w:rPr>
                <w:rFonts w:ascii="Times New Roman" w:hAnsi="Times New Roman"/>
                <w:szCs w:val="21"/>
                <w:highlight w:val="none"/>
              </w:rPr>
            </w:pPr>
            <w:r>
              <w:rPr>
                <w:rFonts w:ascii="Times New Roman" w:hAnsi="Times New Roman"/>
                <w:szCs w:val="21"/>
                <w:highlight w:val="none"/>
              </w:rPr>
              <w:t>污染物</w:t>
            </w:r>
          </w:p>
        </w:tc>
        <w:tc>
          <w:tcPr>
            <w:tcW w:w="4036" w:type="dxa"/>
            <w:gridSpan w:val="4"/>
            <w:noWrap w:val="0"/>
            <w:vAlign w:val="center"/>
          </w:tcPr>
          <w:p w14:paraId="38DDA562">
            <w:pPr>
              <w:pStyle w:val="42"/>
              <w:spacing w:before="81" w:after="81"/>
              <w:textAlignment w:val="center"/>
              <w:rPr>
                <w:rFonts w:ascii="Times New Roman" w:hAnsi="Times New Roman"/>
                <w:szCs w:val="21"/>
                <w:highlight w:val="none"/>
              </w:rPr>
            </w:pPr>
            <w:r>
              <w:rPr>
                <w:rFonts w:ascii="Times New Roman" w:hAnsi="Times New Roman"/>
                <w:szCs w:val="21"/>
                <w:highlight w:val="none"/>
              </w:rPr>
              <w:t>污染物产生</w:t>
            </w:r>
          </w:p>
        </w:tc>
        <w:tc>
          <w:tcPr>
            <w:tcW w:w="2047" w:type="dxa"/>
            <w:gridSpan w:val="2"/>
            <w:noWrap w:val="0"/>
            <w:vAlign w:val="center"/>
          </w:tcPr>
          <w:p w14:paraId="0A9FDC9B">
            <w:pPr>
              <w:pStyle w:val="42"/>
              <w:spacing w:before="81" w:after="81"/>
              <w:textAlignment w:val="center"/>
              <w:rPr>
                <w:rFonts w:ascii="Times New Roman" w:hAnsi="Times New Roman"/>
                <w:szCs w:val="21"/>
                <w:highlight w:val="none"/>
              </w:rPr>
            </w:pPr>
            <w:r>
              <w:rPr>
                <w:rFonts w:ascii="Times New Roman" w:hAnsi="Times New Roman"/>
                <w:szCs w:val="21"/>
                <w:highlight w:val="none"/>
              </w:rPr>
              <w:t>治理措施</w:t>
            </w:r>
          </w:p>
        </w:tc>
        <w:tc>
          <w:tcPr>
            <w:tcW w:w="3937" w:type="dxa"/>
            <w:gridSpan w:val="4"/>
            <w:noWrap w:val="0"/>
            <w:vAlign w:val="center"/>
          </w:tcPr>
          <w:p w14:paraId="326A74AC">
            <w:pPr>
              <w:pStyle w:val="42"/>
              <w:spacing w:before="81" w:after="81"/>
              <w:textAlignment w:val="center"/>
              <w:rPr>
                <w:rFonts w:ascii="Times New Roman" w:hAnsi="Times New Roman"/>
                <w:szCs w:val="21"/>
                <w:highlight w:val="none"/>
              </w:rPr>
            </w:pPr>
            <w:r>
              <w:rPr>
                <w:rFonts w:ascii="Times New Roman" w:hAnsi="Times New Roman"/>
                <w:szCs w:val="21"/>
                <w:highlight w:val="none"/>
              </w:rPr>
              <w:t>污染物排放</w:t>
            </w:r>
          </w:p>
        </w:tc>
        <w:tc>
          <w:tcPr>
            <w:tcW w:w="913" w:type="dxa"/>
            <w:vMerge w:val="restart"/>
            <w:noWrap w:val="0"/>
            <w:vAlign w:val="center"/>
          </w:tcPr>
          <w:p w14:paraId="636EC021">
            <w:pPr>
              <w:pStyle w:val="42"/>
              <w:spacing w:before="81" w:after="81"/>
              <w:textAlignment w:val="center"/>
              <w:rPr>
                <w:rFonts w:ascii="Times New Roman" w:hAnsi="Times New Roman"/>
                <w:szCs w:val="21"/>
                <w:highlight w:val="none"/>
              </w:rPr>
            </w:pPr>
            <w:r>
              <w:rPr>
                <w:rFonts w:ascii="Times New Roman" w:hAnsi="Times New Roman"/>
                <w:szCs w:val="21"/>
                <w:highlight w:val="none"/>
              </w:rPr>
              <w:t>排放时间h</w:t>
            </w:r>
          </w:p>
        </w:tc>
      </w:tr>
      <w:tr w14:paraId="3A886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9DA2857">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6A4A9DD8">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124A7DB5">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5699A21B">
            <w:pPr>
              <w:pStyle w:val="42"/>
              <w:spacing w:before="81" w:after="81"/>
              <w:textAlignment w:val="center"/>
              <w:rPr>
                <w:rFonts w:ascii="Times New Roman" w:hAnsi="Times New Roman"/>
                <w:szCs w:val="21"/>
                <w:highlight w:val="none"/>
              </w:rPr>
            </w:pPr>
          </w:p>
        </w:tc>
        <w:tc>
          <w:tcPr>
            <w:tcW w:w="660" w:type="dxa"/>
            <w:noWrap w:val="0"/>
            <w:vAlign w:val="center"/>
          </w:tcPr>
          <w:p w14:paraId="106206B3">
            <w:pPr>
              <w:pStyle w:val="42"/>
              <w:spacing w:before="81" w:after="81"/>
              <w:textAlignment w:val="center"/>
              <w:rPr>
                <w:rFonts w:ascii="Times New Roman" w:hAnsi="Times New Roman"/>
                <w:szCs w:val="21"/>
                <w:highlight w:val="none"/>
              </w:rPr>
            </w:pPr>
            <w:r>
              <w:rPr>
                <w:rFonts w:ascii="Times New Roman" w:hAnsi="Times New Roman"/>
                <w:szCs w:val="21"/>
                <w:highlight w:val="none"/>
              </w:rPr>
              <w:t>核算方法</w:t>
            </w:r>
          </w:p>
        </w:tc>
        <w:tc>
          <w:tcPr>
            <w:tcW w:w="1430" w:type="dxa"/>
            <w:noWrap w:val="0"/>
            <w:vAlign w:val="center"/>
          </w:tcPr>
          <w:p w14:paraId="5EF7594E">
            <w:pPr>
              <w:pStyle w:val="42"/>
              <w:spacing w:before="81" w:after="81"/>
              <w:textAlignment w:val="center"/>
              <w:rPr>
                <w:rFonts w:ascii="Times New Roman" w:hAnsi="Times New Roman"/>
                <w:szCs w:val="21"/>
                <w:highlight w:val="none"/>
              </w:rPr>
            </w:pPr>
            <w:r>
              <w:rPr>
                <w:rFonts w:ascii="Times New Roman" w:hAnsi="Times New Roman"/>
                <w:szCs w:val="21"/>
                <w:highlight w:val="none"/>
              </w:rPr>
              <w:t>烟气量</w:t>
            </w:r>
          </w:p>
          <w:p w14:paraId="7E0FDC88">
            <w:pPr>
              <w:pStyle w:val="42"/>
              <w:spacing w:before="81" w:after="81"/>
              <w:textAlignment w:val="center"/>
              <w:rPr>
                <w:rFonts w:ascii="Times New Roman" w:hAnsi="Times New Roman"/>
                <w:szCs w:val="21"/>
                <w:highlight w:val="none"/>
              </w:rPr>
            </w:pPr>
            <w:r>
              <w:rPr>
                <w:rFonts w:ascii="Times New Roman" w:hAnsi="Times New Roman"/>
                <w:szCs w:val="21"/>
                <w:highlight w:val="none"/>
              </w:rPr>
              <w:t>m</w:t>
            </w:r>
            <w:r>
              <w:rPr>
                <w:rFonts w:ascii="Times New Roman" w:hAnsi="Times New Roman"/>
                <w:szCs w:val="21"/>
                <w:highlight w:val="none"/>
                <w:vertAlign w:val="superscript"/>
              </w:rPr>
              <w:t>3</w:t>
            </w:r>
            <w:r>
              <w:rPr>
                <w:rFonts w:ascii="Times New Roman" w:hAnsi="Times New Roman"/>
                <w:szCs w:val="21"/>
                <w:highlight w:val="none"/>
              </w:rPr>
              <w:t>/h</w:t>
            </w:r>
          </w:p>
        </w:tc>
        <w:tc>
          <w:tcPr>
            <w:tcW w:w="1059" w:type="dxa"/>
            <w:noWrap w:val="0"/>
            <w:vAlign w:val="center"/>
          </w:tcPr>
          <w:p w14:paraId="28672215">
            <w:pPr>
              <w:pStyle w:val="42"/>
              <w:spacing w:before="81" w:after="81"/>
              <w:textAlignment w:val="center"/>
              <w:rPr>
                <w:rFonts w:ascii="Times New Roman" w:hAnsi="Times New Roman"/>
                <w:szCs w:val="21"/>
                <w:highlight w:val="none"/>
              </w:rPr>
            </w:pPr>
            <w:r>
              <w:rPr>
                <w:rFonts w:ascii="Times New Roman" w:hAnsi="Times New Roman"/>
                <w:szCs w:val="21"/>
                <w:highlight w:val="none"/>
              </w:rPr>
              <w:t>产生浓度mg/m</w:t>
            </w:r>
            <w:r>
              <w:rPr>
                <w:rFonts w:ascii="Times New Roman" w:hAnsi="Times New Roman"/>
                <w:szCs w:val="21"/>
                <w:highlight w:val="none"/>
                <w:vertAlign w:val="superscript"/>
              </w:rPr>
              <w:t>3</w:t>
            </w:r>
          </w:p>
        </w:tc>
        <w:tc>
          <w:tcPr>
            <w:tcW w:w="887" w:type="dxa"/>
            <w:noWrap w:val="0"/>
            <w:vAlign w:val="center"/>
          </w:tcPr>
          <w:p w14:paraId="2D001F9C">
            <w:pPr>
              <w:pStyle w:val="42"/>
              <w:spacing w:before="81" w:after="81"/>
              <w:textAlignment w:val="center"/>
              <w:rPr>
                <w:rFonts w:ascii="Times New Roman" w:hAnsi="Times New Roman"/>
                <w:szCs w:val="21"/>
                <w:highlight w:val="none"/>
              </w:rPr>
            </w:pPr>
            <w:r>
              <w:rPr>
                <w:rFonts w:ascii="Times New Roman" w:hAnsi="Times New Roman"/>
                <w:szCs w:val="21"/>
                <w:highlight w:val="none"/>
              </w:rPr>
              <w:t>产生量kg/h</w:t>
            </w:r>
          </w:p>
        </w:tc>
        <w:tc>
          <w:tcPr>
            <w:tcW w:w="1173" w:type="dxa"/>
            <w:noWrap w:val="0"/>
            <w:vAlign w:val="center"/>
          </w:tcPr>
          <w:p w14:paraId="0E725850">
            <w:pPr>
              <w:pStyle w:val="42"/>
              <w:spacing w:before="81" w:after="81"/>
              <w:textAlignment w:val="center"/>
              <w:rPr>
                <w:rFonts w:ascii="Times New Roman" w:hAnsi="Times New Roman"/>
                <w:szCs w:val="21"/>
                <w:highlight w:val="none"/>
              </w:rPr>
            </w:pPr>
            <w:r>
              <w:rPr>
                <w:rFonts w:ascii="Times New Roman" w:hAnsi="Times New Roman"/>
                <w:szCs w:val="21"/>
                <w:highlight w:val="none"/>
              </w:rPr>
              <w:t>工艺</w:t>
            </w:r>
          </w:p>
        </w:tc>
        <w:tc>
          <w:tcPr>
            <w:tcW w:w="874" w:type="dxa"/>
            <w:noWrap w:val="0"/>
            <w:vAlign w:val="center"/>
          </w:tcPr>
          <w:p w14:paraId="76E8A03A">
            <w:pPr>
              <w:pStyle w:val="42"/>
              <w:spacing w:before="81" w:after="81"/>
              <w:textAlignment w:val="center"/>
              <w:rPr>
                <w:rFonts w:ascii="Times New Roman" w:hAnsi="Times New Roman"/>
                <w:szCs w:val="21"/>
                <w:highlight w:val="none"/>
              </w:rPr>
            </w:pPr>
            <w:r>
              <w:rPr>
                <w:rFonts w:ascii="Times New Roman" w:hAnsi="Times New Roman"/>
                <w:szCs w:val="21"/>
                <w:highlight w:val="none"/>
              </w:rPr>
              <w:t>效率%</w:t>
            </w:r>
          </w:p>
        </w:tc>
        <w:tc>
          <w:tcPr>
            <w:tcW w:w="805" w:type="dxa"/>
            <w:noWrap w:val="0"/>
            <w:vAlign w:val="center"/>
          </w:tcPr>
          <w:p w14:paraId="445D50A5">
            <w:pPr>
              <w:pStyle w:val="42"/>
              <w:spacing w:before="81" w:after="81"/>
              <w:textAlignment w:val="center"/>
              <w:rPr>
                <w:rFonts w:ascii="Times New Roman" w:hAnsi="Times New Roman"/>
                <w:szCs w:val="21"/>
                <w:highlight w:val="none"/>
              </w:rPr>
            </w:pPr>
            <w:r>
              <w:rPr>
                <w:rFonts w:ascii="Times New Roman" w:hAnsi="Times New Roman"/>
                <w:szCs w:val="21"/>
                <w:highlight w:val="none"/>
              </w:rPr>
              <w:t>核算方法</w:t>
            </w:r>
          </w:p>
        </w:tc>
        <w:tc>
          <w:tcPr>
            <w:tcW w:w="1245" w:type="dxa"/>
            <w:noWrap w:val="0"/>
            <w:vAlign w:val="center"/>
          </w:tcPr>
          <w:p w14:paraId="17A510B0">
            <w:pPr>
              <w:pStyle w:val="42"/>
              <w:spacing w:before="81" w:after="81"/>
              <w:textAlignment w:val="center"/>
              <w:rPr>
                <w:rFonts w:ascii="Times New Roman" w:hAnsi="Times New Roman"/>
                <w:szCs w:val="21"/>
                <w:highlight w:val="none"/>
              </w:rPr>
            </w:pPr>
            <w:r>
              <w:rPr>
                <w:rFonts w:ascii="Times New Roman" w:hAnsi="Times New Roman"/>
                <w:szCs w:val="21"/>
                <w:highlight w:val="none"/>
              </w:rPr>
              <w:t>烟气量</w:t>
            </w:r>
          </w:p>
          <w:p w14:paraId="6232996F">
            <w:pPr>
              <w:pStyle w:val="42"/>
              <w:spacing w:before="81" w:after="81"/>
              <w:textAlignment w:val="center"/>
              <w:rPr>
                <w:rFonts w:ascii="Times New Roman" w:hAnsi="Times New Roman"/>
                <w:szCs w:val="21"/>
                <w:highlight w:val="none"/>
              </w:rPr>
            </w:pPr>
            <w:r>
              <w:rPr>
                <w:rFonts w:ascii="Times New Roman" w:hAnsi="Times New Roman"/>
                <w:szCs w:val="21"/>
                <w:highlight w:val="none"/>
              </w:rPr>
              <w:t>m</w:t>
            </w:r>
            <w:r>
              <w:rPr>
                <w:rFonts w:ascii="Times New Roman" w:hAnsi="Times New Roman"/>
                <w:szCs w:val="21"/>
                <w:highlight w:val="none"/>
                <w:vertAlign w:val="superscript"/>
              </w:rPr>
              <w:t>3</w:t>
            </w:r>
            <w:r>
              <w:rPr>
                <w:rFonts w:ascii="Times New Roman" w:hAnsi="Times New Roman"/>
                <w:szCs w:val="21"/>
                <w:highlight w:val="none"/>
              </w:rPr>
              <w:t>/h</w:t>
            </w:r>
          </w:p>
        </w:tc>
        <w:tc>
          <w:tcPr>
            <w:tcW w:w="936" w:type="dxa"/>
            <w:noWrap w:val="0"/>
            <w:vAlign w:val="center"/>
          </w:tcPr>
          <w:p w14:paraId="1B88D0E6">
            <w:pPr>
              <w:pStyle w:val="42"/>
              <w:spacing w:before="81" w:after="81"/>
              <w:textAlignment w:val="center"/>
              <w:rPr>
                <w:rFonts w:ascii="Times New Roman" w:hAnsi="Times New Roman"/>
                <w:szCs w:val="21"/>
                <w:highlight w:val="none"/>
              </w:rPr>
            </w:pPr>
            <w:r>
              <w:rPr>
                <w:rFonts w:ascii="Times New Roman" w:hAnsi="Times New Roman"/>
                <w:szCs w:val="21"/>
                <w:highlight w:val="none"/>
              </w:rPr>
              <w:t>排放</w:t>
            </w:r>
          </w:p>
          <w:p w14:paraId="2DC2E665">
            <w:pPr>
              <w:pStyle w:val="42"/>
              <w:spacing w:before="81" w:after="81"/>
              <w:textAlignment w:val="center"/>
              <w:rPr>
                <w:rFonts w:ascii="Times New Roman" w:hAnsi="Times New Roman"/>
                <w:szCs w:val="21"/>
                <w:highlight w:val="none"/>
              </w:rPr>
            </w:pPr>
            <w:r>
              <w:rPr>
                <w:rFonts w:ascii="Times New Roman" w:hAnsi="Times New Roman"/>
                <w:szCs w:val="21"/>
                <w:highlight w:val="none"/>
              </w:rPr>
              <w:t>浓度mg/m</w:t>
            </w:r>
            <w:r>
              <w:rPr>
                <w:rFonts w:ascii="Times New Roman" w:hAnsi="Times New Roman"/>
                <w:szCs w:val="21"/>
                <w:highlight w:val="none"/>
                <w:vertAlign w:val="superscript"/>
              </w:rPr>
              <w:t>3</w:t>
            </w:r>
          </w:p>
        </w:tc>
        <w:tc>
          <w:tcPr>
            <w:tcW w:w="951" w:type="dxa"/>
            <w:noWrap w:val="0"/>
            <w:vAlign w:val="center"/>
          </w:tcPr>
          <w:p w14:paraId="77134AA6">
            <w:pPr>
              <w:pStyle w:val="42"/>
              <w:spacing w:before="81" w:after="81"/>
              <w:textAlignment w:val="center"/>
              <w:rPr>
                <w:rFonts w:ascii="Times New Roman" w:hAnsi="Times New Roman"/>
                <w:szCs w:val="21"/>
                <w:highlight w:val="none"/>
              </w:rPr>
            </w:pPr>
            <w:r>
              <w:rPr>
                <w:rFonts w:ascii="Times New Roman" w:hAnsi="Times New Roman"/>
                <w:szCs w:val="21"/>
                <w:highlight w:val="none"/>
              </w:rPr>
              <w:t>排放量</w:t>
            </w:r>
          </w:p>
          <w:p w14:paraId="1E2AE39A">
            <w:pPr>
              <w:pStyle w:val="42"/>
              <w:spacing w:before="81" w:after="81"/>
              <w:textAlignment w:val="center"/>
              <w:rPr>
                <w:rFonts w:ascii="Times New Roman" w:hAnsi="Times New Roman"/>
                <w:szCs w:val="21"/>
                <w:highlight w:val="none"/>
              </w:rPr>
            </w:pPr>
            <w:r>
              <w:rPr>
                <w:rFonts w:ascii="Times New Roman" w:hAnsi="Times New Roman"/>
                <w:szCs w:val="21"/>
                <w:highlight w:val="none"/>
              </w:rPr>
              <w:t>kg/h</w:t>
            </w:r>
          </w:p>
        </w:tc>
        <w:tc>
          <w:tcPr>
            <w:tcW w:w="913" w:type="dxa"/>
            <w:vMerge w:val="continue"/>
            <w:noWrap w:val="0"/>
            <w:vAlign w:val="center"/>
          </w:tcPr>
          <w:p w14:paraId="6F126AB3">
            <w:pPr>
              <w:pStyle w:val="42"/>
              <w:spacing w:before="81" w:after="81"/>
              <w:textAlignment w:val="center"/>
              <w:rPr>
                <w:rFonts w:ascii="Times New Roman" w:hAnsi="Times New Roman"/>
                <w:szCs w:val="21"/>
                <w:highlight w:val="none"/>
              </w:rPr>
            </w:pPr>
          </w:p>
        </w:tc>
      </w:tr>
      <w:tr w14:paraId="18A73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restart"/>
            <w:noWrap w:val="0"/>
            <w:vAlign w:val="center"/>
          </w:tcPr>
          <w:p w14:paraId="47CA6278">
            <w:pPr>
              <w:pStyle w:val="42"/>
              <w:spacing w:before="81" w:after="81"/>
              <w:textAlignment w:val="center"/>
              <w:rPr>
                <w:rFonts w:ascii="Times New Roman" w:hAnsi="Times New Roman"/>
                <w:szCs w:val="21"/>
                <w:highlight w:val="none"/>
              </w:rPr>
            </w:pPr>
            <w:r>
              <w:rPr>
                <w:rFonts w:ascii="Times New Roman" w:hAnsi="Times New Roman"/>
                <w:szCs w:val="21"/>
                <w:highlight w:val="none"/>
              </w:rPr>
              <w:t>有组织废气</w:t>
            </w:r>
          </w:p>
        </w:tc>
        <w:tc>
          <w:tcPr>
            <w:tcW w:w="912" w:type="dxa"/>
            <w:vMerge w:val="restart"/>
            <w:noWrap w:val="0"/>
            <w:vAlign w:val="center"/>
          </w:tcPr>
          <w:p w14:paraId="5D627DC0">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lang w:val="en-US" w:eastAsia="zh-CN"/>
              </w:rPr>
              <w:t>116MW+58MW+35t/h</w:t>
            </w:r>
            <w:r>
              <w:rPr>
                <w:rFonts w:ascii="Times New Roman" w:hAnsi="Times New Roman"/>
                <w:szCs w:val="21"/>
                <w:highlight w:val="none"/>
              </w:rPr>
              <w:t>锅炉</w:t>
            </w:r>
          </w:p>
        </w:tc>
        <w:tc>
          <w:tcPr>
            <w:tcW w:w="748" w:type="dxa"/>
            <w:vMerge w:val="restart"/>
            <w:noWrap w:val="0"/>
            <w:vAlign w:val="center"/>
          </w:tcPr>
          <w:p w14:paraId="1EC46890">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lang w:val="en-US" w:eastAsia="zh-CN"/>
              </w:rPr>
              <w:t>60</w:t>
            </w:r>
            <w:r>
              <w:rPr>
                <w:rFonts w:ascii="Times New Roman" w:hAnsi="Times New Roman"/>
                <w:szCs w:val="21"/>
                <w:highlight w:val="none"/>
              </w:rPr>
              <w:t>m烟囱（正常工况）</w:t>
            </w:r>
          </w:p>
        </w:tc>
        <w:tc>
          <w:tcPr>
            <w:tcW w:w="737" w:type="dxa"/>
            <w:vMerge w:val="restart"/>
            <w:noWrap w:val="0"/>
            <w:vAlign w:val="center"/>
          </w:tcPr>
          <w:p w14:paraId="2DCBB49F">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烟尘</w:t>
            </w:r>
          </w:p>
        </w:tc>
        <w:tc>
          <w:tcPr>
            <w:tcW w:w="660" w:type="dxa"/>
            <w:vMerge w:val="restart"/>
            <w:noWrap w:val="0"/>
            <w:vAlign w:val="center"/>
          </w:tcPr>
          <w:p w14:paraId="4E9B1917">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1430" w:type="dxa"/>
            <w:noWrap w:val="0"/>
            <w:vAlign w:val="center"/>
          </w:tcPr>
          <w:p w14:paraId="629159A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264580（单独使用116MW锅炉）</w:t>
            </w:r>
          </w:p>
        </w:tc>
        <w:tc>
          <w:tcPr>
            <w:tcW w:w="1059" w:type="dxa"/>
            <w:noWrap w:val="0"/>
            <w:vAlign w:val="center"/>
          </w:tcPr>
          <w:p w14:paraId="1DE87A3E">
            <w:pPr>
              <w:pStyle w:val="42"/>
              <w:spacing w:before="81" w:after="81"/>
              <w:textAlignment w:val="center"/>
              <w:rPr>
                <w:rFonts w:hint="default" w:ascii="Times New Roman" w:hAnsi="Times New Roman" w:eastAsia="新宋体"/>
                <w:spacing w:val="-6"/>
                <w:szCs w:val="21"/>
                <w:highlight w:val="none"/>
                <w:lang w:val="en-US" w:eastAsia="zh-CN"/>
              </w:rPr>
            </w:pPr>
            <w:r>
              <w:rPr>
                <w:rFonts w:hint="eastAsia" w:ascii="Times New Roman" w:hAnsi="Times New Roman" w:eastAsia="宋体"/>
                <w:szCs w:val="21"/>
                <w:highlight w:val="none"/>
                <w:lang w:val="en-US" w:eastAsia="zh-CN"/>
              </w:rPr>
              <w:t>8048.04</w:t>
            </w:r>
          </w:p>
        </w:tc>
        <w:tc>
          <w:tcPr>
            <w:tcW w:w="887" w:type="dxa"/>
            <w:noWrap w:val="0"/>
            <w:vAlign w:val="center"/>
          </w:tcPr>
          <w:p w14:paraId="17CFCF7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eastAsia="宋体"/>
                <w:szCs w:val="21"/>
                <w:highlight w:val="none"/>
                <w:lang w:val="en-US" w:eastAsia="zh-CN"/>
              </w:rPr>
              <w:t>2130</w:t>
            </w:r>
          </w:p>
        </w:tc>
        <w:tc>
          <w:tcPr>
            <w:tcW w:w="1173" w:type="dxa"/>
            <w:vMerge w:val="restart"/>
            <w:noWrap w:val="0"/>
            <w:vAlign w:val="center"/>
          </w:tcPr>
          <w:p w14:paraId="71467B86">
            <w:pPr>
              <w:pStyle w:val="42"/>
              <w:spacing w:before="81" w:after="81"/>
              <w:textAlignment w:val="center"/>
              <w:rPr>
                <w:rFonts w:ascii="Times New Roman" w:hAnsi="Times New Roman"/>
                <w:szCs w:val="21"/>
                <w:highlight w:val="none"/>
              </w:rPr>
            </w:pPr>
            <w:r>
              <w:rPr>
                <w:rFonts w:ascii="Times New Roman" w:hAnsi="Times New Roman"/>
                <w:szCs w:val="21"/>
                <w:highlight w:val="none"/>
              </w:rPr>
              <w:t>布袋除尘器</w:t>
            </w:r>
          </w:p>
        </w:tc>
        <w:tc>
          <w:tcPr>
            <w:tcW w:w="874" w:type="dxa"/>
            <w:vMerge w:val="restart"/>
            <w:noWrap w:val="0"/>
            <w:vAlign w:val="center"/>
          </w:tcPr>
          <w:p w14:paraId="3B45BFEE">
            <w:pPr>
              <w:pStyle w:val="42"/>
              <w:spacing w:before="81" w:after="81"/>
              <w:textAlignment w:val="center"/>
              <w:rPr>
                <w:rFonts w:ascii="Times New Roman" w:hAnsi="Times New Roman"/>
                <w:szCs w:val="21"/>
                <w:highlight w:val="none"/>
              </w:rPr>
            </w:pPr>
            <w:r>
              <w:rPr>
                <w:rFonts w:ascii="Times New Roman" w:hAnsi="Times New Roman"/>
                <w:szCs w:val="21"/>
                <w:highlight w:val="none"/>
              </w:rPr>
              <w:t>99.96</w:t>
            </w:r>
          </w:p>
        </w:tc>
        <w:tc>
          <w:tcPr>
            <w:tcW w:w="805" w:type="dxa"/>
            <w:vMerge w:val="restart"/>
            <w:noWrap w:val="0"/>
            <w:vAlign w:val="center"/>
          </w:tcPr>
          <w:p w14:paraId="2E343884">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1245" w:type="dxa"/>
            <w:noWrap w:val="0"/>
            <w:vAlign w:val="center"/>
          </w:tcPr>
          <w:p w14:paraId="6CD72E3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264580</w:t>
            </w:r>
          </w:p>
        </w:tc>
        <w:tc>
          <w:tcPr>
            <w:tcW w:w="936" w:type="dxa"/>
            <w:noWrap w:val="0"/>
            <w:vAlign w:val="center"/>
          </w:tcPr>
          <w:p w14:paraId="730EFC3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3.23</w:t>
            </w:r>
          </w:p>
        </w:tc>
        <w:tc>
          <w:tcPr>
            <w:tcW w:w="951" w:type="dxa"/>
            <w:noWrap w:val="0"/>
            <w:vAlign w:val="center"/>
          </w:tcPr>
          <w:p w14:paraId="7873AFED">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0.85</w:t>
            </w:r>
          </w:p>
        </w:tc>
        <w:tc>
          <w:tcPr>
            <w:tcW w:w="913" w:type="dxa"/>
            <w:noWrap w:val="0"/>
            <w:vAlign w:val="center"/>
          </w:tcPr>
          <w:p w14:paraId="4DB1F09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384</w:t>
            </w:r>
          </w:p>
        </w:tc>
      </w:tr>
      <w:tr w14:paraId="4E6953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7ACB6026">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3842FAB2">
            <w:pPr>
              <w:pStyle w:val="42"/>
              <w:spacing w:before="81" w:after="81"/>
              <w:textAlignment w:val="center"/>
              <w:rPr>
                <w:rFonts w:hint="eastAsia" w:ascii="Times New Roman" w:hAnsi="Times New Roman"/>
                <w:szCs w:val="21"/>
                <w:highlight w:val="none"/>
                <w:lang w:val="en-US" w:eastAsia="zh-CN"/>
              </w:rPr>
            </w:pPr>
          </w:p>
        </w:tc>
        <w:tc>
          <w:tcPr>
            <w:tcW w:w="748" w:type="dxa"/>
            <w:vMerge w:val="continue"/>
            <w:noWrap w:val="0"/>
            <w:vAlign w:val="center"/>
          </w:tcPr>
          <w:p w14:paraId="5E6CE765">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75E058F1">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3DC163BF">
            <w:pPr>
              <w:pStyle w:val="42"/>
              <w:spacing w:before="81" w:after="81"/>
              <w:textAlignment w:val="center"/>
              <w:rPr>
                <w:rFonts w:ascii="Times New Roman" w:hAnsi="Times New Roman"/>
                <w:szCs w:val="21"/>
                <w:highlight w:val="none"/>
              </w:rPr>
            </w:pPr>
          </w:p>
        </w:tc>
        <w:tc>
          <w:tcPr>
            <w:tcW w:w="1430" w:type="dxa"/>
            <w:noWrap w:val="0"/>
            <w:vAlign w:val="center"/>
          </w:tcPr>
          <w:p w14:paraId="3651B8C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114936（使用58MW+35t/h锅炉）</w:t>
            </w:r>
          </w:p>
        </w:tc>
        <w:tc>
          <w:tcPr>
            <w:tcW w:w="1059" w:type="dxa"/>
            <w:noWrap w:val="0"/>
            <w:vAlign w:val="center"/>
          </w:tcPr>
          <w:p w14:paraId="41FBD2C8">
            <w:pPr>
              <w:pStyle w:val="42"/>
              <w:spacing w:before="81" w:after="81"/>
              <w:textAlignment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8048.04</w:t>
            </w:r>
          </w:p>
        </w:tc>
        <w:tc>
          <w:tcPr>
            <w:tcW w:w="887" w:type="dxa"/>
            <w:noWrap w:val="0"/>
            <w:vAlign w:val="center"/>
          </w:tcPr>
          <w:p w14:paraId="4BA88592">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920</w:t>
            </w:r>
          </w:p>
        </w:tc>
        <w:tc>
          <w:tcPr>
            <w:tcW w:w="1173" w:type="dxa"/>
            <w:vMerge w:val="continue"/>
            <w:noWrap w:val="0"/>
            <w:vAlign w:val="center"/>
          </w:tcPr>
          <w:p w14:paraId="608E6ED3">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3ED179F2">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119B9BEE">
            <w:pPr>
              <w:pStyle w:val="42"/>
              <w:spacing w:before="81" w:after="81"/>
              <w:textAlignment w:val="center"/>
              <w:rPr>
                <w:rFonts w:ascii="Times New Roman" w:hAnsi="Times New Roman"/>
                <w:szCs w:val="21"/>
                <w:highlight w:val="none"/>
              </w:rPr>
            </w:pPr>
          </w:p>
        </w:tc>
        <w:tc>
          <w:tcPr>
            <w:tcW w:w="1245" w:type="dxa"/>
            <w:noWrap w:val="0"/>
            <w:vAlign w:val="center"/>
          </w:tcPr>
          <w:p w14:paraId="6024919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114936</w:t>
            </w:r>
          </w:p>
        </w:tc>
        <w:tc>
          <w:tcPr>
            <w:tcW w:w="936" w:type="dxa"/>
            <w:noWrap w:val="0"/>
            <w:vAlign w:val="center"/>
          </w:tcPr>
          <w:p w14:paraId="45BC9EB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3.23</w:t>
            </w:r>
          </w:p>
        </w:tc>
        <w:tc>
          <w:tcPr>
            <w:tcW w:w="951" w:type="dxa"/>
            <w:noWrap w:val="0"/>
            <w:vAlign w:val="center"/>
          </w:tcPr>
          <w:p w14:paraId="6BAFCAF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0.36</w:t>
            </w:r>
          </w:p>
        </w:tc>
        <w:tc>
          <w:tcPr>
            <w:tcW w:w="913" w:type="dxa"/>
            <w:noWrap w:val="0"/>
            <w:vAlign w:val="center"/>
          </w:tcPr>
          <w:p w14:paraId="36A393A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2928</w:t>
            </w:r>
          </w:p>
        </w:tc>
      </w:tr>
      <w:tr w14:paraId="4540E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0689FCB9">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40089B24">
            <w:pPr>
              <w:pStyle w:val="42"/>
              <w:spacing w:before="81" w:after="81"/>
              <w:textAlignment w:val="center"/>
              <w:rPr>
                <w:rFonts w:hint="eastAsia" w:ascii="Times New Roman" w:hAnsi="Times New Roman"/>
                <w:szCs w:val="21"/>
                <w:highlight w:val="none"/>
                <w:lang w:val="en-US" w:eastAsia="zh-CN"/>
              </w:rPr>
            </w:pPr>
          </w:p>
        </w:tc>
        <w:tc>
          <w:tcPr>
            <w:tcW w:w="748" w:type="dxa"/>
            <w:vMerge w:val="continue"/>
            <w:noWrap w:val="0"/>
            <w:vAlign w:val="center"/>
          </w:tcPr>
          <w:p w14:paraId="69571C63">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437DCC1D">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6545AA95">
            <w:pPr>
              <w:pStyle w:val="42"/>
              <w:spacing w:before="81" w:after="81"/>
              <w:textAlignment w:val="center"/>
              <w:rPr>
                <w:rFonts w:ascii="Times New Roman" w:hAnsi="Times New Roman"/>
                <w:szCs w:val="21"/>
                <w:highlight w:val="none"/>
              </w:rPr>
            </w:pPr>
          </w:p>
        </w:tc>
        <w:tc>
          <w:tcPr>
            <w:tcW w:w="1430" w:type="dxa"/>
            <w:noWrap w:val="0"/>
            <w:vAlign w:val="center"/>
          </w:tcPr>
          <w:p w14:paraId="4C63459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298648（使用116MW+35t/h锅炉）</w:t>
            </w:r>
          </w:p>
        </w:tc>
        <w:tc>
          <w:tcPr>
            <w:tcW w:w="1059" w:type="dxa"/>
            <w:noWrap w:val="0"/>
            <w:vAlign w:val="center"/>
          </w:tcPr>
          <w:p w14:paraId="776CA609">
            <w:pPr>
              <w:pStyle w:val="42"/>
              <w:spacing w:before="81" w:after="81"/>
              <w:textAlignment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8048.04</w:t>
            </w:r>
          </w:p>
        </w:tc>
        <w:tc>
          <w:tcPr>
            <w:tcW w:w="887" w:type="dxa"/>
            <w:noWrap w:val="0"/>
            <w:vAlign w:val="center"/>
          </w:tcPr>
          <w:p w14:paraId="4FA2E95A">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2400</w:t>
            </w:r>
          </w:p>
        </w:tc>
        <w:tc>
          <w:tcPr>
            <w:tcW w:w="1173" w:type="dxa"/>
            <w:vMerge w:val="continue"/>
            <w:noWrap w:val="0"/>
            <w:vAlign w:val="center"/>
          </w:tcPr>
          <w:p w14:paraId="20201104">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54A6E9BC">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60B9A95F">
            <w:pPr>
              <w:pStyle w:val="42"/>
              <w:spacing w:before="81" w:after="81"/>
              <w:textAlignment w:val="center"/>
              <w:rPr>
                <w:rFonts w:ascii="Times New Roman" w:hAnsi="Times New Roman"/>
                <w:szCs w:val="21"/>
                <w:highlight w:val="none"/>
              </w:rPr>
            </w:pPr>
          </w:p>
        </w:tc>
        <w:tc>
          <w:tcPr>
            <w:tcW w:w="1245" w:type="dxa"/>
            <w:noWrap w:val="0"/>
            <w:vAlign w:val="center"/>
          </w:tcPr>
          <w:p w14:paraId="7C58F6E9">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298648</w:t>
            </w:r>
          </w:p>
        </w:tc>
        <w:tc>
          <w:tcPr>
            <w:tcW w:w="936" w:type="dxa"/>
            <w:noWrap w:val="0"/>
            <w:vAlign w:val="center"/>
          </w:tcPr>
          <w:p w14:paraId="4EE31A3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3.23</w:t>
            </w:r>
          </w:p>
        </w:tc>
        <w:tc>
          <w:tcPr>
            <w:tcW w:w="951" w:type="dxa"/>
            <w:noWrap w:val="0"/>
            <w:vAlign w:val="center"/>
          </w:tcPr>
          <w:p w14:paraId="04350C7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0.95</w:t>
            </w:r>
          </w:p>
        </w:tc>
        <w:tc>
          <w:tcPr>
            <w:tcW w:w="913" w:type="dxa"/>
            <w:noWrap w:val="0"/>
            <w:vAlign w:val="center"/>
          </w:tcPr>
          <w:p w14:paraId="5DC5328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864</w:t>
            </w:r>
          </w:p>
        </w:tc>
      </w:tr>
      <w:tr w14:paraId="1556C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0FA90E73">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D68441D">
            <w:pPr>
              <w:pStyle w:val="42"/>
              <w:spacing w:before="81" w:after="81"/>
              <w:textAlignment w:val="center"/>
              <w:rPr>
                <w:rFonts w:hint="eastAsia" w:ascii="Times New Roman" w:hAnsi="Times New Roman"/>
                <w:szCs w:val="21"/>
                <w:highlight w:val="none"/>
                <w:lang w:val="en-US" w:eastAsia="zh-CN"/>
              </w:rPr>
            </w:pPr>
          </w:p>
        </w:tc>
        <w:tc>
          <w:tcPr>
            <w:tcW w:w="748" w:type="dxa"/>
            <w:vMerge w:val="continue"/>
            <w:noWrap w:val="0"/>
            <w:vAlign w:val="center"/>
          </w:tcPr>
          <w:p w14:paraId="430AAE6D">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77BDF02E">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67B05D61">
            <w:pPr>
              <w:pStyle w:val="42"/>
              <w:spacing w:before="81" w:after="81"/>
              <w:textAlignment w:val="center"/>
              <w:rPr>
                <w:rFonts w:ascii="Times New Roman" w:hAnsi="Times New Roman"/>
                <w:szCs w:val="21"/>
                <w:highlight w:val="none"/>
              </w:rPr>
            </w:pPr>
          </w:p>
        </w:tc>
        <w:tc>
          <w:tcPr>
            <w:tcW w:w="1430" w:type="dxa"/>
            <w:noWrap w:val="0"/>
            <w:vAlign w:val="center"/>
          </w:tcPr>
          <w:p w14:paraId="00ADA8C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80864（使用58MW锅炉）</w:t>
            </w:r>
          </w:p>
        </w:tc>
        <w:tc>
          <w:tcPr>
            <w:tcW w:w="1059" w:type="dxa"/>
            <w:noWrap w:val="0"/>
            <w:vAlign w:val="center"/>
          </w:tcPr>
          <w:p w14:paraId="7276C7CA">
            <w:pPr>
              <w:pStyle w:val="42"/>
              <w:spacing w:before="81" w:after="81"/>
              <w:textAlignment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8048.04</w:t>
            </w:r>
          </w:p>
        </w:tc>
        <w:tc>
          <w:tcPr>
            <w:tcW w:w="887" w:type="dxa"/>
            <w:noWrap w:val="0"/>
            <w:vAlign w:val="center"/>
          </w:tcPr>
          <w:p w14:paraId="03D89DAB">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650</w:t>
            </w:r>
          </w:p>
        </w:tc>
        <w:tc>
          <w:tcPr>
            <w:tcW w:w="1173" w:type="dxa"/>
            <w:vMerge w:val="continue"/>
            <w:noWrap w:val="0"/>
            <w:vAlign w:val="center"/>
          </w:tcPr>
          <w:p w14:paraId="65612EC5">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743428F0">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15F41A67">
            <w:pPr>
              <w:pStyle w:val="42"/>
              <w:spacing w:before="81" w:after="81"/>
              <w:textAlignment w:val="center"/>
              <w:rPr>
                <w:rFonts w:ascii="Times New Roman" w:hAnsi="Times New Roman"/>
                <w:szCs w:val="21"/>
                <w:highlight w:val="none"/>
              </w:rPr>
            </w:pPr>
          </w:p>
        </w:tc>
        <w:tc>
          <w:tcPr>
            <w:tcW w:w="1245" w:type="dxa"/>
            <w:noWrap w:val="0"/>
            <w:vAlign w:val="center"/>
          </w:tcPr>
          <w:p w14:paraId="0702569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80864</w:t>
            </w:r>
          </w:p>
        </w:tc>
        <w:tc>
          <w:tcPr>
            <w:tcW w:w="936" w:type="dxa"/>
            <w:noWrap w:val="0"/>
            <w:vAlign w:val="center"/>
          </w:tcPr>
          <w:p w14:paraId="239102A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3.23</w:t>
            </w:r>
          </w:p>
        </w:tc>
        <w:tc>
          <w:tcPr>
            <w:tcW w:w="951" w:type="dxa"/>
            <w:noWrap w:val="0"/>
            <w:vAlign w:val="center"/>
          </w:tcPr>
          <w:p w14:paraId="34E5865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0.26</w:t>
            </w:r>
          </w:p>
        </w:tc>
        <w:tc>
          <w:tcPr>
            <w:tcW w:w="913" w:type="dxa"/>
            <w:noWrap w:val="0"/>
            <w:vAlign w:val="center"/>
          </w:tcPr>
          <w:p w14:paraId="014F7AA6">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720</w:t>
            </w:r>
          </w:p>
        </w:tc>
      </w:tr>
      <w:tr w14:paraId="7ADD71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9683580">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1B9B4405">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75506565">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76E20F07">
            <w:pPr>
              <w:pStyle w:val="42"/>
              <w:spacing w:before="81" w:after="81"/>
              <w:textAlignment w:val="center"/>
              <w:rPr>
                <w:rFonts w:ascii="Times New Roman" w:hAnsi="Times New Roman"/>
                <w:szCs w:val="21"/>
                <w:highlight w:val="none"/>
              </w:rPr>
            </w:pPr>
            <w:r>
              <w:rPr>
                <w:rFonts w:ascii="Times New Roman" w:hAnsi="Times New Roman"/>
                <w:szCs w:val="21"/>
                <w:highlight w:val="none"/>
              </w:rPr>
              <w:t>SO</w:t>
            </w:r>
            <w:r>
              <w:rPr>
                <w:rFonts w:ascii="Times New Roman" w:hAnsi="Times New Roman"/>
                <w:szCs w:val="21"/>
                <w:highlight w:val="none"/>
                <w:vertAlign w:val="subscript"/>
              </w:rPr>
              <w:t>2</w:t>
            </w:r>
          </w:p>
        </w:tc>
        <w:tc>
          <w:tcPr>
            <w:tcW w:w="660" w:type="dxa"/>
            <w:vMerge w:val="continue"/>
            <w:noWrap w:val="0"/>
            <w:vAlign w:val="center"/>
          </w:tcPr>
          <w:p w14:paraId="734EBAD7">
            <w:pPr>
              <w:pStyle w:val="42"/>
              <w:spacing w:before="81" w:after="81"/>
              <w:textAlignment w:val="center"/>
              <w:rPr>
                <w:rFonts w:ascii="Times New Roman" w:hAnsi="Times New Roman"/>
                <w:szCs w:val="21"/>
                <w:highlight w:val="none"/>
              </w:rPr>
            </w:pPr>
          </w:p>
        </w:tc>
        <w:tc>
          <w:tcPr>
            <w:tcW w:w="1430" w:type="dxa"/>
            <w:noWrap w:val="0"/>
            <w:vAlign w:val="center"/>
          </w:tcPr>
          <w:p w14:paraId="1C5B404E">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78B9B94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324.882</w:t>
            </w:r>
          </w:p>
        </w:tc>
        <w:tc>
          <w:tcPr>
            <w:tcW w:w="887" w:type="dxa"/>
            <w:noWrap w:val="0"/>
            <w:vAlign w:val="center"/>
          </w:tcPr>
          <w:p w14:paraId="683DBA9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86</w:t>
            </w:r>
          </w:p>
        </w:tc>
        <w:tc>
          <w:tcPr>
            <w:tcW w:w="1173" w:type="dxa"/>
            <w:vMerge w:val="restart"/>
            <w:noWrap w:val="0"/>
            <w:vAlign w:val="center"/>
          </w:tcPr>
          <w:p w14:paraId="21ACCD1D">
            <w:pPr>
              <w:pStyle w:val="42"/>
              <w:spacing w:before="81" w:after="81"/>
              <w:textAlignment w:val="center"/>
              <w:rPr>
                <w:rFonts w:ascii="Times New Roman" w:hAnsi="Times New Roman"/>
                <w:szCs w:val="21"/>
                <w:highlight w:val="none"/>
              </w:rPr>
            </w:pPr>
            <w:r>
              <w:rPr>
                <w:rFonts w:ascii="Times New Roman" w:hAnsi="Times New Roman"/>
                <w:szCs w:val="21"/>
                <w:highlight w:val="none"/>
              </w:rPr>
              <w:t>石灰石/石膏法</w:t>
            </w:r>
          </w:p>
        </w:tc>
        <w:tc>
          <w:tcPr>
            <w:tcW w:w="874" w:type="dxa"/>
            <w:vMerge w:val="restart"/>
            <w:noWrap w:val="0"/>
            <w:vAlign w:val="center"/>
          </w:tcPr>
          <w:p w14:paraId="6904C51A">
            <w:pPr>
              <w:pStyle w:val="42"/>
              <w:spacing w:before="81" w:after="81"/>
              <w:textAlignment w:val="center"/>
              <w:rPr>
                <w:rFonts w:ascii="Times New Roman" w:hAnsi="Times New Roman"/>
                <w:szCs w:val="21"/>
                <w:highlight w:val="none"/>
              </w:rPr>
            </w:pPr>
            <w:r>
              <w:rPr>
                <w:rFonts w:ascii="Times New Roman" w:hAnsi="Times New Roman"/>
                <w:szCs w:val="21"/>
                <w:highlight w:val="none"/>
              </w:rPr>
              <w:t>97</w:t>
            </w:r>
          </w:p>
        </w:tc>
        <w:tc>
          <w:tcPr>
            <w:tcW w:w="805" w:type="dxa"/>
            <w:vMerge w:val="continue"/>
            <w:noWrap w:val="0"/>
            <w:vAlign w:val="center"/>
          </w:tcPr>
          <w:p w14:paraId="503A848C">
            <w:pPr>
              <w:pStyle w:val="42"/>
              <w:spacing w:before="81" w:after="81"/>
              <w:textAlignment w:val="center"/>
              <w:rPr>
                <w:rFonts w:ascii="Times New Roman" w:hAnsi="Times New Roman"/>
                <w:szCs w:val="21"/>
                <w:highlight w:val="none"/>
              </w:rPr>
            </w:pPr>
          </w:p>
        </w:tc>
        <w:tc>
          <w:tcPr>
            <w:tcW w:w="1245" w:type="dxa"/>
            <w:noWrap w:val="0"/>
            <w:vAlign w:val="center"/>
          </w:tcPr>
          <w:p w14:paraId="238DFBC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5C9064B9">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9.746</w:t>
            </w:r>
          </w:p>
        </w:tc>
        <w:tc>
          <w:tcPr>
            <w:tcW w:w="951" w:type="dxa"/>
            <w:noWrap w:val="0"/>
            <w:vAlign w:val="center"/>
          </w:tcPr>
          <w:p w14:paraId="6D67EC2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2.58</w:t>
            </w:r>
          </w:p>
        </w:tc>
        <w:tc>
          <w:tcPr>
            <w:tcW w:w="913" w:type="dxa"/>
            <w:noWrap w:val="0"/>
            <w:vAlign w:val="center"/>
          </w:tcPr>
          <w:p w14:paraId="63D9A619">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384</w:t>
            </w:r>
          </w:p>
        </w:tc>
      </w:tr>
      <w:tr w14:paraId="03D036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28ABFA5">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565FAFE5">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3A0372CC">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34D7AD97">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A42A290">
            <w:pPr>
              <w:pStyle w:val="42"/>
              <w:spacing w:before="81" w:after="81"/>
              <w:textAlignment w:val="center"/>
              <w:rPr>
                <w:rFonts w:ascii="Times New Roman" w:hAnsi="Times New Roman"/>
                <w:szCs w:val="21"/>
                <w:highlight w:val="none"/>
              </w:rPr>
            </w:pPr>
          </w:p>
        </w:tc>
        <w:tc>
          <w:tcPr>
            <w:tcW w:w="1430" w:type="dxa"/>
            <w:noWrap w:val="0"/>
            <w:vAlign w:val="center"/>
          </w:tcPr>
          <w:p w14:paraId="495737C3">
            <w:pPr>
              <w:pStyle w:val="42"/>
              <w:spacing w:before="81" w:after="81"/>
              <w:ind w:firstLine="0" w:firstLineChars="0"/>
              <w:textAlignment w:val="center"/>
              <w:rPr>
                <w:rFonts w:hint="default" w:ascii="Times New Roman" w:hAnsi="Times New Roman"/>
                <w:szCs w:val="21"/>
                <w:highlight w:val="none"/>
                <w:lang w:val="en-US"/>
              </w:rPr>
            </w:pPr>
            <w:r>
              <w:rPr>
                <w:rFonts w:hint="eastAsia" w:ascii="Times New Roman" w:hAnsi="Times New Roman"/>
                <w:szCs w:val="21"/>
                <w:highlight w:val="none"/>
                <w:lang w:val="en-US" w:eastAsia="zh-CN"/>
              </w:rPr>
              <w:t>114936（使用58MW+35t/h锅炉）</w:t>
            </w:r>
          </w:p>
        </w:tc>
        <w:tc>
          <w:tcPr>
            <w:tcW w:w="1059" w:type="dxa"/>
            <w:noWrap w:val="0"/>
            <w:vAlign w:val="center"/>
          </w:tcPr>
          <w:p w14:paraId="113F03B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324.882</w:t>
            </w:r>
          </w:p>
        </w:tc>
        <w:tc>
          <w:tcPr>
            <w:tcW w:w="887" w:type="dxa"/>
            <w:noWrap w:val="0"/>
            <w:vAlign w:val="center"/>
          </w:tcPr>
          <w:p w14:paraId="6E4B210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37</w:t>
            </w:r>
          </w:p>
        </w:tc>
        <w:tc>
          <w:tcPr>
            <w:tcW w:w="1173" w:type="dxa"/>
            <w:vMerge w:val="continue"/>
            <w:noWrap w:val="0"/>
            <w:vAlign w:val="center"/>
          </w:tcPr>
          <w:p w14:paraId="0E816F28">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5914345D">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2FF8FCA8">
            <w:pPr>
              <w:pStyle w:val="42"/>
              <w:spacing w:before="81" w:after="81"/>
              <w:textAlignment w:val="center"/>
              <w:rPr>
                <w:rFonts w:ascii="Times New Roman" w:hAnsi="Times New Roman"/>
                <w:szCs w:val="21"/>
                <w:highlight w:val="none"/>
              </w:rPr>
            </w:pPr>
          </w:p>
        </w:tc>
        <w:tc>
          <w:tcPr>
            <w:tcW w:w="1245" w:type="dxa"/>
            <w:noWrap w:val="0"/>
            <w:vAlign w:val="center"/>
          </w:tcPr>
          <w:p w14:paraId="08EF05B3">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594E81F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9.746</w:t>
            </w:r>
          </w:p>
        </w:tc>
        <w:tc>
          <w:tcPr>
            <w:tcW w:w="951" w:type="dxa"/>
            <w:noWrap w:val="0"/>
            <w:vAlign w:val="center"/>
          </w:tcPr>
          <w:p w14:paraId="2793396C">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1.12</w:t>
            </w:r>
          </w:p>
        </w:tc>
        <w:tc>
          <w:tcPr>
            <w:tcW w:w="913" w:type="dxa"/>
            <w:noWrap w:val="0"/>
            <w:vAlign w:val="center"/>
          </w:tcPr>
          <w:p w14:paraId="4F357B16">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2928</w:t>
            </w:r>
          </w:p>
        </w:tc>
      </w:tr>
      <w:tr w14:paraId="20A52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2143332B">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1A4EEE0F">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39366237">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2A88174F">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16AC7078">
            <w:pPr>
              <w:pStyle w:val="42"/>
              <w:spacing w:before="81" w:after="81"/>
              <w:textAlignment w:val="center"/>
              <w:rPr>
                <w:rFonts w:ascii="Times New Roman" w:hAnsi="Times New Roman"/>
                <w:szCs w:val="21"/>
                <w:highlight w:val="none"/>
              </w:rPr>
            </w:pPr>
          </w:p>
        </w:tc>
        <w:tc>
          <w:tcPr>
            <w:tcW w:w="1430" w:type="dxa"/>
            <w:noWrap w:val="0"/>
            <w:vAlign w:val="center"/>
          </w:tcPr>
          <w:p w14:paraId="7E9491A5">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28DD6FD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324.882</w:t>
            </w:r>
          </w:p>
        </w:tc>
        <w:tc>
          <w:tcPr>
            <w:tcW w:w="887" w:type="dxa"/>
            <w:noWrap w:val="0"/>
            <w:vAlign w:val="center"/>
          </w:tcPr>
          <w:p w14:paraId="3F8EE56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97</w:t>
            </w:r>
          </w:p>
        </w:tc>
        <w:tc>
          <w:tcPr>
            <w:tcW w:w="1173" w:type="dxa"/>
            <w:vMerge w:val="continue"/>
            <w:noWrap w:val="0"/>
            <w:vAlign w:val="center"/>
          </w:tcPr>
          <w:p w14:paraId="3FB854D5">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05ECD1BF">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2AF64382">
            <w:pPr>
              <w:pStyle w:val="42"/>
              <w:spacing w:before="81" w:after="81"/>
              <w:textAlignment w:val="center"/>
              <w:rPr>
                <w:rFonts w:ascii="Times New Roman" w:hAnsi="Times New Roman"/>
                <w:szCs w:val="21"/>
                <w:highlight w:val="none"/>
              </w:rPr>
            </w:pPr>
          </w:p>
        </w:tc>
        <w:tc>
          <w:tcPr>
            <w:tcW w:w="1245" w:type="dxa"/>
            <w:noWrap w:val="0"/>
            <w:vAlign w:val="center"/>
          </w:tcPr>
          <w:p w14:paraId="1E70CE8E">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0CC91B3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9.746</w:t>
            </w:r>
          </w:p>
        </w:tc>
        <w:tc>
          <w:tcPr>
            <w:tcW w:w="951" w:type="dxa"/>
            <w:noWrap w:val="0"/>
            <w:vAlign w:val="center"/>
          </w:tcPr>
          <w:p w14:paraId="39D80C4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2.91</w:t>
            </w:r>
          </w:p>
        </w:tc>
        <w:tc>
          <w:tcPr>
            <w:tcW w:w="913" w:type="dxa"/>
            <w:noWrap w:val="0"/>
            <w:vAlign w:val="center"/>
          </w:tcPr>
          <w:p w14:paraId="5B607548">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864</w:t>
            </w:r>
          </w:p>
        </w:tc>
      </w:tr>
      <w:tr w14:paraId="2CA455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227C6B19">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5ECA78F3">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1BD23488">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2251327C">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0D633B43">
            <w:pPr>
              <w:pStyle w:val="42"/>
              <w:spacing w:before="81" w:after="81"/>
              <w:textAlignment w:val="center"/>
              <w:rPr>
                <w:rFonts w:ascii="Times New Roman" w:hAnsi="Times New Roman"/>
                <w:szCs w:val="21"/>
                <w:highlight w:val="none"/>
              </w:rPr>
            </w:pPr>
          </w:p>
        </w:tc>
        <w:tc>
          <w:tcPr>
            <w:tcW w:w="1430" w:type="dxa"/>
            <w:noWrap w:val="0"/>
            <w:vAlign w:val="center"/>
          </w:tcPr>
          <w:p w14:paraId="54757B6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18443DC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324.882</w:t>
            </w:r>
          </w:p>
        </w:tc>
        <w:tc>
          <w:tcPr>
            <w:tcW w:w="887" w:type="dxa"/>
            <w:noWrap w:val="0"/>
            <w:vAlign w:val="center"/>
          </w:tcPr>
          <w:p w14:paraId="2DDBCEF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26</w:t>
            </w:r>
          </w:p>
        </w:tc>
        <w:tc>
          <w:tcPr>
            <w:tcW w:w="1173" w:type="dxa"/>
            <w:vMerge w:val="continue"/>
            <w:noWrap w:val="0"/>
            <w:vAlign w:val="center"/>
          </w:tcPr>
          <w:p w14:paraId="54A9B4CC">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69D28386">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8872BC7">
            <w:pPr>
              <w:pStyle w:val="42"/>
              <w:spacing w:before="81" w:after="81"/>
              <w:textAlignment w:val="center"/>
              <w:rPr>
                <w:rFonts w:ascii="Times New Roman" w:hAnsi="Times New Roman"/>
                <w:szCs w:val="21"/>
                <w:highlight w:val="none"/>
              </w:rPr>
            </w:pPr>
          </w:p>
        </w:tc>
        <w:tc>
          <w:tcPr>
            <w:tcW w:w="1245" w:type="dxa"/>
            <w:noWrap w:val="0"/>
            <w:vAlign w:val="center"/>
          </w:tcPr>
          <w:p w14:paraId="05E2573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3A0CAA9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9.746</w:t>
            </w:r>
          </w:p>
        </w:tc>
        <w:tc>
          <w:tcPr>
            <w:tcW w:w="951" w:type="dxa"/>
            <w:noWrap w:val="0"/>
            <w:vAlign w:val="center"/>
          </w:tcPr>
          <w:p w14:paraId="529B5F02">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0.788</w:t>
            </w:r>
          </w:p>
        </w:tc>
        <w:tc>
          <w:tcPr>
            <w:tcW w:w="913" w:type="dxa"/>
            <w:noWrap w:val="0"/>
            <w:vAlign w:val="center"/>
          </w:tcPr>
          <w:p w14:paraId="51352364">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720</w:t>
            </w:r>
          </w:p>
        </w:tc>
      </w:tr>
      <w:tr w14:paraId="7A9271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continue"/>
            <w:noWrap w:val="0"/>
            <w:vAlign w:val="center"/>
          </w:tcPr>
          <w:p w14:paraId="3AFC9796">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7794566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04D20ACD">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3AA11CD5">
            <w:pPr>
              <w:pStyle w:val="42"/>
              <w:spacing w:before="81" w:after="81"/>
              <w:textAlignment w:val="center"/>
              <w:rPr>
                <w:rFonts w:ascii="Times New Roman" w:hAnsi="Times New Roman"/>
                <w:szCs w:val="21"/>
                <w:highlight w:val="none"/>
              </w:rPr>
            </w:pPr>
            <w:r>
              <w:rPr>
                <w:rFonts w:ascii="Times New Roman" w:hAnsi="Times New Roman"/>
                <w:szCs w:val="21"/>
                <w:highlight w:val="none"/>
              </w:rPr>
              <w:t>NOx</w:t>
            </w:r>
          </w:p>
        </w:tc>
        <w:tc>
          <w:tcPr>
            <w:tcW w:w="660" w:type="dxa"/>
            <w:vMerge w:val="continue"/>
            <w:noWrap w:val="0"/>
            <w:vAlign w:val="center"/>
          </w:tcPr>
          <w:p w14:paraId="03A9828C">
            <w:pPr>
              <w:pStyle w:val="42"/>
              <w:spacing w:before="81" w:after="81"/>
              <w:textAlignment w:val="center"/>
              <w:rPr>
                <w:rFonts w:ascii="Times New Roman" w:hAnsi="Times New Roman"/>
                <w:szCs w:val="21"/>
                <w:highlight w:val="none"/>
              </w:rPr>
            </w:pPr>
          </w:p>
        </w:tc>
        <w:tc>
          <w:tcPr>
            <w:tcW w:w="1430" w:type="dxa"/>
            <w:noWrap w:val="0"/>
            <w:vAlign w:val="center"/>
          </w:tcPr>
          <w:p w14:paraId="58D6EF57">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5C2BCAC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113D047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eastAsia="宋体"/>
                <w:szCs w:val="21"/>
                <w:highlight w:val="none"/>
                <w:lang w:val="en-US" w:eastAsia="zh-CN"/>
              </w:rPr>
              <w:t>240</w:t>
            </w:r>
          </w:p>
        </w:tc>
        <w:tc>
          <w:tcPr>
            <w:tcW w:w="1173" w:type="dxa"/>
            <w:vMerge w:val="restart"/>
            <w:noWrap w:val="0"/>
            <w:vAlign w:val="center"/>
          </w:tcPr>
          <w:p w14:paraId="5A052601">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lang w:val="en-US" w:eastAsia="zh-CN"/>
              </w:rPr>
              <w:t>低氮燃烧</w:t>
            </w:r>
            <w:r>
              <w:rPr>
                <w:rFonts w:ascii="Times New Roman" w:hAnsi="Times New Roman"/>
                <w:szCs w:val="21"/>
                <w:highlight w:val="none"/>
              </w:rPr>
              <w:t>SNCR-SCR法脱硝</w:t>
            </w:r>
          </w:p>
        </w:tc>
        <w:tc>
          <w:tcPr>
            <w:tcW w:w="874" w:type="dxa"/>
            <w:vMerge w:val="restart"/>
            <w:noWrap w:val="0"/>
            <w:vAlign w:val="center"/>
          </w:tcPr>
          <w:p w14:paraId="273333C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99</w:t>
            </w:r>
          </w:p>
        </w:tc>
        <w:tc>
          <w:tcPr>
            <w:tcW w:w="805" w:type="dxa"/>
            <w:vMerge w:val="continue"/>
            <w:noWrap w:val="0"/>
            <w:vAlign w:val="center"/>
          </w:tcPr>
          <w:p w14:paraId="1C4D622F">
            <w:pPr>
              <w:pStyle w:val="42"/>
              <w:spacing w:before="81" w:after="81"/>
              <w:textAlignment w:val="center"/>
              <w:rPr>
                <w:rFonts w:ascii="Times New Roman" w:hAnsi="Times New Roman"/>
                <w:szCs w:val="21"/>
                <w:highlight w:val="none"/>
              </w:rPr>
            </w:pPr>
          </w:p>
        </w:tc>
        <w:tc>
          <w:tcPr>
            <w:tcW w:w="1245" w:type="dxa"/>
            <w:noWrap w:val="0"/>
            <w:vAlign w:val="center"/>
          </w:tcPr>
          <w:p w14:paraId="2870AF1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544C158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9.07</w:t>
            </w:r>
          </w:p>
        </w:tc>
        <w:tc>
          <w:tcPr>
            <w:tcW w:w="951" w:type="dxa"/>
            <w:noWrap w:val="0"/>
            <w:vAlign w:val="center"/>
          </w:tcPr>
          <w:p w14:paraId="06FDA76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2.4</w:t>
            </w:r>
          </w:p>
        </w:tc>
        <w:tc>
          <w:tcPr>
            <w:tcW w:w="913" w:type="dxa"/>
            <w:noWrap w:val="0"/>
            <w:vAlign w:val="center"/>
          </w:tcPr>
          <w:p w14:paraId="258AB101">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384</w:t>
            </w:r>
          </w:p>
        </w:tc>
      </w:tr>
      <w:tr w14:paraId="07DC3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88" w:type="dxa"/>
            <w:vMerge w:val="continue"/>
            <w:noWrap w:val="0"/>
            <w:vAlign w:val="center"/>
          </w:tcPr>
          <w:p w14:paraId="2620C9DB">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68096CF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98000F4">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18D80ED1">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4E55BE96">
            <w:pPr>
              <w:pStyle w:val="42"/>
              <w:spacing w:before="81" w:after="81"/>
              <w:textAlignment w:val="center"/>
              <w:rPr>
                <w:rFonts w:ascii="Times New Roman" w:hAnsi="Times New Roman"/>
                <w:szCs w:val="21"/>
                <w:highlight w:val="none"/>
              </w:rPr>
            </w:pPr>
          </w:p>
        </w:tc>
        <w:tc>
          <w:tcPr>
            <w:tcW w:w="1430" w:type="dxa"/>
            <w:noWrap w:val="0"/>
            <w:vAlign w:val="center"/>
          </w:tcPr>
          <w:p w14:paraId="28181DD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6C3C71ED">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661767C3">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105</w:t>
            </w:r>
          </w:p>
        </w:tc>
        <w:tc>
          <w:tcPr>
            <w:tcW w:w="1173" w:type="dxa"/>
            <w:vMerge w:val="continue"/>
            <w:noWrap w:val="0"/>
            <w:vAlign w:val="center"/>
          </w:tcPr>
          <w:p w14:paraId="2F5275E9">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693085EA">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1AE9B963">
            <w:pPr>
              <w:pStyle w:val="42"/>
              <w:spacing w:before="81" w:after="81"/>
              <w:textAlignment w:val="center"/>
              <w:rPr>
                <w:rFonts w:ascii="Times New Roman" w:hAnsi="Times New Roman"/>
                <w:szCs w:val="21"/>
                <w:highlight w:val="none"/>
              </w:rPr>
            </w:pPr>
          </w:p>
        </w:tc>
        <w:tc>
          <w:tcPr>
            <w:tcW w:w="1245" w:type="dxa"/>
            <w:noWrap w:val="0"/>
            <w:vAlign w:val="center"/>
          </w:tcPr>
          <w:p w14:paraId="55598E9E">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795A9F19">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9.07</w:t>
            </w:r>
          </w:p>
        </w:tc>
        <w:tc>
          <w:tcPr>
            <w:tcW w:w="951" w:type="dxa"/>
            <w:noWrap w:val="0"/>
            <w:vAlign w:val="center"/>
          </w:tcPr>
          <w:p w14:paraId="1EBCF88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1.05</w:t>
            </w:r>
          </w:p>
        </w:tc>
        <w:tc>
          <w:tcPr>
            <w:tcW w:w="913" w:type="dxa"/>
            <w:noWrap w:val="0"/>
            <w:vAlign w:val="center"/>
          </w:tcPr>
          <w:p w14:paraId="45184566">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2928</w:t>
            </w:r>
          </w:p>
        </w:tc>
      </w:tr>
      <w:tr w14:paraId="39BC23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88" w:type="dxa"/>
            <w:vMerge w:val="continue"/>
            <w:noWrap w:val="0"/>
            <w:vAlign w:val="center"/>
          </w:tcPr>
          <w:p w14:paraId="73970A1D">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44BD935">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731D5081">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7474C2A8">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741306F8">
            <w:pPr>
              <w:pStyle w:val="42"/>
              <w:spacing w:before="81" w:after="81"/>
              <w:textAlignment w:val="center"/>
              <w:rPr>
                <w:rFonts w:ascii="Times New Roman" w:hAnsi="Times New Roman"/>
                <w:szCs w:val="21"/>
                <w:highlight w:val="none"/>
              </w:rPr>
            </w:pPr>
          </w:p>
        </w:tc>
        <w:tc>
          <w:tcPr>
            <w:tcW w:w="1430" w:type="dxa"/>
            <w:noWrap w:val="0"/>
            <w:vAlign w:val="center"/>
          </w:tcPr>
          <w:p w14:paraId="7187836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0BF49050">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4370284B">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271</w:t>
            </w:r>
          </w:p>
        </w:tc>
        <w:tc>
          <w:tcPr>
            <w:tcW w:w="1173" w:type="dxa"/>
            <w:vMerge w:val="continue"/>
            <w:noWrap w:val="0"/>
            <w:vAlign w:val="center"/>
          </w:tcPr>
          <w:p w14:paraId="63E24112">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72E3D416">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2E7F1B3D">
            <w:pPr>
              <w:pStyle w:val="42"/>
              <w:spacing w:before="81" w:after="81"/>
              <w:textAlignment w:val="center"/>
              <w:rPr>
                <w:rFonts w:ascii="Times New Roman" w:hAnsi="Times New Roman"/>
                <w:szCs w:val="21"/>
                <w:highlight w:val="none"/>
              </w:rPr>
            </w:pPr>
          </w:p>
        </w:tc>
        <w:tc>
          <w:tcPr>
            <w:tcW w:w="1245" w:type="dxa"/>
            <w:noWrap w:val="0"/>
            <w:vAlign w:val="center"/>
          </w:tcPr>
          <w:p w14:paraId="4CA1851E">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6BC019C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9.07</w:t>
            </w:r>
          </w:p>
        </w:tc>
        <w:tc>
          <w:tcPr>
            <w:tcW w:w="951" w:type="dxa"/>
            <w:noWrap w:val="0"/>
            <w:vAlign w:val="center"/>
          </w:tcPr>
          <w:p w14:paraId="37C96A36">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2.71</w:t>
            </w:r>
          </w:p>
        </w:tc>
        <w:tc>
          <w:tcPr>
            <w:tcW w:w="913" w:type="dxa"/>
            <w:noWrap w:val="0"/>
            <w:vAlign w:val="center"/>
          </w:tcPr>
          <w:p w14:paraId="2411B21F">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864</w:t>
            </w:r>
          </w:p>
        </w:tc>
      </w:tr>
      <w:tr w14:paraId="3C8E22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88" w:type="dxa"/>
            <w:vMerge w:val="continue"/>
            <w:noWrap w:val="0"/>
            <w:vAlign w:val="center"/>
          </w:tcPr>
          <w:p w14:paraId="537BFDD9">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2E80EC7A">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4448CB90">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26B6B816">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18EDF628">
            <w:pPr>
              <w:pStyle w:val="42"/>
              <w:spacing w:before="81" w:after="81"/>
              <w:textAlignment w:val="center"/>
              <w:rPr>
                <w:rFonts w:ascii="Times New Roman" w:hAnsi="Times New Roman"/>
                <w:szCs w:val="21"/>
                <w:highlight w:val="none"/>
              </w:rPr>
            </w:pPr>
          </w:p>
        </w:tc>
        <w:tc>
          <w:tcPr>
            <w:tcW w:w="1430" w:type="dxa"/>
            <w:noWrap w:val="0"/>
            <w:vAlign w:val="center"/>
          </w:tcPr>
          <w:p w14:paraId="302DC2A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20C7DFE2">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7805B133">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31</w:t>
            </w:r>
          </w:p>
        </w:tc>
        <w:tc>
          <w:tcPr>
            <w:tcW w:w="1173" w:type="dxa"/>
            <w:vMerge w:val="continue"/>
            <w:noWrap w:val="0"/>
            <w:vAlign w:val="center"/>
          </w:tcPr>
          <w:p w14:paraId="406A4058">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693D8A86">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317EAFD3">
            <w:pPr>
              <w:pStyle w:val="42"/>
              <w:spacing w:before="81" w:after="81"/>
              <w:textAlignment w:val="center"/>
              <w:rPr>
                <w:rFonts w:ascii="Times New Roman" w:hAnsi="Times New Roman"/>
                <w:szCs w:val="21"/>
                <w:highlight w:val="none"/>
              </w:rPr>
            </w:pPr>
          </w:p>
        </w:tc>
        <w:tc>
          <w:tcPr>
            <w:tcW w:w="1245" w:type="dxa"/>
            <w:noWrap w:val="0"/>
            <w:vAlign w:val="center"/>
          </w:tcPr>
          <w:p w14:paraId="2B3F978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80864</w:t>
            </w:r>
          </w:p>
        </w:tc>
        <w:tc>
          <w:tcPr>
            <w:tcW w:w="936" w:type="dxa"/>
            <w:noWrap w:val="0"/>
            <w:vAlign w:val="center"/>
          </w:tcPr>
          <w:p w14:paraId="7B1A70C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9.07</w:t>
            </w:r>
          </w:p>
        </w:tc>
        <w:tc>
          <w:tcPr>
            <w:tcW w:w="951" w:type="dxa"/>
            <w:noWrap w:val="0"/>
            <w:vAlign w:val="center"/>
          </w:tcPr>
          <w:p w14:paraId="2879893D">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0.31</w:t>
            </w:r>
          </w:p>
        </w:tc>
        <w:tc>
          <w:tcPr>
            <w:tcW w:w="913" w:type="dxa"/>
            <w:noWrap w:val="0"/>
            <w:vAlign w:val="center"/>
          </w:tcPr>
          <w:p w14:paraId="1FC4AF17">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720</w:t>
            </w:r>
          </w:p>
        </w:tc>
      </w:tr>
      <w:tr w14:paraId="04F19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3575459F">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1920C0E3">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F8DDACF">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52C93AC5">
            <w:pPr>
              <w:pStyle w:val="42"/>
              <w:spacing w:before="81" w:after="81"/>
              <w:textAlignment w:val="center"/>
              <w:rPr>
                <w:rFonts w:ascii="Times New Roman" w:hAnsi="Times New Roman"/>
                <w:szCs w:val="21"/>
                <w:highlight w:val="none"/>
              </w:rPr>
            </w:pPr>
            <w:r>
              <w:rPr>
                <w:rFonts w:ascii="Times New Roman" w:hAnsi="Times New Roman"/>
                <w:szCs w:val="21"/>
                <w:highlight w:val="none"/>
              </w:rPr>
              <w:t>汞及其化合物</w:t>
            </w:r>
          </w:p>
        </w:tc>
        <w:tc>
          <w:tcPr>
            <w:tcW w:w="660" w:type="dxa"/>
            <w:vMerge w:val="continue"/>
            <w:noWrap w:val="0"/>
            <w:vAlign w:val="center"/>
          </w:tcPr>
          <w:p w14:paraId="1091C395">
            <w:pPr>
              <w:pStyle w:val="42"/>
              <w:spacing w:before="81" w:after="81"/>
              <w:textAlignment w:val="center"/>
              <w:rPr>
                <w:rFonts w:ascii="Times New Roman" w:hAnsi="Times New Roman"/>
                <w:szCs w:val="21"/>
                <w:highlight w:val="none"/>
              </w:rPr>
            </w:pPr>
          </w:p>
        </w:tc>
        <w:tc>
          <w:tcPr>
            <w:tcW w:w="1430" w:type="dxa"/>
            <w:noWrap w:val="0"/>
            <w:vAlign w:val="center"/>
          </w:tcPr>
          <w:p w14:paraId="22994953">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6B12E52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0.024</w:t>
            </w:r>
          </w:p>
        </w:tc>
        <w:tc>
          <w:tcPr>
            <w:tcW w:w="887" w:type="dxa"/>
            <w:noWrap w:val="0"/>
            <w:vAlign w:val="center"/>
          </w:tcPr>
          <w:p w14:paraId="00E254B9">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0.00647</w:t>
            </w:r>
          </w:p>
        </w:tc>
        <w:tc>
          <w:tcPr>
            <w:tcW w:w="1173" w:type="dxa"/>
            <w:vMerge w:val="restart"/>
            <w:noWrap w:val="0"/>
            <w:vAlign w:val="center"/>
          </w:tcPr>
          <w:p w14:paraId="131B6271">
            <w:pPr>
              <w:pStyle w:val="42"/>
              <w:spacing w:before="81" w:after="81"/>
              <w:textAlignment w:val="center"/>
              <w:rPr>
                <w:rFonts w:ascii="Times New Roman" w:hAnsi="Times New Roman"/>
                <w:szCs w:val="21"/>
                <w:highlight w:val="none"/>
              </w:rPr>
            </w:pPr>
            <w:r>
              <w:rPr>
                <w:rFonts w:ascii="Times New Roman" w:hAnsi="Times New Roman"/>
                <w:szCs w:val="21"/>
                <w:highlight w:val="none"/>
              </w:rPr>
              <w:t>协同控制</w:t>
            </w:r>
          </w:p>
        </w:tc>
        <w:tc>
          <w:tcPr>
            <w:tcW w:w="874" w:type="dxa"/>
            <w:vMerge w:val="restart"/>
            <w:noWrap w:val="0"/>
            <w:vAlign w:val="center"/>
          </w:tcPr>
          <w:p w14:paraId="2751319E">
            <w:pPr>
              <w:pStyle w:val="42"/>
              <w:spacing w:before="81" w:after="81"/>
              <w:textAlignment w:val="center"/>
              <w:rPr>
                <w:rFonts w:ascii="Times New Roman" w:hAnsi="Times New Roman"/>
                <w:szCs w:val="21"/>
                <w:highlight w:val="none"/>
              </w:rPr>
            </w:pPr>
            <w:r>
              <w:rPr>
                <w:rFonts w:ascii="Times New Roman" w:hAnsi="Times New Roman"/>
                <w:szCs w:val="21"/>
                <w:highlight w:val="none"/>
              </w:rPr>
              <w:t>70</w:t>
            </w:r>
          </w:p>
        </w:tc>
        <w:tc>
          <w:tcPr>
            <w:tcW w:w="805" w:type="dxa"/>
            <w:vMerge w:val="continue"/>
            <w:noWrap w:val="0"/>
            <w:vAlign w:val="center"/>
          </w:tcPr>
          <w:p w14:paraId="70C92A44">
            <w:pPr>
              <w:pStyle w:val="42"/>
              <w:spacing w:before="81" w:after="81"/>
              <w:textAlignment w:val="center"/>
              <w:rPr>
                <w:rFonts w:ascii="Times New Roman" w:hAnsi="Times New Roman"/>
                <w:szCs w:val="21"/>
                <w:highlight w:val="none"/>
              </w:rPr>
            </w:pPr>
          </w:p>
        </w:tc>
        <w:tc>
          <w:tcPr>
            <w:tcW w:w="1245" w:type="dxa"/>
            <w:noWrap w:val="0"/>
            <w:vAlign w:val="center"/>
          </w:tcPr>
          <w:p w14:paraId="32FE3C8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7E624A3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0.0073</w:t>
            </w:r>
          </w:p>
        </w:tc>
        <w:tc>
          <w:tcPr>
            <w:tcW w:w="951" w:type="dxa"/>
            <w:noWrap w:val="0"/>
            <w:vAlign w:val="center"/>
          </w:tcPr>
          <w:p w14:paraId="3D4C9CA9">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0.00194</w:t>
            </w:r>
          </w:p>
        </w:tc>
        <w:tc>
          <w:tcPr>
            <w:tcW w:w="913" w:type="dxa"/>
            <w:noWrap w:val="0"/>
            <w:vAlign w:val="center"/>
          </w:tcPr>
          <w:p w14:paraId="39C1AD39">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384</w:t>
            </w:r>
          </w:p>
        </w:tc>
      </w:tr>
      <w:tr w14:paraId="0593B0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87ED39F">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411227D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718B9727">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41AF3B10">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24EEA888">
            <w:pPr>
              <w:pStyle w:val="42"/>
              <w:spacing w:before="81" w:after="81"/>
              <w:textAlignment w:val="center"/>
              <w:rPr>
                <w:rFonts w:ascii="Times New Roman" w:hAnsi="Times New Roman"/>
                <w:szCs w:val="21"/>
                <w:highlight w:val="none"/>
              </w:rPr>
            </w:pPr>
          </w:p>
        </w:tc>
        <w:tc>
          <w:tcPr>
            <w:tcW w:w="1430" w:type="dxa"/>
            <w:noWrap w:val="0"/>
            <w:vAlign w:val="center"/>
          </w:tcPr>
          <w:p w14:paraId="5C5F5B40">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37AA18E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0.024</w:t>
            </w:r>
          </w:p>
        </w:tc>
        <w:tc>
          <w:tcPr>
            <w:tcW w:w="887" w:type="dxa"/>
            <w:noWrap w:val="0"/>
            <w:vAlign w:val="center"/>
          </w:tcPr>
          <w:p w14:paraId="639A05E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0.00281</w:t>
            </w:r>
          </w:p>
        </w:tc>
        <w:tc>
          <w:tcPr>
            <w:tcW w:w="1173" w:type="dxa"/>
            <w:vMerge w:val="continue"/>
            <w:noWrap w:val="0"/>
            <w:vAlign w:val="center"/>
          </w:tcPr>
          <w:p w14:paraId="0C6BEECD">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746F1786">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1AFDEA7B">
            <w:pPr>
              <w:pStyle w:val="42"/>
              <w:spacing w:before="81" w:after="81"/>
              <w:textAlignment w:val="center"/>
              <w:rPr>
                <w:rFonts w:ascii="Times New Roman" w:hAnsi="Times New Roman"/>
                <w:szCs w:val="21"/>
                <w:highlight w:val="none"/>
              </w:rPr>
            </w:pPr>
          </w:p>
        </w:tc>
        <w:tc>
          <w:tcPr>
            <w:tcW w:w="1245" w:type="dxa"/>
            <w:noWrap w:val="0"/>
            <w:vAlign w:val="center"/>
          </w:tcPr>
          <w:p w14:paraId="6408FF78">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6631532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0.0073</w:t>
            </w:r>
          </w:p>
        </w:tc>
        <w:tc>
          <w:tcPr>
            <w:tcW w:w="951" w:type="dxa"/>
            <w:noWrap w:val="0"/>
            <w:vAlign w:val="center"/>
          </w:tcPr>
          <w:p w14:paraId="22968C6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0.000844</w:t>
            </w:r>
          </w:p>
        </w:tc>
        <w:tc>
          <w:tcPr>
            <w:tcW w:w="913" w:type="dxa"/>
            <w:noWrap w:val="0"/>
            <w:vAlign w:val="center"/>
          </w:tcPr>
          <w:p w14:paraId="5E14FC9C">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2928</w:t>
            </w:r>
          </w:p>
        </w:tc>
      </w:tr>
      <w:tr w14:paraId="29CFB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66298080">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7D187182">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37941712">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1175A976">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1942F696">
            <w:pPr>
              <w:pStyle w:val="42"/>
              <w:spacing w:before="81" w:after="81"/>
              <w:textAlignment w:val="center"/>
              <w:rPr>
                <w:rFonts w:ascii="Times New Roman" w:hAnsi="Times New Roman"/>
                <w:szCs w:val="21"/>
                <w:highlight w:val="none"/>
              </w:rPr>
            </w:pPr>
          </w:p>
        </w:tc>
        <w:tc>
          <w:tcPr>
            <w:tcW w:w="1430" w:type="dxa"/>
            <w:noWrap w:val="0"/>
            <w:vAlign w:val="center"/>
          </w:tcPr>
          <w:p w14:paraId="0B214A71">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674F891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0.024</w:t>
            </w:r>
          </w:p>
        </w:tc>
        <w:tc>
          <w:tcPr>
            <w:tcW w:w="887" w:type="dxa"/>
            <w:noWrap w:val="0"/>
            <w:vAlign w:val="center"/>
          </w:tcPr>
          <w:p w14:paraId="767FCF1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0.0073</w:t>
            </w:r>
          </w:p>
        </w:tc>
        <w:tc>
          <w:tcPr>
            <w:tcW w:w="1173" w:type="dxa"/>
            <w:vMerge w:val="continue"/>
            <w:noWrap w:val="0"/>
            <w:vAlign w:val="center"/>
          </w:tcPr>
          <w:p w14:paraId="70AC1486">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2D656110">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23AF5672">
            <w:pPr>
              <w:pStyle w:val="42"/>
              <w:spacing w:before="81" w:after="81"/>
              <w:textAlignment w:val="center"/>
              <w:rPr>
                <w:rFonts w:ascii="Times New Roman" w:hAnsi="Times New Roman"/>
                <w:szCs w:val="21"/>
                <w:highlight w:val="none"/>
              </w:rPr>
            </w:pPr>
          </w:p>
        </w:tc>
        <w:tc>
          <w:tcPr>
            <w:tcW w:w="1245" w:type="dxa"/>
            <w:noWrap w:val="0"/>
            <w:vAlign w:val="center"/>
          </w:tcPr>
          <w:p w14:paraId="37DDA87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6090A50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0.0073</w:t>
            </w:r>
          </w:p>
        </w:tc>
        <w:tc>
          <w:tcPr>
            <w:tcW w:w="951" w:type="dxa"/>
            <w:noWrap w:val="0"/>
            <w:vAlign w:val="center"/>
          </w:tcPr>
          <w:p w14:paraId="1AB72C5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0.00219</w:t>
            </w:r>
          </w:p>
        </w:tc>
        <w:tc>
          <w:tcPr>
            <w:tcW w:w="913" w:type="dxa"/>
            <w:noWrap w:val="0"/>
            <w:vAlign w:val="center"/>
          </w:tcPr>
          <w:p w14:paraId="56D71644">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864</w:t>
            </w:r>
          </w:p>
        </w:tc>
      </w:tr>
      <w:tr w14:paraId="3A45AF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A576FED">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74C8627F">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23C2255E">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35FF8E5F">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0F1DE26">
            <w:pPr>
              <w:pStyle w:val="42"/>
              <w:spacing w:before="81" w:after="81"/>
              <w:textAlignment w:val="center"/>
              <w:rPr>
                <w:rFonts w:ascii="Times New Roman" w:hAnsi="Times New Roman"/>
                <w:szCs w:val="21"/>
                <w:highlight w:val="none"/>
              </w:rPr>
            </w:pPr>
          </w:p>
        </w:tc>
        <w:tc>
          <w:tcPr>
            <w:tcW w:w="1430" w:type="dxa"/>
            <w:noWrap w:val="0"/>
            <w:vAlign w:val="center"/>
          </w:tcPr>
          <w:p w14:paraId="63350F0A">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27230BB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0.024</w:t>
            </w:r>
          </w:p>
        </w:tc>
        <w:tc>
          <w:tcPr>
            <w:tcW w:w="887" w:type="dxa"/>
            <w:noWrap w:val="0"/>
            <w:vAlign w:val="center"/>
          </w:tcPr>
          <w:p w14:paraId="515C529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0.00198</w:t>
            </w:r>
          </w:p>
        </w:tc>
        <w:tc>
          <w:tcPr>
            <w:tcW w:w="1173" w:type="dxa"/>
            <w:vMerge w:val="continue"/>
            <w:noWrap w:val="0"/>
            <w:vAlign w:val="center"/>
          </w:tcPr>
          <w:p w14:paraId="378FA631">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27AF4B10">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3A156655">
            <w:pPr>
              <w:pStyle w:val="42"/>
              <w:spacing w:before="81" w:after="81"/>
              <w:textAlignment w:val="center"/>
              <w:rPr>
                <w:rFonts w:ascii="Times New Roman" w:hAnsi="Times New Roman"/>
                <w:szCs w:val="21"/>
                <w:highlight w:val="none"/>
              </w:rPr>
            </w:pPr>
          </w:p>
        </w:tc>
        <w:tc>
          <w:tcPr>
            <w:tcW w:w="1245" w:type="dxa"/>
            <w:noWrap w:val="0"/>
            <w:vAlign w:val="center"/>
          </w:tcPr>
          <w:p w14:paraId="481D447C">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6C9FC702">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0.0073</w:t>
            </w:r>
          </w:p>
        </w:tc>
        <w:tc>
          <w:tcPr>
            <w:tcW w:w="951" w:type="dxa"/>
            <w:noWrap w:val="0"/>
            <w:vAlign w:val="center"/>
          </w:tcPr>
          <w:p w14:paraId="582E468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0.000594</w:t>
            </w:r>
          </w:p>
        </w:tc>
        <w:tc>
          <w:tcPr>
            <w:tcW w:w="913" w:type="dxa"/>
            <w:noWrap w:val="0"/>
            <w:vAlign w:val="center"/>
          </w:tcPr>
          <w:p w14:paraId="32751AFE">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720</w:t>
            </w:r>
          </w:p>
        </w:tc>
      </w:tr>
      <w:tr w14:paraId="226DBC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1322DDF">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8337350">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549FBFC8">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02F180B4">
            <w:pPr>
              <w:pStyle w:val="42"/>
              <w:spacing w:before="81" w:after="81"/>
              <w:textAlignment w:val="center"/>
              <w:rPr>
                <w:rFonts w:ascii="Times New Roman" w:hAnsi="Times New Roman"/>
                <w:szCs w:val="21"/>
                <w:highlight w:val="none"/>
              </w:rPr>
            </w:pPr>
            <w:r>
              <w:rPr>
                <w:rFonts w:ascii="Times New Roman" w:hAnsi="Times New Roman"/>
                <w:szCs w:val="21"/>
                <w:highlight w:val="none"/>
              </w:rPr>
              <w:t>逃逸氨</w:t>
            </w:r>
          </w:p>
        </w:tc>
        <w:tc>
          <w:tcPr>
            <w:tcW w:w="660" w:type="dxa"/>
            <w:vMerge w:val="continue"/>
            <w:noWrap w:val="0"/>
            <w:vAlign w:val="center"/>
          </w:tcPr>
          <w:p w14:paraId="7FF88A18">
            <w:pPr>
              <w:pStyle w:val="42"/>
              <w:spacing w:before="81" w:after="81"/>
              <w:textAlignment w:val="center"/>
              <w:rPr>
                <w:rFonts w:ascii="Times New Roman" w:hAnsi="Times New Roman"/>
                <w:szCs w:val="21"/>
                <w:highlight w:val="none"/>
              </w:rPr>
            </w:pPr>
          </w:p>
        </w:tc>
        <w:tc>
          <w:tcPr>
            <w:tcW w:w="1430" w:type="dxa"/>
            <w:noWrap w:val="0"/>
            <w:vAlign w:val="center"/>
          </w:tcPr>
          <w:p w14:paraId="0A3185C6">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1358A5B1">
            <w:pPr>
              <w:pStyle w:val="42"/>
              <w:spacing w:before="81" w:after="81"/>
              <w:textAlignment w:val="center"/>
              <w:rPr>
                <w:rFonts w:ascii="Times New Roman" w:hAnsi="Times New Roman"/>
                <w:szCs w:val="21"/>
                <w:highlight w:val="none"/>
              </w:rPr>
            </w:pPr>
            <w:r>
              <w:rPr>
                <w:rFonts w:ascii="Times New Roman" w:hAnsi="Times New Roman"/>
                <w:szCs w:val="21"/>
                <w:highlight w:val="none"/>
              </w:rPr>
              <w:t>2.5</w:t>
            </w:r>
          </w:p>
        </w:tc>
        <w:tc>
          <w:tcPr>
            <w:tcW w:w="887" w:type="dxa"/>
            <w:noWrap w:val="0"/>
            <w:vAlign w:val="center"/>
          </w:tcPr>
          <w:p w14:paraId="6EF8C14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0.66</w:t>
            </w:r>
          </w:p>
        </w:tc>
        <w:tc>
          <w:tcPr>
            <w:tcW w:w="1173" w:type="dxa"/>
            <w:vMerge w:val="restart"/>
            <w:noWrap w:val="0"/>
            <w:vAlign w:val="center"/>
          </w:tcPr>
          <w:p w14:paraId="0852D50C">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874" w:type="dxa"/>
            <w:vMerge w:val="restart"/>
            <w:noWrap w:val="0"/>
            <w:vAlign w:val="center"/>
          </w:tcPr>
          <w:p w14:paraId="70747099">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805" w:type="dxa"/>
            <w:vMerge w:val="continue"/>
            <w:noWrap w:val="0"/>
            <w:vAlign w:val="center"/>
          </w:tcPr>
          <w:p w14:paraId="4A8A0CAC">
            <w:pPr>
              <w:pStyle w:val="42"/>
              <w:spacing w:before="81" w:after="81"/>
              <w:textAlignment w:val="center"/>
              <w:rPr>
                <w:rFonts w:ascii="Times New Roman" w:hAnsi="Times New Roman"/>
                <w:szCs w:val="21"/>
                <w:highlight w:val="none"/>
              </w:rPr>
            </w:pPr>
          </w:p>
        </w:tc>
        <w:tc>
          <w:tcPr>
            <w:tcW w:w="1245" w:type="dxa"/>
            <w:noWrap w:val="0"/>
            <w:vAlign w:val="center"/>
          </w:tcPr>
          <w:p w14:paraId="70662CA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2772C515">
            <w:pPr>
              <w:pStyle w:val="42"/>
              <w:spacing w:before="81" w:after="81"/>
              <w:ind w:firstLine="0" w:firstLineChars="0"/>
              <w:textAlignment w:val="center"/>
              <w:rPr>
                <w:rFonts w:ascii="Times New Roman" w:hAnsi="Times New Roman"/>
                <w:szCs w:val="21"/>
                <w:highlight w:val="none"/>
              </w:rPr>
            </w:pPr>
            <w:r>
              <w:rPr>
                <w:rFonts w:ascii="Times New Roman" w:hAnsi="Times New Roman"/>
                <w:szCs w:val="21"/>
                <w:highlight w:val="none"/>
              </w:rPr>
              <w:t>2.5</w:t>
            </w:r>
          </w:p>
        </w:tc>
        <w:tc>
          <w:tcPr>
            <w:tcW w:w="951" w:type="dxa"/>
            <w:noWrap w:val="0"/>
            <w:vAlign w:val="center"/>
          </w:tcPr>
          <w:p w14:paraId="5394690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0.66</w:t>
            </w:r>
          </w:p>
        </w:tc>
        <w:tc>
          <w:tcPr>
            <w:tcW w:w="913" w:type="dxa"/>
            <w:noWrap w:val="0"/>
            <w:vAlign w:val="center"/>
          </w:tcPr>
          <w:p w14:paraId="2C2E956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384</w:t>
            </w:r>
          </w:p>
        </w:tc>
      </w:tr>
      <w:tr w14:paraId="398C3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6335C548">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707CA9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56BB2F6D">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459BBEC9">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0B57F279">
            <w:pPr>
              <w:pStyle w:val="42"/>
              <w:spacing w:before="81" w:after="81"/>
              <w:textAlignment w:val="center"/>
              <w:rPr>
                <w:rFonts w:ascii="Times New Roman" w:hAnsi="Times New Roman"/>
                <w:szCs w:val="21"/>
                <w:highlight w:val="none"/>
              </w:rPr>
            </w:pPr>
          </w:p>
        </w:tc>
        <w:tc>
          <w:tcPr>
            <w:tcW w:w="1430" w:type="dxa"/>
            <w:noWrap w:val="0"/>
            <w:vAlign w:val="center"/>
          </w:tcPr>
          <w:p w14:paraId="6E2CD15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7EC5317D">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w:t>
            </w:r>
          </w:p>
        </w:tc>
        <w:tc>
          <w:tcPr>
            <w:tcW w:w="887" w:type="dxa"/>
            <w:noWrap w:val="0"/>
            <w:vAlign w:val="center"/>
          </w:tcPr>
          <w:p w14:paraId="6490695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0.287</w:t>
            </w:r>
          </w:p>
        </w:tc>
        <w:tc>
          <w:tcPr>
            <w:tcW w:w="1173" w:type="dxa"/>
            <w:vMerge w:val="continue"/>
            <w:noWrap w:val="0"/>
            <w:vAlign w:val="center"/>
          </w:tcPr>
          <w:p w14:paraId="44A2F38E">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0CB37C41">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65DA1354">
            <w:pPr>
              <w:pStyle w:val="42"/>
              <w:spacing w:before="81" w:after="81"/>
              <w:textAlignment w:val="center"/>
              <w:rPr>
                <w:rFonts w:ascii="Times New Roman" w:hAnsi="Times New Roman"/>
                <w:szCs w:val="21"/>
                <w:highlight w:val="none"/>
              </w:rPr>
            </w:pPr>
          </w:p>
        </w:tc>
        <w:tc>
          <w:tcPr>
            <w:tcW w:w="1245" w:type="dxa"/>
            <w:noWrap w:val="0"/>
            <w:vAlign w:val="center"/>
          </w:tcPr>
          <w:p w14:paraId="36FFB280">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59F5E00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2.5</w:t>
            </w:r>
          </w:p>
        </w:tc>
        <w:tc>
          <w:tcPr>
            <w:tcW w:w="951" w:type="dxa"/>
            <w:noWrap w:val="0"/>
            <w:vAlign w:val="center"/>
          </w:tcPr>
          <w:p w14:paraId="091931BA">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0.287</w:t>
            </w:r>
          </w:p>
        </w:tc>
        <w:tc>
          <w:tcPr>
            <w:tcW w:w="913" w:type="dxa"/>
            <w:noWrap w:val="0"/>
            <w:vAlign w:val="center"/>
          </w:tcPr>
          <w:p w14:paraId="1FE2A016">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2928</w:t>
            </w:r>
          </w:p>
        </w:tc>
      </w:tr>
      <w:tr w14:paraId="13892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874533A">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31EBB9E8">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898BA22">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298B9993">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7BC15D28">
            <w:pPr>
              <w:pStyle w:val="42"/>
              <w:spacing w:before="81" w:after="81"/>
              <w:textAlignment w:val="center"/>
              <w:rPr>
                <w:rFonts w:ascii="Times New Roman" w:hAnsi="Times New Roman"/>
                <w:szCs w:val="21"/>
                <w:highlight w:val="none"/>
              </w:rPr>
            </w:pPr>
          </w:p>
        </w:tc>
        <w:tc>
          <w:tcPr>
            <w:tcW w:w="1430" w:type="dxa"/>
            <w:noWrap w:val="0"/>
            <w:vAlign w:val="center"/>
          </w:tcPr>
          <w:p w14:paraId="023E9CBE">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5DEAFB7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w:t>
            </w:r>
          </w:p>
        </w:tc>
        <w:tc>
          <w:tcPr>
            <w:tcW w:w="887" w:type="dxa"/>
            <w:noWrap w:val="0"/>
            <w:vAlign w:val="center"/>
          </w:tcPr>
          <w:p w14:paraId="0D7C0886">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0.745</w:t>
            </w:r>
          </w:p>
        </w:tc>
        <w:tc>
          <w:tcPr>
            <w:tcW w:w="1173" w:type="dxa"/>
            <w:vMerge w:val="continue"/>
            <w:noWrap w:val="0"/>
            <w:vAlign w:val="center"/>
          </w:tcPr>
          <w:p w14:paraId="31D33FEE">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1B66609D">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74C82C7">
            <w:pPr>
              <w:pStyle w:val="42"/>
              <w:spacing w:before="81" w:after="81"/>
              <w:textAlignment w:val="center"/>
              <w:rPr>
                <w:rFonts w:ascii="Times New Roman" w:hAnsi="Times New Roman"/>
                <w:szCs w:val="21"/>
                <w:highlight w:val="none"/>
              </w:rPr>
            </w:pPr>
          </w:p>
        </w:tc>
        <w:tc>
          <w:tcPr>
            <w:tcW w:w="1245" w:type="dxa"/>
            <w:noWrap w:val="0"/>
            <w:vAlign w:val="center"/>
          </w:tcPr>
          <w:p w14:paraId="1D747F79">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6AD049E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2.5</w:t>
            </w:r>
          </w:p>
        </w:tc>
        <w:tc>
          <w:tcPr>
            <w:tcW w:w="951" w:type="dxa"/>
            <w:noWrap w:val="0"/>
            <w:vAlign w:val="center"/>
          </w:tcPr>
          <w:p w14:paraId="2B7FC720">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0.745</w:t>
            </w:r>
          </w:p>
        </w:tc>
        <w:tc>
          <w:tcPr>
            <w:tcW w:w="913" w:type="dxa"/>
            <w:noWrap w:val="0"/>
            <w:vAlign w:val="center"/>
          </w:tcPr>
          <w:p w14:paraId="308A5C2B">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864</w:t>
            </w:r>
          </w:p>
        </w:tc>
      </w:tr>
      <w:tr w14:paraId="304983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7D45E7BF">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49381956">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65EFC89">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5E875C1F">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4D1647C">
            <w:pPr>
              <w:pStyle w:val="42"/>
              <w:spacing w:before="81" w:after="81"/>
              <w:textAlignment w:val="center"/>
              <w:rPr>
                <w:rFonts w:ascii="Times New Roman" w:hAnsi="Times New Roman"/>
                <w:szCs w:val="21"/>
                <w:highlight w:val="none"/>
              </w:rPr>
            </w:pPr>
          </w:p>
        </w:tc>
        <w:tc>
          <w:tcPr>
            <w:tcW w:w="1430" w:type="dxa"/>
            <w:noWrap w:val="0"/>
            <w:vAlign w:val="center"/>
          </w:tcPr>
          <w:p w14:paraId="5884AC9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3869705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w:t>
            </w:r>
          </w:p>
        </w:tc>
        <w:tc>
          <w:tcPr>
            <w:tcW w:w="887" w:type="dxa"/>
            <w:noWrap w:val="0"/>
            <w:vAlign w:val="center"/>
          </w:tcPr>
          <w:p w14:paraId="4EF91BD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0.202</w:t>
            </w:r>
          </w:p>
        </w:tc>
        <w:tc>
          <w:tcPr>
            <w:tcW w:w="1173" w:type="dxa"/>
            <w:vMerge w:val="continue"/>
            <w:noWrap w:val="0"/>
            <w:vAlign w:val="center"/>
          </w:tcPr>
          <w:p w14:paraId="465B42CD">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6F429FDE">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501C3A9">
            <w:pPr>
              <w:pStyle w:val="42"/>
              <w:spacing w:before="81" w:after="81"/>
              <w:textAlignment w:val="center"/>
              <w:rPr>
                <w:rFonts w:ascii="Times New Roman" w:hAnsi="Times New Roman"/>
                <w:szCs w:val="21"/>
                <w:highlight w:val="none"/>
              </w:rPr>
            </w:pPr>
          </w:p>
        </w:tc>
        <w:tc>
          <w:tcPr>
            <w:tcW w:w="1245" w:type="dxa"/>
            <w:noWrap w:val="0"/>
            <w:vAlign w:val="center"/>
          </w:tcPr>
          <w:p w14:paraId="702EC4D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6E6003C5">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2.5</w:t>
            </w:r>
          </w:p>
        </w:tc>
        <w:tc>
          <w:tcPr>
            <w:tcW w:w="951" w:type="dxa"/>
            <w:noWrap w:val="0"/>
            <w:vAlign w:val="center"/>
          </w:tcPr>
          <w:p w14:paraId="397CA0E1">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0.202</w:t>
            </w:r>
          </w:p>
        </w:tc>
        <w:tc>
          <w:tcPr>
            <w:tcW w:w="913" w:type="dxa"/>
            <w:noWrap w:val="0"/>
            <w:vAlign w:val="center"/>
          </w:tcPr>
          <w:p w14:paraId="16177730">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720</w:t>
            </w:r>
          </w:p>
        </w:tc>
      </w:tr>
      <w:tr w14:paraId="54B72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9971668">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4FC426CF">
            <w:pPr>
              <w:pStyle w:val="42"/>
              <w:spacing w:before="81" w:after="81"/>
              <w:textAlignment w:val="center"/>
              <w:rPr>
                <w:rFonts w:ascii="Times New Roman" w:hAnsi="Times New Roman"/>
                <w:szCs w:val="21"/>
                <w:highlight w:val="none"/>
              </w:rPr>
            </w:pPr>
          </w:p>
        </w:tc>
        <w:tc>
          <w:tcPr>
            <w:tcW w:w="748" w:type="dxa"/>
            <w:vMerge w:val="restart"/>
            <w:noWrap w:val="0"/>
            <w:vAlign w:val="center"/>
          </w:tcPr>
          <w:p w14:paraId="69C709B3">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lang w:val="en-US" w:eastAsia="zh-CN"/>
              </w:rPr>
              <w:t>60</w:t>
            </w:r>
            <w:r>
              <w:rPr>
                <w:rFonts w:ascii="Times New Roman" w:hAnsi="Times New Roman"/>
                <w:szCs w:val="21"/>
                <w:highlight w:val="none"/>
              </w:rPr>
              <w:t>m烟囱（非正常工况）</w:t>
            </w:r>
          </w:p>
        </w:tc>
        <w:tc>
          <w:tcPr>
            <w:tcW w:w="737" w:type="dxa"/>
            <w:vMerge w:val="restart"/>
            <w:noWrap w:val="0"/>
            <w:vAlign w:val="center"/>
          </w:tcPr>
          <w:p w14:paraId="2CD04299">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烟尘</w:t>
            </w:r>
          </w:p>
        </w:tc>
        <w:tc>
          <w:tcPr>
            <w:tcW w:w="660" w:type="dxa"/>
            <w:vMerge w:val="restart"/>
            <w:noWrap w:val="0"/>
            <w:vAlign w:val="center"/>
          </w:tcPr>
          <w:p w14:paraId="71549A87">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1430" w:type="dxa"/>
            <w:noWrap w:val="0"/>
            <w:vAlign w:val="center"/>
          </w:tcPr>
          <w:p w14:paraId="6DDB2EE3">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7CB09876">
            <w:pPr>
              <w:pStyle w:val="42"/>
              <w:spacing w:before="81" w:after="81"/>
              <w:ind w:firstLine="0" w:firstLineChars="0"/>
              <w:textAlignment w:val="center"/>
              <w:rPr>
                <w:rFonts w:ascii="Times New Roman" w:hAnsi="Times New Roman"/>
                <w:spacing w:val="-6"/>
                <w:szCs w:val="21"/>
                <w:highlight w:val="none"/>
              </w:rPr>
            </w:pPr>
            <w:r>
              <w:rPr>
                <w:rFonts w:hint="eastAsia" w:ascii="Times New Roman" w:hAnsi="Times New Roman" w:eastAsia="宋体"/>
                <w:szCs w:val="21"/>
                <w:highlight w:val="none"/>
                <w:lang w:val="en-US" w:eastAsia="zh-CN"/>
              </w:rPr>
              <w:t>8048.04</w:t>
            </w:r>
          </w:p>
        </w:tc>
        <w:tc>
          <w:tcPr>
            <w:tcW w:w="887" w:type="dxa"/>
            <w:noWrap w:val="0"/>
            <w:vAlign w:val="center"/>
          </w:tcPr>
          <w:p w14:paraId="3B0B2F1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eastAsia="宋体"/>
                <w:szCs w:val="21"/>
                <w:highlight w:val="none"/>
                <w:lang w:val="en-US" w:eastAsia="zh-CN"/>
              </w:rPr>
              <w:t>2130</w:t>
            </w:r>
          </w:p>
        </w:tc>
        <w:tc>
          <w:tcPr>
            <w:tcW w:w="1173" w:type="dxa"/>
            <w:vMerge w:val="restart"/>
            <w:noWrap w:val="0"/>
            <w:vAlign w:val="center"/>
          </w:tcPr>
          <w:p w14:paraId="7D02BEF5">
            <w:pPr>
              <w:pStyle w:val="42"/>
              <w:spacing w:before="81" w:after="81"/>
              <w:textAlignment w:val="center"/>
              <w:rPr>
                <w:rFonts w:ascii="Times New Roman" w:hAnsi="Times New Roman"/>
                <w:szCs w:val="21"/>
                <w:highlight w:val="none"/>
              </w:rPr>
            </w:pPr>
            <w:r>
              <w:rPr>
                <w:rFonts w:ascii="Times New Roman" w:hAnsi="Times New Roman"/>
                <w:szCs w:val="21"/>
                <w:highlight w:val="none"/>
              </w:rPr>
              <w:t>除尘器滤袋破损</w:t>
            </w:r>
          </w:p>
        </w:tc>
        <w:tc>
          <w:tcPr>
            <w:tcW w:w="874" w:type="dxa"/>
            <w:vMerge w:val="restart"/>
            <w:noWrap w:val="0"/>
            <w:vAlign w:val="center"/>
          </w:tcPr>
          <w:p w14:paraId="3F8D3F95">
            <w:pPr>
              <w:pStyle w:val="42"/>
              <w:spacing w:before="81" w:after="81"/>
              <w:textAlignment w:val="center"/>
              <w:rPr>
                <w:rFonts w:hint="eastAsia" w:ascii="Times New Roman" w:hAnsi="Times New Roman" w:eastAsia="新宋体"/>
                <w:szCs w:val="21"/>
                <w:highlight w:val="none"/>
                <w:lang w:eastAsia="zh-CN"/>
              </w:rPr>
            </w:pPr>
            <w:r>
              <w:rPr>
                <w:rFonts w:ascii="Times New Roman" w:hAnsi="Times New Roman"/>
                <w:szCs w:val="21"/>
                <w:highlight w:val="none"/>
              </w:rPr>
              <w:t>99.</w:t>
            </w:r>
            <w:r>
              <w:rPr>
                <w:rFonts w:hint="eastAsia" w:ascii="Times New Roman" w:hAnsi="Times New Roman"/>
                <w:szCs w:val="21"/>
                <w:highlight w:val="none"/>
                <w:lang w:val="en-US" w:eastAsia="zh-CN"/>
              </w:rPr>
              <w:t>8</w:t>
            </w:r>
          </w:p>
        </w:tc>
        <w:tc>
          <w:tcPr>
            <w:tcW w:w="805" w:type="dxa"/>
            <w:vMerge w:val="continue"/>
            <w:noWrap w:val="0"/>
            <w:vAlign w:val="center"/>
          </w:tcPr>
          <w:p w14:paraId="3E600928">
            <w:pPr>
              <w:pStyle w:val="42"/>
              <w:spacing w:before="81" w:after="81"/>
              <w:textAlignment w:val="center"/>
              <w:rPr>
                <w:rFonts w:ascii="Times New Roman" w:hAnsi="Times New Roman"/>
                <w:szCs w:val="21"/>
                <w:highlight w:val="none"/>
              </w:rPr>
            </w:pPr>
          </w:p>
        </w:tc>
        <w:tc>
          <w:tcPr>
            <w:tcW w:w="1245" w:type="dxa"/>
            <w:noWrap w:val="0"/>
            <w:vAlign w:val="center"/>
          </w:tcPr>
          <w:p w14:paraId="1222690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2E88160B">
            <w:pPr>
              <w:spacing w:line="240" w:lineRule="auto"/>
              <w:ind w:firstLine="0" w:firstLineChars="0"/>
              <w:jc w:val="center"/>
              <w:textAlignment w:val="center"/>
              <w:rPr>
                <w:rFonts w:ascii="Times New Roman" w:hAnsi="Times New Roman"/>
                <w:highlight w:val="none"/>
              </w:rPr>
            </w:pPr>
            <w:r>
              <w:rPr>
                <w:rFonts w:hint="eastAsia" w:ascii="Times New Roman" w:hAnsi="Times New Roman"/>
                <w:sz w:val="21"/>
                <w:highlight w:val="none"/>
                <w:lang w:val="en-US" w:eastAsia="zh-CN"/>
              </w:rPr>
              <w:t>16.09</w:t>
            </w:r>
          </w:p>
        </w:tc>
        <w:tc>
          <w:tcPr>
            <w:tcW w:w="951" w:type="dxa"/>
            <w:noWrap w:val="0"/>
            <w:vAlign w:val="center"/>
          </w:tcPr>
          <w:p w14:paraId="6319E855">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19.03</w:t>
            </w:r>
          </w:p>
        </w:tc>
        <w:tc>
          <w:tcPr>
            <w:tcW w:w="913" w:type="dxa"/>
            <w:vMerge w:val="restart"/>
            <w:noWrap w:val="0"/>
            <w:vAlign w:val="center"/>
          </w:tcPr>
          <w:p w14:paraId="69668D80">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24</w:t>
            </w:r>
          </w:p>
        </w:tc>
      </w:tr>
      <w:tr w14:paraId="2E07D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53CC950C">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113E0F20">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373EA94B">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66ECDC1B">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6D407AB8">
            <w:pPr>
              <w:pStyle w:val="42"/>
              <w:spacing w:before="81" w:after="81"/>
              <w:textAlignment w:val="center"/>
              <w:rPr>
                <w:rFonts w:ascii="Times New Roman" w:hAnsi="Times New Roman"/>
                <w:szCs w:val="21"/>
                <w:highlight w:val="none"/>
              </w:rPr>
            </w:pPr>
          </w:p>
        </w:tc>
        <w:tc>
          <w:tcPr>
            <w:tcW w:w="1430" w:type="dxa"/>
            <w:noWrap w:val="0"/>
            <w:vAlign w:val="center"/>
          </w:tcPr>
          <w:p w14:paraId="77B1E248">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52FC7120">
            <w:pPr>
              <w:pStyle w:val="42"/>
              <w:spacing w:before="81" w:after="81"/>
              <w:ind w:firstLine="0" w:firstLineChars="0"/>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8048.04</w:t>
            </w:r>
          </w:p>
        </w:tc>
        <w:tc>
          <w:tcPr>
            <w:tcW w:w="887" w:type="dxa"/>
            <w:noWrap w:val="0"/>
            <w:vAlign w:val="center"/>
          </w:tcPr>
          <w:p w14:paraId="4A7FD345">
            <w:pPr>
              <w:pStyle w:val="42"/>
              <w:spacing w:before="81" w:after="81"/>
              <w:ind w:firstLine="0" w:firstLineChars="0"/>
              <w:textAlignment w:val="center"/>
              <w:rPr>
                <w:rFonts w:hint="eastAsia" w:ascii="Times New Roman" w:hAnsi="Times New Roman" w:eastAsia="宋体"/>
                <w:szCs w:val="21"/>
                <w:highlight w:val="none"/>
              </w:rPr>
            </w:pPr>
            <w:r>
              <w:rPr>
                <w:rFonts w:hint="eastAsia" w:ascii="Times New Roman" w:hAnsi="Times New Roman" w:eastAsia="宋体"/>
                <w:szCs w:val="21"/>
                <w:highlight w:val="none"/>
                <w:lang w:val="en-US" w:eastAsia="zh-CN"/>
              </w:rPr>
              <w:t>920</w:t>
            </w:r>
          </w:p>
        </w:tc>
        <w:tc>
          <w:tcPr>
            <w:tcW w:w="1173" w:type="dxa"/>
            <w:vMerge w:val="continue"/>
            <w:noWrap w:val="0"/>
            <w:vAlign w:val="center"/>
          </w:tcPr>
          <w:p w14:paraId="2BB1F98E">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5CDD48B8">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CCB184E">
            <w:pPr>
              <w:pStyle w:val="42"/>
              <w:spacing w:before="81" w:after="81"/>
              <w:textAlignment w:val="center"/>
              <w:rPr>
                <w:rFonts w:ascii="Times New Roman" w:hAnsi="Times New Roman"/>
                <w:szCs w:val="21"/>
                <w:highlight w:val="none"/>
              </w:rPr>
            </w:pPr>
          </w:p>
        </w:tc>
        <w:tc>
          <w:tcPr>
            <w:tcW w:w="1245" w:type="dxa"/>
            <w:noWrap w:val="0"/>
            <w:vAlign w:val="center"/>
          </w:tcPr>
          <w:p w14:paraId="4641499B">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100987E1">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16.09</w:t>
            </w:r>
          </w:p>
        </w:tc>
        <w:tc>
          <w:tcPr>
            <w:tcW w:w="951" w:type="dxa"/>
            <w:noWrap w:val="0"/>
            <w:vAlign w:val="center"/>
          </w:tcPr>
          <w:p w14:paraId="0B65DBA1">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18.54</w:t>
            </w:r>
          </w:p>
        </w:tc>
        <w:tc>
          <w:tcPr>
            <w:tcW w:w="913" w:type="dxa"/>
            <w:vMerge w:val="continue"/>
            <w:noWrap w:val="0"/>
            <w:vAlign w:val="center"/>
          </w:tcPr>
          <w:p w14:paraId="11C3119B">
            <w:pPr>
              <w:pStyle w:val="42"/>
              <w:spacing w:before="81" w:after="81"/>
              <w:textAlignment w:val="center"/>
              <w:rPr>
                <w:rFonts w:hint="eastAsia" w:ascii="Times New Roman" w:hAnsi="Times New Roman"/>
                <w:szCs w:val="21"/>
                <w:highlight w:val="none"/>
              </w:rPr>
            </w:pPr>
          </w:p>
        </w:tc>
      </w:tr>
      <w:tr w14:paraId="1BBBE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21D2E827">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5C78EB0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47151111">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7855B58C">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0C17C0DC">
            <w:pPr>
              <w:pStyle w:val="42"/>
              <w:spacing w:before="81" w:after="81"/>
              <w:textAlignment w:val="center"/>
              <w:rPr>
                <w:rFonts w:ascii="Times New Roman" w:hAnsi="Times New Roman"/>
                <w:szCs w:val="21"/>
                <w:highlight w:val="none"/>
              </w:rPr>
            </w:pPr>
          </w:p>
        </w:tc>
        <w:tc>
          <w:tcPr>
            <w:tcW w:w="1430" w:type="dxa"/>
            <w:noWrap w:val="0"/>
            <w:vAlign w:val="center"/>
          </w:tcPr>
          <w:p w14:paraId="49E6FCD4">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6AB52C19">
            <w:pPr>
              <w:pStyle w:val="42"/>
              <w:spacing w:before="81" w:after="81"/>
              <w:ind w:firstLine="0" w:firstLineChars="0"/>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8048.04</w:t>
            </w:r>
          </w:p>
        </w:tc>
        <w:tc>
          <w:tcPr>
            <w:tcW w:w="887" w:type="dxa"/>
            <w:noWrap w:val="0"/>
            <w:vAlign w:val="center"/>
          </w:tcPr>
          <w:p w14:paraId="214AB55B">
            <w:pPr>
              <w:pStyle w:val="42"/>
              <w:spacing w:before="81" w:after="81"/>
              <w:ind w:firstLine="0" w:firstLineChars="0"/>
              <w:textAlignment w:val="center"/>
              <w:rPr>
                <w:rFonts w:hint="eastAsia" w:ascii="Times New Roman" w:hAnsi="Times New Roman" w:eastAsia="宋体"/>
                <w:szCs w:val="21"/>
                <w:highlight w:val="none"/>
              </w:rPr>
            </w:pPr>
            <w:r>
              <w:rPr>
                <w:rFonts w:hint="eastAsia" w:ascii="Times New Roman" w:hAnsi="Times New Roman" w:eastAsia="宋体"/>
                <w:szCs w:val="21"/>
                <w:highlight w:val="none"/>
                <w:lang w:val="en-US" w:eastAsia="zh-CN"/>
              </w:rPr>
              <w:t>2400</w:t>
            </w:r>
          </w:p>
        </w:tc>
        <w:tc>
          <w:tcPr>
            <w:tcW w:w="1173" w:type="dxa"/>
            <w:vMerge w:val="continue"/>
            <w:noWrap w:val="0"/>
            <w:vAlign w:val="center"/>
          </w:tcPr>
          <w:p w14:paraId="6AE978A7">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13C06521">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6251E71E">
            <w:pPr>
              <w:pStyle w:val="42"/>
              <w:spacing w:before="81" w:after="81"/>
              <w:textAlignment w:val="center"/>
              <w:rPr>
                <w:rFonts w:ascii="Times New Roman" w:hAnsi="Times New Roman"/>
                <w:szCs w:val="21"/>
                <w:highlight w:val="none"/>
              </w:rPr>
            </w:pPr>
          </w:p>
        </w:tc>
        <w:tc>
          <w:tcPr>
            <w:tcW w:w="1245" w:type="dxa"/>
            <w:noWrap w:val="0"/>
            <w:vAlign w:val="center"/>
          </w:tcPr>
          <w:p w14:paraId="00A9314E">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49C7E29F">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16.09</w:t>
            </w:r>
          </w:p>
        </w:tc>
        <w:tc>
          <w:tcPr>
            <w:tcW w:w="951" w:type="dxa"/>
            <w:noWrap w:val="0"/>
            <w:vAlign w:val="center"/>
          </w:tcPr>
          <w:p w14:paraId="33DA0FBA">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19.13</w:t>
            </w:r>
          </w:p>
        </w:tc>
        <w:tc>
          <w:tcPr>
            <w:tcW w:w="913" w:type="dxa"/>
            <w:vMerge w:val="continue"/>
            <w:noWrap w:val="0"/>
            <w:vAlign w:val="center"/>
          </w:tcPr>
          <w:p w14:paraId="3ACF936F">
            <w:pPr>
              <w:pStyle w:val="42"/>
              <w:spacing w:before="81" w:after="81"/>
              <w:textAlignment w:val="center"/>
              <w:rPr>
                <w:rFonts w:hint="eastAsia" w:ascii="Times New Roman" w:hAnsi="Times New Roman"/>
                <w:szCs w:val="21"/>
                <w:highlight w:val="none"/>
              </w:rPr>
            </w:pPr>
          </w:p>
        </w:tc>
      </w:tr>
      <w:tr w14:paraId="2C03B2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5A41AD37">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5D828A55">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F164CBF">
            <w:pPr>
              <w:pStyle w:val="42"/>
              <w:spacing w:before="81" w:after="81"/>
              <w:textAlignment w:val="center"/>
              <w:rPr>
                <w:rFonts w:hint="eastAsia" w:ascii="Times New Roman" w:hAnsi="Times New Roman"/>
                <w:szCs w:val="21"/>
                <w:highlight w:val="none"/>
                <w:lang w:val="en-US" w:eastAsia="zh-CN"/>
              </w:rPr>
            </w:pPr>
          </w:p>
        </w:tc>
        <w:tc>
          <w:tcPr>
            <w:tcW w:w="737" w:type="dxa"/>
            <w:vMerge w:val="continue"/>
            <w:noWrap w:val="0"/>
            <w:vAlign w:val="center"/>
          </w:tcPr>
          <w:p w14:paraId="55BC0065">
            <w:pPr>
              <w:pStyle w:val="42"/>
              <w:spacing w:before="81" w:after="81"/>
              <w:textAlignment w:val="center"/>
              <w:rPr>
                <w:rFonts w:hint="eastAsia" w:ascii="Times New Roman" w:hAnsi="Times New Roman"/>
                <w:szCs w:val="21"/>
                <w:highlight w:val="none"/>
              </w:rPr>
            </w:pPr>
          </w:p>
        </w:tc>
        <w:tc>
          <w:tcPr>
            <w:tcW w:w="660" w:type="dxa"/>
            <w:vMerge w:val="continue"/>
            <w:noWrap w:val="0"/>
            <w:vAlign w:val="center"/>
          </w:tcPr>
          <w:p w14:paraId="0CC0EC14">
            <w:pPr>
              <w:pStyle w:val="42"/>
              <w:spacing w:before="81" w:after="81"/>
              <w:textAlignment w:val="center"/>
              <w:rPr>
                <w:rFonts w:ascii="Times New Roman" w:hAnsi="Times New Roman"/>
                <w:szCs w:val="21"/>
                <w:highlight w:val="none"/>
              </w:rPr>
            </w:pPr>
          </w:p>
        </w:tc>
        <w:tc>
          <w:tcPr>
            <w:tcW w:w="1430" w:type="dxa"/>
            <w:noWrap w:val="0"/>
            <w:vAlign w:val="center"/>
          </w:tcPr>
          <w:p w14:paraId="0C52AD42">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1C43C215">
            <w:pPr>
              <w:pStyle w:val="42"/>
              <w:spacing w:before="81" w:after="81"/>
              <w:ind w:firstLine="0" w:firstLineChars="0"/>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8048.04</w:t>
            </w:r>
          </w:p>
        </w:tc>
        <w:tc>
          <w:tcPr>
            <w:tcW w:w="887" w:type="dxa"/>
            <w:noWrap w:val="0"/>
            <w:vAlign w:val="center"/>
          </w:tcPr>
          <w:p w14:paraId="0131938E">
            <w:pPr>
              <w:pStyle w:val="42"/>
              <w:spacing w:before="81" w:after="81"/>
              <w:ind w:firstLine="0" w:firstLineChars="0"/>
              <w:textAlignment w:val="center"/>
              <w:rPr>
                <w:rFonts w:hint="eastAsia" w:ascii="Times New Roman" w:hAnsi="Times New Roman" w:eastAsia="宋体"/>
                <w:szCs w:val="21"/>
                <w:highlight w:val="none"/>
              </w:rPr>
            </w:pPr>
            <w:r>
              <w:rPr>
                <w:rFonts w:hint="eastAsia" w:ascii="Times New Roman" w:hAnsi="Times New Roman" w:eastAsia="宋体"/>
                <w:szCs w:val="21"/>
                <w:highlight w:val="none"/>
                <w:lang w:val="en-US" w:eastAsia="zh-CN"/>
              </w:rPr>
              <w:t>650</w:t>
            </w:r>
          </w:p>
        </w:tc>
        <w:tc>
          <w:tcPr>
            <w:tcW w:w="1173" w:type="dxa"/>
            <w:vMerge w:val="continue"/>
            <w:noWrap w:val="0"/>
            <w:vAlign w:val="center"/>
          </w:tcPr>
          <w:p w14:paraId="01951D6A">
            <w:pPr>
              <w:pStyle w:val="42"/>
              <w:spacing w:before="81" w:after="81"/>
              <w:textAlignment w:val="center"/>
              <w:rPr>
                <w:rFonts w:ascii="Times New Roman" w:hAnsi="Times New Roman"/>
                <w:szCs w:val="21"/>
                <w:highlight w:val="none"/>
              </w:rPr>
            </w:pPr>
          </w:p>
        </w:tc>
        <w:tc>
          <w:tcPr>
            <w:tcW w:w="874" w:type="dxa"/>
            <w:vMerge w:val="continue"/>
            <w:noWrap w:val="0"/>
            <w:vAlign w:val="center"/>
          </w:tcPr>
          <w:p w14:paraId="7B42C81C">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6E3C2E70">
            <w:pPr>
              <w:pStyle w:val="42"/>
              <w:spacing w:before="81" w:after="81"/>
              <w:textAlignment w:val="center"/>
              <w:rPr>
                <w:rFonts w:ascii="Times New Roman" w:hAnsi="Times New Roman"/>
                <w:szCs w:val="21"/>
                <w:highlight w:val="none"/>
              </w:rPr>
            </w:pPr>
          </w:p>
        </w:tc>
        <w:tc>
          <w:tcPr>
            <w:tcW w:w="1245" w:type="dxa"/>
            <w:noWrap w:val="0"/>
            <w:vAlign w:val="center"/>
          </w:tcPr>
          <w:p w14:paraId="684C0B34">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5E63CF66">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16.09</w:t>
            </w:r>
          </w:p>
        </w:tc>
        <w:tc>
          <w:tcPr>
            <w:tcW w:w="951" w:type="dxa"/>
            <w:noWrap w:val="0"/>
            <w:vAlign w:val="center"/>
          </w:tcPr>
          <w:p w14:paraId="1F4D65F6">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18.44</w:t>
            </w:r>
          </w:p>
        </w:tc>
        <w:tc>
          <w:tcPr>
            <w:tcW w:w="913" w:type="dxa"/>
            <w:vMerge w:val="continue"/>
            <w:noWrap w:val="0"/>
            <w:vAlign w:val="center"/>
          </w:tcPr>
          <w:p w14:paraId="76737734">
            <w:pPr>
              <w:pStyle w:val="42"/>
              <w:spacing w:before="81" w:after="81"/>
              <w:textAlignment w:val="center"/>
              <w:rPr>
                <w:rFonts w:hint="eastAsia" w:ascii="Times New Roman" w:hAnsi="Times New Roman"/>
                <w:szCs w:val="21"/>
                <w:highlight w:val="none"/>
              </w:rPr>
            </w:pPr>
          </w:p>
        </w:tc>
      </w:tr>
      <w:tr w14:paraId="56BE1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57FB3679">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31EAFDEE">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52BB9CC3">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17380171">
            <w:pPr>
              <w:pStyle w:val="42"/>
              <w:spacing w:before="81" w:after="81"/>
              <w:textAlignment w:val="center"/>
              <w:rPr>
                <w:rFonts w:ascii="Times New Roman" w:hAnsi="Times New Roman"/>
                <w:szCs w:val="21"/>
                <w:highlight w:val="none"/>
              </w:rPr>
            </w:pPr>
            <w:r>
              <w:rPr>
                <w:rFonts w:ascii="Times New Roman" w:hAnsi="Times New Roman"/>
                <w:szCs w:val="21"/>
                <w:highlight w:val="none"/>
              </w:rPr>
              <w:t>SO</w:t>
            </w:r>
            <w:r>
              <w:rPr>
                <w:rFonts w:ascii="Times New Roman" w:hAnsi="Times New Roman"/>
                <w:szCs w:val="21"/>
                <w:highlight w:val="none"/>
                <w:vertAlign w:val="subscript"/>
              </w:rPr>
              <w:t>2</w:t>
            </w:r>
          </w:p>
        </w:tc>
        <w:tc>
          <w:tcPr>
            <w:tcW w:w="660" w:type="dxa"/>
            <w:vMerge w:val="continue"/>
            <w:noWrap w:val="0"/>
            <w:vAlign w:val="center"/>
          </w:tcPr>
          <w:p w14:paraId="63A1333F">
            <w:pPr>
              <w:pStyle w:val="42"/>
              <w:spacing w:before="81" w:after="81"/>
              <w:textAlignment w:val="center"/>
              <w:rPr>
                <w:rFonts w:ascii="Times New Roman" w:hAnsi="Times New Roman"/>
                <w:szCs w:val="21"/>
                <w:highlight w:val="none"/>
              </w:rPr>
            </w:pPr>
          </w:p>
        </w:tc>
        <w:tc>
          <w:tcPr>
            <w:tcW w:w="1430" w:type="dxa"/>
            <w:noWrap w:val="0"/>
            <w:vAlign w:val="center"/>
          </w:tcPr>
          <w:p w14:paraId="6417D196">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1BB6707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324.882</w:t>
            </w:r>
          </w:p>
        </w:tc>
        <w:tc>
          <w:tcPr>
            <w:tcW w:w="887" w:type="dxa"/>
            <w:noWrap w:val="0"/>
            <w:vAlign w:val="center"/>
          </w:tcPr>
          <w:p w14:paraId="6A3BB19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86</w:t>
            </w:r>
          </w:p>
        </w:tc>
        <w:tc>
          <w:tcPr>
            <w:tcW w:w="1173" w:type="dxa"/>
            <w:vMerge w:val="restart"/>
            <w:noWrap w:val="0"/>
            <w:vAlign w:val="center"/>
          </w:tcPr>
          <w:p w14:paraId="36F07A9C">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脱硫系统失灵</w:t>
            </w:r>
          </w:p>
        </w:tc>
        <w:tc>
          <w:tcPr>
            <w:tcW w:w="874" w:type="dxa"/>
            <w:vMerge w:val="restart"/>
            <w:noWrap w:val="0"/>
            <w:vAlign w:val="center"/>
          </w:tcPr>
          <w:p w14:paraId="242446E6">
            <w:pPr>
              <w:pStyle w:val="42"/>
              <w:spacing w:before="81" w:after="81"/>
              <w:textAlignment w:val="center"/>
              <w:rPr>
                <w:rFonts w:ascii="Times New Roman" w:hAnsi="Times New Roman"/>
                <w:szCs w:val="21"/>
                <w:highlight w:val="none"/>
              </w:rPr>
            </w:pPr>
            <w:r>
              <w:rPr>
                <w:rFonts w:ascii="Times New Roman" w:hAnsi="Times New Roman"/>
                <w:szCs w:val="21"/>
                <w:highlight w:val="none"/>
              </w:rPr>
              <w:t>50</w:t>
            </w:r>
          </w:p>
        </w:tc>
        <w:tc>
          <w:tcPr>
            <w:tcW w:w="805" w:type="dxa"/>
            <w:vMerge w:val="continue"/>
            <w:noWrap w:val="0"/>
            <w:vAlign w:val="center"/>
          </w:tcPr>
          <w:p w14:paraId="4B0E2766">
            <w:pPr>
              <w:pStyle w:val="42"/>
              <w:spacing w:before="81" w:after="81"/>
              <w:textAlignment w:val="center"/>
              <w:rPr>
                <w:rFonts w:ascii="Times New Roman" w:hAnsi="Times New Roman"/>
                <w:szCs w:val="21"/>
                <w:highlight w:val="none"/>
              </w:rPr>
            </w:pPr>
          </w:p>
        </w:tc>
        <w:tc>
          <w:tcPr>
            <w:tcW w:w="1245" w:type="dxa"/>
            <w:noWrap w:val="0"/>
            <w:vAlign w:val="center"/>
          </w:tcPr>
          <w:p w14:paraId="4F6A792A">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7781C05C">
            <w:pPr>
              <w:spacing w:line="240" w:lineRule="auto"/>
              <w:ind w:firstLine="0" w:firstLineChars="0"/>
              <w:jc w:val="center"/>
              <w:rPr>
                <w:rFonts w:ascii="Times New Roman" w:hAnsi="Times New Roman"/>
                <w:sz w:val="21"/>
                <w:highlight w:val="none"/>
              </w:rPr>
            </w:pPr>
            <w:r>
              <w:rPr>
                <w:rFonts w:hint="eastAsia" w:ascii="Times New Roman" w:hAnsi="Times New Roman"/>
                <w:sz w:val="21"/>
                <w:highlight w:val="none"/>
                <w:lang w:val="en-US" w:eastAsia="zh-CN"/>
              </w:rPr>
              <w:t>162.44</w:t>
            </w:r>
          </w:p>
        </w:tc>
        <w:tc>
          <w:tcPr>
            <w:tcW w:w="951" w:type="dxa"/>
            <w:noWrap w:val="0"/>
            <w:vAlign w:val="center"/>
          </w:tcPr>
          <w:p w14:paraId="2F0940DB">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43</w:t>
            </w:r>
          </w:p>
        </w:tc>
        <w:tc>
          <w:tcPr>
            <w:tcW w:w="913" w:type="dxa"/>
            <w:vMerge w:val="restart"/>
            <w:noWrap w:val="0"/>
            <w:vAlign w:val="center"/>
          </w:tcPr>
          <w:p w14:paraId="68F89C87">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24</w:t>
            </w:r>
          </w:p>
        </w:tc>
      </w:tr>
      <w:tr w14:paraId="0428F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900D57E">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746D5F33">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2063DBBD">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7489CF60">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1C604BA">
            <w:pPr>
              <w:pStyle w:val="42"/>
              <w:spacing w:before="81" w:after="81"/>
              <w:textAlignment w:val="center"/>
              <w:rPr>
                <w:rFonts w:ascii="Times New Roman" w:hAnsi="Times New Roman"/>
                <w:szCs w:val="21"/>
                <w:highlight w:val="none"/>
              </w:rPr>
            </w:pPr>
          </w:p>
        </w:tc>
        <w:tc>
          <w:tcPr>
            <w:tcW w:w="1430" w:type="dxa"/>
            <w:noWrap w:val="0"/>
            <w:vAlign w:val="center"/>
          </w:tcPr>
          <w:p w14:paraId="43DF4469">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645169C2">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324.882</w:t>
            </w:r>
          </w:p>
        </w:tc>
        <w:tc>
          <w:tcPr>
            <w:tcW w:w="887" w:type="dxa"/>
            <w:noWrap w:val="0"/>
            <w:vAlign w:val="center"/>
          </w:tcPr>
          <w:p w14:paraId="42C9FB8D">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37</w:t>
            </w:r>
          </w:p>
        </w:tc>
        <w:tc>
          <w:tcPr>
            <w:tcW w:w="1173" w:type="dxa"/>
            <w:vMerge w:val="continue"/>
            <w:noWrap w:val="0"/>
            <w:vAlign w:val="center"/>
          </w:tcPr>
          <w:p w14:paraId="0C9D5F8D">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590CF186">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179080EA">
            <w:pPr>
              <w:pStyle w:val="42"/>
              <w:spacing w:before="81" w:after="81"/>
              <w:textAlignment w:val="center"/>
              <w:rPr>
                <w:rFonts w:ascii="Times New Roman" w:hAnsi="Times New Roman"/>
                <w:szCs w:val="21"/>
                <w:highlight w:val="none"/>
              </w:rPr>
            </w:pPr>
          </w:p>
        </w:tc>
        <w:tc>
          <w:tcPr>
            <w:tcW w:w="1245" w:type="dxa"/>
            <w:noWrap w:val="0"/>
            <w:vAlign w:val="center"/>
          </w:tcPr>
          <w:p w14:paraId="2FD43DBB">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7C7E070A">
            <w:pPr>
              <w:spacing w:line="240" w:lineRule="auto"/>
              <w:ind w:firstLine="0" w:firstLineChars="0"/>
              <w:jc w:val="center"/>
              <w:rPr>
                <w:rFonts w:hint="eastAsia" w:ascii="Times New Roman" w:hAnsi="Times New Roman"/>
                <w:sz w:val="21"/>
                <w:highlight w:val="none"/>
              </w:rPr>
            </w:pPr>
            <w:r>
              <w:rPr>
                <w:rFonts w:hint="eastAsia" w:ascii="Times New Roman" w:hAnsi="Times New Roman"/>
                <w:sz w:val="21"/>
                <w:highlight w:val="none"/>
                <w:lang w:val="en-US" w:eastAsia="zh-CN"/>
              </w:rPr>
              <w:t>162.44</w:t>
            </w:r>
          </w:p>
        </w:tc>
        <w:tc>
          <w:tcPr>
            <w:tcW w:w="951" w:type="dxa"/>
            <w:noWrap w:val="0"/>
            <w:vAlign w:val="center"/>
          </w:tcPr>
          <w:p w14:paraId="67F573C0">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18.5</w:t>
            </w:r>
          </w:p>
        </w:tc>
        <w:tc>
          <w:tcPr>
            <w:tcW w:w="913" w:type="dxa"/>
            <w:vMerge w:val="continue"/>
            <w:noWrap w:val="0"/>
            <w:vAlign w:val="center"/>
          </w:tcPr>
          <w:p w14:paraId="0880A623">
            <w:pPr>
              <w:pStyle w:val="42"/>
              <w:spacing w:before="81" w:after="81"/>
              <w:textAlignment w:val="center"/>
              <w:rPr>
                <w:rFonts w:hint="eastAsia" w:ascii="Times New Roman" w:hAnsi="Times New Roman"/>
                <w:szCs w:val="21"/>
                <w:highlight w:val="none"/>
              </w:rPr>
            </w:pPr>
          </w:p>
        </w:tc>
      </w:tr>
      <w:tr w14:paraId="1681FF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29E4EFFA">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7FF7ED27">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2D579420">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29E00207">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A043E83">
            <w:pPr>
              <w:pStyle w:val="42"/>
              <w:spacing w:before="81" w:after="81"/>
              <w:textAlignment w:val="center"/>
              <w:rPr>
                <w:rFonts w:ascii="Times New Roman" w:hAnsi="Times New Roman"/>
                <w:szCs w:val="21"/>
                <w:highlight w:val="none"/>
              </w:rPr>
            </w:pPr>
          </w:p>
        </w:tc>
        <w:tc>
          <w:tcPr>
            <w:tcW w:w="1430" w:type="dxa"/>
            <w:noWrap w:val="0"/>
            <w:vAlign w:val="center"/>
          </w:tcPr>
          <w:p w14:paraId="5802A863">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0A7B112C">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324.882</w:t>
            </w:r>
          </w:p>
        </w:tc>
        <w:tc>
          <w:tcPr>
            <w:tcW w:w="887" w:type="dxa"/>
            <w:noWrap w:val="0"/>
            <w:vAlign w:val="center"/>
          </w:tcPr>
          <w:p w14:paraId="18882A0C">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97</w:t>
            </w:r>
          </w:p>
        </w:tc>
        <w:tc>
          <w:tcPr>
            <w:tcW w:w="1173" w:type="dxa"/>
            <w:vMerge w:val="continue"/>
            <w:noWrap w:val="0"/>
            <w:vAlign w:val="center"/>
          </w:tcPr>
          <w:p w14:paraId="3F29CAF8">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76FDBB91">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F9BB1B2">
            <w:pPr>
              <w:pStyle w:val="42"/>
              <w:spacing w:before="81" w:after="81"/>
              <w:textAlignment w:val="center"/>
              <w:rPr>
                <w:rFonts w:ascii="Times New Roman" w:hAnsi="Times New Roman"/>
                <w:szCs w:val="21"/>
                <w:highlight w:val="none"/>
              </w:rPr>
            </w:pPr>
          </w:p>
        </w:tc>
        <w:tc>
          <w:tcPr>
            <w:tcW w:w="1245" w:type="dxa"/>
            <w:noWrap w:val="0"/>
            <w:vAlign w:val="center"/>
          </w:tcPr>
          <w:p w14:paraId="271FD739">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27870AE4">
            <w:pPr>
              <w:spacing w:line="240" w:lineRule="auto"/>
              <w:ind w:firstLine="0" w:firstLineChars="0"/>
              <w:jc w:val="center"/>
              <w:rPr>
                <w:rFonts w:hint="eastAsia" w:ascii="Times New Roman" w:hAnsi="Times New Roman"/>
                <w:sz w:val="21"/>
                <w:highlight w:val="none"/>
              </w:rPr>
            </w:pPr>
            <w:r>
              <w:rPr>
                <w:rFonts w:hint="eastAsia" w:ascii="Times New Roman" w:hAnsi="Times New Roman"/>
                <w:sz w:val="21"/>
                <w:highlight w:val="none"/>
                <w:lang w:val="en-US" w:eastAsia="zh-CN"/>
              </w:rPr>
              <w:t>162.44</w:t>
            </w:r>
          </w:p>
        </w:tc>
        <w:tc>
          <w:tcPr>
            <w:tcW w:w="951" w:type="dxa"/>
            <w:noWrap w:val="0"/>
            <w:vAlign w:val="center"/>
          </w:tcPr>
          <w:p w14:paraId="0C672A16">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48.5</w:t>
            </w:r>
          </w:p>
        </w:tc>
        <w:tc>
          <w:tcPr>
            <w:tcW w:w="913" w:type="dxa"/>
            <w:vMerge w:val="continue"/>
            <w:noWrap w:val="0"/>
            <w:vAlign w:val="center"/>
          </w:tcPr>
          <w:p w14:paraId="33CCB4AB">
            <w:pPr>
              <w:pStyle w:val="42"/>
              <w:spacing w:before="81" w:after="81"/>
              <w:textAlignment w:val="center"/>
              <w:rPr>
                <w:rFonts w:hint="eastAsia" w:ascii="Times New Roman" w:hAnsi="Times New Roman"/>
                <w:szCs w:val="21"/>
                <w:highlight w:val="none"/>
              </w:rPr>
            </w:pPr>
          </w:p>
        </w:tc>
      </w:tr>
      <w:tr w14:paraId="4E71BD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9C75BFC">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417E3F5">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288C4874">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43F0CCF9">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78DB356B">
            <w:pPr>
              <w:pStyle w:val="42"/>
              <w:spacing w:before="81" w:after="81"/>
              <w:textAlignment w:val="center"/>
              <w:rPr>
                <w:rFonts w:ascii="Times New Roman" w:hAnsi="Times New Roman"/>
                <w:szCs w:val="21"/>
                <w:highlight w:val="none"/>
              </w:rPr>
            </w:pPr>
          </w:p>
        </w:tc>
        <w:tc>
          <w:tcPr>
            <w:tcW w:w="1430" w:type="dxa"/>
            <w:noWrap w:val="0"/>
            <w:vAlign w:val="center"/>
          </w:tcPr>
          <w:p w14:paraId="32E13554">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10AF2D0E">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324.882</w:t>
            </w:r>
          </w:p>
        </w:tc>
        <w:tc>
          <w:tcPr>
            <w:tcW w:w="887" w:type="dxa"/>
            <w:noWrap w:val="0"/>
            <w:vAlign w:val="center"/>
          </w:tcPr>
          <w:p w14:paraId="73F5C09F">
            <w:pPr>
              <w:pStyle w:val="42"/>
              <w:spacing w:before="81" w:after="81"/>
              <w:ind w:firstLine="0" w:firstLineChars="0"/>
              <w:textAlignment w:val="center"/>
              <w:rPr>
                <w:rFonts w:hint="eastAsia" w:ascii="Times New Roman" w:hAnsi="Times New Roman"/>
                <w:szCs w:val="21"/>
                <w:highlight w:val="none"/>
              </w:rPr>
            </w:pPr>
            <w:r>
              <w:rPr>
                <w:rFonts w:hint="eastAsia" w:ascii="Times New Roman" w:hAnsi="Times New Roman"/>
                <w:szCs w:val="21"/>
                <w:highlight w:val="none"/>
                <w:lang w:val="en-US" w:eastAsia="zh-CN"/>
              </w:rPr>
              <w:t>26</w:t>
            </w:r>
          </w:p>
        </w:tc>
        <w:tc>
          <w:tcPr>
            <w:tcW w:w="1173" w:type="dxa"/>
            <w:vMerge w:val="continue"/>
            <w:noWrap w:val="0"/>
            <w:vAlign w:val="center"/>
          </w:tcPr>
          <w:p w14:paraId="3A704C72">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253FD989">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581F55CB">
            <w:pPr>
              <w:pStyle w:val="42"/>
              <w:spacing w:before="81" w:after="81"/>
              <w:textAlignment w:val="center"/>
              <w:rPr>
                <w:rFonts w:ascii="Times New Roman" w:hAnsi="Times New Roman"/>
                <w:szCs w:val="21"/>
                <w:highlight w:val="none"/>
              </w:rPr>
            </w:pPr>
          </w:p>
        </w:tc>
        <w:tc>
          <w:tcPr>
            <w:tcW w:w="1245" w:type="dxa"/>
            <w:noWrap w:val="0"/>
            <w:vAlign w:val="center"/>
          </w:tcPr>
          <w:p w14:paraId="1897DA40">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7E27CECA">
            <w:pPr>
              <w:spacing w:line="240" w:lineRule="auto"/>
              <w:ind w:firstLine="0" w:firstLineChars="0"/>
              <w:jc w:val="center"/>
              <w:rPr>
                <w:rFonts w:hint="eastAsia" w:ascii="Times New Roman" w:hAnsi="Times New Roman"/>
                <w:sz w:val="21"/>
                <w:highlight w:val="none"/>
              </w:rPr>
            </w:pPr>
            <w:r>
              <w:rPr>
                <w:rFonts w:hint="eastAsia" w:ascii="Times New Roman" w:hAnsi="Times New Roman"/>
                <w:sz w:val="21"/>
                <w:highlight w:val="none"/>
                <w:lang w:val="en-US" w:eastAsia="zh-CN"/>
              </w:rPr>
              <w:t>162.44</w:t>
            </w:r>
          </w:p>
        </w:tc>
        <w:tc>
          <w:tcPr>
            <w:tcW w:w="951" w:type="dxa"/>
            <w:noWrap w:val="0"/>
            <w:vAlign w:val="center"/>
          </w:tcPr>
          <w:p w14:paraId="5D0CE3D5">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lang w:val="en-US" w:eastAsia="zh-CN"/>
              </w:rPr>
              <w:t>13</w:t>
            </w:r>
          </w:p>
        </w:tc>
        <w:tc>
          <w:tcPr>
            <w:tcW w:w="913" w:type="dxa"/>
            <w:vMerge w:val="continue"/>
            <w:noWrap w:val="0"/>
            <w:vAlign w:val="center"/>
          </w:tcPr>
          <w:p w14:paraId="080BC788">
            <w:pPr>
              <w:pStyle w:val="42"/>
              <w:spacing w:before="81" w:after="81"/>
              <w:textAlignment w:val="center"/>
              <w:rPr>
                <w:rFonts w:hint="eastAsia" w:ascii="Times New Roman" w:hAnsi="Times New Roman"/>
                <w:szCs w:val="21"/>
                <w:highlight w:val="none"/>
              </w:rPr>
            </w:pPr>
          </w:p>
        </w:tc>
      </w:tr>
      <w:tr w14:paraId="2491C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07122C18">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2E9CC1CB">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5FE41598">
            <w:pPr>
              <w:pStyle w:val="42"/>
              <w:spacing w:before="81" w:after="81"/>
              <w:textAlignment w:val="center"/>
              <w:rPr>
                <w:rFonts w:ascii="Times New Roman" w:hAnsi="Times New Roman"/>
                <w:szCs w:val="21"/>
                <w:highlight w:val="none"/>
              </w:rPr>
            </w:pPr>
          </w:p>
        </w:tc>
        <w:tc>
          <w:tcPr>
            <w:tcW w:w="737" w:type="dxa"/>
            <w:vMerge w:val="restart"/>
            <w:noWrap w:val="0"/>
            <w:vAlign w:val="center"/>
          </w:tcPr>
          <w:p w14:paraId="53AB3077">
            <w:pPr>
              <w:pStyle w:val="42"/>
              <w:spacing w:before="81" w:after="81"/>
              <w:textAlignment w:val="center"/>
              <w:rPr>
                <w:rFonts w:ascii="Times New Roman" w:hAnsi="Times New Roman"/>
                <w:szCs w:val="21"/>
                <w:highlight w:val="none"/>
              </w:rPr>
            </w:pPr>
            <w:r>
              <w:rPr>
                <w:rFonts w:ascii="Times New Roman" w:hAnsi="Times New Roman"/>
                <w:szCs w:val="21"/>
                <w:highlight w:val="none"/>
              </w:rPr>
              <w:t>NOx</w:t>
            </w:r>
          </w:p>
        </w:tc>
        <w:tc>
          <w:tcPr>
            <w:tcW w:w="660" w:type="dxa"/>
            <w:vMerge w:val="continue"/>
            <w:noWrap w:val="0"/>
            <w:vAlign w:val="center"/>
          </w:tcPr>
          <w:p w14:paraId="39CE758D">
            <w:pPr>
              <w:pStyle w:val="42"/>
              <w:spacing w:before="81" w:after="81"/>
              <w:textAlignment w:val="center"/>
              <w:rPr>
                <w:rFonts w:ascii="Times New Roman" w:hAnsi="Times New Roman"/>
                <w:szCs w:val="21"/>
                <w:highlight w:val="none"/>
              </w:rPr>
            </w:pPr>
          </w:p>
        </w:tc>
        <w:tc>
          <w:tcPr>
            <w:tcW w:w="1430" w:type="dxa"/>
            <w:noWrap w:val="0"/>
            <w:vAlign w:val="center"/>
          </w:tcPr>
          <w:p w14:paraId="69627CE2">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264580（单独使用116MW锅炉）</w:t>
            </w:r>
          </w:p>
        </w:tc>
        <w:tc>
          <w:tcPr>
            <w:tcW w:w="1059" w:type="dxa"/>
            <w:noWrap w:val="0"/>
            <w:vAlign w:val="center"/>
          </w:tcPr>
          <w:p w14:paraId="2D9ED7D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79CD82E3">
            <w:pPr>
              <w:pStyle w:val="42"/>
              <w:spacing w:before="81" w:after="81"/>
              <w:ind w:firstLine="0" w:firstLineChars="0"/>
              <w:textAlignment w:val="center"/>
              <w:rPr>
                <w:rFonts w:hint="default" w:ascii="Times New Roman" w:hAnsi="Times New Roman"/>
                <w:szCs w:val="21"/>
                <w:highlight w:val="none"/>
                <w:lang w:val="en-US"/>
              </w:rPr>
            </w:pPr>
            <w:r>
              <w:rPr>
                <w:rFonts w:hint="eastAsia" w:ascii="Times New Roman" w:hAnsi="Times New Roman" w:eastAsia="宋体"/>
                <w:szCs w:val="21"/>
                <w:highlight w:val="none"/>
                <w:lang w:val="en-US" w:eastAsia="zh-CN"/>
              </w:rPr>
              <w:t>240</w:t>
            </w:r>
          </w:p>
        </w:tc>
        <w:tc>
          <w:tcPr>
            <w:tcW w:w="1173" w:type="dxa"/>
            <w:vMerge w:val="restart"/>
            <w:noWrap w:val="0"/>
            <w:vAlign w:val="center"/>
          </w:tcPr>
          <w:p w14:paraId="0D6651C2">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脱硝系统失灵</w:t>
            </w:r>
          </w:p>
        </w:tc>
        <w:tc>
          <w:tcPr>
            <w:tcW w:w="874" w:type="dxa"/>
            <w:vMerge w:val="restart"/>
            <w:noWrap w:val="0"/>
            <w:vAlign w:val="center"/>
          </w:tcPr>
          <w:p w14:paraId="7FB160B0">
            <w:pPr>
              <w:pStyle w:val="42"/>
              <w:spacing w:before="81" w:after="81"/>
              <w:textAlignment w:val="center"/>
              <w:rPr>
                <w:rFonts w:ascii="Times New Roman" w:hAnsi="Times New Roman"/>
                <w:szCs w:val="21"/>
                <w:highlight w:val="none"/>
              </w:rPr>
            </w:pPr>
            <w:r>
              <w:rPr>
                <w:rFonts w:ascii="Times New Roman" w:hAnsi="Times New Roman"/>
                <w:szCs w:val="21"/>
                <w:highlight w:val="none"/>
              </w:rPr>
              <w:t>0</w:t>
            </w:r>
          </w:p>
        </w:tc>
        <w:tc>
          <w:tcPr>
            <w:tcW w:w="805" w:type="dxa"/>
            <w:vMerge w:val="continue"/>
            <w:noWrap w:val="0"/>
            <w:vAlign w:val="center"/>
          </w:tcPr>
          <w:p w14:paraId="36294446">
            <w:pPr>
              <w:pStyle w:val="42"/>
              <w:spacing w:before="81" w:after="81"/>
              <w:textAlignment w:val="center"/>
              <w:rPr>
                <w:rFonts w:ascii="Times New Roman" w:hAnsi="Times New Roman"/>
                <w:szCs w:val="21"/>
                <w:highlight w:val="none"/>
              </w:rPr>
            </w:pPr>
          </w:p>
        </w:tc>
        <w:tc>
          <w:tcPr>
            <w:tcW w:w="1245" w:type="dxa"/>
            <w:noWrap w:val="0"/>
            <w:vAlign w:val="center"/>
          </w:tcPr>
          <w:p w14:paraId="4BCEDA68">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264580</w:t>
            </w:r>
          </w:p>
        </w:tc>
        <w:tc>
          <w:tcPr>
            <w:tcW w:w="936" w:type="dxa"/>
            <w:noWrap w:val="0"/>
            <w:vAlign w:val="center"/>
          </w:tcPr>
          <w:p w14:paraId="77896FFE">
            <w:pPr>
              <w:pStyle w:val="42"/>
              <w:spacing w:before="81" w:after="81"/>
              <w:ind w:firstLine="0" w:firstLineChars="0"/>
              <w:textAlignment w:val="center"/>
              <w:rPr>
                <w:rFonts w:ascii="Times New Roman" w:hAnsi="Times New Roman"/>
                <w:sz w:val="21"/>
                <w:highlight w:val="none"/>
              </w:rPr>
            </w:pPr>
            <w:r>
              <w:rPr>
                <w:rFonts w:hint="eastAsia" w:ascii="Times New Roman" w:hAnsi="Times New Roman" w:eastAsia="宋体"/>
                <w:szCs w:val="21"/>
                <w:highlight w:val="none"/>
                <w:lang w:val="en-US" w:eastAsia="zh-CN"/>
              </w:rPr>
              <w:t>916</w:t>
            </w:r>
          </w:p>
        </w:tc>
        <w:tc>
          <w:tcPr>
            <w:tcW w:w="951" w:type="dxa"/>
            <w:noWrap w:val="0"/>
            <w:vAlign w:val="center"/>
          </w:tcPr>
          <w:p w14:paraId="1711282D">
            <w:pPr>
              <w:pStyle w:val="42"/>
              <w:spacing w:before="81" w:after="81"/>
              <w:ind w:firstLine="0" w:firstLineChars="0"/>
              <w:textAlignment w:val="center"/>
              <w:rPr>
                <w:rFonts w:hint="eastAsia" w:ascii="Times New Roman" w:hAnsi="Times New Roman"/>
                <w:sz w:val="21"/>
                <w:highlight w:val="none"/>
              </w:rPr>
            </w:pPr>
            <w:r>
              <w:rPr>
                <w:rFonts w:hint="eastAsia" w:ascii="Times New Roman" w:hAnsi="Times New Roman" w:eastAsia="宋体"/>
                <w:szCs w:val="21"/>
                <w:highlight w:val="none"/>
                <w:lang w:val="en-US" w:eastAsia="zh-CN"/>
              </w:rPr>
              <w:t>240</w:t>
            </w:r>
          </w:p>
        </w:tc>
        <w:tc>
          <w:tcPr>
            <w:tcW w:w="913" w:type="dxa"/>
            <w:vMerge w:val="restart"/>
            <w:noWrap w:val="0"/>
            <w:vAlign w:val="center"/>
          </w:tcPr>
          <w:p w14:paraId="171E8B48">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24</w:t>
            </w:r>
          </w:p>
        </w:tc>
      </w:tr>
      <w:tr w14:paraId="2F7602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A4531F5">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048C50EB">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6DC9B50B">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4285C74A">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37053C2A">
            <w:pPr>
              <w:pStyle w:val="42"/>
              <w:spacing w:before="81" w:after="81"/>
              <w:textAlignment w:val="center"/>
              <w:rPr>
                <w:rFonts w:ascii="Times New Roman" w:hAnsi="Times New Roman"/>
                <w:szCs w:val="21"/>
                <w:highlight w:val="none"/>
              </w:rPr>
            </w:pPr>
          </w:p>
        </w:tc>
        <w:tc>
          <w:tcPr>
            <w:tcW w:w="1430" w:type="dxa"/>
            <w:noWrap w:val="0"/>
            <w:vAlign w:val="center"/>
          </w:tcPr>
          <w:p w14:paraId="49E0F5D0">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114936（使用58MW+35t/h锅炉）</w:t>
            </w:r>
          </w:p>
        </w:tc>
        <w:tc>
          <w:tcPr>
            <w:tcW w:w="1059" w:type="dxa"/>
            <w:noWrap w:val="0"/>
            <w:vAlign w:val="center"/>
          </w:tcPr>
          <w:p w14:paraId="495B6214">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1A4620D1">
            <w:pPr>
              <w:pStyle w:val="42"/>
              <w:spacing w:before="81" w:after="81"/>
              <w:ind w:firstLine="0" w:firstLineChars="0"/>
              <w:textAlignment w:val="center"/>
              <w:rPr>
                <w:rFonts w:hint="default" w:ascii="Times New Roman" w:hAnsi="Times New Roman" w:eastAsia="宋体"/>
                <w:szCs w:val="21"/>
                <w:highlight w:val="none"/>
                <w:lang w:val="en-US"/>
              </w:rPr>
            </w:pPr>
            <w:r>
              <w:rPr>
                <w:rFonts w:hint="eastAsia" w:ascii="Times New Roman" w:hAnsi="Times New Roman" w:eastAsia="宋体"/>
                <w:szCs w:val="21"/>
                <w:highlight w:val="none"/>
                <w:lang w:val="en-US" w:eastAsia="zh-CN"/>
              </w:rPr>
              <w:t>105</w:t>
            </w:r>
          </w:p>
        </w:tc>
        <w:tc>
          <w:tcPr>
            <w:tcW w:w="1173" w:type="dxa"/>
            <w:vMerge w:val="continue"/>
            <w:noWrap w:val="0"/>
            <w:vAlign w:val="center"/>
          </w:tcPr>
          <w:p w14:paraId="54FF2D23">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2AB8D994">
            <w:pPr>
              <w:pStyle w:val="42"/>
              <w:spacing w:before="81" w:after="81"/>
              <w:textAlignment w:val="center"/>
              <w:rPr>
                <w:rFonts w:ascii="Times New Roman" w:hAnsi="Times New Roman"/>
                <w:szCs w:val="21"/>
                <w:highlight w:val="none"/>
              </w:rPr>
            </w:pPr>
          </w:p>
        </w:tc>
        <w:tc>
          <w:tcPr>
            <w:tcW w:w="805" w:type="dxa"/>
            <w:vMerge w:val="restart"/>
            <w:noWrap w:val="0"/>
            <w:vAlign w:val="center"/>
          </w:tcPr>
          <w:p w14:paraId="5BEFDC1D">
            <w:pPr>
              <w:pStyle w:val="42"/>
              <w:spacing w:before="81" w:after="81"/>
              <w:textAlignment w:val="center"/>
              <w:rPr>
                <w:rFonts w:ascii="Times New Roman" w:hAnsi="Times New Roman"/>
                <w:szCs w:val="21"/>
                <w:highlight w:val="none"/>
              </w:rPr>
            </w:pPr>
          </w:p>
        </w:tc>
        <w:tc>
          <w:tcPr>
            <w:tcW w:w="1245" w:type="dxa"/>
            <w:noWrap w:val="0"/>
            <w:vAlign w:val="center"/>
          </w:tcPr>
          <w:p w14:paraId="7AB6C01C">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114936</w:t>
            </w:r>
          </w:p>
        </w:tc>
        <w:tc>
          <w:tcPr>
            <w:tcW w:w="936" w:type="dxa"/>
            <w:noWrap w:val="0"/>
            <w:vAlign w:val="center"/>
          </w:tcPr>
          <w:p w14:paraId="6F3B99F8">
            <w:pPr>
              <w:pStyle w:val="42"/>
              <w:spacing w:before="81" w:after="81"/>
              <w:ind w:firstLine="0" w:firstLineChars="0"/>
              <w:textAlignment w:val="center"/>
              <w:rPr>
                <w:rFonts w:ascii="Times New Roman" w:hAnsi="Times New Roman"/>
                <w:sz w:val="21"/>
                <w:highlight w:val="none"/>
              </w:rPr>
            </w:pPr>
            <w:r>
              <w:rPr>
                <w:rFonts w:hint="eastAsia" w:ascii="Times New Roman" w:hAnsi="Times New Roman" w:eastAsia="宋体"/>
                <w:szCs w:val="21"/>
                <w:highlight w:val="none"/>
                <w:lang w:val="en-US" w:eastAsia="zh-CN"/>
              </w:rPr>
              <w:t>916</w:t>
            </w:r>
          </w:p>
        </w:tc>
        <w:tc>
          <w:tcPr>
            <w:tcW w:w="951" w:type="dxa"/>
            <w:noWrap w:val="0"/>
            <w:vAlign w:val="center"/>
          </w:tcPr>
          <w:p w14:paraId="0CBCC95F">
            <w:pPr>
              <w:pStyle w:val="42"/>
              <w:spacing w:before="81" w:after="81"/>
              <w:ind w:firstLine="0" w:firstLineChars="0"/>
              <w:textAlignment w:val="center"/>
              <w:rPr>
                <w:rFonts w:hint="eastAsia" w:ascii="Times New Roman" w:hAnsi="Times New Roman"/>
                <w:sz w:val="21"/>
                <w:highlight w:val="none"/>
              </w:rPr>
            </w:pPr>
            <w:r>
              <w:rPr>
                <w:rFonts w:hint="eastAsia" w:ascii="Times New Roman" w:hAnsi="Times New Roman" w:eastAsia="宋体"/>
                <w:szCs w:val="21"/>
                <w:highlight w:val="none"/>
                <w:lang w:val="en-US" w:eastAsia="zh-CN"/>
              </w:rPr>
              <w:t>105</w:t>
            </w:r>
          </w:p>
        </w:tc>
        <w:tc>
          <w:tcPr>
            <w:tcW w:w="913" w:type="dxa"/>
            <w:vMerge w:val="continue"/>
            <w:noWrap w:val="0"/>
            <w:vAlign w:val="center"/>
          </w:tcPr>
          <w:p w14:paraId="7D1BEF8C">
            <w:pPr>
              <w:pStyle w:val="42"/>
              <w:spacing w:before="81" w:after="81"/>
              <w:textAlignment w:val="center"/>
              <w:rPr>
                <w:rFonts w:hint="eastAsia" w:ascii="Times New Roman" w:hAnsi="Times New Roman"/>
                <w:szCs w:val="21"/>
                <w:highlight w:val="none"/>
              </w:rPr>
            </w:pPr>
          </w:p>
        </w:tc>
      </w:tr>
      <w:tr w14:paraId="08EBE3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3A70C564">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1E82174A">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7FC16F1E">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5309D2C1">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52B7DF10">
            <w:pPr>
              <w:pStyle w:val="42"/>
              <w:spacing w:before="81" w:after="81"/>
              <w:textAlignment w:val="center"/>
              <w:rPr>
                <w:rFonts w:ascii="Times New Roman" w:hAnsi="Times New Roman"/>
                <w:szCs w:val="21"/>
                <w:highlight w:val="none"/>
              </w:rPr>
            </w:pPr>
          </w:p>
        </w:tc>
        <w:tc>
          <w:tcPr>
            <w:tcW w:w="1430" w:type="dxa"/>
            <w:noWrap w:val="0"/>
            <w:vAlign w:val="center"/>
          </w:tcPr>
          <w:p w14:paraId="4F4B873F">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298648（使用116MW+35t/h锅炉）</w:t>
            </w:r>
          </w:p>
        </w:tc>
        <w:tc>
          <w:tcPr>
            <w:tcW w:w="1059" w:type="dxa"/>
            <w:noWrap w:val="0"/>
            <w:vAlign w:val="center"/>
          </w:tcPr>
          <w:p w14:paraId="006C6CBB">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6DD7446D">
            <w:pPr>
              <w:pStyle w:val="42"/>
              <w:spacing w:before="81" w:after="81"/>
              <w:ind w:firstLine="0" w:firstLineChars="0"/>
              <w:textAlignment w:val="center"/>
              <w:rPr>
                <w:rFonts w:hint="default" w:ascii="Times New Roman" w:hAnsi="Times New Roman" w:eastAsia="宋体"/>
                <w:szCs w:val="21"/>
                <w:highlight w:val="none"/>
                <w:lang w:val="en-US"/>
              </w:rPr>
            </w:pPr>
            <w:r>
              <w:rPr>
                <w:rFonts w:hint="eastAsia" w:ascii="Times New Roman" w:hAnsi="Times New Roman" w:eastAsia="宋体"/>
                <w:szCs w:val="21"/>
                <w:highlight w:val="none"/>
                <w:lang w:val="en-US" w:eastAsia="zh-CN"/>
              </w:rPr>
              <w:t>271</w:t>
            </w:r>
          </w:p>
        </w:tc>
        <w:tc>
          <w:tcPr>
            <w:tcW w:w="1173" w:type="dxa"/>
            <w:vMerge w:val="continue"/>
            <w:noWrap w:val="0"/>
            <w:vAlign w:val="center"/>
          </w:tcPr>
          <w:p w14:paraId="35E5B4B8">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3CF3EE42">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0BD73CF9">
            <w:pPr>
              <w:pStyle w:val="42"/>
              <w:spacing w:before="81" w:after="81"/>
              <w:textAlignment w:val="center"/>
              <w:rPr>
                <w:rFonts w:ascii="Times New Roman" w:hAnsi="Times New Roman"/>
                <w:szCs w:val="21"/>
                <w:highlight w:val="none"/>
              </w:rPr>
            </w:pPr>
          </w:p>
        </w:tc>
        <w:tc>
          <w:tcPr>
            <w:tcW w:w="1245" w:type="dxa"/>
            <w:noWrap w:val="0"/>
            <w:vAlign w:val="center"/>
          </w:tcPr>
          <w:p w14:paraId="26B30DBC">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298648</w:t>
            </w:r>
          </w:p>
        </w:tc>
        <w:tc>
          <w:tcPr>
            <w:tcW w:w="936" w:type="dxa"/>
            <w:noWrap w:val="0"/>
            <w:vAlign w:val="center"/>
          </w:tcPr>
          <w:p w14:paraId="6A99ABD8">
            <w:pPr>
              <w:pStyle w:val="42"/>
              <w:spacing w:before="81" w:after="81"/>
              <w:ind w:firstLine="0" w:firstLineChars="0"/>
              <w:textAlignment w:val="center"/>
              <w:rPr>
                <w:rFonts w:ascii="Times New Roman" w:hAnsi="Times New Roman"/>
                <w:sz w:val="21"/>
                <w:highlight w:val="none"/>
              </w:rPr>
            </w:pPr>
            <w:r>
              <w:rPr>
                <w:rFonts w:hint="eastAsia" w:ascii="Times New Roman" w:hAnsi="Times New Roman" w:eastAsia="宋体"/>
                <w:szCs w:val="21"/>
                <w:highlight w:val="none"/>
                <w:lang w:val="en-US" w:eastAsia="zh-CN"/>
              </w:rPr>
              <w:t>916</w:t>
            </w:r>
          </w:p>
        </w:tc>
        <w:tc>
          <w:tcPr>
            <w:tcW w:w="951" w:type="dxa"/>
            <w:noWrap w:val="0"/>
            <w:vAlign w:val="center"/>
          </w:tcPr>
          <w:p w14:paraId="74E1DA32">
            <w:pPr>
              <w:pStyle w:val="42"/>
              <w:spacing w:before="81" w:after="81"/>
              <w:ind w:firstLine="0" w:firstLineChars="0"/>
              <w:textAlignment w:val="center"/>
              <w:rPr>
                <w:rFonts w:hint="eastAsia" w:ascii="Times New Roman" w:hAnsi="Times New Roman"/>
                <w:sz w:val="21"/>
                <w:highlight w:val="none"/>
              </w:rPr>
            </w:pPr>
            <w:r>
              <w:rPr>
                <w:rFonts w:hint="eastAsia" w:ascii="Times New Roman" w:hAnsi="Times New Roman" w:eastAsia="宋体"/>
                <w:szCs w:val="21"/>
                <w:highlight w:val="none"/>
                <w:lang w:val="en-US" w:eastAsia="zh-CN"/>
              </w:rPr>
              <w:t>271</w:t>
            </w:r>
          </w:p>
        </w:tc>
        <w:tc>
          <w:tcPr>
            <w:tcW w:w="913" w:type="dxa"/>
            <w:vMerge w:val="continue"/>
            <w:noWrap w:val="0"/>
            <w:vAlign w:val="center"/>
          </w:tcPr>
          <w:p w14:paraId="7E4684D2">
            <w:pPr>
              <w:pStyle w:val="42"/>
              <w:spacing w:before="81" w:after="81"/>
              <w:textAlignment w:val="center"/>
              <w:rPr>
                <w:rFonts w:hint="eastAsia" w:ascii="Times New Roman" w:hAnsi="Times New Roman"/>
                <w:szCs w:val="21"/>
                <w:highlight w:val="none"/>
              </w:rPr>
            </w:pPr>
          </w:p>
        </w:tc>
      </w:tr>
      <w:tr w14:paraId="778E35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1371720">
            <w:pPr>
              <w:pStyle w:val="42"/>
              <w:spacing w:before="81" w:after="81"/>
              <w:textAlignment w:val="center"/>
              <w:rPr>
                <w:rFonts w:ascii="Times New Roman" w:hAnsi="Times New Roman"/>
                <w:szCs w:val="21"/>
                <w:highlight w:val="none"/>
              </w:rPr>
            </w:pPr>
          </w:p>
        </w:tc>
        <w:tc>
          <w:tcPr>
            <w:tcW w:w="912" w:type="dxa"/>
            <w:vMerge w:val="continue"/>
            <w:noWrap w:val="0"/>
            <w:vAlign w:val="center"/>
          </w:tcPr>
          <w:p w14:paraId="582AEB53">
            <w:pPr>
              <w:pStyle w:val="42"/>
              <w:spacing w:before="81" w:after="81"/>
              <w:textAlignment w:val="center"/>
              <w:rPr>
                <w:rFonts w:ascii="Times New Roman" w:hAnsi="Times New Roman"/>
                <w:szCs w:val="21"/>
                <w:highlight w:val="none"/>
              </w:rPr>
            </w:pPr>
          </w:p>
        </w:tc>
        <w:tc>
          <w:tcPr>
            <w:tcW w:w="748" w:type="dxa"/>
            <w:vMerge w:val="continue"/>
            <w:noWrap w:val="0"/>
            <w:vAlign w:val="center"/>
          </w:tcPr>
          <w:p w14:paraId="1F210C81">
            <w:pPr>
              <w:pStyle w:val="42"/>
              <w:spacing w:before="81" w:after="81"/>
              <w:textAlignment w:val="center"/>
              <w:rPr>
                <w:rFonts w:ascii="Times New Roman" w:hAnsi="Times New Roman"/>
                <w:szCs w:val="21"/>
                <w:highlight w:val="none"/>
              </w:rPr>
            </w:pPr>
          </w:p>
        </w:tc>
        <w:tc>
          <w:tcPr>
            <w:tcW w:w="737" w:type="dxa"/>
            <w:vMerge w:val="continue"/>
            <w:noWrap w:val="0"/>
            <w:vAlign w:val="center"/>
          </w:tcPr>
          <w:p w14:paraId="6958DB25">
            <w:pPr>
              <w:pStyle w:val="42"/>
              <w:spacing w:before="81" w:after="81"/>
              <w:textAlignment w:val="center"/>
              <w:rPr>
                <w:rFonts w:ascii="Times New Roman" w:hAnsi="Times New Roman"/>
                <w:szCs w:val="21"/>
                <w:highlight w:val="none"/>
              </w:rPr>
            </w:pPr>
          </w:p>
        </w:tc>
        <w:tc>
          <w:tcPr>
            <w:tcW w:w="660" w:type="dxa"/>
            <w:vMerge w:val="continue"/>
            <w:noWrap w:val="0"/>
            <w:vAlign w:val="center"/>
          </w:tcPr>
          <w:p w14:paraId="68C994A0">
            <w:pPr>
              <w:pStyle w:val="42"/>
              <w:spacing w:before="81" w:after="81"/>
              <w:textAlignment w:val="center"/>
              <w:rPr>
                <w:rFonts w:ascii="Times New Roman" w:hAnsi="Times New Roman"/>
                <w:szCs w:val="21"/>
                <w:highlight w:val="none"/>
              </w:rPr>
            </w:pPr>
          </w:p>
        </w:tc>
        <w:tc>
          <w:tcPr>
            <w:tcW w:w="1430" w:type="dxa"/>
            <w:noWrap w:val="0"/>
            <w:vAlign w:val="center"/>
          </w:tcPr>
          <w:p w14:paraId="28BE6D56">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80864（使用58MW锅炉）</w:t>
            </w:r>
          </w:p>
        </w:tc>
        <w:tc>
          <w:tcPr>
            <w:tcW w:w="1059" w:type="dxa"/>
            <w:noWrap w:val="0"/>
            <w:vAlign w:val="center"/>
          </w:tcPr>
          <w:p w14:paraId="1CCF6E19">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916</w:t>
            </w:r>
          </w:p>
        </w:tc>
        <w:tc>
          <w:tcPr>
            <w:tcW w:w="887" w:type="dxa"/>
            <w:noWrap w:val="0"/>
            <w:vAlign w:val="center"/>
          </w:tcPr>
          <w:p w14:paraId="1C9AEFF8">
            <w:pPr>
              <w:pStyle w:val="42"/>
              <w:spacing w:before="81" w:after="81"/>
              <w:ind w:firstLine="0" w:firstLineChars="0"/>
              <w:textAlignment w:val="center"/>
              <w:rPr>
                <w:rFonts w:hint="default" w:ascii="Times New Roman" w:hAnsi="Times New Roman" w:eastAsia="宋体"/>
                <w:szCs w:val="21"/>
                <w:highlight w:val="none"/>
                <w:lang w:val="en-US"/>
              </w:rPr>
            </w:pPr>
            <w:r>
              <w:rPr>
                <w:rFonts w:hint="eastAsia" w:ascii="Times New Roman" w:hAnsi="Times New Roman" w:eastAsia="宋体"/>
                <w:szCs w:val="21"/>
                <w:highlight w:val="none"/>
                <w:lang w:val="en-US" w:eastAsia="zh-CN"/>
              </w:rPr>
              <w:t>31</w:t>
            </w:r>
          </w:p>
        </w:tc>
        <w:tc>
          <w:tcPr>
            <w:tcW w:w="1173" w:type="dxa"/>
            <w:vMerge w:val="continue"/>
            <w:noWrap w:val="0"/>
            <w:vAlign w:val="center"/>
          </w:tcPr>
          <w:p w14:paraId="7EC5DA76">
            <w:pPr>
              <w:spacing w:line="240" w:lineRule="auto"/>
              <w:ind w:firstLine="0" w:firstLineChars="0"/>
              <w:jc w:val="center"/>
              <w:textAlignment w:val="center"/>
              <w:rPr>
                <w:rFonts w:ascii="Times New Roman" w:hAnsi="Times New Roman"/>
                <w:sz w:val="21"/>
                <w:highlight w:val="none"/>
              </w:rPr>
            </w:pPr>
          </w:p>
        </w:tc>
        <w:tc>
          <w:tcPr>
            <w:tcW w:w="874" w:type="dxa"/>
            <w:vMerge w:val="continue"/>
            <w:noWrap w:val="0"/>
            <w:vAlign w:val="center"/>
          </w:tcPr>
          <w:p w14:paraId="4DB534F3">
            <w:pPr>
              <w:pStyle w:val="42"/>
              <w:spacing w:before="81" w:after="81"/>
              <w:textAlignment w:val="center"/>
              <w:rPr>
                <w:rFonts w:ascii="Times New Roman" w:hAnsi="Times New Roman"/>
                <w:szCs w:val="21"/>
                <w:highlight w:val="none"/>
              </w:rPr>
            </w:pPr>
          </w:p>
        </w:tc>
        <w:tc>
          <w:tcPr>
            <w:tcW w:w="805" w:type="dxa"/>
            <w:vMerge w:val="continue"/>
            <w:noWrap w:val="0"/>
            <w:vAlign w:val="center"/>
          </w:tcPr>
          <w:p w14:paraId="73893BEB">
            <w:pPr>
              <w:pStyle w:val="42"/>
              <w:spacing w:before="81" w:after="81"/>
              <w:textAlignment w:val="center"/>
              <w:rPr>
                <w:rFonts w:ascii="Times New Roman" w:hAnsi="Times New Roman"/>
                <w:szCs w:val="21"/>
                <w:highlight w:val="none"/>
              </w:rPr>
            </w:pPr>
          </w:p>
        </w:tc>
        <w:tc>
          <w:tcPr>
            <w:tcW w:w="1245" w:type="dxa"/>
            <w:noWrap w:val="0"/>
            <w:vAlign w:val="center"/>
          </w:tcPr>
          <w:p w14:paraId="2E708E9D">
            <w:pPr>
              <w:pStyle w:val="42"/>
              <w:spacing w:before="81" w:after="81"/>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80864</w:t>
            </w:r>
          </w:p>
        </w:tc>
        <w:tc>
          <w:tcPr>
            <w:tcW w:w="936" w:type="dxa"/>
            <w:noWrap w:val="0"/>
            <w:vAlign w:val="center"/>
          </w:tcPr>
          <w:p w14:paraId="691D836A">
            <w:pPr>
              <w:pStyle w:val="42"/>
              <w:spacing w:before="81" w:after="81"/>
              <w:ind w:firstLine="0" w:firstLineChars="0"/>
              <w:textAlignment w:val="center"/>
              <w:rPr>
                <w:rFonts w:ascii="Times New Roman" w:hAnsi="Times New Roman"/>
                <w:sz w:val="21"/>
                <w:highlight w:val="none"/>
              </w:rPr>
            </w:pPr>
            <w:r>
              <w:rPr>
                <w:rFonts w:hint="eastAsia" w:ascii="Times New Roman" w:hAnsi="Times New Roman" w:eastAsia="宋体"/>
                <w:szCs w:val="21"/>
                <w:highlight w:val="none"/>
                <w:lang w:val="en-US" w:eastAsia="zh-CN"/>
              </w:rPr>
              <w:t>916</w:t>
            </w:r>
          </w:p>
        </w:tc>
        <w:tc>
          <w:tcPr>
            <w:tcW w:w="951" w:type="dxa"/>
            <w:noWrap w:val="0"/>
            <w:vAlign w:val="center"/>
          </w:tcPr>
          <w:p w14:paraId="51E1FB13">
            <w:pPr>
              <w:pStyle w:val="42"/>
              <w:spacing w:before="81" w:after="81"/>
              <w:ind w:firstLine="0" w:firstLineChars="0"/>
              <w:textAlignment w:val="center"/>
              <w:rPr>
                <w:rFonts w:hint="eastAsia" w:ascii="Times New Roman" w:hAnsi="Times New Roman"/>
                <w:sz w:val="21"/>
                <w:highlight w:val="none"/>
              </w:rPr>
            </w:pPr>
            <w:r>
              <w:rPr>
                <w:rFonts w:hint="eastAsia" w:ascii="Times New Roman" w:hAnsi="Times New Roman" w:eastAsia="宋体"/>
                <w:szCs w:val="21"/>
                <w:highlight w:val="none"/>
                <w:lang w:val="en-US" w:eastAsia="zh-CN"/>
              </w:rPr>
              <w:t>31</w:t>
            </w:r>
          </w:p>
        </w:tc>
        <w:tc>
          <w:tcPr>
            <w:tcW w:w="913" w:type="dxa"/>
            <w:vMerge w:val="continue"/>
            <w:noWrap w:val="0"/>
            <w:vAlign w:val="center"/>
          </w:tcPr>
          <w:p w14:paraId="7DD80C01">
            <w:pPr>
              <w:pStyle w:val="42"/>
              <w:spacing w:before="81" w:after="81"/>
              <w:textAlignment w:val="center"/>
              <w:rPr>
                <w:rFonts w:hint="eastAsia" w:ascii="Times New Roman" w:hAnsi="Times New Roman"/>
                <w:szCs w:val="21"/>
                <w:highlight w:val="none"/>
              </w:rPr>
            </w:pPr>
          </w:p>
        </w:tc>
      </w:tr>
      <w:tr w14:paraId="4D6BE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vMerge w:val="continue"/>
            <w:noWrap w:val="0"/>
            <w:vAlign w:val="center"/>
          </w:tcPr>
          <w:p w14:paraId="2CF32CBD">
            <w:pPr>
              <w:pStyle w:val="42"/>
              <w:spacing w:before="81" w:after="81"/>
              <w:textAlignment w:val="center"/>
              <w:rPr>
                <w:rFonts w:ascii="Times New Roman" w:hAnsi="Times New Roman"/>
                <w:szCs w:val="21"/>
                <w:highlight w:val="none"/>
              </w:rPr>
            </w:pPr>
          </w:p>
        </w:tc>
        <w:tc>
          <w:tcPr>
            <w:tcW w:w="912" w:type="dxa"/>
            <w:noWrap w:val="0"/>
            <w:vAlign w:val="center"/>
          </w:tcPr>
          <w:p w14:paraId="5534B9FD">
            <w:pPr>
              <w:pStyle w:val="42"/>
              <w:spacing w:before="81" w:after="81"/>
              <w:textAlignment w:val="center"/>
              <w:rPr>
                <w:rFonts w:ascii="Times New Roman" w:hAnsi="Times New Roman"/>
                <w:szCs w:val="21"/>
                <w:highlight w:val="none"/>
              </w:rPr>
            </w:pPr>
            <w:r>
              <w:rPr>
                <w:rFonts w:ascii="Times New Roman" w:hAnsi="Times New Roman"/>
                <w:szCs w:val="21"/>
                <w:highlight w:val="none"/>
              </w:rPr>
              <w:t>食堂油烟</w:t>
            </w:r>
          </w:p>
        </w:tc>
        <w:tc>
          <w:tcPr>
            <w:tcW w:w="748" w:type="dxa"/>
            <w:noWrap w:val="0"/>
            <w:vAlign w:val="center"/>
          </w:tcPr>
          <w:p w14:paraId="11C1FA88">
            <w:pPr>
              <w:pStyle w:val="42"/>
              <w:spacing w:before="81" w:after="81"/>
              <w:textAlignment w:val="center"/>
              <w:rPr>
                <w:rFonts w:ascii="Times New Roman" w:hAnsi="Times New Roman"/>
                <w:szCs w:val="21"/>
                <w:highlight w:val="none"/>
              </w:rPr>
            </w:pPr>
            <w:r>
              <w:rPr>
                <w:rFonts w:ascii="Times New Roman" w:hAnsi="Times New Roman"/>
                <w:szCs w:val="21"/>
                <w:highlight w:val="none"/>
              </w:rPr>
              <w:t>高于楼顶</w:t>
            </w:r>
          </w:p>
        </w:tc>
        <w:tc>
          <w:tcPr>
            <w:tcW w:w="737" w:type="dxa"/>
            <w:noWrap w:val="0"/>
            <w:vAlign w:val="center"/>
          </w:tcPr>
          <w:p w14:paraId="6B42EF69">
            <w:pPr>
              <w:pStyle w:val="42"/>
              <w:spacing w:before="81" w:after="81"/>
              <w:textAlignment w:val="center"/>
              <w:rPr>
                <w:rFonts w:ascii="Times New Roman" w:hAnsi="Times New Roman"/>
                <w:szCs w:val="21"/>
                <w:highlight w:val="none"/>
              </w:rPr>
            </w:pPr>
            <w:r>
              <w:rPr>
                <w:rFonts w:ascii="Times New Roman" w:hAnsi="Times New Roman"/>
                <w:szCs w:val="21"/>
                <w:highlight w:val="none"/>
              </w:rPr>
              <w:t>食堂油烟</w:t>
            </w:r>
          </w:p>
        </w:tc>
        <w:tc>
          <w:tcPr>
            <w:tcW w:w="660" w:type="dxa"/>
            <w:noWrap w:val="0"/>
            <w:vAlign w:val="center"/>
          </w:tcPr>
          <w:p w14:paraId="0CD6A5EF">
            <w:pPr>
              <w:pStyle w:val="42"/>
              <w:spacing w:before="81" w:after="81"/>
              <w:textAlignment w:val="center"/>
              <w:rPr>
                <w:rFonts w:ascii="Times New Roman" w:hAnsi="Times New Roman"/>
                <w:szCs w:val="21"/>
                <w:highlight w:val="none"/>
              </w:rPr>
            </w:pPr>
            <w:r>
              <w:rPr>
                <w:rFonts w:ascii="Times New Roman" w:hAnsi="Times New Roman"/>
                <w:szCs w:val="21"/>
                <w:highlight w:val="none"/>
              </w:rPr>
              <w:t>系数法</w:t>
            </w:r>
          </w:p>
        </w:tc>
        <w:tc>
          <w:tcPr>
            <w:tcW w:w="1430" w:type="dxa"/>
            <w:noWrap w:val="0"/>
            <w:vAlign w:val="center"/>
          </w:tcPr>
          <w:p w14:paraId="793B118D">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8000</w:t>
            </w:r>
          </w:p>
        </w:tc>
        <w:tc>
          <w:tcPr>
            <w:tcW w:w="1059" w:type="dxa"/>
            <w:noWrap w:val="0"/>
            <w:vAlign w:val="center"/>
          </w:tcPr>
          <w:p w14:paraId="398F9935">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1.31</w:t>
            </w:r>
          </w:p>
        </w:tc>
        <w:tc>
          <w:tcPr>
            <w:tcW w:w="887" w:type="dxa"/>
            <w:noWrap w:val="0"/>
            <w:vAlign w:val="center"/>
          </w:tcPr>
          <w:p w14:paraId="4BD50207">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0.01</w:t>
            </w:r>
          </w:p>
        </w:tc>
        <w:tc>
          <w:tcPr>
            <w:tcW w:w="1173" w:type="dxa"/>
            <w:noWrap w:val="0"/>
            <w:vAlign w:val="center"/>
          </w:tcPr>
          <w:p w14:paraId="7634A2A2">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油烟机净化器</w:t>
            </w:r>
          </w:p>
        </w:tc>
        <w:tc>
          <w:tcPr>
            <w:tcW w:w="874" w:type="dxa"/>
            <w:noWrap w:val="0"/>
            <w:vAlign w:val="center"/>
          </w:tcPr>
          <w:p w14:paraId="04D96EBC">
            <w:pPr>
              <w:pStyle w:val="42"/>
              <w:spacing w:before="81" w:after="81"/>
              <w:textAlignment w:val="center"/>
              <w:rPr>
                <w:rFonts w:ascii="Times New Roman" w:hAnsi="Times New Roman"/>
                <w:szCs w:val="21"/>
                <w:highlight w:val="none"/>
              </w:rPr>
            </w:pPr>
            <w:r>
              <w:rPr>
                <w:rFonts w:ascii="Times New Roman" w:hAnsi="Times New Roman"/>
                <w:szCs w:val="21"/>
                <w:highlight w:val="none"/>
              </w:rPr>
              <w:t>75</w:t>
            </w:r>
          </w:p>
        </w:tc>
        <w:tc>
          <w:tcPr>
            <w:tcW w:w="805" w:type="dxa"/>
            <w:noWrap w:val="0"/>
            <w:vAlign w:val="center"/>
          </w:tcPr>
          <w:p w14:paraId="0051D91C">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1245" w:type="dxa"/>
            <w:noWrap w:val="0"/>
            <w:vAlign w:val="center"/>
          </w:tcPr>
          <w:p w14:paraId="6DB05C4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8000</w:t>
            </w:r>
          </w:p>
        </w:tc>
        <w:tc>
          <w:tcPr>
            <w:tcW w:w="936" w:type="dxa"/>
            <w:noWrap w:val="0"/>
            <w:vAlign w:val="center"/>
          </w:tcPr>
          <w:p w14:paraId="74328F5C">
            <w:pPr>
              <w:spacing w:line="240" w:lineRule="auto"/>
              <w:ind w:firstLine="0" w:firstLineChars="0"/>
              <w:jc w:val="center"/>
              <w:rPr>
                <w:rFonts w:ascii="Times New Roman" w:hAnsi="Times New Roman"/>
                <w:sz w:val="21"/>
                <w:highlight w:val="none"/>
              </w:rPr>
            </w:pPr>
            <w:r>
              <w:rPr>
                <w:rFonts w:hint="eastAsia" w:ascii="Times New Roman" w:hAnsi="Times New Roman"/>
                <w:sz w:val="21"/>
                <w:highlight w:val="none"/>
              </w:rPr>
              <w:t>0.824</w:t>
            </w:r>
          </w:p>
        </w:tc>
        <w:tc>
          <w:tcPr>
            <w:tcW w:w="951" w:type="dxa"/>
            <w:noWrap w:val="0"/>
            <w:vAlign w:val="center"/>
          </w:tcPr>
          <w:p w14:paraId="33B47174">
            <w:pPr>
              <w:spacing w:line="240" w:lineRule="auto"/>
              <w:ind w:firstLine="0" w:firstLineChars="0"/>
              <w:jc w:val="center"/>
              <w:textAlignment w:val="center"/>
              <w:rPr>
                <w:rFonts w:hint="default" w:ascii="Times New Roman" w:hAnsi="Times New Roman" w:eastAsia="宋体"/>
                <w:szCs w:val="21"/>
                <w:highlight w:val="none"/>
                <w:lang w:val="en-US" w:eastAsia="zh-CN"/>
              </w:rPr>
            </w:pPr>
            <w:r>
              <w:rPr>
                <w:rFonts w:ascii="Times New Roman" w:hAnsi="Times New Roman"/>
                <w:szCs w:val="21"/>
                <w:highlight w:val="none"/>
              </w:rPr>
              <w:t>0.00</w:t>
            </w:r>
            <w:r>
              <w:rPr>
                <w:rFonts w:hint="eastAsia" w:ascii="Times New Roman" w:hAnsi="Times New Roman"/>
                <w:szCs w:val="21"/>
                <w:highlight w:val="none"/>
                <w:lang w:val="en-US" w:eastAsia="zh-CN"/>
              </w:rPr>
              <w:t>66</w:t>
            </w:r>
          </w:p>
        </w:tc>
        <w:tc>
          <w:tcPr>
            <w:tcW w:w="913" w:type="dxa"/>
            <w:noWrap w:val="0"/>
            <w:vAlign w:val="center"/>
          </w:tcPr>
          <w:p w14:paraId="1E6BC66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5040</w:t>
            </w:r>
          </w:p>
        </w:tc>
      </w:tr>
      <w:tr w14:paraId="474FD8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888" w:type="dxa"/>
            <w:vMerge w:val="continue"/>
            <w:noWrap w:val="0"/>
            <w:vAlign w:val="center"/>
          </w:tcPr>
          <w:p w14:paraId="61D896F2">
            <w:pPr>
              <w:pStyle w:val="42"/>
              <w:spacing w:before="81" w:after="81"/>
              <w:textAlignment w:val="center"/>
              <w:rPr>
                <w:rFonts w:ascii="Times New Roman" w:hAnsi="Times New Roman"/>
                <w:szCs w:val="21"/>
                <w:highlight w:val="none"/>
              </w:rPr>
            </w:pPr>
          </w:p>
        </w:tc>
        <w:tc>
          <w:tcPr>
            <w:tcW w:w="912" w:type="dxa"/>
            <w:noWrap w:val="0"/>
            <w:vAlign w:val="center"/>
          </w:tcPr>
          <w:p w14:paraId="793D0D66">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碎煤机</w:t>
            </w:r>
          </w:p>
        </w:tc>
        <w:tc>
          <w:tcPr>
            <w:tcW w:w="748" w:type="dxa"/>
            <w:noWrap w:val="0"/>
            <w:vAlign w:val="center"/>
          </w:tcPr>
          <w:p w14:paraId="4FD5A472">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15m高烟囱</w:t>
            </w:r>
          </w:p>
        </w:tc>
        <w:tc>
          <w:tcPr>
            <w:tcW w:w="737" w:type="dxa"/>
            <w:noWrap w:val="0"/>
            <w:vAlign w:val="center"/>
          </w:tcPr>
          <w:p w14:paraId="6C9843B0">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颗粒物</w:t>
            </w:r>
          </w:p>
        </w:tc>
        <w:tc>
          <w:tcPr>
            <w:tcW w:w="660" w:type="dxa"/>
            <w:noWrap w:val="0"/>
            <w:vAlign w:val="center"/>
          </w:tcPr>
          <w:p w14:paraId="321E7D80">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排污系数法</w:t>
            </w:r>
          </w:p>
        </w:tc>
        <w:tc>
          <w:tcPr>
            <w:tcW w:w="1430" w:type="dxa"/>
            <w:vMerge w:val="restart"/>
            <w:noWrap w:val="0"/>
            <w:vAlign w:val="center"/>
          </w:tcPr>
          <w:p w14:paraId="2C4B7E20">
            <w:pPr>
              <w:pStyle w:val="42"/>
              <w:spacing w:before="81" w:after="81"/>
              <w:textAlignment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4000</w:t>
            </w:r>
          </w:p>
        </w:tc>
        <w:tc>
          <w:tcPr>
            <w:tcW w:w="1059" w:type="dxa"/>
            <w:vMerge w:val="restart"/>
            <w:noWrap w:val="0"/>
            <w:vAlign w:val="center"/>
          </w:tcPr>
          <w:p w14:paraId="3BB4460A">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4020</w:t>
            </w:r>
          </w:p>
        </w:tc>
        <w:tc>
          <w:tcPr>
            <w:tcW w:w="887" w:type="dxa"/>
            <w:noWrap w:val="0"/>
            <w:vAlign w:val="center"/>
          </w:tcPr>
          <w:p w14:paraId="36DAE396">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16.08</w:t>
            </w:r>
          </w:p>
        </w:tc>
        <w:tc>
          <w:tcPr>
            <w:tcW w:w="1173" w:type="dxa"/>
            <w:noWrap w:val="0"/>
            <w:vAlign w:val="center"/>
          </w:tcPr>
          <w:p w14:paraId="074C1F5C">
            <w:pPr>
              <w:spacing w:line="240" w:lineRule="auto"/>
              <w:ind w:firstLine="0" w:firstLineChars="0"/>
              <w:jc w:val="center"/>
              <w:textAlignment w:val="center"/>
              <w:rPr>
                <w:rFonts w:hint="eastAsia" w:ascii="Times New Roman" w:hAnsi="Times New Roman" w:eastAsia="宋体"/>
                <w:sz w:val="21"/>
                <w:highlight w:val="none"/>
                <w:lang w:val="en-US" w:eastAsia="zh-CN"/>
              </w:rPr>
            </w:pPr>
            <w:r>
              <w:rPr>
                <w:rFonts w:hint="eastAsia" w:ascii="Times New Roman" w:hAnsi="Times New Roman"/>
                <w:sz w:val="21"/>
                <w:highlight w:val="none"/>
                <w:lang w:val="en-US" w:eastAsia="zh-CN"/>
              </w:rPr>
              <w:t>布袋除尘器</w:t>
            </w:r>
          </w:p>
        </w:tc>
        <w:tc>
          <w:tcPr>
            <w:tcW w:w="874" w:type="dxa"/>
            <w:noWrap w:val="0"/>
            <w:vAlign w:val="center"/>
          </w:tcPr>
          <w:p w14:paraId="3E82FE5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99.9</w:t>
            </w:r>
          </w:p>
        </w:tc>
        <w:tc>
          <w:tcPr>
            <w:tcW w:w="805" w:type="dxa"/>
            <w:vMerge w:val="restart"/>
            <w:noWrap w:val="0"/>
            <w:vAlign w:val="center"/>
          </w:tcPr>
          <w:p w14:paraId="1EAB418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物料衡算法</w:t>
            </w:r>
          </w:p>
        </w:tc>
        <w:tc>
          <w:tcPr>
            <w:tcW w:w="1245" w:type="dxa"/>
            <w:vMerge w:val="restart"/>
            <w:noWrap w:val="0"/>
            <w:vAlign w:val="center"/>
          </w:tcPr>
          <w:p w14:paraId="1D537E64">
            <w:pPr>
              <w:pStyle w:val="42"/>
              <w:spacing w:before="81" w:after="81"/>
              <w:textAlignment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4000</w:t>
            </w:r>
          </w:p>
        </w:tc>
        <w:tc>
          <w:tcPr>
            <w:tcW w:w="936" w:type="dxa"/>
            <w:vMerge w:val="restart"/>
            <w:noWrap w:val="0"/>
            <w:vAlign w:val="center"/>
          </w:tcPr>
          <w:p w14:paraId="2B681EF1">
            <w:pPr>
              <w:spacing w:line="240" w:lineRule="auto"/>
              <w:ind w:firstLine="0" w:firstLineChars="0"/>
              <w:jc w:val="center"/>
              <w:rPr>
                <w:rFonts w:hint="eastAsia" w:ascii="Times New Roman" w:hAnsi="Times New Roman" w:eastAsia="宋体"/>
                <w:sz w:val="21"/>
                <w:highlight w:val="none"/>
                <w:lang w:val="en-US" w:eastAsia="zh-CN"/>
              </w:rPr>
            </w:pPr>
            <w:r>
              <w:rPr>
                <w:rFonts w:hint="eastAsia" w:ascii="Times New Roman" w:hAnsi="Times New Roman"/>
                <w:sz w:val="21"/>
                <w:highlight w:val="none"/>
                <w:lang w:val="en-US" w:eastAsia="zh-CN"/>
              </w:rPr>
              <w:t>4</w:t>
            </w:r>
          </w:p>
        </w:tc>
        <w:tc>
          <w:tcPr>
            <w:tcW w:w="951" w:type="dxa"/>
            <w:noWrap w:val="0"/>
            <w:vAlign w:val="center"/>
          </w:tcPr>
          <w:p w14:paraId="0854BC68">
            <w:pPr>
              <w:spacing w:line="240" w:lineRule="auto"/>
              <w:ind w:firstLine="0" w:firstLineChars="0"/>
              <w:jc w:val="center"/>
              <w:textAlignment w:val="center"/>
              <w:rPr>
                <w:rFonts w:hint="default" w:ascii="Times New Roman" w:hAnsi="Times New Roman" w:eastAsia="宋体"/>
                <w:szCs w:val="21"/>
                <w:highlight w:val="none"/>
                <w:lang w:val="en-US" w:eastAsia="zh-CN"/>
              </w:rPr>
            </w:pPr>
            <w:r>
              <w:rPr>
                <w:rFonts w:hint="eastAsia" w:ascii="Times New Roman" w:hAnsi="Times New Roman"/>
                <w:szCs w:val="21"/>
                <w:highlight w:val="none"/>
                <w:lang w:val="en-US" w:eastAsia="zh-CN"/>
              </w:rPr>
              <w:t>0.0016</w:t>
            </w:r>
          </w:p>
        </w:tc>
        <w:tc>
          <w:tcPr>
            <w:tcW w:w="913" w:type="dxa"/>
            <w:noWrap w:val="0"/>
            <w:vAlign w:val="center"/>
          </w:tcPr>
          <w:p w14:paraId="3026A32D">
            <w:pPr>
              <w:pStyle w:val="42"/>
              <w:spacing w:before="81" w:after="81"/>
              <w:textAlignment w:val="center"/>
              <w:rPr>
                <w:rFonts w:hint="default" w:ascii="Times New Roman" w:hAnsi="Times New Roman"/>
                <w:szCs w:val="21"/>
                <w:highlight w:val="none"/>
                <w:lang w:val="en-US" w:eastAsia="zh-CN"/>
              </w:rPr>
            </w:pPr>
            <w:r>
              <w:rPr>
                <w:rFonts w:hint="eastAsia" w:ascii="Times New Roman" w:hAnsi="Times New Roman"/>
                <w:szCs w:val="21"/>
                <w:highlight w:val="none"/>
                <w:lang w:val="en-US" w:eastAsia="zh-CN"/>
              </w:rPr>
              <w:t>5040</w:t>
            </w:r>
          </w:p>
        </w:tc>
      </w:tr>
      <w:tr w14:paraId="7E3802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restart"/>
            <w:noWrap w:val="0"/>
            <w:vAlign w:val="center"/>
          </w:tcPr>
          <w:p w14:paraId="371C47EF">
            <w:pPr>
              <w:pStyle w:val="42"/>
              <w:spacing w:before="81" w:after="81"/>
              <w:textAlignment w:val="center"/>
              <w:rPr>
                <w:rFonts w:ascii="Times New Roman" w:hAnsi="Times New Roman"/>
                <w:szCs w:val="21"/>
                <w:highlight w:val="none"/>
              </w:rPr>
            </w:pPr>
            <w:r>
              <w:rPr>
                <w:rFonts w:ascii="Times New Roman" w:hAnsi="Times New Roman"/>
                <w:szCs w:val="21"/>
                <w:highlight w:val="none"/>
              </w:rPr>
              <w:t>无组织废气</w:t>
            </w:r>
          </w:p>
        </w:tc>
        <w:tc>
          <w:tcPr>
            <w:tcW w:w="912" w:type="dxa"/>
            <w:noWrap w:val="0"/>
            <w:vAlign w:val="center"/>
          </w:tcPr>
          <w:p w14:paraId="4674876F">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灰仓</w:t>
            </w:r>
          </w:p>
        </w:tc>
        <w:tc>
          <w:tcPr>
            <w:tcW w:w="748" w:type="dxa"/>
            <w:noWrap w:val="0"/>
            <w:vAlign w:val="center"/>
          </w:tcPr>
          <w:p w14:paraId="06854E92">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炉灰</w:t>
            </w:r>
            <w:r>
              <w:rPr>
                <w:rFonts w:ascii="Times New Roman" w:hAnsi="Times New Roman"/>
                <w:sz w:val="21"/>
                <w:highlight w:val="none"/>
              </w:rPr>
              <w:t>储运</w:t>
            </w:r>
          </w:p>
        </w:tc>
        <w:tc>
          <w:tcPr>
            <w:tcW w:w="737" w:type="dxa"/>
            <w:noWrap w:val="0"/>
            <w:vAlign w:val="center"/>
          </w:tcPr>
          <w:p w14:paraId="4919A657">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颗粒物</w:t>
            </w:r>
          </w:p>
        </w:tc>
        <w:tc>
          <w:tcPr>
            <w:tcW w:w="660" w:type="dxa"/>
            <w:noWrap w:val="0"/>
            <w:vAlign w:val="center"/>
          </w:tcPr>
          <w:p w14:paraId="21701E34">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排污系数法</w:t>
            </w:r>
          </w:p>
        </w:tc>
        <w:tc>
          <w:tcPr>
            <w:tcW w:w="1430" w:type="dxa"/>
            <w:vMerge w:val="restart"/>
            <w:noWrap w:val="0"/>
            <w:vAlign w:val="center"/>
          </w:tcPr>
          <w:p w14:paraId="62626D5C">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1059" w:type="dxa"/>
            <w:vMerge w:val="restart"/>
            <w:noWrap w:val="0"/>
            <w:vAlign w:val="center"/>
          </w:tcPr>
          <w:p w14:paraId="111FFAAF">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887" w:type="dxa"/>
            <w:noWrap w:val="0"/>
            <w:vAlign w:val="center"/>
          </w:tcPr>
          <w:p w14:paraId="27851E8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1.2</w:t>
            </w:r>
          </w:p>
        </w:tc>
        <w:tc>
          <w:tcPr>
            <w:tcW w:w="1173" w:type="dxa"/>
            <w:noWrap w:val="0"/>
            <w:vAlign w:val="center"/>
          </w:tcPr>
          <w:p w14:paraId="419A1642">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脉冲袋式除尘器</w:t>
            </w:r>
          </w:p>
        </w:tc>
        <w:tc>
          <w:tcPr>
            <w:tcW w:w="874" w:type="dxa"/>
            <w:noWrap w:val="0"/>
            <w:vAlign w:val="center"/>
          </w:tcPr>
          <w:p w14:paraId="3F749716">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ascii="Times New Roman" w:hAnsi="Times New Roman"/>
                <w:sz w:val="21"/>
                <w:highlight w:val="none"/>
              </w:rPr>
              <w:t>99</w:t>
            </w:r>
            <w:r>
              <w:rPr>
                <w:rFonts w:hint="eastAsia" w:ascii="Times New Roman" w:hAnsi="Times New Roman"/>
                <w:sz w:val="21"/>
                <w:highlight w:val="none"/>
                <w:lang w:val="en-US" w:eastAsia="zh-CN"/>
              </w:rPr>
              <w:t>.9</w:t>
            </w:r>
          </w:p>
        </w:tc>
        <w:tc>
          <w:tcPr>
            <w:tcW w:w="805" w:type="dxa"/>
            <w:vMerge w:val="restart"/>
            <w:noWrap w:val="0"/>
            <w:vAlign w:val="center"/>
          </w:tcPr>
          <w:p w14:paraId="5C1AB383">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物料衡算法</w:t>
            </w:r>
          </w:p>
        </w:tc>
        <w:tc>
          <w:tcPr>
            <w:tcW w:w="1245" w:type="dxa"/>
            <w:vMerge w:val="restart"/>
            <w:noWrap w:val="0"/>
            <w:vAlign w:val="center"/>
          </w:tcPr>
          <w:p w14:paraId="4486607E">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936" w:type="dxa"/>
            <w:vMerge w:val="restart"/>
            <w:noWrap w:val="0"/>
            <w:vAlign w:val="center"/>
          </w:tcPr>
          <w:p w14:paraId="3329E9BF">
            <w:pPr>
              <w:pStyle w:val="42"/>
              <w:spacing w:before="81" w:after="81"/>
              <w:textAlignment w:val="center"/>
              <w:rPr>
                <w:rFonts w:hint="eastAsia" w:ascii="Times New Roman" w:hAnsi="Times New Roman"/>
                <w:szCs w:val="21"/>
                <w:highlight w:val="none"/>
              </w:rPr>
            </w:pPr>
            <w:r>
              <w:rPr>
                <w:rFonts w:hint="eastAsia" w:ascii="Times New Roman" w:hAnsi="Times New Roman"/>
                <w:szCs w:val="21"/>
                <w:highlight w:val="none"/>
              </w:rPr>
              <w:t>/</w:t>
            </w:r>
          </w:p>
        </w:tc>
        <w:tc>
          <w:tcPr>
            <w:tcW w:w="951" w:type="dxa"/>
            <w:noWrap w:val="0"/>
            <w:vAlign w:val="center"/>
          </w:tcPr>
          <w:p w14:paraId="1168C162">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0.012</w:t>
            </w:r>
          </w:p>
        </w:tc>
        <w:tc>
          <w:tcPr>
            <w:tcW w:w="913" w:type="dxa"/>
            <w:noWrap w:val="0"/>
            <w:vAlign w:val="center"/>
          </w:tcPr>
          <w:p w14:paraId="051C205C">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5040</w:t>
            </w:r>
          </w:p>
        </w:tc>
      </w:tr>
      <w:tr w14:paraId="421BFF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6759F234">
            <w:pPr>
              <w:pStyle w:val="42"/>
              <w:spacing w:before="81" w:after="81"/>
              <w:textAlignment w:val="center"/>
              <w:rPr>
                <w:rFonts w:ascii="Times New Roman" w:hAnsi="Times New Roman"/>
                <w:szCs w:val="21"/>
                <w:highlight w:val="none"/>
              </w:rPr>
            </w:pPr>
          </w:p>
        </w:tc>
        <w:tc>
          <w:tcPr>
            <w:tcW w:w="912" w:type="dxa"/>
            <w:noWrap w:val="0"/>
            <w:vAlign w:val="center"/>
          </w:tcPr>
          <w:p w14:paraId="7BF377EF">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渣仓</w:t>
            </w:r>
          </w:p>
        </w:tc>
        <w:tc>
          <w:tcPr>
            <w:tcW w:w="748" w:type="dxa"/>
            <w:noWrap w:val="0"/>
            <w:vAlign w:val="center"/>
          </w:tcPr>
          <w:p w14:paraId="30FE13C0">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炉渣</w:t>
            </w:r>
            <w:r>
              <w:rPr>
                <w:rFonts w:ascii="Times New Roman" w:hAnsi="Times New Roman"/>
                <w:sz w:val="21"/>
                <w:highlight w:val="none"/>
              </w:rPr>
              <w:t>储运</w:t>
            </w:r>
          </w:p>
        </w:tc>
        <w:tc>
          <w:tcPr>
            <w:tcW w:w="737" w:type="dxa"/>
            <w:noWrap w:val="0"/>
            <w:vAlign w:val="center"/>
          </w:tcPr>
          <w:p w14:paraId="77E67D07">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颗粒物</w:t>
            </w:r>
          </w:p>
        </w:tc>
        <w:tc>
          <w:tcPr>
            <w:tcW w:w="660" w:type="dxa"/>
            <w:noWrap w:val="0"/>
            <w:vAlign w:val="center"/>
          </w:tcPr>
          <w:p w14:paraId="1109791E">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排污系数法</w:t>
            </w:r>
          </w:p>
        </w:tc>
        <w:tc>
          <w:tcPr>
            <w:tcW w:w="1430" w:type="dxa"/>
            <w:vMerge w:val="continue"/>
            <w:noWrap w:val="0"/>
            <w:vAlign w:val="center"/>
          </w:tcPr>
          <w:p w14:paraId="35DD2291">
            <w:pPr>
              <w:spacing w:before="81" w:after="81"/>
              <w:ind w:firstLine="480"/>
              <w:textAlignment w:val="center"/>
              <w:rPr>
                <w:rFonts w:ascii="Times New Roman" w:hAnsi="Times New Roman"/>
                <w:szCs w:val="21"/>
                <w:highlight w:val="none"/>
              </w:rPr>
            </w:pPr>
          </w:p>
        </w:tc>
        <w:tc>
          <w:tcPr>
            <w:tcW w:w="1059" w:type="dxa"/>
            <w:vMerge w:val="continue"/>
            <w:noWrap w:val="0"/>
            <w:vAlign w:val="center"/>
          </w:tcPr>
          <w:p w14:paraId="4E6B94B2">
            <w:pPr>
              <w:spacing w:before="81" w:after="81"/>
              <w:ind w:firstLine="480"/>
              <w:textAlignment w:val="center"/>
              <w:rPr>
                <w:rFonts w:ascii="Times New Roman" w:hAnsi="Times New Roman"/>
                <w:szCs w:val="21"/>
                <w:highlight w:val="none"/>
              </w:rPr>
            </w:pPr>
          </w:p>
        </w:tc>
        <w:tc>
          <w:tcPr>
            <w:tcW w:w="887" w:type="dxa"/>
            <w:noWrap w:val="0"/>
            <w:vAlign w:val="center"/>
          </w:tcPr>
          <w:p w14:paraId="5C49B92C">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5.143</w:t>
            </w:r>
          </w:p>
        </w:tc>
        <w:tc>
          <w:tcPr>
            <w:tcW w:w="1173" w:type="dxa"/>
            <w:noWrap w:val="0"/>
            <w:vAlign w:val="center"/>
          </w:tcPr>
          <w:p w14:paraId="52AB6490">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布袋除尘器</w:t>
            </w:r>
          </w:p>
        </w:tc>
        <w:tc>
          <w:tcPr>
            <w:tcW w:w="874" w:type="dxa"/>
            <w:noWrap w:val="0"/>
            <w:vAlign w:val="center"/>
          </w:tcPr>
          <w:p w14:paraId="5CBC0D30">
            <w:pPr>
              <w:spacing w:line="240" w:lineRule="auto"/>
              <w:ind w:firstLine="0" w:firstLineChars="0"/>
              <w:jc w:val="center"/>
              <w:textAlignment w:val="center"/>
              <w:rPr>
                <w:rFonts w:hint="default" w:ascii="Times New Roman" w:hAnsi="Times New Roman" w:eastAsia="新宋体"/>
                <w:sz w:val="21"/>
                <w:szCs w:val="21"/>
                <w:highlight w:val="none"/>
                <w:lang w:val="en-US" w:eastAsia="zh-CN"/>
              </w:rPr>
            </w:pPr>
            <w:r>
              <w:rPr>
                <w:rFonts w:ascii="Times New Roman" w:hAnsi="Times New Roman" w:eastAsia="新宋体"/>
                <w:sz w:val="21"/>
                <w:szCs w:val="21"/>
                <w:highlight w:val="none"/>
              </w:rPr>
              <w:t>99</w:t>
            </w:r>
            <w:r>
              <w:rPr>
                <w:rFonts w:hint="eastAsia" w:ascii="Times New Roman" w:hAnsi="Times New Roman" w:eastAsia="新宋体"/>
                <w:sz w:val="21"/>
                <w:szCs w:val="21"/>
                <w:highlight w:val="none"/>
                <w:lang w:val="en-US" w:eastAsia="zh-CN"/>
              </w:rPr>
              <w:t>.9</w:t>
            </w:r>
          </w:p>
        </w:tc>
        <w:tc>
          <w:tcPr>
            <w:tcW w:w="805" w:type="dxa"/>
            <w:vMerge w:val="continue"/>
            <w:noWrap w:val="0"/>
            <w:vAlign w:val="center"/>
          </w:tcPr>
          <w:p w14:paraId="58E9A83D">
            <w:pPr>
              <w:spacing w:line="240" w:lineRule="auto"/>
              <w:ind w:firstLine="0" w:firstLineChars="0"/>
              <w:jc w:val="center"/>
              <w:textAlignment w:val="center"/>
              <w:rPr>
                <w:rFonts w:ascii="Times New Roman" w:hAnsi="Times New Roman" w:eastAsia="新宋体"/>
                <w:sz w:val="21"/>
                <w:szCs w:val="21"/>
                <w:highlight w:val="none"/>
              </w:rPr>
            </w:pPr>
          </w:p>
        </w:tc>
        <w:tc>
          <w:tcPr>
            <w:tcW w:w="1245" w:type="dxa"/>
            <w:vMerge w:val="continue"/>
            <w:noWrap w:val="0"/>
            <w:vAlign w:val="center"/>
          </w:tcPr>
          <w:p w14:paraId="75D629D6">
            <w:pPr>
              <w:pStyle w:val="42"/>
              <w:spacing w:before="81" w:after="81"/>
              <w:textAlignment w:val="center"/>
              <w:rPr>
                <w:rFonts w:ascii="Times New Roman" w:hAnsi="Times New Roman"/>
                <w:szCs w:val="21"/>
                <w:highlight w:val="none"/>
              </w:rPr>
            </w:pPr>
          </w:p>
        </w:tc>
        <w:tc>
          <w:tcPr>
            <w:tcW w:w="936" w:type="dxa"/>
            <w:vMerge w:val="continue"/>
            <w:noWrap w:val="0"/>
            <w:vAlign w:val="center"/>
          </w:tcPr>
          <w:p w14:paraId="10937986">
            <w:pPr>
              <w:pStyle w:val="42"/>
              <w:spacing w:before="81" w:after="81"/>
              <w:textAlignment w:val="center"/>
              <w:rPr>
                <w:rFonts w:ascii="Times New Roman" w:hAnsi="Times New Roman"/>
                <w:szCs w:val="21"/>
                <w:highlight w:val="none"/>
              </w:rPr>
            </w:pPr>
          </w:p>
        </w:tc>
        <w:tc>
          <w:tcPr>
            <w:tcW w:w="951" w:type="dxa"/>
            <w:noWrap w:val="0"/>
            <w:vAlign w:val="center"/>
          </w:tcPr>
          <w:p w14:paraId="7ADCF29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0.005143</w:t>
            </w:r>
          </w:p>
        </w:tc>
        <w:tc>
          <w:tcPr>
            <w:tcW w:w="913" w:type="dxa"/>
            <w:noWrap w:val="0"/>
            <w:vAlign w:val="center"/>
          </w:tcPr>
          <w:p w14:paraId="1A246E8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5040</w:t>
            </w:r>
          </w:p>
        </w:tc>
      </w:tr>
      <w:tr w14:paraId="36936F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4694AF0A">
            <w:pPr>
              <w:pStyle w:val="42"/>
              <w:spacing w:before="81" w:after="81"/>
              <w:textAlignment w:val="center"/>
              <w:rPr>
                <w:rFonts w:ascii="Times New Roman" w:hAnsi="Times New Roman"/>
                <w:szCs w:val="21"/>
                <w:highlight w:val="none"/>
              </w:rPr>
            </w:pPr>
          </w:p>
        </w:tc>
        <w:tc>
          <w:tcPr>
            <w:tcW w:w="912" w:type="dxa"/>
            <w:noWrap w:val="0"/>
            <w:vAlign w:val="center"/>
          </w:tcPr>
          <w:p w14:paraId="27F53279">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石灰石粉仓</w:t>
            </w:r>
          </w:p>
        </w:tc>
        <w:tc>
          <w:tcPr>
            <w:tcW w:w="748" w:type="dxa"/>
            <w:noWrap w:val="0"/>
            <w:vAlign w:val="center"/>
          </w:tcPr>
          <w:p w14:paraId="7B6EAC54">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石灰石储运</w:t>
            </w:r>
          </w:p>
        </w:tc>
        <w:tc>
          <w:tcPr>
            <w:tcW w:w="737" w:type="dxa"/>
            <w:noWrap w:val="0"/>
            <w:vAlign w:val="center"/>
          </w:tcPr>
          <w:p w14:paraId="65C43A7F">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颗粒物</w:t>
            </w:r>
          </w:p>
        </w:tc>
        <w:tc>
          <w:tcPr>
            <w:tcW w:w="660" w:type="dxa"/>
            <w:noWrap w:val="0"/>
            <w:vAlign w:val="center"/>
          </w:tcPr>
          <w:p w14:paraId="67A98B58">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排污系数法</w:t>
            </w:r>
          </w:p>
        </w:tc>
        <w:tc>
          <w:tcPr>
            <w:tcW w:w="1430" w:type="dxa"/>
            <w:vMerge w:val="continue"/>
            <w:noWrap w:val="0"/>
            <w:vAlign w:val="center"/>
          </w:tcPr>
          <w:p w14:paraId="12E1A9EA">
            <w:pPr>
              <w:spacing w:before="81" w:after="81"/>
              <w:ind w:firstLine="480"/>
              <w:textAlignment w:val="center"/>
              <w:rPr>
                <w:rFonts w:ascii="Times New Roman" w:hAnsi="Times New Roman"/>
                <w:szCs w:val="21"/>
                <w:highlight w:val="none"/>
              </w:rPr>
            </w:pPr>
          </w:p>
        </w:tc>
        <w:tc>
          <w:tcPr>
            <w:tcW w:w="1059" w:type="dxa"/>
            <w:vMerge w:val="continue"/>
            <w:noWrap w:val="0"/>
            <w:vAlign w:val="center"/>
          </w:tcPr>
          <w:p w14:paraId="5EEC6147">
            <w:pPr>
              <w:spacing w:before="81" w:after="81"/>
              <w:ind w:firstLine="480"/>
              <w:textAlignment w:val="center"/>
              <w:rPr>
                <w:rFonts w:ascii="Times New Roman" w:hAnsi="Times New Roman"/>
                <w:szCs w:val="21"/>
                <w:highlight w:val="none"/>
              </w:rPr>
            </w:pPr>
          </w:p>
        </w:tc>
        <w:tc>
          <w:tcPr>
            <w:tcW w:w="887" w:type="dxa"/>
            <w:noWrap w:val="0"/>
            <w:vAlign w:val="center"/>
          </w:tcPr>
          <w:p w14:paraId="3A128C9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0.148</w:t>
            </w:r>
          </w:p>
        </w:tc>
        <w:tc>
          <w:tcPr>
            <w:tcW w:w="1173" w:type="dxa"/>
            <w:noWrap w:val="0"/>
            <w:vAlign w:val="center"/>
          </w:tcPr>
          <w:p w14:paraId="2F1A9EBE">
            <w:pPr>
              <w:spacing w:line="240" w:lineRule="auto"/>
              <w:ind w:firstLine="0" w:firstLineChars="0"/>
              <w:jc w:val="center"/>
              <w:textAlignment w:val="center"/>
              <w:rPr>
                <w:rFonts w:ascii="Times New Roman" w:hAnsi="Times New Roman"/>
                <w:sz w:val="21"/>
                <w:highlight w:val="none"/>
              </w:rPr>
            </w:pPr>
            <w:r>
              <w:rPr>
                <w:rFonts w:hint="eastAsia" w:ascii="Times New Roman" w:hAnsi="Times New Roman"/>
                <w:sz w:val="21"/>
                <w:highlight w:val="none"/>
              </w:rPr>
              <w:t>脉冲袋式除尘器</w:t>
            </w:r>
          </w:p>
        </w:tc>
        <w:tc>
          <w:tcPr>
            <w:tcW w:w="874" w:type="dxa"/>
            <w:noWrap w:val="0"/>
            <w:vAlign w:val="center"/>
          </w:tcPr>
          <w:p w14:paraId="5965B6A6">
            <w:pPr>
              <w:spacing w:line="240" w:lineRule="auto"/>
              <w:ind w:firstLine="0" w:firstLineChars="0"/>
              <w:jc w:val="center"/>
              <w:textAlignment w:val="center"/>
              <w:rPr>
                <w:rFonts w:hint="default" w:ascii="Times New Roman" w:hAnsi="Times New Roman" w:eastAsia="新宋体"/>
                <w:sz w:val="21"/>
                <w:highlight w:val="none"/>
                <w:lang w:val="en-US" w:eastAsia="zh-CN"/>
              </w:rPr>
            </w:pPr>
            <w:r>
              <w:rPr>
                <w:rFonts w:ascii="Times New Roman" w:hAnsi="Times New Roman" w:eastAsia="新宋体"/>
                <w:sz w:val="21"/>
                <w:szCs w:val="21"/>
                <w:highlight w:val="none"/>
              </w:rPr>
              <w:t>99</w:t>
            </w:r>
            <w:r>
              <w:rPr>
                <w:rFonts w:hint="eastAsia" w:ascii="Times New Roman" w:hAnsi="Times New Roman" w:eastAsia="新宋体"/>
                <w:sz w:val="21"/>
                <w:szCs w:val="21"/>
                <w:highlight w:val="none"/>
                <w:lang w:val="en-US" w:eastAsia="zh-CN"/>
              </w:rPr>
              <w:t>.9</w:t>
            </w:r>
          </w:p>
        </w:tc>
        <w:tc>
          <w:tcPr>
            <w:tcW w:w="805" w:type="dxa"/>
            <w:vMerge w:val="continue"/>
            <w:noWrap w:val="0"/>
            <w:vAlign w:val="center"/>
          </w:tcPr>
          <w:p w14:paraId="4B76D732">
            <w:pPr>
              <w:spacing w:line="240" w:lineRule="auto"/>
              <w:ind w:firstLine="0" w:firstLineChars="0"/>
              <w:jc w:val="center"/>
              <w:textAlignment w:val="center"/>
              <w:rPr>
                <w:rFonts w:ascii="Times New Roman" w:hAnsi="Times New Roman"/>
                <w:sz w:val="21"/>
                <w:highlight w:val="none"/>
              </w:rPr>
            </w:pPr>
          </w:p>
        </w:tc>
        <w:tc>
          <w:tcPr>
            <w:tcW w:w="1245" w:type="dxa"/>
            <w:vMerge w:val="continue"/>
            <w:noWrap w:val="0"/>
            <w:vAlign w:val="center"/>
          </w:tcPr>
          <w:p w14:paraId="20FB8CFC">
            <w:pPr>
              <w:pStyle w:val="42"/>
              <w:spacing w:before="81" w:after="81"/>
              <w:textAlignment w:val="center"/>
              <w:rPr>
                <w:rFonts w:ascii="Times New Roman" w:hAnsi="Times New Roman"/>
                <w:szCs w:val="21"/>
                <w:highlight w:val="none"/>
              </w:rPr>
            </w:pPr>
          </w:p>
        </w:tc>
        <w:tc>
          <w:tcPr>
            <w:tcW w:w="936" w:type="dxa"/>
            <w:vMerge w:val="continue"/>
            <w:noWrap w:val="0"/>
            <w:vAlign w:val="center"/>
          </w:tcPr>
          <w:p w14:paraId="12D6DBF4">
            <w:pPr>
              <w:pStyle w:val="42"/>
              <w:spacing w:before="81" w:after="81"/>
              <w:textAlignment w:val="center"/>
              <w:rPr>
                <w:rFonts w:ascii="Times New Roman" w:hAnsi="Times New Roman"/>
                <w:szCs w:val="21"/>
                <w:highlight w:val="none"/>
              </w:rPr>
            </w:pPr>
          </w:p>
        </w:tc>
        <w:tc>
          <w:tcPr>
            <w:tcW w:w="951" w:type="dxa"/>
            <w:noWrap w:val="0"/>
            <w:vAlign w:val="center"/>
          </w:tcPr>
          <w:p w14:paraId="2A2AA07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0.000148</w:t>
            </w:r>
          </w:p>
        </w:tc>
        <w:tc>
          <w:tcPr>
            <w:tcW w:w="913" w:type="dxa"/>
            <w:noWrap w:val="0"/>
            <w:vAlign w:val="center"/>
          </w:tcPr>
          <w:p w14:paraId="0B7AEEC4">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5040</w:t>
            </w:r>
          </w:p>
        </w:tc>
      </w:tr>
      <w:tr w14:paraId="1AFE18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8" w:type="dxa"/>
            <w:vMerge w:val="continue"/>
            <w:noWrap w:val="0"/>
            <w:vAlign w:val="center"/>
          </w:tcPr>
          <w:p w14:paraId="192352CB">
            <w:pPr>
              <w:pStyle w:val="42"/>
              <w:spacing w:before="81" w:after="81"/>
              <w:textAlignment w:val="center"/>
              <w:rPr>
                <w:rFonts w:ascii="Times New Roman" w:hAnsi="Times New Roman"/>
                <w:szCs w:val="21"/>
                <w:highlight w:val="none"/>
              </w:rPr>
            </w:pPr>
          </w:p>
        </w:tc>
        <w:tc>
          <w:tcPr>
            <w:tcW w:w="912" w:type="dxa"/>
            <w:noWrap w:val="0"/>
            <w:vAlign w:val="center"/>
          </w:tcPr>
          <w:p w14:paraId="545113CE">
            <w:pPr>
              <w:spacing w:line="240" w:lineRule="auto"/>
              <w:ind w:firstLine="0" w:firstLineChars="0"/>
              <w:jc w:val="center"/>
              <w:textAlignment w:val="center"/>
              <w:rPr>
                <w:rFonts w:hint="eastAsia" w:ascii="Times New Roman" w:hAnsi="Times New Roman" w:eastAsia="宋体"/>
                <w:sz w:val="21"/>
                <w:highlight w:val="none"/>
                <w:lang w:eastAsia="zh-CN"/>
              </w:rPr>
            </w:pPr>
            <w:r>
              <w:rPr>
                <w:rFonts w:hint="eastAsia" w:ascii="Times New Roman" w:hAnsi="Times New Roman"/>
                <w:sz w:val="21"/>
                <w:highlight w:val="none"/>
                <w:lang w:val="en-US" w:eastAsia="zh-CN"/>
              </w:rPr>
              <w:t>储煤场</w:t>
            </w:r>
          </w:p>
        </w:tc>
        <w:tc>
          <w:tcPr>
            <w:tcW w:w="748" w:type="dxa"/>
            <w:noWrap w:val="0"/>
            <w:vAlign w:val="center"/>
          </w:tcPr>
          <w:p w14:paraId="7CF94259">
            <w:pPr>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燃料储存</w:t>
            </w:r>
          </w:p>
        </w:tc>
        <w:tc>
          <w:tcPr>
            <w:tcW w:w="737" w:type="dxa"/>
            <w:noWrap w:val="0"/>
            <w:vAlign w:val="center"/>
          </w:tcPr>
          <w:p w14:paraId="0B5915DF">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颗粒物</w:t>
            </w:r>
          </w:p>
        </w:tc>
        <w:tc>
          <w:tcPr>
            <w:tcW w:w="660" w:type="dxa"/>
            <w:noWrap w:val="0"/>
            <w:vAlign w:val="center"/>
          </w:tcPr>
          <w:p w14:paraId="43903556">
            <w:pPr>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排污系数法</w:t>
            </w:r>
          </w:p>
        </w:tc>
        <w:tc>
          <w:tcPr>
            <w:tcW w:w="1430" w:type="dxa"/>
            <w:vMerge w:val="continue"/>
            <w:noWrap w:val="0"/>
            <w:vAlign w:val="center"/>
          </w:tcPr>
          <w:p w14:paraId="7DE865CB">
            <w:pPr>
              <w:spacing w:before="81" w:after="81"/>
              <w:ind w:firstLine="480"/>
              <w:textAlignment w:val="center"/>
              <w:rPr>
                <w:rFonts w:ascii="Times New Roman" w:hAnsi="Times New Roman"/>
                <w:szCs w:val="21"/>
                <w:highlight w:val="none"/>
              </w:rPr>
            </w:pPr>
          </w:p>
        </w:tc>
        <w:tc>
          <w:tcPr>
            <w:tcW w:w="1059" w:type="dxa"/>
            <w:vMerge w:val="continue"/>
            <w:noWrap w:val="0"/>
            <w:vAlign w:val="center"/>
          </w:tcPr>
          <w:p w14:paraId="26ED3DE3">
            <w:pPr>
              <w:spacing w:before="81" w:after="81"/>
              <w:ind w:firstLine="480"/>
              <w:textAlignment w:val="center"/>
              <w:rPr>
                <w:rFonts w:ascii="Times New Roman" w:hAnsi="Times New Roman"/>
                <w:szCs w:val="21"/>
                <w:highlight w:val="none"/>
              </w:rPr>
            </w:pPr>
          </w:p>
        </w:tc>
        <w:tc>
          <w:tcPr>
            <w:tcW w:w="887" w:type="dxa"/>
            <w:noWrap w:val="0"/>
            <w:vAlign w:val="center"/>
          </w:tcPr>
          <w:p w14:paraId="0C081451">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73.72</w:t>
            </w:r>
          </w:p>
        </w:tc>
        <w:tc>
          <w:tcPr>
            <w:tcW w:w="1173" w:type="dxa"/>
            <w:noWrap w:val="0"/>
            <w:vAlign w:val="center"/>
          </w:tcPr>
          <w:p w14:paraId="38E5E5E7">
            <w:pPr>
              <w:spacing w:line="240" w:lineRule="auto"/>
              <w:ind w:firstLine="0" w:firstLineChars="0"/>
              <w:jc w:val="center"/>
              <w:textAlignment w:val="center"/>
              <w:rPr>
                <w:rFonts w:hint="eastAsia" w:ascii="Times New Roman" w:hAnsi="Times New Roman"/>
                <w:sz w:val="21"/>
                <w:highlight w:val="none"/>
              </w:rPr>
            </w:pPr>
            <w:r>
              <w:rPr>
                <w:rFonts w:hint="eastAsia" w:ascii="Times New Roman" w:hAnsi="Times New Roman"/>
                <w:sz w:val="21"/>
                <w:highlight w:val="none"/>
              </w:rPr>
              <w:t>采用挡煤墙（</w:t>
            </w:r>
            <w:r>
              <w:rPr>
                <w:rFonts w:hint="eastAsia" w:ascii="Times New Roman" w:hAnsi="Times New Roman"/>
                <w:sz w:val="21"/>
                <w:highlight w:val="none"/>
                <w:lang w:val="en-US" w:eastAsia="zh-CN"/>
              </w:rPr>
              <w:t>2</w:t>
            </w:r>
            <w:r>
              <w:rPr>
                <w:rFonts w:hint="eastAsia" w:ascii="Times New Roman" w:hAnsi="Times New Roman"/>
                <w:sz w:val="21"/>
                <w:highlight w:val="none"/>
              </w:rPr>
              <w:t>m高维护砖墙+</w:t>
            </w:r>
            <w:r>
              <w:rPr>
                <w:rFonts w:hint="eastAsia" w:ascii="Times New Roman" w:hAnsi="Times New Roman"/>
                <w:sz w:val="21"/>
                <w:highlight w:val="none"/>
                <w:lang w:val="en-US" w:eastAsia="zh-CN"/>
              </w:rPr>
              <w:t>7</w:t>
            </w:r>
            <w:r>
              <w:rPr>
                <w:rFonts w:hint="eastAsia" w:ascii="Times New Roman" w:hAnsi="Times New Roman"/>
                <w:sz w:val="21"/>
                <w:highlight w:val="none"/>
              </w:rPr>
              <w:t>m高防风抑尘网）+</w:t>
            </w:r>
            <w:r>
              <w:rPr>
                <w:rFonts w:hint="eastAsia" w:ascii="Times New Roman" w:hAnsi="Times New Roman"/>
                <w:sz w:val="21"/>
                <w:highlight w:val="none"/>
                <w:lang w:val="en-US" w:eastAsia="zh-CN"/>
              </w:rPr>
              <w:t>苫布苫盖半</w:t>
            </w:r>
            <w:r>
              <w:rPr>
                <w:rFonts w:hint="eastAsia" w:ascii="Times New Roman" w:hAnsi="Times New Roman"/>
                <w:sz w:val="21"/>
                <w:highlight w:val="none"/>
              </w:rPr>
              <w:t>封闭形式</w:t>
            </w:r>
          </w:p>
        </w:tc>
        <w:tc>
          <w:tcPr>
            <w:tcW w:w="874" w:type="dxa"/>
            <w:noWrap w:val="0"/>
            <w:vAlign w:val="center"/>
          </w:tcPr>
          <w:p w14:paraId="3F9FE676">
            <w:pPr>
              <w:spacing w:line="240" w:lineRule="auto"/>
              <w:ind w:firstLine="0" w:firstLineChars="0"/>
              <w:jc w:val="center"/>
              <w:textAlignment w:val="center"/>
              <w:rPr>
                <w:rFonts w:ascii="Times New Roman" w:hAnsi="Times New Roman" w:eastAsia="新宋体"/>
                <w:sz w:val="21"/>
                <w:szCs w:val="21"/>
                <w:highlight w:val="none"/>
              </w:rPr>
            </w:pPr>
            <w:r>
              <w:rPr>
                <w:rFonts w:hint="eastAsia" w:ascii="Times New Roman" w:hAnsi="Times New Roman" w:eastAsia="新宋体"/>
                <w:sz w:val="21"/>
                <w:szCs w:val="21"/>
                <w:highlight w:val="none"/>
              </w:rPr>
              <w:t>99</w:t>
            </w:r>
          </w:p>
        </w:tc>
        <w:tc>
          <w:tcPr>
            <w:tcW w:w="805" w:type="dxa"/>
            <w:vMerge w:val="continue"/>
            <w:noWrap w:val="0"/>
            <w:vAlign w:val="center"/>
          </w:tcPr>
          <w:p w14:paraId="11CE3E8D">
            <w:pPr>
              <w:spacing w:line="240" w:lineRule="auto"/>
              <w:ind w:firstLine="0" w:firstLineChars="0"/>
              <w:jc w:val="center"/>
              <w:textAlignment w:val="center"/>
              <w:rPr>
                <w:rFonts w:ascii="Times New Roman" w:hAnsi="Times New Roman"/>
                <w:sz w:val="21"/>
                <w:highlight w:val="none"/>
              </w:rPr>
            </w:pPr>
          </w:p>
        </w:tc>
        <w:tc>
          <w:tcPr>
            <w:tcW w:w="1245" w:type="dxa"/>
            <w:vMerge w:val="continue"/>
            <w:noWrap w:val="0"/>
            <w:vAlign w:val="center"/>
          </w:tcPr>
          <w:p w14:paraId="40D68147">
            <w:pPr>
              <w:pStyle w:val="42"/>
              <w:spacing w:before="81" w:after="81"/>
              <w:textAlignment w:val="center"/>
              <w:rPr>
                <w:rFonts w:ascii="Times New Roman" w:hAnsi="Times New Roman"/>
                <w:szCs w:val="21"/>
                <w:highlight w:val="none"/>
              </w:rPr>
            </w:pPr>
          </w:p>
        </w:tc>
        <w:tc>
          <w:tcPr>
            <w:tcW w:w="936" w:type="dxa"/>
            <w:vMerge w:val="continue"/>
            <w:noWrap w:val="0"/>
            <w:vAlign w:val="center"/>
          </w:tcPr>
          <w:p w14:paraId="4E363A28">
            <w:pPr>
              <w:pStyle w:val="42"/>
              <w:spacing w:before="81" w:after="81"/>
              <w:textAlignment w:val="center"/>
              <w:rPr>
                <w:rFonts w:ascii="Times New Roman" w:hAnsi="Times New Roman"/>
                <w:szCs w:val="21"/>
                <w:highlight w:val="none"/>
              </w:rPr>
            </w:pPr>
          </w:p>
        </w:tc>
        <w:tc>
          <w:tcPr>
            <w:tcW w:w="951" w:type="dxa"/>
            <w:noWrap w:val="0"/>
            <w:vAlign w:val="center"/>
          </w:tcPr>
          <w:p w14:paraId="3D4B1002">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0.7372</w:t>
            </w:r>
          </w:p>
        </w:tc>
        <w:tc>
          <w:tcPr>
            <w:tcW w:w="913" w:type="dxa"/>
            <w:noWrap w:val="0"/>
            <w:vAlign w:val="center"/>
          </w:tcPr>
          <w:p w14:paraId="7C619D5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5040</w:t>
            </w:r>
          </w:p>
        </w:tc>
      </w:tr>
    </w:tbl>
    <w:p w14:paraId="57EC7B5A">
      <w:pPr>
        <w:pStyle w:val="23"/>
        <w:rPr>
          <w:rFonts w:hint="default"/>
          <w:highlight w:val="none"/>
          <w:lang w:val="en-US" w:eastAsia="zh-CN"/>
        </w:rPr>
      </w:pPr>
    </w:p>
    <w:p w14:paraId="2E9B5DE1">
      <w:pPr>
        <w:rPr>
          <w:rFonts w:hint="default"/>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5C68D68">
      <w:pPr>
        <w:pStyle w:val="5"/>
        <w:bidi w:val="0"/>
        <w:ind w:left="0" w:leftChars="0" w:firstLine="0" w:firstLineChars="0"/>
        <w:rPr>
          <w:rFonts w:hint="eastAsia"/>
          <w:highlight w:val="none"/>
          <w:lang w:val="en-US" w:eastAsia="zh-CN"/>
        </w:rPr>
      </w:pPr>
      <w:bookmarkStart w:id="89" w:name="_Toc32071"/>
      <w:r>
        <w:rPr>
          <w:rFonts w:hint="eastAsia"/>
          <w:highlight w:val="none"/>
          <w:lang w:val="en-US" w:eastAsia="zh-CN"/>
        </w:rPr>
        <w:t>3.3.3水污染源强分析</w:t>
      </w:r>
      <w:bookmarkEnd w:id="89"/>
    </w:p>
    <w:p w14:paraId="3CD99C72">
      <w:pPr>
        <w:ind w:firstLine="480"/>
        <w:rPr>
          <w:rFonts w:ascii="Times New Roman" w:hAnsi="Times New Roman"/>
          <w:highlight w:val="none"/>
        </w:rPr>
      </w:pPr>
      <w:r>
        <w:rPr>
          <w:rFonts w:ascii="Times New Roman" w:hAnsi="Times New Roman"/>
          <w:highlight w:val="none"/>
        </w:rPr>
        <w:t>本工程在运行过程中废水主要为生产废水</w:t>
      </w:r>
      <w:r>
        <w:rPr>
          <w:rFonts w:hint="eastAsia" w:ascii="Times New Roman" w:hAnsi="Times New Roman"/>
          <w:highlight w:val="none"/>
          <w:lang w:val="en-US" w:eastAsia="zh-CN"/>
        </w:rPr>
        <w:t>和生活污水</w:t>
      </w:r>
      <w:r>
        <w:rPr>
          <w:rFonts w:ascii="Times New Roman" w:hAnsi="Times New Roman"/>
          <w:highlight w:val="none"/>
        </w:rPr>
        <w:t>，生产废水主要为锅炉排污水、脱硫废水，处理后全部回收利用不外排。本项目工作人员</w:t>
      </w:r>
      <w:r>
        <w:rPr>
          <w:rFonts w:hint="eastAsia" w:ascii="Times New Roman" w:hAnsi="Times New Roman"/>
          <w:highlight w:val="none"/>
          <w:lang w:val="en-US" w:eastAsia="zh-CN"/>
        </w:rPr>
        <w:t>175</w:t>
      </w:r>
      <w:r>
        <w:rPr>
          <w:rFonts w:ascii="Times New Roman" w:hAnsi="Times New Roman"/>
          <w:highlight w:val="none"/>
        </w:rPr>
        <w:t>人。</w:t>
      </w:r>
    </w:p>
    <w:p w14:paraId="6C24B198">
      <w:pPr>
        <w:ind w:firstLine="480"/>
        <w:rPr>
          <w:rFonts w:ascii="Times New Roman" w:hAnsi="Times New Roman"/>
          <w:highlight w:val="none"/>
        </w:rPr>
      </w:pPr>
      <w:r>
        <w:rPr>
          <w:rFonts w:ascii="Times New Roman" w:hAnsi="Times New Roman"/>
          <w:highlight w:val="none"/>
        </w:rPr>
        <w:t>厂区内排水系统采用分流制：雨水排水系统。生产废水主要有锅炉排污水、脱硫废水等，锅炉排污水、脱硫废水回用于生产，不外排。本项目不设置化学实验室，无实验室废液。</w:t>
      </w:r>
    </w:p>
    <w:p w14:paraId="43E6A302">
      <w:pPr>
        <w:rPr>
          <w:rFonts w:hint="default"/>
          <w:highlight w:val="none"/>
          <w:lang w:val="en-US" w:eastAsia="zh-CN"/>
        </w:rPr>
      </w:pPr>
      <w:r>
        <w:rPr>
          <w:rFonts w:ascii="Times New Roman" w:hAnsi="Times New Roman"/>
          <w:szCs w:val="24"/>
          <w:highlight w:val="none"/>
        </w:rPr>
        <w:t>锅炉排污水回用于</w:t>
      </w:r>
      <w:r>
        <w:rPr>
          <w:rFonts w:hint="eastAsia" w:ascii="Times New Roman" w:hAnsi="Times New Roman"/>
          <w:szCs w:val="24"/>
          <w:highlight w:val="none"/>
        </w:rPr>
        <w:t>用于冷渣器冷却水系统补水（</w:t>
      </w:r>
      <w:r>
        <w:rPr>
          <w:rFonts w:hint="eastAsia" w:ascii="Times New Roman" w:hAnsi="Times New Roman"/>
          <w:szCs w:val="24"/>
          <w:highlight w:val="none"/>
          <w:lang w:val="en-US" w:eastAsia="zh-CN"/>
        </w:rPr>
        <w:t>6m³/h，30240</w:t>
      </w:r>
      <w:r>
        <w:rPr>
          <w:rFonts w:hint="eastAsia" w:ascii="Times New Roman" w:hAnsi="Times New Roman"/>
          <w:highlight w:val="none"/>
          <w:lang w:val="en-US" w:eastAsia="zh-CN"/>
        </w:rPr>
        <w:t>t/a</w:t>
      </w:r>
      <w:r>
        <w:rPr>
          <w:rFonts w:hint="eastAsia" w:ascii="Times New Roman" w:hAnsi="Times New Roman"/>
          <w:szCs w:val="24"/>
          <w:highlight w:val="none"/>
        </w:rPr>
        <w:t>）</w:t>
      </w:r>
      <w:r>
        <w:rPr>
          <w:rFonts w:ascii="Times New Roman" w:hAnsi="Times New Roman"/>
          <w:szCs w:val="24"/>
          <w:highlight w:val="none"/>
        </w:rPr>
        <w:t>。脱硫废水</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25149.75t/a</w:t>
      </w:r>
      <w:r>
        <w:rPr>
          <w:rFonts w:hint="eastAsia" w:ascii="Times New Roman" w:hAnsi="Times New Roman"/>
          <w:szCs w:val="24"/>
          <w:highlight w:val="none"/>
          <w:lang w:eastAsia="zh-CN"/>
        </w:rPr>
        <w:t>）</w:t>
      </w:r>
      <w:r>
        <w:rPr>
          <w:rFonts w:ascii="Times New Roman" w:hAnsi="Times New Roman"/>
          <w:szCs w:val="24"/>
          <w:highlight w:val="none"/>
        </w:rPr>
        <w:t>采用回流水池→一体化污水处理装置→高效旋流分离器→生物净化装置→多介质净化装置→多功能处理剂→净水箱处理工艺，回用于灰渣加湿</w:t>
      </w:r>
      <w:r>
        <w:rPr>
          <w:rFonts w:hint="eastAsia" w:ascii="Times New Roman" w:hAnsi="Times New Roman"/>
          <w:szCs w:val="24"/>
          <w:highlight w:val="none"/>
        </w:rPr>
        <w:t>（</w:t>
      </w:r>
      <w:r>
        <w:rPr>
          <w:rFonts w:hint="eastAsia" w:ascii="Times New Roman" w:hAnsi="Times New Roman"/>
          <w:szCs w:val="24"/>
          <w:highlight w:val="none"/>
          <w:lang w:val="en-US" w:eastAsia="zh-CN"/>
        </w:rPr>
        <w:t>2</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10080t/a</w:t>
      </w:r>
      <w:r>
        <w:rPr>
          <w:rFonts w:hint="eastAsia" w:ascii="Times New Roman" w:hAnsi="Times New Roman"/>
          <w:szCs w:val="24"/>
          <w:highlight w:val="none"/>
        </w:rPr>
        <w:t>）、煤场洒水降尘（</w:t>
      </w:r>
      <w:r>
        <w:rPr>
          <w:rFonts w:hint="eastAsia" w:ascii="Times New Roman" w:hAnsi="Times New Roman"/>
          <w:szCs w:val="24"/>
          <w:highlight w:val="none"/>
          <w:lang w:val="en-US" w:eastAsia="zh-CN"/>
        </w:rPr>
        <w:t>3</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15069.75t/a</w:t>
      </w:r>
      <w:r>
        <w:rPr>
          <w:rFonts w:hint="eastAsia" w:ascii="Times New Roman" w:hAnsi="Times New Roman"/>
          <w:szCs w:val="24"/>
          <w:highlight w:val="none"/>
        </w:rPr>
        <w:t>）。生活污水（</w:t>
      </w:r>
      <w:r>
        <w:rPr>
          <w:rFonts w:hint="eastAsia" w:ascii="Times New Roman" w:hAnsi="Times New Roman"/>
          <w:szCs w:val="24"/>
          <w:highlight w:val="none"/>
          <w:lang w:val="en-US" w:eastAsia="zh-CN"/>
        </w:rPr>
        <w:t>0.464</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2352t/a</w:t>
      </w:r>
      <w:r>
        <w:rPr>
          <w:rFonts w:hint="eastAsia" w:ascii="Times New Roman" w:hAnsi="Times New Roman"/>
          <w:szCs w:val="24"/>
          <w:highlight w:val="none"/>
        </w:rPr>
        <w:t>）排入化粪池处理后排入市政管网（食堂废水经隔油池处理后与生活污水一同排入化粪池），</w:t>
      </w:r>
      <w:r>
        <w:rPr>
          <w:rFonts w:hint="eastAsia" w:ascii="Times New Roman" w:hAnsi="Times New Roman"/>
          <w:szCs w:val="24"/>
          <w:highlight w:val="none"/>
          <w:lang w:val="en-US" w:eastAsia="zh-CN"/>
        </w:rPr>
        <w:t>经污水管网排入绥芬河中环污水处理有限公司，处理达到《城镇污水处理厂污染物排放标准》(GB18918—2002)一级B标准后最终汇入小绥芬河。</w:t>
      </w:r>
    </w:p>
    <w:p w14:paraId="7E010BC9">
      <w:pPr>
        <w:pStyle w:val="5"/>
        <w:bidi w:val="0"/>
        <w:ind w:left="0" w:leftChars="0" w:firstLine="0" w:firstLineChars="0"/>
        <w:rPr>
          <w:rFonts w:hint="eastAsia"/>
          <w:highlight w:val="none"/>
          <w:lang w:val="en-US" w:eastAsia="zh-CN"/>
        </w:rPr>
      </w:pPr>
      <w:bookmarkStart w:id="90" w:name="_Toc25952"/>
      <w:r>
        <w:rPr>
          <w:rFonts w:hint="eastAsia"/>
          <w:highlight w:val="none"/>
          <w:lang w:val="en-US" w:eastAsia="zh-CN"/>
        </w:rPr>
        <w:t>3.3.4固体废物源强分析</w:t>
      </w:r>
      <w:bookmarkEnd w:id="90"/>
    </w:p>
    <w:p w14:paraId="30CEA449">
      <w:pPr>
        <w:ind w:firstLine="480"/>
        <w:rPr>
          <w:rFonts w:ascii="Times New Roman" w:hAnsi="Times New Roman"/>
          <w:highlight w:val="none"/>
        </w:rPr>
      </w:pPr>
      <w:r>
        <w:rPr>
          <w:rFonts w:ascii="Times New Roman" w:hAnsi="Times New Roman"/>
          <w:highlight w:val="none"/>
        </w:rPr>
        <w:t>本工程锅炉灰渣、</w:t>
      </w:r>
      <w:r>
        <w:rPr>
          <w:rFonts w:hint="eastAsia" w:ascii="Times New Roman" w:hAnsi="Times New Roman"/>
          <w:highlight w:val="none"/>
        </w:rPr>
        <w:t>脱硫石膏</w:t>
      </w:r>
      <w:r>
        <w:rPr>
          <w:rFonts w:ascii="Times New Roman" w:hAnsi="Times New Roman"/>
          <w:highlight w:val="none"/>
        </w:rPr>
        <w:t>日产日清，由汽车运出厂外厂家综合利用；生活垃圾及水处理系统产生的废离子交换树脂</w:t>
      </w:r>
      <w:r>
        <w:rPr>
          <w:rFonts w:hint="eastAsia" w:ascii="Times New Roman" w:hAnsi="Times New Roman"/>
          <w:highlight w:val="none"/>
          <w:lang w:val="en-US" w:eastAsia="zh-CN"/>
        </w:rPr>
        <w:t>和反渗透膜</w:t>
      </w:r>
      <w:r>
        <w:rPr>
          <w:rFonts w:ascii="Times New Roman" w:hAnsi="Times New Roman"/>
          <w:highlight w:val="none"/>
        </w:rPr>
        <w:t>由市政环卫部门统一处理；废催化剂</w:t>
      </w:r>
      <w:r>
        <w:rPr>
          <w:rFonts w:hint="eastAsia" w:ascii="Times New Roman" w:hAnsi="Times New Roman"/>
          <w:highlight w:val="none"/>
          <w:lang w:val="en-US" w:eastAsia="zh-CN"/>
        </w:rPr>
        <w:t>和废机油</w:t>
      </w:r>
      <w:r>
        <w:rPr>
          <w:rFonts w:ascii="Times New Roman" w:hAnsi="Times New Roman"/>
          <w:highlight w:val="none"/>
        </w:rPr>
        <w:t>交有资质单位处置；餐厨垃圾及废油脂交有资质处置。</w:t>
      </w:r>
    </w:p>
    <w:p w14:paraId="5A16A62D">
      <w:pPr>
        <w:ind w:firstLine="480"/>
        <w:rPr>
          <w:rFonts w:ascii="Times New Roman" w:hAnsi="Times New Roman"/>
          <w:highlight w:val="none"/>
        </w:rPr>
      </w:pPr>
      <w:r>
        <w:rPr>
          <w:rFonts w:ascii="Times New Roman" w:hAnsi="Times New Roman"/>
          <w:highlight w:val="none"/>
        </w:rPr>
        <w:t>本项目运营期产生的固体废物主要包括锅炉灰渣、废离子交换树脂</w:t>
      </w:r>
      <w:r>
        <w:rPr>
          <w:rFonts w:hint="eastAsia" w:ascii="Times New Roman" w:hAnsi="Times New Roman"/>
          <w:highlight w:val="none"/>
          <w:lang w:val="en-US" w:eastAsia="zh-CN"/>
        </w:rPr>
        <w:t>和反渗透膜</w:t>
      </w:r>
      <w:r>
        <w:rPr>
          <w:rFonts w:ascii="Times New Roman" w:hAnsi="Times New Roman"/>
          <w:highlight w:val="none"/>
        </w:rPr>
        <w:t>。</w:t>
      </w:r>
    </w:p>
    <w:p w14:paraId="22D45079">
      <w:pPr>
        <w:ind w:firstLine="480"/>
        <w:rPr>
          <w:rFonts w:ascii="Times New Roman" w:hAnsi="Times New Roman"/>
          <w:highlight w:val="none"/>
        </w:rPr>
      </w:pPr>
      <w:r>
        <w:rPr>
          <w:rFonts w:ascii="Times New Roman" w:hAnsi="Times New Roman"/>
          <w:highlight w:val="none"/>
        </w:rPr>
        <w:t>1、锅炉灰渣</w:t>
      </w:r>
    </w:p>
    <w:p w14:paraId="38C892D2">
      <w:pPr>
        <w:ind w:firstLine="480"/>
        <w:rPr>
          <w:rFonts w:ascii="Times New Roman" w:hAnsi="Times New Roman"/>
          <w:highlight w:val="none"/>
        </w:rPr>
      </w:pPr>
      <w:r>
        <w:rPr>
          <w:rFonts w:ascii="Times New Roman" w:hAnsi="Times New Roman"/>
          <w:highlight w:val="none"/>
        </w:rPr>
        <w:t>本项目锅炉产生的炉渣量根据《污染源源强核算技术指南 锅炉》（HJ991-2018）物料衡算法计算如下：</w:t>
      </w:r>
    </w:p>
    <w:p w14:paraId="75DE6A0E">
      <w:pPr>
        <w:ind w:firstLine="480"/>
        <w:rPr>
          <w:rFonts w:ascii="Times New Roman" w:hAnsi="Times New Roman"/>
          <w:highlight w:val="none"/>
        </w:rPr>
      </w:pPr>
      <w:r>
        <w:rPr>
          <w:rFonts w:hint="eastAsia" w:ascii="Times New Roman" w:hAnsi="Times New Roman"/>
          <w:highlight w:val="none"/>
        </w:rPr>
        <w:t>灰渣</w:t>
      </w:r>
      <w:r>
        <w:rPr>
          <w:rFonts w:ascii="Times New Roman" w:hAnsi="Times New Roman"/>
          <w:highlight w:val="none"/>
        </w:rPr>
        <w:t>产生量计算：</w:t>
      </w:r>
    </w:p>
    <w:p w14:paraId="6E85F872">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2695575" cy="628650"/>
            <wp:effectExtent l="0" t="0" r="9525" b="0"/>
            <wp:docPr id="1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2"/>
                    <pic:cNvPicPr>
                      <a:picLocks noChangeAspect="1"/>
                    </pic:cNvPicPr>
                  </pic:nvPicPr>
                  <pic:blipFill>
                    <a:blip r:embed="rId29"/>
                    <a:stretch>
                      <a:fillRect/>
                    </a:stretch>
                  </pic:blipFill>
                  <pic:spPr>
                    <a:xfrm>
                      <a:off x="0" y="0"/>
                      <a:ext cx="2695575" cy="628650"/>
                    </a:xfrm>
                    <a:prstGeom prst="rect">
                      <a:avLst/>
                    </a:prstGeom>
                    <a:noFill/>
                    <a:ln>
                      <a:noFill/>
                    </a:ln>
                  </pic:spPr>
                </pic:pic>
              </a:graphicData>
            </a:graphic>
          </wp:inline>
        </w:drawing>
      </w:r>
    </w:p>
    <w:p w14:paraId="4B4B7758">
      <w:pPr>
        <w:ind w:firstLine="480"/>
        <w:rPr>
          <w:rFonts w:ascii="Times New Roman" w:hAnsi="Times New Roman"/>
          <w:highlight w:val="none"/>
        </w:rPr>
      </w:pPr>
      <w:r>
        <w:rPr>
          <w:rFonts w:ascii="Times New Roman" w:hAnsi="Times New Roman"/>
          <w:highlight w:val="none"/>
        </w:rPr>
        <w:t>式中：</w:t>
      </w:r>
    </w:p>
    <w:p w14:paraId="338F632D">
      <w:pPr>
        <w:ind w:firstLine="480"/>
        <w:rPr>
          <w:rFonts w:ascii="Times New Roman" w:hAnsi="Times New Roman"/>
          <w:highlight w:val="none"/>
        </w:rPr>
      </w:pPr>
      <w:r>
        <w:rPr>
          <w:rFonts w:ascii="Times New Roman" w:hAnsi="Times New Roman"/>
          <w:highlight w:val="none"/>
        </w:rPr>
        <w:t>E</w:t>
      </w:r>
      <w:r>
        <w:rPr>
          <w:rFonts w:ascii="Times New Roman" w:hAnsi="Times New Roman"/>
          <w:highlight w:val="none"/>
          <w:vertAlign w:val="subscript"/>
        </w:rPr>
        <w:t>hz</w:t>
      </w:r>
      <w:r>
        <w:rPr>
          <w:rFonts w:ascii="Times New Roman" w:hAnsi="Times New Roman"/>
          <w:highlight w:val="none"/>
        </w:rPr>
        <w:t>—灰渣产生量，t/</w:t>
      </w:r>
      <w:r>
        <w:rPr>
          <w:rFonts w:hint="eastAsia" w:ascii="Times New Roman" w:hAnsi="Times New Roman"/>
          <w:highlight w:val="none"/>
          <w:lang w:val="en-US" w:eastAsia="zh-CN"/>
        </w:rPr>
        <w:t>a</w:t>
      </w:r>
      <w:r>
        <w:rPr>
          <w:rFonts w:ascii="Times New Roman" w:hAnsi="Times New Roman"/>
          <w:highlight w:val="none"/>
        </w:rPr>
        <w:t xml:space="preserve">； </w:t>
      </w:r>
    </w:p>
    <w:p w14:paraId="76DD117B">
      <w:pPr>
        <w:ind w:firstLine="480"/>
        <w:rPr>
          <w:rFonts w:ascii="Times New Roman" w:hAnsi="Times New Roman"/>
          <w:highlight w:val="none"/>
        </w:rPr>
      </w:pPr>
      <w:r>
        <w:rPr>
          <w:rFonts w:ascii="Times New Roman" w:hAnsi="Times New Roman"/>
          <w:highlight w:val="none"/>
        </w:rPr>
        <w:t>R—锅炉燃料用量，t/</w:t>
      </w:r>
      <w:r>
        <w:rPr>
          <w:rFonts w:hint="eastAsia" w:ascii="Times New Roman" w:hAnsi="Times New Roman"/>
          <w:highlight w:val="none"/>
          <w:lang w:val="en-US" w:eastAsia="zh-CN"/>
        </w:rPr>
        <w:t>a</w:t>
      </w:r>
      <w:r>
        <w:rPr>
          <w:rFonts w:ascii="Times New Roman" w:hAnsi="Times New Roman"/>
          <w:highlight w:val="none"/>
        </w:rPr>
        <w:t>，取</w:t>
      </w:r>
      <w:r>
        <w:rPr>
          <w:rFonts w:hint="eastAsia" w:ascii="Times New Roman" w:hAnsi="Times New Roman"/>
          <w:highlight w:val="none"/>
          <w:lang w:val="en-US" w:eastAsia="zh-CN"/>
        </w:rPr>
        <w:t>81047.7024</w:t>
      </w:r>
      <w:r>
        <w:rPr>
          <w:rFonts w:ascii="Times New Roman" w:hAnsi="Times New Roman"/>
          <w:highlight w:val="none"/>
        </w:rPr>
        <w:t>；</w:t>
      </w:r>
    </w:p>
    <w:p w14:paraId="13637CC0">
      <w:pPr>
        <w:ind w:firstLine="480"/>
        <w:rPr>
          <w:rFonts w:ascii="Times New Roman" w:hAnsi="Times New Roman"/>
          <w:highlight w:val="none"/>
        </w:rPr>
      </w:pPr>
      <w:r>
        <w:rPr>
          <w:rFonts w:ascii="Times New Roman" w:hAnsi="Times New Roman"/>
          <w:highlight w:val="none"/>
        </w:rPr>
        <w:t>Aar—收到基灰分的质量分数，%，取</w:t>
      </w:r>
      <w:r>
        <w:rPr>
          <w:rFonts w:hint="eastAsia" w:ascii="Times New Roman" w:hAnsi="Times New Roman"/>
          <w:highlight w:val="none"/>
          <w:lang w:val="en-US" w:eastAsia="zh-CN"/>
        </w:rPr>
        <w:t>33.71</w:t>
      </w:r>
      <w:r>
        <w:rPr>
          <w:rFonts w:ascii="Times New Roman" w:hAnsi="Times New Roman"/>
          <w:highlight w:val="none"/>
        </w:rPr>
        <w:t>%；</w:t>
      </w:r>
    </w:p>
    <w:p w14:paraId="4C06E053">
      <w:pPr>
        <w:ind w:firstLine="480"/>
        <w:rPr>
          <w:rFonts w:ascii="Times New Roman" w:hAnsi="Times New Roman"/>
          <w:highlight w:val="none"/>
        </w:rPr>
      </w:pPr>
      <w:r>
        <w:rPr>
          <w:rFonts w:ascii="Times New Roman" w:hAnsi="Times New Roman"/>
          <w:highlight w:val="none"/>
        </w:rPr>
        <w:t>q4—锅炉机械不完全燃烧热损失，%，</w:t>
      </w:r>
      <w:r>
        <w:rPr>
          <w:rFonts w:hint="eastAsia" w:ascii="Times New Roman" w:hAnsi="Times New Roman"/>
          <w:highlight w:val="none"/>
          <w:lang w:val="en-US" w:eastAsia="zh-CN"/>
        </w:rPr>
        <w:t>10</w:t>
      </w:r>
      <w:r>
        <w:rPr>
          <w:rFonts w:ascii="Times New Roman" w:hAnsi="Times New Roman"/>
          <w:highlight w:val="none"/>
        </w:rPr>
        <w:t>；</w:t>
      </w:r>
    </w:p>
    <w:p w14:paraId="499E3804">
      <w:pPr>
        <w:ind w:firstLine="480"/>
        <w:rPr>
          <w:rFonts w:ascii="Times New Roman" w:hAnsi="Times New Roman"/>
          <w:highlight w:val="none"/>
        </w:rPr>
      </w:pPr>
      <w:r>
        <w:rPr>
          <w:rFonts w:ascii="Times New Roman" w:hAnsi="Times New Roman"/>
          <w:highlight w:val="none"/>
        </w:rPr>
        <w:t>Qnet,ar—收到基低位发热量，kJ/kg，取</w:t>
      </w:r>
      <w:r>
        <w:rPr>
          <w:rFonts w:hint="eastAsia" w:ascii="Times New Roman" w:hAnsi="Times New Roman"/>
          <w:highlight w:val="none"/>
          <w:lang w:val="en-US" w:eastAsia="zh-CN"/>
        </w:rPr>
        <w:t>19440</w:t>
      </w:r>
      <w:r>
        <w:rPr>
          <w:rFonts w:ascii="Times New Roman" w:hAnsi="Times New Roman"/>
          <w:highlight w:val="none"/>
        </w:rPr>
        <w:t>kJ/kg；</w:t>
      </w:r>
    </w:p>
    <w:p w14:paraId="012B44E2">
      <w:pPr>
        <w:ind w:firstLine="480"/>
        <w:rPr>
          <w:rFonts w:ascii="Times New Roman" w:hAnsi="Times New Roman"/>
          <w:highlight w:val="none"/>
        </w:rPr>
      </w:pPr>
      <w:r>
        <w:rPr>
          <w:rFonts w:ascii="Times New Roman" w:hAnsi="Times New Roman"/>
          <w:highlight w:val="none"/>
        </w:rPr>
        <w:t>经计算，</w:t>
      </w:r>
      <w:r>
        <w:rPr>
          <w:rFonts w:hint="eastAsia" w:ascii="Times New Roman" w:hAnsi="Times New Roman"/>
          <w:highlight w:val="none"/>
          <w:lang w:val="en-US" w:eastAsia="zh-CN"/>
        </w:rPr>
        <w:t>炉灰渣的产生量为31972.99t/a，</w:t>
      </w:r>
      <w:r>
        <w:rPr>
          <w:rFonts w:ascii="Times New Roman" w:hAnsi="Times New Roman"/>
          <w:highlight w:val="none"/>
        </w:rPr>
        <w:t>炉灰产生量为</w:t>
      </w:r>
      <w:r>
        <w:rPr>
          <w:rFonts w:hint="eastAsia" w:ascii="Times New Roman" w:hAnsi="Times New Roman"/>
          <w:highlight w:val="none"/>
          <w:lang w:val="en-US" w:eastAsia="zh-CN"/>
        </w:rPr>
        <w:t>6053.28</w:t>
      </w:r>
      <w:r>
        <w:rPr>
          <w:rFonts w:ascii="Times New Roman" w:hAnsi="Times New Roman"/>
          <w:highlight w:val="none"/>
        </w:rPr>
        <w:t>t/a</w:t>
      </w:r>
      <w:r>
        <w:rPr>
          <w:rFonts w:hint="eastAsia" w:ascii="Times New Roman" w:hAnsi="Times New Roman"/>
          <w:highlight w:val="none"/>
          <w:lang w:eastAsia="zh-CN"/>
        </w:rPr>
        <w:t>（</w:t>
      </w:r>
      <w:r>
        <w:rPr>
          <w:rFonts w:hint="eastAsia" w:ascii="Times New Roman" w:hAnsi="Times New Roman"/>
          <w:color w:val="auto"/>
          <w:highlight w:val="none"/>
          <w:lang w:val="en-US" w:eastAsia="zh-CN"/>
        </w:rPr>
        <w:t>2.39t以颗粒物形式经烟囱排放至外环境，6050.89t/a以炉灰形式进入灰仓</w:t>
      </w:r>
      <w:r>
        <w:rPr>
          <w:rFonts w:hint="eastAsia" w:ascii="Times New Roman" w:hAnsi="Times New Roman"/>
          <w:highlight w:val="none"/>
          <w:lang w:eastAsia="zh-CN"/>
        </w:rPr>
        <w:t>）</w:t>
      </w:r>
      <w:r>
        <w:rPr>
          <w:rFonts w:ascii="Times New Roman" w:hAnsi="Times New Roman"/>
          <w:highlight w:val="none"/>
        </w:rPr>
        <w:t>，炉渣产生量为</w:t>
      </w:r>
      <w:r>
        <w:rPr>
          <w:rFonts w:hint="eastAsia" w:ascii="Times New Roman" w:hAnsi="Times New Roman"/>
          <w:highlight w:val="none"/>
          <w:lang w:val="en-US" w:eastAsia="zh-CN"/>
        </w:rPr>
        <w:t>25919.71</w:t>
      </w:r>
      <w:r>
        <w:rPr>
          <w:rFonts w:ascii="Times New Roman" w:hAnsi="Times New Roman"/>
          <w:highlight w:val="none"/>
        </w:rPr>
        <w:t>t/a</w:t>
      </w:r>
      <w:r>
        <w:rPr>
          <w:rFonts w:hint="eastAsia" w:ascii="Times New Roman" w:hAnsi="Times New Roman"/>
          <w:highlight w:val="none"/>
        </w:rPr>
        <w:t>（本项目dfh取</w:t>
      </w:r>
      <w:r>
        <w:rPr>
          <w:rFonts w:hint="eastAsia" w:ascii="Times New Roman" w:hAnsi="Times New Roman"/>
          <w:highlight w:val="none"/>
          <w:lang w:val="en-US" w:eastAsia="zh-CN"/>
        </w:rPr>
        <w:t>20</w:t>
      </w:r>
      <w:r>
        <w:rPr>
          <w:rFonts w:hint="eastAsia" w:ascii="Times New Roman" w:hAnsi="Times New Roman"/>
          <w:highlight w:val="none"/>
        </w:rPr>
        <w:t>%）。暂存于场内灰仓及渣仓内，1~2天内及时外运综合利用。</w:t>
      </w:r>
    </w:p>
    <w:p w14:paraId="5772E447">
      <w:pPr>
        <w:ind w:firstLine="480"/>
        <w:rPr>
          <w:rFonts w:hint="default" w:ascii="Times New Roman" w:hAnsi="Times New Roman" w:eastAsia="宋体"/>
          <w:highlight w:val="none"/>
          <w:lang w:val="en-US" w:eastAsia="zh-CN"/>
        </w:rPr>
      </w:pPr>
      <w:r>
        <w:rPr>
          <w:rFonts w:ascii="Times New Roman" w:hAnsi="Times New Roman"/>
          <w:highlight w:val="none"/>
        </w:rPr>
        <w:t>2、废离子交换树脂</w:t>
      </w:r>
      <w:r>
        <w:rPr>
          <w:rFonts w:hint="eastAsia" w:ascii="Times New Roman" w:hAnsi="Times New Roman"/>
          <w:highlight w:val="none"/>
          <w:lang w:val="en-US" w:eastAsia="zh-CN"/>
        </w:rPr>
        <w:t>和反渗透膜</w:t>
      </w:r>
    </w:p>
    <w:p w14:paraId="36AAAB7C">
      <w:pPr>
        <w:ind w:firstLine="480"/>
        <w:rPr>
          <w:rFonts w:ascii="Times New Roman" w:hAnsi="Times New Roman"/>
          <w:highlight w:val="none"/>
        </w:rPr>
      </w:pPr>
      <w:r>
        <w:rPr>
          <w:rFonts w:ascii="Times New Roman" w:hAnsi="Times New Roman"/>
          <w:highlight w:val="none"/>
        </w:rPr>
        <w:t>废离子交换树脂</w:t>
      </w:r>
      <w:r>
        <w:rPr>
          <w:rFonts w:hint="eastAsia" w:ascii="Times New Roman" w:hAnsi="Times New Roman"/>
          <w:highlight w:val="none"/>
          <w:lang w:val="en-US" w:eastAsia="zh-CN"/>
        </w:rPr>
        <w:t>和反渗透膜</w:t>
      </w:r>
      <w:r>
        <w:rPr>
          <w:rFonts w:ascii="Times New Roman" w:hAnsi="Times New Roman"/>
          <w:highlight w:val="none"/>
        </w:rPr>
        <w:t>，每年更换一次，产生量2t/a，由市政环卫部门统一处理。</w:t>
      </w:r>
    </w:p>
    <w:p w14:paraId="6780A1D6">
      <w:pPr>
        <w:ind w:firstLine="480"/>
        <w:rPr>
          <w:rFonts w:ascii="Times New Roman" w:hAnsi="Times New Roman"/>
          <w:highlight w:val="none"/>
        </w:rPr>
      </w:pPr>
      <w:r>
        <w:rPr>
          <w:rFonts w:ascii="Times New Roman" w:hAnsi="Times New Roman"/>
          <w:highlight w:val="none"/>
        </w:rPr>
        <w:t>3、脱硫副产物</w:t>
      </w:r>
    </w:p>
    <w:p w14:paraId="0DA445FD">
      <w:pPr>
        <w:pStyle w:val="7"/>
        <w:ind w:firstLine="480"/>
        <w:rPr>
          <w:rFonts w:ascii="Times New Roman" w:hAnsi="Times New Roman"/>
          <w:highlight w:val="none"/>
        </w:rPr>
      </w:pPr>
      <w:r>
        <w:rPr>
          <w:rFonts w:ascii="Times New Roman" w:hAnsi="Times New Roman"/>
          <w:highlight w:val="none"/>
        </w:rPr>
        <w:t>脱硫副产物为石膏</w:t>
      </w:r>
      <w:r>
        <w:rPr>
          <w:rFonts w:hint="eastAsia" w:ascii="Times New Roman" w:hAnsi="Times New Roman"/>
          <w:highlight w:val="none"/>
        </w:rPr>
        <w:t>，3台炉共用1套石膏脱水系统，设3台真空皮带脱水机。每台真空皮带脱水机出力按两台炉BMCR工况下所排石膏量的100%配置。</w:t>
      </w:r>
    </w:p>
    <w:p w14:paraId="12547936">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1724660" cy="637540"/>
            <wp:effectExtent l="0" t="0" r="8890" b="10160"/>
            <wp:docPr id="1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3"/>
                    <pic:cNvPicPr>
                      <a:picLocks noChangeAspect="1"/>
                    </pic:cNvPicPr>
                  </pic:nvPicPr>
                  <pic:blipFill>
                    <a:blip r:embed="rId30"/>
                    <a:stretch>
                      <a:fillRect/>
                    </a:stretch>
                  </pic:blipFill>
                  <pic:spPr>
                    <a:xfrm>
                      <a:off x="0" y="0"/>
                      <a:ext cx="1724660" cy="637540"/>
                    </a:xfrm>
                    <a:prstGeom prst="rect">
                      <a:avLst/>
                    </a:prstGeom>
                    <a:noFill/>
                    <a:ln>
                      <a:noFill/>
                    </a:ln>
                  </pic:spPr>
                </pic:pic>
              </a:graphicData>
            </a:graphic>
          </wp:inline>
        </w:drawing>
      </w:r>
    </w:p>
    <w:p w14:paraId="1113B695">
      <w:pPr>
        <w:ind w:firstLine="480"/>
        <w:rPr>
          <w:rFonts w:ascii="Times New Roman" w:hAnsi="Times New Roman"/>
          <w:highlight w:val="none"/>
        </w:rPr>
      </w:pPr>
      <w:r>
        <w:rPr>
          <w:rFonts w:ascii="Times New Roman" w:hAnsi="Times New Roman"/>
          <w:highlight w:val="none"/>
        </w:rPr>
        <w:t>式中：</w:t>
      </w:r>
    </w:p>
    <w:p w14:paraId="59C6115A">
      <w:pPr>
        <w:ind w:firstLine="480"/>
        <w:rPr>
          <w:rFonts w:ascii="Times New Roman" w:hAnsi="Times New Roman"/>
          <w:highlight w:val="none"/>
        </w:rPr>
      </w:pPr>
      <w:r>
        <w:rPr>
          <w:rFonts w:ascii="Times New Roman" w:hAnsi="Times New Roman"/>
          <w:highlight w:val="none"/>
        </w:rPr>
        <w:t>E—核算时段内脱硫副产物产生量，t；</w:t>
      </w:r>
    </w:p>
    <w:p w14:paraId="5E02CF50">
      <w:pPr>
        <w:ind w:firstLine="480"/>
        <w:rPr>
          <w:rFonts w:hint="default" w:ascii="Times New Roman" w:hAnsi="Times New Roman" w:eastAsia="宋体"/>
          <w:highlight w:val="none"/>
          <w:lang w:val="en-US" w:eastAsia="zh-CN"/>
        </w:rPr>
      </w:pPr>
      <w:r>
        <w:rPr>
          <w:rFonts w:ascii="Times New Roman" w:hAnsi="Times New Roman"/>
          <w:highlight w:val="none"/>
        </w:rPr>
        <w:t>M</w:t>
      </w:r>
      <w:r>
        <w:rPr>
          <w:rFonts w:ascii="Times New Roman" w:hAnsi="Times New Roman"/>
          <w:highlight w:val="none"/>
          <w:vertAlign w:val="subscript"/>
        </w:rPr>
        <w:t>F</w:t>
      </w:r>
      <w:r>
        <w:rPr>
          <w:rFonts w:ascii="Times New Roman" w:hAnsi="Times New Roman"/>
          <w:highlight w:val="none"/>
        </w:rPr>
        <w:t>—脱硫副产物摩尔质量；</w:t>
      </w:r>
      <w:r>
        <w:rPr>
          <w:rFonts w:hint="eastAsia" w:ascii="Times New Roman" w:hAnsi="Times New Roman"/>
          <w:highlight w:val="none"/>
          <w:lang w:val="en-US" w:eastAsia="zh-CN"/>
        </w:rPr>
        <w:t>136</w:t>
      </w:r>
    </w:p>
    <w:p w14:paraId="7D8F01A6">
      <w:pPr>
        <w:ind w:firstLine="480"/>
        <w:rPr>
          <w:rFonts w:hint="default" w:ascii="Times New Roman" w:hAnsi="Times New Roman" w:eastAsia="宋体"/>
          <w:highlight w:val="none"/>
          <w:lang w:val="en-US" w:eastAsia="zh-CN"/>
        </w:rPr>
      </w:pPr>
      <w:r>
        <w:rPr>
          <w:rFonts w:ascii="Times New Roman" w:hAnsi="Times New Roman"/>
          <w:highlight w:val="none"/>
        </w:rPr>
        <w:t>E</w:t>
      </w:r>
      <w:r>
        <w:rPr>
          <w:rFonts w:ascii="Times New Roman" w:hAnsi="Times New Roman"/>
          <w:highlight w:val="none"/>
          <w:vertAlign w:val="subscript"/>
        </w:rPr>
        <w:t>S</w:t>
      </w:r>
      <w:r>
        <w:rPr>
          <w:rFonts w:ascii="Times New Roman" w:hAnsi="Times New Roman"/>
          <w:highlight w:val="none"/>
        </w:rPr>
        <w:t>—核算时段内二氧化硫脱除量，t；</w:t>
      </w:r>
      <w:r>
        <w:rPr>
          <w:rFonts w:hint="eastAsia" w:ascii="Times New Roman" w:hAnsi="Times New Roman"/>
          <w:highlight w:val="none"/>
          <w:lang w:val="en-US" w:eastAsia="zh-CN"/>
        </w:rPr>
        <w:t>236.536</w:t>
      </w:r>
    </w:p>
    <w:p w14:paraId="4A096A33">
      <w:pPr>
        <w:ind w:firstLine="480"/>
        <w:rPr>
          <w:rFonts w:ascii="Times New Roman" w:hAnsi="Times New Roman"/>
          <w:highlight w:val="none"/>
        </w:rPr>
      </w:pPr>
      <w:r>
        <w:rPr>
          <w:rFonts w:ascii="Times New Roman" w:hAnsi="Times New Roman"/>
          <w:highlight w:val="none"/>
        </w:rPr>
        <w:t>64—SO</w:t>
      </w:r>
      <w:r>
        <w:rPr>
          <w:rFonts w:ascii="Times New Roman" w:hAnsi="Times New Roman"/>
          <w:highlight w:val="none"/>
          <w:vertAlign w:val="subscript"/>
        </w:rPr>
        <w:t>2</w:t>
      </w:r>
      <w:r>
        <w:rPr>
          <w:rFonts w:ascii="Times New Roman" w:hAnsi="Times New Roman"/>
          <w:highlight w:val="none"/>
        </w:rPr>
        <w:t>摩尔质量；</w:t>
      </w:r>
    </w:p>
    <w:p w14:paraId="4EECD7E4">
      <w:pPr>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s</w:t>
      </w:r>
      <w:r>
        <w:rPr>
          <w:rFonts w:ascii="Times New Roman" w:hAnsi="Times New Roman"/>
          <w:highlight w:val="none"/>
        </w:rPr>
        <w:t>—脱硫副产物含水率，%，副产物为石膏时含水率一般≤10%；</w:t>
      </w:r>
    </w:p>
    <w:p w14:paraId="441CEFD4">
      <w:pPr>
        <w:ind w:firstLine="480"/>
        <w:rPr>
          <w:rFonts w:ascii="Times New Roman" w:hAnsi="Times New Roman"/>
          <w:highlight w:val="none"/>
        </w:rPr>
      </w:pPr>
      <w:r>
        <w:rPr>
          <w:rFonts w:ascii="Times New Roman" w:hAnsi="Times New Roman"/>
          <w:highlight w:val="none"/>
        </w:rPr>
        <w:t>C</w:t>
      </w:r>
      <w:r>
        <w:rPr>
          <w:rFonts w:ascii="Times New Roman" w:hAnsi="Times New Roman"/>
          <w:highlight w:val="none"/>
          <w:vertAlign w:val="subscript"/>
        </w:rPr>
        <w:t>g</w:t>
      </w:r>
      <w:r>
        <w:rPr>
          <w:rFonts w:ascii="Times New Roman" w:hAnsi="Times New Roman"/>
          <w:highlight w:val="none"/>
        </w:rPr>
        <w:t>—脱硫副产物纯度，%，副产物为石膏时纯度一般≥90%</w:t>
      </w:r>
    </w:p>
    <w:p w14:paraId="2D0F9812">
      <w:pPr>
        <w:ind w:firstLine="480"/>
        <w:rPr>
          <w:rFonts w:ascii="Times New Roman" w:hAnsi="Times New Roman"/>
          <w:highlight w:val="none"/>
        </w:rPr>
      </w:pPr>
      <w:r>
        <w:rPr>
          <w:rFonts w:ascii="Times New Roman" w:hAnsi="Times New Roman"/>
          <w:highlight w:val="none"/>
        </w:rPr>
        <w:t>则核算时段内脱硫副产物产生量E</w:t>
      </w:r>
      <w:r>
        <w:rPr>
          <w:rFonts w:hint="eastAsia" w:ascii="Times New Roman" w:hAnsi="Times New Roman"/>
          <w:highlight w:val="none"/>
          <w:lang w:val="en-US" w:eastAsia="zh-CN"/>
        </w:rPr>
        <w:t>=502.549</w:t>
      </w:r>
      <w:r>
        <w:rPr>
          <w:rFonts w:ascii="Times New Roman" w:hAnsi="Times New Roman"/>
          <w:highlight w:val="none"/>
        </w:rPr>
        <w:t>t/a</w:t>
      </w:r>
    </w:p>
    <w:p w14:paraId="1E2836D1">
      <w:pPr>
        <w:ind w:firstLine="480"/>
        <w:rPr>
          <w:rFonts w:ascii="Times New Roman" w:hAnsi="Times New Roman"/>
          <w:highlight w:val="none"/>
        </w:rPr>
      </w:pPr>
      <w:r>
        <w:rPr>
          <w:rFonts w:ascii="Times New Roman" w:hAnsi="Times New Roman"/>
          <w:highlight w:val="none"/>
        </w:rPr>
        <w:t>本项目脱硫石膏暂存于厂区内石膏储仓，及时定期外运至综合利用。</w:t>
      </w:r>
    </w:p>
    <w:p w14:paraId="18016479">
      <w:pPr>
        <w:ind w:firstLine="480"/>
        <w:rPr>
          <w:rFonts w:ascii="Times New Roman" w:hAnsi="Times New Roman"/>
          <w:highlight w:val="none"/>
        </w:rPr>
      </w:pPr>
      <w:r>
        <w:rPr>
          <w:rFonts w:ascii="Times New Roman" w:hAnsi="Times New Roman"/>
          <w:highlight w:val="none"/>
        </w:rPr>
        <w:t>4、废催化剂</w:t>
      </w:r>
    </w:p>
    <w:p w14:paraId="51384CB2">
      <w:pPr>
        <w:ind w:firstLine="480"/>
        <w:rPr>
          <w:rFonts w:ascii="Times New Roman" w:hAnsi="Times New Roman"/>
          <w:highlight w:val="none"/>
        </w:rPr>
      </w:pPr>
      <w:r>
        <w:rPr>
          <w:rFonts w:ascii="Times New Roman" w:hAnsi="Times New Roman"/>
          <w:highlight w:val="none"/>
        </w:rPr>
        <w:t>项目采用SNCR-SCR脱硝工艺，其中：SCR脱硝工艺使用钒钛系催化剂，SCR催化剂受到飞灰堵塞、冲蚀及化学毒化等因素的影响，活性会逐渐下降甚至失效，根据设备厂家提供的资料，每3年更换一次，催化剂体积约为10m</w:t>
      </w:r>
      <w:r>
        <w:rPr>
          <w:rFonts w:ascii="Times New Roman" w:hAnsi="Times New Roman"/>
          <w:highlight w:val="none"/>
          <w:vertAlign w:val="superscript"/>
        </w:rPr>
        <w:t>3</w:t>
      </w:r>
      <w:r>
        <w:rPr>
          <w:rFonts w:ascii="Times New Roman" w:hAnsi="Times New Roman"/>
          <w:highlight w:val="none"/>
        </w:rPr>
        <w:t>/3a，废催化剂的主要成份有V</w:t>
      </w:r>
      <w:r>
        <w:rPr>
          <w:rFonts w:ascii="Times New Roman" w:hAnsi="Times New Roman"/>
          <w:highlight w:val="none"/>
          <w:vertAlign w:val="subscript"/>
        </w:rPr>
        <w:t>2</w:t>
      </w:r>
      <w:r>
        <w:rPr>
          <w:rFonts w:ascii="Times New Roman" w:hAnsi="Times New Roman"/>
          <w:highlight w:val="none"/>
        </w:rPr>
        <w:t>O</w:t>
      </w:r>
      <w:r>
        <w:rPr>
          <w:rFonts w:ascii="Times New Roman" w:hAnsi="Times New Roman"/>
          <w:highlight w:val="none"/>
          <w:vertAlign w:val="subscript"/>
        </w:rPr>
        <w:t>5</w:t>
      </w:r>
      <w:r>
        <w:rPr>
          <w:rFonts w:ascii="Times New Roman" w:hAnsi="Times New Roman"/>
          <w:highlight w:val="none"/>
        </w:rPr>
        <w:t>、WO</w:t>
      </w:r>
      <w:r>
        <w:rPr>
          <w:rFonts w:ascii="Times New Roman" w:hAnsi="Times New Roman"/>
          <w:highlight w:val="none"/>
          <w:vertAlign w:val="subscript"/>
        </w:rPr>
        <w:t>3</w:t>
      </w:r>
      <w:r>
        <w:rPr>
          <w:rFonts w:ascii="Times New Roman" w:hAnsi="Times New Roman"/>
          <w:highlight w:val="none"/>
        </w:rPr>
        <w:t>和TiO</w:t>
      </w:r>
      <w:r>
        <w:rPr>
          <w:rFonts w:ascii="Times New Roman" w:hAnsi="Times New Roman"/>
          <w:highlight w:val="none"/>
          <w:vertAlign w:val="subscript"/>
        </w:rPr>
        <w:t>2</w:t>
      </w:r>
      <w:r>
        <w:rPr>
          <w:rFonts w:ascii="Times New Roman" w:hAnsi="Times New Roman"/>
          <w:highlight w:val="none"/>
        </w:rPr>
        <w:t>。根据《国家危险废物名录（202</w:t>
      </w:r>
      <w:r>
        <w:rPr>
          <w:rFonts w:hint="eastAsia" w:ascii="Times New Roman" w:hAnsi="Times New Roman"/>
          <w:highlight w:val="none"/>
          <w:lang w:val="en-US" w:eastAsia="zh-CN"/>
        </w:rPr>
        <w:t>5</w:t>
      </w:r>
      <w:r>
        <w:rPr>
          <w:rFonts w:ascii="Times New Roman" w:hAnsi="Times New Roman"/>
          <w:highlight w:val="none"/>
        </w:rPr>
        <w:t>年）》，烟气脱硝过程中产生的废钒钛系催化剂属于HW50危险废物，废物代码为772-007-50。</w:t>
      </w:r>
    </w:p>
    <w:p w14:paraId="4FF423D4">
      <w:pPr>
        <w:ind w:firstLine="480"/>
        <w:rPr>
          <w:rFonts w:ascii="Times New Roman" w:hAnsi="Times New Roman"/>
          <w:highlight w:val="none"/>
        </w:rPr>
      </w:pPr>
      <w:r>
        <w:rPr>
          <w:rFonts w:ascii="Times New Roman" w:hAnsi="Times New Roman"/>
          <w:highlight w:val="none"/>
        </w:rPr>
        <w:t>5、生活垃圾</w:t>
      </w:r>
    </w:p>
    <w:p w14:paraId="4A4699D0">
      <w:pPr>
        <w:ind w:firstLine="480"/>
        <w:rPr>
          <w:rFonts w:ascii="Times New Roman" w:hAnsi="Times New Roman"/>
          <w:highlight w:val="none"/>
        </w:rPr>
      </w:pPr>
      <w:r>
        <w:rPr>
          <w:rFonts w:ascii="Times New Roman" w:hAnsi="Times New Roman"/>
          <w:highlight w:val="none"/>
        </w:rPr>
        <w:t>本项目新增生活人员</w:t>
      </w:r>
      <w:r>
        <w:rPr>
          <w:rFonts w:hint="eastAsia" w:ascii="Times New Roman" w:hAnsi="Times New Roman"/>
          <w:highlight w:val="none"/>
          <w:lang w:val="en-US" w:eastAsia="zh-CN"/>
        </w:rPr>
        <w:t>175</w:t>
      </w:r>
      <w:r>
        <w:rPr>
          <w:rFonts w:ascii="Times New Roman" w:hAnsi="Times New Roman"/>
          <w:highlight w:val="none"/>
        </w:rPr>
        <w:t>人，生活垃圾产生量为0.5kg/人·天，则生活垃圾产生量为0.0</w:t>
      </w:r>
      <w:r>
        <w:rPr>
          <w:rFonts w:hint="eastAsia" w:ascii="Times New Roman" w:hAnsi="Times New Roman"/>
          <w:highlight w:val="none"/>
          <w:lang w:val="en-US" w:eastAsia="zh-CN"/>
        </w:rPr>
        <w:t>88</w:t>
      </w:r>
      <w:r>
        <w:rPr>
          <w:rFonts w:ascii="Times New Roman" w:hAnsi="Times New Roman"/>
          <w:highlight w:val="none"/>
        </w:rPr>
        <w:t>t/d，</w:t>
      </w:r>
      <w:r>
        <w:rPr>
          <w:rFonts w:hint="eastAsia" w:ascii="Times New Roman" w:hAnsi="Times New Roman"/>
          <w:highlight w:val="none"/>
          <w:lang w:val="en-US" w:eastAsia="zh-CN"/>
        </w:rPr>
        <w:t>18.38</w:t>
      </w:r>
      <w:r>
        <w:rPr>
          <w:rFonts w:ascii="Times New Roman" w:hAnsi="Times New Roman"/>
          <w:highlight w:val="none"/>
        </w:rPr>
        <w:t>t/a。集中收集定期交由环卫部门处置。</w:t>
      </w:r>
    </w:p>
    <w:p w14:paraId="627A9AE9">
      <w:pPr>
        <w:ind w:firstLine="480"/>
        <w:rPr>
          <w:rFonts w:ascii="Times New Roman" w:hAnsi="Times New Roman"/>
          <w:highlight w:val="none"/>
        </w:rPr>
      </w:pPr>
      <w:r>
        <w:rPr>
          <w:rFonts w:ascii="Times New Roman" w:hAnsi="Times New Roman"/>
          <w:highlight w:val="none"/>
        </w:rPr>
        <w:t>6、餐厨垃圾及废油脂</w:t>
      </w:r>
    </w:p>
    <w:p w14:paraId="32A81AB9">
      <w:pPr>
        <w:ind w:firstLine="480"/>
        <w:rPr>
          <w:rFonts w:ascii="Times New Roman" w:hAnsi="Times New Roman"/>
          <w:highlight w:val="none"/>
        </w:rPr>
      </w:pPr>
      <w:r>
        <w:rPr>
          <w:rFonts w:ascii="Times New Roman" w:hAnsi="Times New Roman"/>
          <w:highlight w:val="none"/>
        </w:rPr>
        <w:t>餐馀垃圾：</w:t>
      </w:r>
      <w:r>
        <w:rPr>
          <w:rFonts w:hint="eastAsia" w:ascii="Times New Roman" w:hAnsi="Times New Roman"/>
          <w:highlight w:val="none"/>
        </w:rPr>
        <w:t>全场</w:t>
      </w:r>
      <w:r>
        <w:rPr>
          <w:rFonts w:ascii="Times New Roman" w:hAnsi="Times New Roman"/>
          <w:highlight w:val="none"/>
        </w:rPr>
        <w:t>食堂日平均就餐人数</w:t>
      </w:r>
      <w:r>
        <w:rPr>
          <w:rFonts w:hint="eastAsia" w:ascii="Times New Roman" w:hAnsi="Times New Roman"/>
          <w:highlight w:val="none"/>
          <w:lang w:val="en-US" w:eastAsia="zh-CN"/>
        </w:rPr>
        <w:t>175</w:t>
      </w:r>
      <w:r>
        <w:rPr>
          <w:rFonts w:ascii="Times New Roman" w:hAnsi="Times New Roman"/>
          <w:highlight w:val="none"/>
        </w:rPr>
        <w:t>人次/天，餐馀废物按0.3kg/人•餐计，则餐馀废物产生量</w:t>
      </w:r>
      <w:r>
        <w:rPr>
          <w:rFonts w:hint="eastAsia" w:ascii="Times New Roman" w:hAnsi="Times New Roman"/>
          <w:highlight w:val="none"/>
          <w:lang w:val="en-US" w:eastAsia="zh-CN"/>
        </w:rPr>
        <w:t>11.03</w:t>
      </w:r>
      <w:r>
        <w:rPr>
          <w:rFonts w:ascii="Times New Roman" w:hAnsi="Times New Roman"/>
          <w:highlight w:val="none"/>
        </w:rPr>
        <w:t>t/a。</w:t>
      </w:r>
    </w:p>
    <w:p w14:paraId="45A9ED1D">
      <w:pPr>
        <w:ind w:firstLine="480"/>
        <w:rPr>
          <w:rFonts w:ascii="Times New Roman" w:hAnsi="Times New Roman"/>
          <w:highlight w:val="none"/>
        </w:rPr>
      </w:pPr>
      <w:r>
        <w:rPr>
          <w:rFonts w:ascii="Times New Roman" w:hAnsi="Times New Roman"/>
          <w:highlight w:val="none"/>
        </w:rPr>
        <w:t>废油脂：油烟净化器、油水分离器分离出的废油脂产生量按耗油量10%计（消耗食用油按25g/人•天计），废油脂产生量约为0.0</w:t>
      </w:r>
      <w:r>
        <w:rPr>
          <w:rFonts w:hint="eastAsia" w:ascii="Times New Roman" w:hAnsi="Times New Roman"/>
          <w:highlight w:val="none"/>
          <w:lang w:val="en-US" w:eastAsia="zh-CN"/>
        </w:rPr>
        <w:t>92</w:t>
      </w:r>
      <w:r>
        <w:rPr>
          <w:rFonts w:ascii="Times New Roman" w:hAnsi="Times New Roman"/>
          <w:highlight w:val="none"/>
        </w:rPr>
        <w:t>t/a。</w:t>
      </w:r>
    </w:p>
    <w:p w14:paraId="54AED815">
      <w:pPr>
        <w:rPr>
          <w:rFonts w:ascii="Times New Roman" w:hAnsi="Times New Roman"/>
          <w:highlight w:val="none"/>
        </w:rPr>
      </w:pPr>
      <w:r>
        <w:rPr>
          <w:rFonts w:ascii="Times New Roman" w:hAnsi="Times New Roman"/>
          <w:highlight w:val="none"/>
        </w:rPr>
        <w:t>本项目餐馀垃圾与废油脂合计约为</w:t>
      </w:r>
      <w:r>
        <w:rPr>
          <w:rFonts w:hint="eastAsia" w:ascii="Times New Roman" w:hAnsi="Times New Roman"/>
          <w:highlight w:val="none"/>
          <w:lang w:val="en-US" w:eastAsia="zh-CN"/>
        </w:rPr>
        <w:t>11.122</w:t>
      </w:r>
      <w:r>
        <w:rPr>
          <w:rFonts w:ascii="Times New Roman" w:hAnsi="Times New Roman"/>
          <w:highlight w:val="none"/>
        </w:rPr>
        <w:t>t/a，委托有资质单位处置。</w:t>
      </w:r>
    </w:p>
    <w:p w14:paraId="6BD2B4F5">
      <w:pPr>
        <w:pStyle w:val="23"/>
        <w:rPr>
          <w:rFonts w:hint="eastAsia" w:ascii="Times New Roman" w:hAnsi="Times New Roman"/>
          <w:highlight w:val="none"/>
          <w:lang w:val="en-US" w:eastAsia="zh-CN"/>
        </w:rPr>
      </w:pPr>
      <w:r>
        <w:rPr>
          <w:rFonts w:hint="eastAsia" w:ascii="Times New Roman" w:hAnsi="Times New Roman"/>
          <w:highlight w:val="none"/>
          <w:lang w:val="en-US" w:eastAsia="zh-CN"/>
        </w:rPr>
        <w:t>7、废布袋</w:t>
      </w:r>
    </w:p>
    <w:p w14:paraId="56A49FA9">
      <w:pPr>
        <w:rPr>
          <w:rFonts w:hint="eastAsia"/>
          <w:color w:val="auto"/>
          <w:highlight w:val="none"/>
          <w:lang w:val="en-US" w:eastAsia="zh-CN"/>
        </w:rPr>
      </w:pPr>
      <w:r>
        <w:rPr>
          <w:rFonts w:hint="eastAsia"/>
          <w:color w:val="auto"/>
          <w:highlight w:val="none"/>
          <w:lang w:val="en-US" w:eastAsia="zh-CN"/>
        </w:rPr>
        <w:t>根据设备厂家提供的资料，布袋除尘器中除尘布袋的使用年限约为5年，即每5年需要更换一次布袋除尘器中布袋，以取得更好的除尘效果，废弃除尘布袋产生量约为1t/5a，由设备厂家进厂定期检修时，更换回收、处置。</w:t>
      </w:r>
    </w:p>
    <w:p w14:paraId="6557EFC9">
      <w:pPr>
        <w:pStyle w:val="23"/>
        <w:rPr>
          <w:rFonts w:hint="eastAsia"/>
          <w:color w:val="auto"/>
          <w:highlight w:val="none"/>
          <w:lang w:val="en-US" w:eastAsia="zh-CN"/>
        </w:rPr>
      </w:pPr>
      <w:r>
        <w:rPr>
          <w:rFonts w:hint="eastAsia"/>
          <w:color w:val="auto"/>
          <w:highlight w:val="none"/>
          <w:lang w:val="en-US" w:eastAsia="zh-CN"/>
        </w:rPr>
        <w:t>8、废机油</w:t>
      </w:r>
    </w:p>
    <w:p w14:paraId="4E060C98">
      <w:pPr>
        <w:rPr>
          <w:rFonts w:hint="default"/>
          <w:highlight w:val="none"/>
          <w:lang w:val="en-US" w:eastAsia="zh-CN"/>
        </w:rPr>
      </w:pPr>
      <w:r>
        <w:rPr>
          <w:rFonts w:hint="eastAsia"/>
          <w:color w:val="auto"/>
          <w:highlight w:val="none"/>
          <w:lang w:val="en-US" w:eastAsia="zh-CN"/>
        </w:rPr>
        <w:t>本项目产生的废机油0.2t/a，根据《国家危险废物名录（2025年版）》可知，属于危险废物（HW08废矿物油与含矿物油废物中900-217-08使用工业齿轮油进行机械设备润滑过程中产生的废润滑油），应委托有危废处理资质单位统一处理。</w:t>
      </w:r>
    </w:p>
    <w:p w14:paraId="261858F2">
      <w:pPr>
        <w:pStyle w:val="23"/>
        <w:rPr>
          <w:rFonts w:hint="default"/>
          <w:highlight w:val="none"/>
          <w:lang w:val="en-US" w:eastAsia="zh-CN"/>
        </w:rPr>
      </w:pPr>
      <w:r>
        <w:rPr>
          <w:rFonts w:ascii="Times New Roman" w:hAnsi="Times New Roman"/>
          <w:highlight w:val="none"/>
        </w:rPr>
        <w:t>本工程固体废物处理处置情况见表3.3-6。</w:t>
      </w:r>
    </w:p>
    <w:p w14:paraId="79522781">
      <w:pPr>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C8A641E">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3.3-6</w:t>
      </w:r>
      <w:r>
        <w:rPr>
          <w:rFonts w:hint="eastAsia" w:ascii="黑体" w:hAnsi="黑体" w:eastAsia="黑体" w:cs="黑体"/>
          <w:highlight w:val="none"/>
        </w:rPr>
        <w:t>本工程固废排放情况汇总表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308"/>
        <w:gridCol w:w="1125"/>
        <w:gridCol w:w="989"/>
        <w:gridCol w:w="1562"/>
        <w:gridCol w:w="848"/>
        <w:gridCol w:w="1276"/>
        <w:gridCol w:w="1480"/>
        <w:gridCol w:w="1208"/>
        <w:gridCol w:w="1701"/>
        <w:gridCol w:w="1602"/>
      </w:tblGrid>
      <w:tr w14:paraId="62590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restart"/>
            <w:noWrap w:val="0"/>
            <w:vAlign w:val="center"/>
          </w:tcPr>
          <w:p w14:paraId="4AD1876C">
            <w:pPr>
              <w:pStyle w:val="42"/>
              <w:spacing w:before="81" w:after="81"/>
              <w:textAlignment w:val="center"/>
              <w:rPr>
                <w:rFonts w:ascii="Times New Roman" w:hAnsi="Times New Roman"/>
                <w:szCs w:val="21"/>
                <w:highlight w:val="none"/>
              </w:rPr>
            </w:pPr>
            <w:r>
              <w:rPr>
                <w:rFonts w:ascii="Times New Roman" w:hAnsi="Times New Roman"/>
                <w:szCs w:val="21"/>
                <w:highlight w:val="none"/>
              </w:rPr>
              <w:t>工序/生产线</w:t>
            </w:r>
          </w:p>
        </w:tc>
        <w:tc>
          <w:tcPr>
            <w:tcW w:w="461" w:type="pct"/>
            <w:vMerge w:val="restart"/>
            <w:noWrap w:val="0"/>
            <w:vAlign w:val="center"/>
          </w:tcPr>
          <w:p w14:paraId="3C85E4B4">
            <w:pPr>
              <w:pStyle w:val="42"/>
              <w:spacing w:before="81" w:after="81"/>
              <w:textAlignment w:val="center"/>
              <w:rPr>
                <w:rFonts w:ascii="Times New Roman" w:hAnsi="Times New Roman"/>
                <w:szCs w:val="21"/>
                <w:highlight w:val="none"/>
              </w:rPr>
            </w:pPr>
            <w:r>
              <w:rPr>
                <w:rFonts w:ascii="Times New Roman" w:hAnsi="Times New Roman"/>
                <w:szCs w:val="21"/>
                <w:highlight w:val="none"/>
              </w:rPr>
              <w:t>装置</w:t>
            </w:r>
          </w:p>
        </w:tc>
        <w:tc>
          <w:tcPr>
            <w:tcW w:w="396" w:type="pct"/>
            <w:vMerge w:val="restart"/>
            <w:noWrap w:val="0"/>
            <w:vAlign w:val="center"/>
          </w:tcPr>
          <w:p w14:paraId="41E1C5C7">
            <w:pPr>
              <w:pStyle w:val="42"/>
              <w:spacing w:before="81" w:after="81"/>
              <w:textAlignment w:val="center"/>
              <w:rPr>
                <w:rFonts w:ascii="Times New Roman" w:hAnsi="Times New Roman"/>
                <w:szCs w:val="21"/>
                <w:highlight w:val="none"/>
              </w:rPr>
            </w:pPr>
            <w:r>
              <w:rPr>
                <w:rFonts w:ascii="Times New Roman" w:hAnsi="Times New Roman"/>
                <w:szCs w:val="21"/>
                <w:highlight w:val="none"/>
              </w:rPr>
              <w:t>固体废物名称</w:t>
            </w:r>
          </w:p>
        </w:tc>
        <w:tc>
          <w:tcPr>
            <w:tcW w:w="899" w:type="pct"/>
            <w:gridSpan w:val="2"/>
            <w:noWrap w:val="0"/>
            <w:vAlign w:val="center"/>
          </w:tcPr>
          <w:p w14:paraId="30158990">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r>
              <w:rPr>
                <w:rFonts w:hint="eastAsia" w:ascii="Times New Roman" w:hAnsi="Times New Roman"/>
                <w:szCs w:val="21"/>
                <w:highlight w:val="none"/>
                <w:lang w:val="en-US" w:eastAsia="zh-CN"/>
              </w:rPr>
              <w:t>固体废物分类与代码目录</w:t>
            </w:r>
            <w:r>
              <w:rPr>
                <w:rFonts w:ascii="Times New Roman" w:hAnsi="Times New Roman"/>
                <w:szCs w:val="21"/>
                <w:highlight w:val="none"/>
              </w:rPr>
              <w:t>》(公告2024年第4号)/危险废物代码</w:t>
            </w:r>
          </w:p>
        </w:tc>
        <w:tc>
          <w:tcPr>
            <w:tcW w:w="299" w:type="pct"/>
            <w:vMerge w:val="restart"/>
            <w:noWrap w:val="0"/>
            <w:vAlign w:val="center"/>
          </w:tcPr>
          <w:p w14:paraId="013B8978">
            <w:pPr>
              <w:pStyle w:val="42"/>
              <w:spacing w:before="81" w:after="81"/>
              <w:textAlignment w:val="center"/>
              <w:rPr>
                <w:rFonts w:ascii="Times New Roman" w:hAnsi="Times New Roman"/>
                <w:szCs w:val="21"/>
                <w:highlight w:val="none"/>
              </w:rPr>
            </w:pPr>
            <w:r>
              <w:rPr>
                <w:rFonts w:ascii="Times New Roman" w:hAnsi="Times New Roman"/>
                <w:szCs w:val="21"/>
                <w:highlight w:val="none"/>
              </w:rPr>
              <w:t>固废属性</w:t>
            </w:r>
          </w:p>
        </w:tc>
        <w:tc>
          <w:tcPr>
            <w:tcW w:w="972" w:type="pct"/>
            <w:gridSpan w:val="2"/>
            <w:noWrap w:val="0"/>
            <w:vAlign w:val="center"/>
          </w:tcPr>
          <w:p w14:paraId="445C1317">
            <w:pPr>
              <w:pStyle w:val="42"/>
              <w:spacing w:before="81" w:after="81"/>
              <w:textAlignment w:val="center"/>
              <w:rPr>
                <w:rFonts w:ascii="Times New Roman" w:hAnsi="Times New Roman"/>
                <w:szCs w:val="21"/>
                <w:highlight w:val="none"/>
              </w:rPr>
            </w:pPr>
            <w:r>
              <w:rPr>
                <w:rFonts w:ascii="Times New Roman" w:hAnsi="Times New Roman"/>
                <w:szCs w:val="21"/>
                <w:highlight w:val="none"/>
              </w:rPr>
              <w:t>产生量</w:t>
            </w:r>
          </w:p>
        </w:tc>
        <w:tc>
          <w:tcPr>
            <w:tcW w:w="1026" w:type="pct"/>
            <w:gridSpan w:val="2"/>
            <w:noWrap w:val="0"/>
            <w:vAlign w:val="center"/>
          </w:tcPr>
          <w:p w14:paraId="08DC2B29">
            <w:pPr>
              <w:pStyle w:val="42"/>
              <w:spacing w:before="81" w:after="81"/>
              <w:textAlignment w:val="center"/>
              <w:rPr>
                <w:rFonts w:ascii="Times New Roman" w:hAnsi="Times New Roman"/>
                <w:szCs w:val="21"/>
                <w:highlight w:val="none"/>
              </w:rPr>
            </w:pPr>
            <w:r>
              <w:rPr>
                <w:rFonts w:ascii="Times New Roman" w:hAnsi="Times New Roman"/>
                <w:szCs w:val="21"/>
                <w:highlight w:val="none"/>
              </w:rPr>
              <w:t>处置措施</w:t>
            </w:r>
          </w:p>
        </w:tc>
        <w:tc>
          <w:tcPr>
            <w:tcW w:w="565" w:type="pct"/>
            <w:vMerge w:val="restart"/>
            <w:noWrap w:val="0"/>
            <w:vAlign w:val="center"/>
          </w:tcPr>
          <w:p w14:paraId="0C500A7C">
            <w:pPr>
              <w:pStyle w:val="42"/>
              <w:spacing w:before="81" w:after="81"/>
              <w:textAlignment w:val="center"/>
              <w:rPr>
                <w:rFonts w:ascii="Times New Roman" w:hAnsi="Times New Roman"/>
                <w:szCs w:val="21"/>
                <w:highlight w:val="none"/>
              </w:rPr>
            </w:pPr>
            <w:r>
              <w:rPr>
                <w:rFonts w:ascii="Times New Roman" w:hAnsi="Times New Roman"/>
                <w:szCs w:val="21"/>
                <w:highlight w:val="none"/>
              </w:rPr>
              <w:t>处置去向</w:t>
            </w:r>
          </w:p>
        </w:tc>
      </w:tr>
      <w:tr w14:paraId="49E01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1008206E">
            <w:pPr>
              <w:pStyle w:val="42"/>
              <w:spacing w:before="81" w:after="81"/>
              <w:textAlignment w:val="center"/>
              <w:rPr>
                <w:rFonts w:ascii="Times New Roman" w:hAnsi="Times New Roman"/>
                <w:szCs w:val="21"/>
                <w:highlight w:val="none"/>
              </w:rPr>
            </w:pPr>
          </w:p>
        </w:tc>
        <w:tc>
          <w:tcPr>
            <w:tcW w:w="461" w:type="pct"/>
            <w:vMerge w:val="continue"/>
            <w:noWrap w:val="0"/>
            <w:vAlign w:val="center"/>
          </w:tcPr>
          <w:p w14:paraId="3B29E051">
            <w:pPr>
              <w:pStyle w:val="42"/>
              <w:spacing w:before="81" w:after="81"/>
              <w:textAlignment w:val="center"/>
              <w:rPr>
                <w:rFonts w:ascii="Times New Roman" w:hAnsi="Times New Roman"/>
                <w:szCs w:val="21"/>
                <w:highlight w:val="none"/>
              </w:rPr>
            </w:pPr>
          </w:p>
        </w:tc>
        <w:tc>
          <w:tcPr>
            <w:tcW w:w="396" w:type="pct"/>
            <w:vMerge w:val="continue"/>
            <w:noWrap w:val="0"/>
            <w:vAlign w:val="center"/>
          </w:tcPr>
          <w:p w14:paraId="1CD1DBE5">
            <w:pPr>
              <w:pStyle w:val="42"/>
              <w:spacing w:before="81" w:after="81"/>
              <w:textAlignment w:val="center"/>
              <w:rPr>
                <w:rFonts w:ascii="Times New Roman" w:hAnsi="Times New Roman"/>
                <w:szCs w:val="21"/>
                <w:highlight w:val="none"/>
              </w:rPr>
            </w:pPr>
          </w:p>
        </w:tc>
        <w:tc>
          <w:tcPr>
            <w:tcW w:w="348" w:type="pct"/>
            <w:noWrap w:val="0"/>
            <w:vAlign w:val="center"/>
          </w:tcPr>
          <w:p w14:paraId="2173366E">
            <w:pPr>
              <w:pStyle w:val="42"/>
              <w:spacing w:before="81" w:after="81"/>
              <w:textAlignment w:val="center"/>
              <w:rPr>
                <w:rFonts w:ascii="Times New Roman" w:hAnsi="Times New Roman"/>
                <w:szCs w:val="21"/>
                <w:highlight w:val="none"/>
              </w:rPr>
            </w:pPr>
            <w:r>
              <w:rPr>
                <w:rFonts w:ascii="Times New Roman" w:hAnsi="Times New Roman"/>
                <w:szCs w:val="21"/>
                <w:highlight w:val="none"/>
              </w:rPr>
              <w:t>类别代码</w:t>
            </w:r>
          </w:p>
        </w:tc>
        <w:tc>
          <w:tcPr>
            <w:tcW w:w="551" w:type="pct"/>
            <w:noWrap w:val="0"/>
            <w:vAlign w:val="center"/>
          </w:tcPr>
          <w:p w14:paraId="4DD25816">
            <w:pPr>
              <w:pStyle w:val="42"/>
              <w:spacing w:before="81" w:after="81"/>
              <w:textAlignment w:val="center"/>
              <w:rPr>
                <w:rFonts w:ascii="Times New Roman" w:hAnsi="Times New Roman"/>
                <w:szCs w:val="21"/>
                <w:highlight w:val="none"/>
              </w:rPr>
            </w:pPr>
            <w:r>
              <w:rPr>
                <w:rFonts w:ascii="Times New Roman" w:hAnsi="Times New Roman"/>
                <w:szCs w:val="21"/>
                <w:highlight w:val="none"/>
              </w:rPr>
              <w:t>代码</w:t>
            </w:r>
          </w:p>
        </w:tc>
        <w:tc>
          <w:tcPr>
            <w:tcW w:w="299" w:type="pct"/>
            <w:vMerge w:val="continue"/>
            <w:noWrap w:val="0"/>
            <w:vAlign w:val="center"/>
          </w:tcPr>
          <w:p w14:paraId="7EEB8A0C">
            <w:pPr>
              <w:pStyle w:val="42"/>
              <w:spacing w:before="81" w:after="81"/>
              <w:textAlignment w:val="center"/>
              <w:rPr>
                <w:rFonts w:ascii="Times New Roman" w:hAnsi="Times New Roman"/>
                <w:szCs w:val="21"/>
                <w:highlight w:val="none"/>
              </w:rPr>
            </w:pPr>
          </w:p>
        </w:tc>
        <w:tc>
          <w:tcPr>
            <w:tcW w:w="450" w:type="pct"/>
            <w:noWrap w:val="0"/>
            <w:vAlign w:val="center"/>
          </w:tcPr>
          <w:p w14:paraId="628A5B1E">
            <w:pPr>
              <w:pStyle w:val="42"/>
              <w:spacing w:before="81" w:after="81"/>
              <w:textAlignment w:val="center"/>
              <w:rPr>
                <w:rFonts w:ascii="Times New Roman" w:hAnsi="Times New Roman"/>
                <w:szCs w:val="21"/>
                <w:highlight w:val="none"/>
              </w:rPr>
            </w:pPr>
            <w:r>
              <w:rPr>
                <w:rFonts w:ascii="Times New Roman" w:hAnsi="Times New Roman"/>
                <w:szCs w:val="21"/>
                <w:highlight w:val="none"/>
              </w:rPr>
              <w:t>核算方法</w:t>
            </w:r>
          </w:p>
        </w:tc>
        <w:tc>
          <w:tcPr>
            <w:tcW w:w="522" w:type="pct"/>
            <w:noWrap w:val="0"/>
            <w:vAlign w:val="center"/>
          </w:tcPr>
          <w:p w14:paraId="1DE3E090">
            <w:pPr>
              <w:pStyle w:val="42"/>
              <w:spacing w:before="81" w:after="81"/>
              <w:textAlignment w:val="center"/>
              <w:rPr>
                <w:rFonts w:ascii="Times New Roman" w:hAnsi="Times New Roman"/>
                <w:szCs w:val="21"/>
                <w:highlight w:val="none"/>
              </w:rPr>
            </w:pPr>
            <w:r>
              <w:rPr>
                <w:rFonts w:ascii="Times New Roman" w:hAnsi="Times New Roman"/>
                <w:szCs w:val="21"/>
                <w:highlight w:val="none"/>
              </w:rPr>
              <w:t>产生量t/a</w:t>
            </w:r>
          </w:p>
        </w:tc>
        <w:tc>
          <w:tcPr>
            <w:tcW w:w="426" w:type="pct"/>
            <w:noWrap w:val="0"/>
            <w:vAlign w:val="center"/>
          </w:tcPr>
          <w:p w14:paraId="0CD864D3">
            <w:pPr>
              <w:pStyle w:val="42"/>
              <w:spacing w:before="81" w:after="81"/>
              <w:textAlignment w:val="center"/>
              <w:rPr>
                <w:rFonts w:ascii="Times New Roman" w:hAnsi="Times New Roman"/>
                <w:szCs w:val="21"/>
                <w:highlight w:val="none"/>
              </w:rPr>
            </w:pPr>
            <w:r>
              <w:rPr>
                <w:rFonts w:ascii="Times New Roman" w:hAnsi="Times New Roman"/>
                <w:szCs w:val="21"/>
                <w:highlight w:val="none"/>
              </w:rPr>
              <w:t>工艺</w:t>
            </w:r>
          </w:p>
        </w:tc>
        <w:tc>
          <w:tcPr>
            <w:tcW w:w="600" w:type="pct"/>
            <w:noWrap w:val="0"/>
            <w:vAlign w:val="center"/>
          </w:tcPr>
          <w:p w14:paraId="4E45E108">
            <w:pPr>
              <w:pStyle w:val="42"/>
              <w:spacing w:before="81" w:after="81"/>
              <w:textAlignment w:val="center"/>
              <w:rPr>
                <w:rFonts w:ascii="Times New Roman" w:hAnsi="Times New Roman"/>
                <w:szCs w:val="21"/>
                <w:highlight w:val="none"/>
              </w:rPr>
            </w:pPr>
            <w:r>
              <w:rPr>
                <w:rFonts w:ascii="Times New Roman" w:hAnsi="Times New Roman"/>
                <w:szCs w:val="21"/>
                <w:highlight w:val="none"/>
              </w:rPr>
              <w:t>处置量t/a</w:t>
            </w:r>
          </w:p>
        </w:tc>
        <w:tc>
          <w:tcPr>
            <w:tcW w:w="565" w:type="pct"/>
            <w:vMerge w:val="continue"/>
            <w:noWrap w:val="0"/>
            <w:vAlign w:val="center"/>
          </w:tcPr>
          <w:p w14:paraId="3F2E4C53">
            <w:pPr>
              <w:pStyle w:val="42"/>
              <w:spacing w:before="81" w:after="81"/>
              <w:textAlignment w:val="center"/>
              <w:rPr>
                <w:rFonts w:ascii="Times New Roman" w:hAnsi="Times New Roman"/>
                <w:szCs w:val="21"/>
                <w:highlight w:val="none"/>
              </w:rPr>
            </w:pPr>
          </w:p>
        </w:tc>
      </w:tr>
      <w:tr w14:paraId="6B0F0B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restart"/>
            <w:noWrap w:val="0"/>
            <w:vAlign w:val="center"/>
          </w:tcPr>
          <w:p w14:paraId="71B5141A">
            <w:pPr>
              <w:pStyle w:val="42"/>
              <w:spacing w:before="81" w:after="81"/>
              <w:textAlignment w:val="center"/>
              <w:rPr>
                <w:rFonts w:ascii="Times New Roman" w:hAnsi="Times New Roman"/>
                <w:szCs w:val="21"/>
                <w:highlight w:val="none"/>
              </w:rPr>
            </w:pPr>
            <w:r>
              <w:rPr>
                <w:rFonts w:ascii="Times New Roman" w:hAnsi="Times New Roman"/>
                <w:szCs w:val="21"/>
                <w:highlight w:val="none"/>
              </w:rPr>
              <w:t>本工程</w:t>
            </w:r>
          </w:p>
        </w:tc>
        <w:tc>
          <w:tcPr>
            <w:tcW w:w="461" w:type="pct"/>
            <w:noWrap w:val="0"/>
            <w:vAlign w:val="center"/>
          </w:tcPr>
          <w:p w14:paraId="693D122B">
            <w:pPr>
              <w:pStyle w:val="42"/>
              <w:spacing w:before="81" w:after="81"/>
              <w:textAlignment w:val="center"/>
              <w:rPr>
                <w:rFonts w:ascii="Times New Roman" w:hAnsi="Times New Roman"/>
                <w:szCs w:val="21"/>
                <w:highlight w:val="none"/>
              </w:rPr>
            </w:pPr>
            <w:r>
              <w:rPr>
                <w:rFonts w:ascii="Times New Roman" w:hAnsi="Times New Roman"/>
                <w:szCs w:val="21"/>
                <w:highlight w:val="none"/>
              </w:rPr>
              <w:t>锅炉</w:t>
            </w:r>
          </w:p>
        </w:tc>
        <w:tc>
          <w:tcPr>
            <w:tcW w:w="396" w:type="pct"/>
            <w:noWrap w:val="0"/>
            <w:vAlign w:val="center"/>
          </w:tcPr>
          <w:p w14:paraId="0710A082">
            <w:pPr>
              <w:pStyle w:val="42"/>
              <w:spacing w:before="81" w:after="81"/>
              <w:textAlignment w:val="center"/>
              <w:rPr>
                <w:rFonts w:ascii="Times New Roman" w:hAnsi="Times New Roman"/>
                <w:szCs w:val="21"/>
                <w:highlight w:val="none"/>
              </w:rPr>
            </w:pPr>
            <w:r>
              <w:rPr>
                <w:rFonts w:ascii="Times New Roman" w:hAnsi="Times New Roman"/>
                <w:szCs w:val="21"/>
                <w:highlight w:val="none"/>
              </w:rPr>
              <w:t>炉渣</w:t>
            </w:r>
          </w:p>
        </w:tc>
        <w:tc>
          <w:tcPr>
            <w:tcW w:w="348" w:type="pct"/>
            <w:noWrap w:val="0"/>
            <w:vAlign w:val="center"/>
          </w:tcPr>
          <w:p w14:paraId="1D65469E">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SW03</w:t>
            </w:r>
          </w:p>
        </w:tc>
        <w:tc>
          <w:tcPr>
            <w:tcW w:w="551" w:type="pct"/>
            <w:noWrap w:val="0"/>
            <w:vAlign w:val="center"/>
          </w:tcPr>
          <w:p w14:paraId="7AAB8298">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900</w:t>
            </w:r>
            <w:r>
              <w:rPr>
                <w:rFonts w:ascii="Times New Roman" w:hAnsi="Times New Roman"/>
                <w:szCs w:val="21"/>
                <w:highlight w:val="none"/>
              </w:rPr>
              <w:t>-001-</w:t>
            </w:r>
            <w:r>
              <w:rPr>
                <w:rFonts w:hint="eastAsia" w:ascii="Times New Roman" w:hAnsi="Times New Roman"/>
                <w:szCs w:val="21"/>
                <w:highlight w:val="none"/>
                <w:lang w:val="en-US" w:eastAsia="zh-CN"/>
              </w:rPr>
              <w:t>S03</w:t>
            </w:r>
          </w:p>
        </w:tc>
        <w:tc>
          <w:tcPr>
            <w:tcW w:w="299" w:type="pct"/>
            <w:vMerge w:val="restart"/>
            <w:noWrap w:val="0"/>
            <w:vAlign w:val="center"/>
          </w:tcPr>
          <w:p w14:paraId="4062B709">
            <w:pPr>
              <w:pStyle w:val="42"/>
              <w:spacing w:before="81" w:after="81"/>
              <w:textAlignment w:val="center"/>
              <w:rPr>
                <w:rFonts w:ascii="Times New Roman" w:hAnsi="Times New Roman"/>
                <w:szCs w:val="21"/>
                <w:highlight w:val="none"/>
              </w:rPr>
            </w:pPr>
            <w:r>
              <w:rPr>
                <w:rFonts w:ascii="Times New Roman" w:hAnsi="Times New Roman"/>
                <w:szCs w:val="21"/>
                <w:highlight w:val="none"/>
              </w:rPr>
              <w:t>一般固体废物</w:t>
            </w:r>
          </w:p>
        </w:tc>
        <w:tc>
          <w:tcPr>
            <w:tcW w:w="450" w:type="pct"/>
            <w:vMerge w:val="restart"/>
            <w:noWrap w:val="0"/>
            <w:vAlign w:val="center"/>
          </w:tcPr>
          <w:p w14:paraId="3F8A5C37">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522" w:type="pct"/>
            <w:noWrap w:val="0"/>
            <w:vAlign w:val="center"/>
          </w:tcPr>
          <w:p w14:paraId="06643C8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25919.71</w:t>
            </w:r>
          </w:p>
        </w:tc>
        <w:tc>
          <w:tcPr>
            <w:tcW w:w="426" w:type="pct"/>
            <w:vMerge w:val="restart"/>
            <w:noWrap w:val="0"/>
            <w:vAlign w:val="center"/>
          </w:tcPr>
          <w:p w14:paraId="263B7727">
            <w:pPr>
              <w:pStyle w:val="42"/>
              <w:spacing w:before="81" w:after="81"/>
              <w:textAlignment w:val="center"/>
              <w:rPr>
                <w:rFonts w:ascii="Times New Roman" w:hAnsi="Times New Roman"/>
                <w:szCs w:val="21"/>
                <w:highlight w:val="none"/>
              </w:rPr>
            </w:pPr>
            <w:r>
              <w:rPr>
                <w:rFonts w:ascii="Times New Roman" w:hAnsi="Times New Roman"/>
                <w:szCs w:val="21"/>
                <w:highlight w:val="none"/>
              </w:rPr>
              <w:t>日产日清</w:t>
            </w:r>
          </w:p>
        </w:tc>
        <w:tc>
          <w:tcPr>
            <w:tcW w:w="600" w:type="pct"/>
            <w:noWrap w:val="0"/>
            <w:vAlign w:val="center"/>
          </w:tcPr>
          <w:p w14:paraId="31BF8536">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25919.71</w:t>
            </w:r>
          </w:p>
        </w:tc>
        <w:tc>
          <w:tcPr>
            <w:tcW w:w="565" w:type="pct"/>
            <w:vMerge w:val="restart"/>
            <w:noWrap w:val="0"/>
            <w:vAlign w:val="center"/>
          </w:tcPr>
          <w:p w14:paraId="23BEF786">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采矿区回填</w:t>
            </w:r>
          </w:p>
        </w:tc>
      </w:tr>
      <w:tr w14:paraId="57F164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01DFE69B">
            <w:pPr>
              <w:pStyle w:val="42"/>
              <w:spacing w:before="81" w:after="81"/>
              <w:textAlignment w:val="center"/>
              <w:rPr>
                <w:rFonts w:ascii="Times New Roman" w:hAnsi="Times New Roman"/>
                <w:szCs w:val="21"/>
                <w:highlight w:val="none"/>
              </w:rPr>
            </w:pPr>
          </w:p>
        </w:tc>
        <w:tc>
          <w:tcPr>
            <w:tcW w:w="461" w:type="pct"/>
            <w:noWrap w:val="0"/>
            <w:vAlign w:val="center"/>
          </w:tcPr>
          <w:p w14:paraId="7AC08CB4">
            <w:pPr>
              <w:pStyle w:val="42"/>
              <w:spacing w:before="81" w:after="81"/>
              <w:textAlignment w:val="center"/>
              <w:rPr>
                <w:rFonts w:ascii="Times New Roman" w:hAnsi="Times New Roman"/>
                <w:szCs w:val="21"/>
                <w:highlight w:val="none"/>
              </w:rPr>
            </w:pPr>
            <w:r>
              <w:rPr>
                <w:rFonts w:ascii="Times New Roman" w:hAnsi="Times New Roman"/>
                <w:szCs w:val="21"/>
                <w:highlight w:val="none"/>
              </w:rPr>
              <w:t>锅炉</w:t>
            </w:r>
          </w:p>
        </w:tc>
        <w:tc>
          <w:tcPr>
            <w:tcW w:w="396" w:type="pct"/>
            <w:noWrap w:val="0"/>
            <w:vAlign w:val="center"/>
          </w:tcPr>
          <w:p w14:paraId="1D4BA941">
            <w:pPr>
              <w:pStyle w:val="42"/>
              <w:spacing w:before="81" w:after="81"/>
              <w:textAlignment w:val="center"/>
              <w:rPr>
                <w:rFonts w:ascii="Times New Roman" w:hAnsi="Times New Roman"/>
                <w:szCs w:val="21"/>
                <w:highlight w:val="none"/>
              </w:rPr>
            </w:pPr>
            <w:r>
              <w:rPr>
                <w:rFonts w:ascii="Times New Roman" w:hAnsi="Times New Roman"/>
                <w:szCs w:val="21"/>
                <w:highlight w:val="none"/>
              </w:rPr>
              <w:t>炉灰</w:t>
            </w:r>
          </w:p>
        </w:tc>
        <w:tc>
          <w:tcPr>
            <w:tcW w:w="348" w:type="pct"/>
            <w:noWrap w:val="0"/>
            <w:vAlign w:val="center"/>
          </w:tcPr>
          <w:p w14:paraId="5A87C0CC">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SW02</w:t>
            </w:r>
          </w:p>
        </w:tc>
        <w:tc>
          <w:tcPr>
            <w:tcW w:w="551" w:type="pct"/>
            <w:noWrap w:val="0"/>
            <w:vAlign w:val="center"/>
          </w:tcPr>
          <w:p w14:paraId="14D644D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900</w:t>
            </w:r>
            <w:r>
              <w:rPr>
                <w:rFonts w:ascii="Times New Roman" w:hAnsi="Times New Roman"/>
                <w:szCs w:val="21"/>
                <w:highlight w:val="none"/>
              </w:rPr>
              <w:t>-001-</w:t>
            </w:r>
            <w:r>
              <w:rPr>
                <w:rFonts w:hint="eastAsia" w:ascii="Times New Roman" w:hAnsi="Times New Roman"/>
                <w:szCs w:val="21"/>
                <w:highlight w:val="none"/>
                <w:lang w:val="en-US" w:eastAsia="zh-CN"/>
              </w:rPr>
              <w:t>S02</w:t>
            </w:r>
          </w:p>
        </w:tc>
        <w:tc>
          <w:tcPr>
            <w:tcW w:w="299" w:type="pct"/>
            <w:vMerge w:val="continue"/>
            <w:noWrap w:val="0"/>
            <w:vAlign w:val="center"/>
          </w:tcPr>
          <w:p w14:paraId="122648B5">
            <w:pPr>
              <w:pStyle w:val="42"/>
              <w:spacing w:before="81" w:after="81"/>
              <w:textAlignment w:val="center"/>
              <w:rPr>
                <w:rFonts w:ascii="Times New Roman" w:hAnsi="Times New Roman"/>
                <w:szCs w:val="21"/>
                <w:highlight w:val="none"/>
              </w:rPr>
            </w:pPr>
          </w:p>
        </w:tc>
        <w:tc>
          <w:tcPr>
            <w:tcW w:w="450" w:type="pct"/>
            <w:vMerge w:val="continue"/>
            <w:noWrap w:val="0"/>
            <w:vAlign w:val="center"/>
          </w:tcPr>
          <w:p w14:paraId="02BB3C99">
            <w:pPr>
              <w:pStyle w:val="42"/>
              <w:spacing w:before="81" w:after="81"/>
              <w:textAlignment w:val="center"/>
              <w:rPr>
                <w:rFonts w:ascii="Times New Roman" w:hAnsi="Times New Roman"/>
                <w:szCs w:val="21"/>
                <w:highlight w:val="none"/>
              </w:rPr>
            </w:pPr>
          </w:p>
        </w:tc>
        <w:tc>
          <w:tcPr>
            <w:tcW w:w="522" w:type="pct"/>
            <w:noWrap w:val="0"/>
            <w:vAlign w:val="center"/>
          </w:tcPr>
          <w:p w14:paraId="6F3C4542">
            <w:pPr>
              <w:pStyle w:val="42"/>
              <w:spacing w:before="81" w:after="81"/>
              <w:textAlignment w:val="center"/>
              <w:rPr>
                <w:rFonts w:hint="default" w:ascii="Times New Roman" w:hAnsi="Times New Roman" w:eastAsia="新宋体"/>
                <w:highlight w:val="none"/>
                <w:lang w:val="en-US" w:eastAsia="zh-CN"/>
              </w:rPr>
            </w:pPr>
            <w:r>
              <w:rPr>
                <w:rFonts w:hint="eastAsia" w:ascii="Times New Roman" w:hAnsi="Times New Roman"/>
                <w:szCs w:val="21"/>
                <w:highlight w:val="none"/>
                <w:lang w:val="en-US" w:eastAsia="zh-CN"/>
              </w:rPr>
              <w:t>6050.89</w:t>
            </w:r>
          </w:p>
        </w:tc>
        <w:tc>
          <w:tcPr>
            <w:tcW w:w="426" w:type="pct"/>
            <w:vMerge w:val="continue"/>
            <w:noWrap w:val="0"/>
            <w:vAlign w:val="center"/>
          </w:tcPr>
          <w:p w14:paraId="50E3B331">
            <w:pPr>
              <w:pStyle w:val="42"/>
              <w:spacing w:before="81" w:after="81"/>
              <w:textAlignment w:val="center"/>
              <w:rPr>
                <w:rFonts w:ascii="Times New Roman" w:hAnsi="Times New Roman"/>
                <w:szCs w:val="21"/>
                <w:highlight w:val="none"/>
              </w:rPr>
            </w:pPr>
          </w:p>
        </w:tc>
        <w:tc>
          <w:tcPr>
            <w:tcW w:w="600" w:type="pct"/>
            <w:noWrap w:val="0"/>
            <w:vAlign w:val="center"/>
          </w:tcPr>
          <w:p w14:paraId="5D65B7C5">
            <w:pPr>
              <w:pStyle w:val="42"/>
              <w:spacing w:before="81" w:after="81"/>
              <w:textAlignment w:val="center"/>
              <w:rPr>
                <w:rFonts w:hint="default" w:ascii="Times New Roman" w:hAnsi="Times New Roman" w:eastAsia="新宋体"/>
                <w:highlight w:val="none"/>
                <w:lang w:val="en-US" w:eastAsia="zh-CN"/>
              </w:rPr>
            </w:pPr>
            <w:r>
              <w:rPr>
                <w:rFonts w:hint="eastAsia" w:ascii="Times New Roman" w:hAnsi="Times New Roman"/>
                <w:szCs w:val="21"/>
                <w:highlight w:val="none"/>
                <w:lang w:val="en-US" w:eastAsia="zh-CN"/>
              </w:rPr>
              <w:t>6050.89</w:t>
            </w:r>
          </w:p>
        </w:tc>
        <w:tc>
          <w:tcPr>
            <w:tcW w:w="565" w:type="pct"/>
            <w:vMerge w:val="continue"/>
            <w:noWrap w:val="0"/>
            <w:vAlign w:val="center"/>
          </w:tcPr>
          <w:p w14:paraId="1ACDDFFE">
            <w:pPr>
              <w:pStyle w:val="42"/>
              <w:spacing w:before="81" w:after="81"/>
              <w:textAlignment w:val="center"/>
              <w:rPr>
                <w:rFonts w:ascii="Times New Roman" w:hAnsi="Times New Roman"/>
                <w:szCs w:val="21"/>
                <w:highlight w:val="none"/>
              </w:rPr>
            </w:pPr>
          </w:p>
        </w:tc>
      </w:tr>
      <w:tr w14:paraId="58F68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69901F64">
            <w:pPr>
              <w:pStyle w:val="42"/>
              <w:spacing w:before="81" w:after="81"/>
              <w:textAlignment w:val="center"/>
              <w:rPr>
                <w:rFonts w:ascii="Times New Roman" w:hAnsi="Times New Roman"/>
                <w:szCs w:val="21"/>
                <w:highlight w:val="none"/>
              </w:rPr>
            </w:pPr>
          </w:p>
        </w:tc>
        <w:tc>
          <w:tcPr>
            <w:tcW w:w="461" w:type="pct"/>
            <w:noWrap w:val="0"/>
            <w:vAlign w:val="center"/>
          </w:tcPr>
          <w:p w14:paraId="4837FE8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废气处理</w:t>
            </w:r>
          </w:p>
        </w:tc>
        <w:tc>
          <w:tcPr>
            <w:tcW w:w="396" w:type="pct"/>
            <w:noWrap w:val="0"/>
            <w:vAlign w:val="center"/>
          </w:tcPr>
          <w:p w14:paraId="7D1007A9">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废布袋</w:t>
            </w:r>
          </w:p>
        </w:tc>
        <w:tc>
          <w:tcPr>
            <w:tcW w:w="348" w:type="pct"/>
            <w:noWrap w:val="0"/>
            <w:vAlign w:val="center"/>
          </w:tcPr>
          <w:p w14:paraId="5BE962B7">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SW59</w:t>
            </w:r>
          </w:p>
        </w:tc>
        <w:tc>
          <w:tcPr>
            <w:tcW w:w="551" w:type="pct"/>
            <w:noWrap w:val="0"/>
            <w:vAlign w:val="center"/>
          </w:tcPr>
          <w:p w14:paraId="0E256DAE">
            <w:pPr>
              <w:pStyle w:val="42"/>
              <w:spacing w:before="81" w:after="81"/>
              <w:textAlignment w:val="center"/>
              <w:rPr>
                <w:rFonts w:hint="default" w:ascii="Times New Roman" w:hAnsi="Times New Roman" w:eastAsia="新宋体"/>
                <w:szCs w:val="21"/>
                <w:highlight w:val="none"/>
                <w:lang w:val="en-US" w:eastAsia="zh-CN"/>
              </w:rPr>
            </w:pPr>
            <w:r>
              <w:rPr>
                <w:rFonts w:ascii="Times New Roman" w:hAnsi="Times New Roman"/>
                <w:szCs w:val="21"/>
                <w:highlight w:val="none"/>
              </w:rPr>
              <w:t>900-</w:t>
            </w:r>
            <w:r>
              <w:rPr>
                <w:rFonts w:hint="eastAsia" w:ascii="Times New Roman" w:hAnsi="Times New Roman"/>
                <w:szCs w:val="21"/>
                <w:highlight w:val="none"/>
                <w:lang w:val="en-US" w:eastAsia="zh-CN"/>
              </w:rPr>
              <w:t>009</w:t>
            </w:r>
            <w:r>
              <w:rPr>
                <w:rFonts w:ascii="Times New Roman" w:hAnsi="Times New Roman"/>
                <w:szCs w:val="21"/>
                <w:highlight w:val="none"/>
              </w:rPr>
              <w:t>-</w:t>
            </w:r>
            <w:r>
              <w:rPr>
                <w:rFonts w:hint="eastAsia" w:ascii="Times New Roman" w:hAnsi="Times New Roman"/>
                <w:szCs w:val="21"/>
                <w:highlight w:val="none"/>
                <w:lang w:val="en-US" w:eastAsia="zh-CN"/>
              </w:rPr>
              <w:t>S59</w:t>
            </w:r>
          </w:p>
        </w:tc>
        <w:tc>
          <w:tcPr>
            <w:tcW w:w="299" w:type="pct"/>
            <w:vMerge w:val="continue"/>
            <w:noWrap w:val="0"/>
            <w:vAlign w:val="center"/>
          </w:tcPr>
          <w:p w14:paraId="2D8E9E91">
            <w:pPr>
              <w:pStyle w:val="42"/>
              <w:spacing w:before="81" w:after="81"/>
              <w:textAlignment w:val="center"/>
              <w:rPr>
                <w:rFonts w:ascii="Times New Roman" w:hAnsi="Times New Roman"/>
                <w:szCs w:val="21"/>
                <w:highlight w:val="none"/>
              </w:rPr>
            </w:pPr>
          </w:p>
        </w:tc>
        <w:tc>
          <w:tcPr>
            <w:tcW w:w="450" w:type="pct"/>
            <w:noWrap w:val="0"/>
            <w:vAlign w:val="center"/>
          </w:tcPr>
          <w:p w14:paraId="75DFE26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类比法</w:t>
            </w:r>
          </w:p>
        </w:tc>
        <w:tc>
          <w:tcPr>
            <w:tcW w:w="522" w:type="pct"/>
            <w:noWrap w:val="0"/>
            <w:vAlign w:val="center"/>
          </w:tcPr>
          <w:p w14:paraId="19466833">
            <w:pPr>
              <w:pStyle w:val="42"/>
              <w:spacing w:before="81" w:after="81"/>
              <w:textAlignment w:val="center"/>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1t/5a</w:t>
            </w:r>
          </w:p>
        </w:tc>
        <w:tc>
          <w:tcPr>
            <w:tcW w:w="426" w:type="pct"/>
            <w:noWrap w:val="0"/>
            <w:vAlign w:val="center"/>
          </w:tcPr>
          <w:p w14:paraId="63B3663D">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厂家回收</w:t>
            </w:r>
          </w:p>
        </w:tc>
        <w:tc>
          <w:tcPr>
            <w:tcW w:w="600" w:type="pct"/>
            <w:noWrap w:val="0"/>
            <w:vAlign w:val="center"/>
          </w:tcPr>
          <w:p w14:paraId="5DE8599C">
            <w:pPr>
              <w:pStyle w:val="42"/>
              <w:spacing w:before="81" w:after="81"/>
              <w:textAlignment w:val="center"/>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1t/5a</w:t>
            </w:r>
          </w:p>
        </w:tc>
        <w:tc>
          <w:tcPr>
            <w:tcW w:w="565" w:type="pct"/>
            <w:noWrap w:val="0"/>
            <w:vAlign w:val="center"/>
          </w:tcPr>
          <w:p w14:paraId="59B3CDD9">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lang w:val="en-US" w:eastAsia="zh-CN"/>
              </w:rPr>
              <w:t>厂家回收</w:t>
            </w:r>
          </w:p>
        </w:tc>
      </w:tr>
      <w:tr w14:paraId="2B4D2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430FE14D">
            <w:pPr>
              <w:pStyle w:val="42"/>
              <w:spacing w:before="81" w:after="81"/>
              <w:textAlignment w:val="center"/>
              <w:rPr>
                <w:rFonts w:ascii="Times New Roman" w:hAnsi="Times New Roman"/>
                <w:szCs w:val="21"/>
                <w:highlight w:val="none"/>
              </w:rPr>
            </w:pPr>
          </w:p>
        </w:tc>
        <w:tc>
          <w:tcPr>
            <w:tcW w:w="461" w:type="pct"/>
            <w:noWrap w:val="0"/>
            <w:vAlign w:val="center"/>
          </w:tcPr>
          <w:p w14:paraId="3B98DE87">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化学水处理</w:t>
            </w:r>
          </w:p>
        </w:tc>
        <w:tc>
          <w:tcPr>
            <w:tcW w:w="396" w:type="pct"/>
            <w:noWrap w:val="0"/>
            <w:vAlign w:val="center"/>
          </w:tcPr>
          <w:p w14:paraId="782184C3">
            <w:pPr>
              <w:pStyle w:val="42"/>
              <w:spacing w:before="81" w:after="81"/>
              <w:textAlignment w:val="center"/>
              <w:rPr>
                <w:rFonts w:hint="default" w:ascii="Times New Roman" w:hAnsi="Times New Roman" w:eastAsia="新宋体"/>
                <w:szCs w:val="21"/>
                <w:highlight w:val="none"/>
                <w:lang w:val="en-US" w:eastAsia="zh-CN"/>
              </w:rPr>
            </w:pPr>
            <w:r>
              <w:rPr>
                <w:rFonts w:ascii="Times New Roman" w:hAnsi="Times New Roman"/>
                <w:szCs w:val="21"/>
                <w:highlight w:val="none"/>
              </w:rPr>
              <w:t>废离子交换树脂</w:t>
            </w:r>
            <w:r>
              <w:rPr>
                <w:rFonts w:hint="eastAsia" w:ascii="Times New Roman" w:hAnsi="Times New Roman"/>
                <w:szCs w:val="21"/>
                <w:highlight w:val="none"/>
                <w:lang w:val="en-US" w:eastAsia="zh-CN"/>
              </w:rPr>
              <w:t>和反渗透膜</w:t>
            </w:r>
          </w:p>
        </w:tc>
        <w:tc>
          <w:tcPr>
            <w:tcW w:w="348" w:type="pct"/>
            <w:noWrap w:val="0"/>
            <w:vAlign w:val="center"/>
          </w:tcPr>
          <w:p w14:paraId="1736A41A">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SW59</w:t>
            </w:r>
          </w:p>
        </w:tc>
        <w:tc>
          <w:tcPr>
            <w:tcW w:w="551" w:type="pct"/>
            <w:noWrap w:val="0"/>
            <w:vAlign w:val="center"/>
          </w:tcPr>
          <w:p w14:paraId="7D858A86">
            <w:pPr>
              <w:pStyle w:val="42"/>
              <w:spacing w:before="81" w:after="81"/>
              <w:textAlignment w:val="center"/>
              <w:rPr>
                <w:rFonts w:ascii="Times New Roman" w:hAnsi="Times New Roman"/>
                <w:szCs w:val="21"/>
                <w:highlight w:val="none"/>
              </w:rPr>
            </w:pPr>
            <w:r>
              <w:rPr>
                <w:rFonts w:hint="eastAsia" w:ascii="Times New Roman" w:hAnsi="Times New Roman"/>
                <w:szCs w:val="21"/>
                <w:highlight w:val="none"/>
              </w:rPr>
              <w:t>900-008-S59</w:t>
            </w:r>
          </w:p>
        </w:tc>
        <w:tc>
          <w:tcPr>
            <w:tcW w:w="299" w:type="pct"/>
            <w:vMerge w:val="continue"/>
            <w:noWrap w:val="0"/>
            <w:vAlign w:val="center"/>
          </w:tcPr>
          <w:p w14:paraId="0026181C">
            <w:pPr>
              <w:pStyle w:val="42"/>
              <w:spacing w:before="81" w:after="81"/>
              <w:textAlignment w:val="center"/>
              <w:rPr>
                <w:rFonts w:ascii="Times New Roman" w:hAnsi="Times New Roman"/>
                <w:szCs w:val="21"/>
                <w:highlight w:val="none"/>
              </w:rPr>
            </w:pPr>
          </w:p>
        </w:tc>
        <w:tc>
          <w:tcPr>
            <w:tcW w:w="450" w:type="pct"/>
            <w:noWrap w:val="0"/>
            <w:vAlign w:val="center"/>
          </w:tcPr>
          <w:p w14:paraId="1482B906">
            <w:pPr>
              <w:pStyle w:val="42"/>
              <w:spacing w:before="81" w:after="81"/>
              <w:textAlignment w:val="center"/>
              <w:rPr>
                <w:rFonts w:ascii="Times New Roman" w:hAnsi="Times New Roman"/>
                <w:b/>
                <w:szCs w:val="21"/>
                <w:highlight w:val="none"/>
              </w:rPr>
            </w:pPr>
            <w:r>
              <w:rPr>
                <w:rFonts w:ascii="Times New Roman" w:hAnsi="Times New Roman"/>
                <w:szCs w:val="21"/>
                <w:highlight w:val="none"/>
              </w:rPr>
              <w:t>类比法</w:t>
            </w:r>
          </w:p>
        </w:tc>
        <w:tc>
          <w:tcPr>
            <w:tcW w:w="522" w:type="pct"/>
            <w:noWrap w:val="0"/>
            <w:vAlign w:val="center"/>
          </w:tcPr>
          <w:p w14:paraId="7FEAD3F9">
            <w:pPr>
              <w:pStyle w:val="42"/>
              <w:spacing w:before="81" w:after="81"/>
              <w:textAlignment w:val="center"/>
              <w:rPr>
                <w:rFonts w:ascii="Times New Roman" w:hAnsi="Times New Roman"/>
                <w:szCs w:val="21"/>
                <w:highlight w:val="none"/>
              </w:rPr>
            </w:pPr>
            <w:r>
              <w:rPr>
                <w:rFonts w:ascii="Times New Roman" w:hAnsi="Times New Roman"/>
                <w:szCs w:val="21"/>
                <w:highlight w:val="none"/>
              </w:rPr>
              <w:t>2</w:t>
            </w:r>
          </w:p>
        </w:tc>
        <w:tc>
          <w:tcPr>
            <w:tcW w:w="426" w:type="pct"/>
            <w:noWrap w:val="0"/>
            <w:vAlign w:val="center"/>
          </w:tcPr>
          <w:p w14:paraId="2C204A98">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委托处理</w:t>
            </w:r>
          </w:p>
        </w:tc>
        <w:tc>
          <w:tcPr>
            <w:tcW w:w="600" w:type="pct"/>
            <w:noWrap w:val="0"/>
            <w:vAlign w:val="center"/>
          </w:tcPr>
          <w:p w14:paraId="6E4EA804">
            <w:pPr>
              <w:pStyle w:val="42"/>
              <w:spacing w:before="81" w:after="81"/>
              <w:textAlignment w:val="center"/>
              <w:rPr>
                <w:rFonts w:ascii="Times New Roman" w:hAnsi="Times New Roman"/>
                <w:szCs w:val="21"/>
                <w:highlight w:val="none"/>
              </w:rPr>
            </w:pPr>
            <w:r>
              <w:rPr>
                <w:rFonts w:ascii="Times New Roman" w:hAnsi="Times New Roman"/>
                <w:szCs w:val="21"/>
                <w:highlight w:val="none"/>
              </w:rPr>
              <w:t>2</w:t>
            </w:r>
          </w:p>
        </w:tc>
        <w:tc>
          <w:tcPr>
            <w:tcW w:w="565" w:type="pct"/>
            <w:noWrap w:val="0"/>
            <w:vAlign w:val="center"/>
          </w:tcPr>
          <w:p w14:paraId="6350B18E">
            <w:pPr>
              <w:pStyle w:val="42"/>
              <w:spacing w:before="81" w:after="81"/>
              <w:textAlignment w:val="center"/>
              <w:rPr>
                <w:rFonts w:ascii="Times New Roman" w:hAnsi="Times New Roman"/>
                <w:szCs w:val="21"/>
                <w:highlight w:val="none"/>
              </w:rPr>
            </w:pPr>
            <w:r>
              <w:rPr>
                <w:rFonts w:ascii="Times New Roman" w:hAnsi="Times New Roman"/>
                <w:szCs w:val="21"/>
                <w:highlight w:val="none"/>
              </w:rPr>
              <w:t>由市政环卫部门统一处理</w:t>
            </w:r>
          </w:p>
        </w:tc>
      </w:tr>
      <w:tr w14:paraId="00796C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760ADBCF">
            <w:pPr>
              <w:pStyle w:val="42"/>
              <w:spacing w:before="81" w:after="81"/>
              <w:textAlignment w:val="center"/>
              <w:rPr>
                <w:rFonts w:ascii="Times New Roman" w:hAnsi="Times New Roman"/>
                <w:szCs w:val="21"/>
                <w:highlight w:val="none"/>
              </w:rPr>
            </w:pPr>
          </w:p>
        </w:tc>
        <w:tc>
          <w:tcPr>
            <w:tcW w:w="461" w:type="pct"/>
            <w:noWrap w:val="0"/>
            <w:vAlign w:val="center"/>
          </w:tcPr>
          <w:p w14:paraId="78C8D278">
            <w:pPr>
              <w:pStyle w:val="42"/>
              <w:spacing w:before="81" w:after="81"/>
              <w:textAlignment w:val="center"/>
              <w:rPr>
                <w:rFonts w:ascii="Times New Roman" w:hAnsi="Times New Roman"/>
                <w:szCs w:val="21"/>
                <w:highlight w:val="none"/>
              </w:rPr>
            </w:pPr>
            <w:r>
              <w:rPr>
                <w:rFonts w:ascii="Times New Roman" w:hAnsi="Times New Roman"/>
                <w:szCs w:val="21"/>
                <w:highlight w:val="none"/>
              </w:rPr>
              <w:t>脱硫塔</w:t>
            </w:r>
          </w:p>
        </w:tc>
        <w:tc>
          <w:tcPr>
            <w:tcW w:w="396" w:type="pct"/>
            <w:noWrap w:val="0"/>
            <w:vAlign w:val="center"/>
          </w:tcPr>
          <w:p w14:paraId="6CB372AC">
            <w:pPr>
              <w:pStyle w:val="42"/>
              <w:spacing w:before="81" w:after="81"/>
              <w:textAlignment w:val="center"/>
              <w:rPr>
                <w:rFonts w:ascii="Times New Roman" w:hAnsi="Times New Roman"/>
                <w:szCs w:val="21"/>
                <w:highlight w:val="none"/>
              </w:rPr>
            </w:pPr>
            <w:r>
              <w:rPr>
                <w:rFonts w:ascii="Times New Roman" w:hAnsi="Times New Roman"/>
                <w:szCs w:val="21"/>
                <w:highlight w:val="none"/>
              </w:rPr>
              <w:t>脱硫石膏</w:t>
            </w:r>
          </w:p>
        </w:tc>
        <w:tc>
          <w:tcPr>
            <w:tcW w:w="348" w:type="pct"/>
            <w:noWrap w:val="0"/>
            <w:vAlign w:val="center"/>
          </w:tcPr>
          <w:p w14:paraId="3B31CC2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SW06</w:t>
            </w:r>
          </w:p>
        </w:tc>
        <w:tc>
          <w:tcPr>
            <w:tcW w:w="551" w:type="pct"/>
            <w:noWrap w:val="0"/>
            <w:vAlign w:val="center"/>
          </w:tcPr>
          <w:p w14:paraId="6BEC922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900-099-S06</w:t>
            </w:r>
          </w:p>
        </w:tc>
        <w:tc>
          <w:tcPr>
            <w:tcW w:w="299" w:type="pct"/>
            <w:vMerge w:val="continue"/>
            <w:noWrap w:val="0"/>
            <w:vAlign w:val="center"/>
          </w:tcPr>
          <w:p w14:paraId="08AE0D27">
            <w:pPr>
              <w:pStyle w:val="42"/>
              <w:spacing w:before="81" w:after="81"/>
              <w:textAlignment w:val="center"/>
              <w:rPr>
                <w:rFonts w:ascii="Times New Roman" w:hAnsi="Times New Roman"/>
                <w:szCs w:val="21"/>
                <w:highlight w:val="none"/>
              </w:rPr>
            </w:pPr>
          </w:p>
        </w:tc>
        <w:tc>
          <w:tcPr>
            <w:tcW w:w="450" w:type="pct"/>
            <w:noWrap w:val="0"/>
            <w:vAlign w:val="center"/>
          </w:tcPr>
          <w:p w14:paraId="0110975A">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522" w:type="pct"/>
            <w:noWrap w:val="0"/>
            <w:vAlign w:val="center"/>
          </w:tcPr>
          <w:p w14:paraId="1189407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502.549</w:t>
            </w:r>
          </w:p>
        </w:tc>
        <w:tc>
          <w:tcPr>
            <w:tcW w:w="426" w:type="pct"/>
            <w:noWrap w:val="0"/>
            <w:vAlign w:val="center"/>
          </w:tcPr>
          <w:p w14:paraId="55A85FEA">
            <w:pPr>
              <w:pStyle w:val="42"/>
              <w:spacing w:before="81" w:after="81"/>
              <w:textAlignment w:val="center"/>
              <w:rPr>
                <w:rFonts w:ascii="Times New Roman" w:hAnsi="Times New Roman"/>
                <w:szCs w:val="21"/>
                <w:highlight w:val="none"/>
              </w:rPr>
            </w:pPr>
            <w:r>
              <w:rPr>
                <w:rFonts w:ascii="Times New Roman" w:hAnsi="Times New Roman"/>
                <w:szCs w:val="21"/>
                <w:highlight w:val="none"/>
              </w:rPr>
              <w:t>日产日清</w:t>
            </w:r>
          </w:p>
        </w:tc>
        <w:tc>
          <w:tcPr>
            <w:tcW w:w="600" w:type="pct"/>
            <w:noWrap w:val="0"/>
            <w:vAlign w:val="center"/>
          </w:tcPr>
          <w:p w14:paraId="4F16DAC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502.549</w:t>
            </w:r>
          </w:p>
        </w:tc>
        <w:tc>
          <w:tcPr>
            <w:tcW w:w="565" w:type="pct"/>
            <w:noWrap w:val="0"/>
            <w:vAlign w:val="center"/>
          </w:tcPr>
          <w:p w14:paraId="7612EC04">
            <w:pPr>
              <w:pStyle w:val="42"/>
              <w:spacing w:before="81" w:after="81"/>
              <w:textAlignment w:val="center"/>
              <w:rPr>
                <w:rFonts w:ascii="Times New Roman" w:hAnsi="Times New Roman"/>
                <w:b/>
                <w:bCs/>
                <w:szCs w:val="21"/>
                <w:highlight w:val="none"/>
              </w:rPr>
            </w:pPr>
            <w:r>
              <w:rPr>
                <w:rFonts w:ascii="Times New Roman" w:hAnsi="Times New Roman"/>
                <w:szCs w:val="21"/>
                <w:highlight w:val="none"/>
              </w:rPr>
              <w:t>外售综合利用</w:t>
            </w:r>
          </w:p>
        </w:tc>
      </w:tr>
      <w:tr w14:paraId="22BDB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1BB2E89D">
            <w:pPr>
              <w:pStyle w:val="42"/>
              <w:spacing w:before="81" w:after="81"/>
              <w:textAlignment w:val="center"/>
              <w:rPr>
                <w:rFonts w:ascii="Times New Roman" w:hAnsi="Times New Roman"/>
                <w:szCs w:val="21"/>
                <w:highlight w:val="none"/>
              </w:rPr>
            </w:pPr>
          </w:p>
        </w:tc>
        <w:tc>
          <w:tcPr>
            <w:tcW w:w="461" w:type="pct"/>
            <w:noWrap w:val="0"/>
            <w:vAlign w:val="center"/>
          </w:tcPr>
          <w:p w14:paraId="0305C347">
            <w:pPr>
              <w:pStyle w:val="42"/>
              <w:spacing w:before="81" w:after="81"/>
              <w:textAlignment w:val="center"/>
              <w:rPr>
                <w:rFonts w:ascii="Times New Roman" w:hAnsi="Times New Roman"/>
                <w:szCs w:val="21"/>
                <w:highlight w:val="none"/>
              </w:rPr>
            </w:pPr>
            <w:r>
              <w:rPr>
                <w:rFonts w:ascii="Times New Roman" w:hAnsi="Times New Roman"/>
                <w:szCs w:val="21"/>
                <w:highlight w:val="none"/>
              </w:rPr>
              <w:t>脱硝</w:t>
            </w:r>
          </w:p>
        </w:tc>
        <w:tc>
          <w:tcPr>
            <w:tcW w:w="396" w:type="pct"/>
            <w:noWrap w:val="0"/>
            <w:vAlign w:val="center"/>
          </w:tcPr>
          <w:p w14:paraId="6C28D791">
            <w:pPr>
              <w:pStyle w:val="42"/>
              <w:spacing w:before="81" w:after="81"/>
              <w:textAlignment w:val="center"/>
              <w:rPr>
                <w:rFonts w:ascii="Times New Roman" w:hAnsi="Times New Roman"/>
                <w:szCs w:val="21"/>
                <w:highlight w:val="none"/>
              </w:rPr>
            </w:pPr>
            <w:r>
              <w:rPr>
                <w:rFonts w:ascii="Times New Roman" w:hAnsi="Times New Roman"/>
                <w:szCs w:val="21"/>
                <w:highlight w:val="none"/>
              </w:rPr>
              <w:t>废催化剂</w:t>
            </w:r>
          </w:p>
        </w:tc>
        <w:tc>
          <w:tcPr>
            <w:tcW w:w="348" w:type="pct"/>
            <w:noWrap w:val="0"/>
            <w:vAlign w:val="center"/>
          </w:tcPr>
          <w:p w14:paraId="2569726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HW50</w:t>
            </w:r>
          </w:p>
        </w:tc>
        <w:tc>
          <w:tcPr>
            <w:tcW w:w="551" w:type="pct"/>
            <w:noWrap w:val="0"/>
            <w:vAlign w:val="center"/>
          </w:tcPr>
          <w:p w14:paraId="1872816E">
            <w:pPr>
              <w:pStyle w:val="42"/>
              <w:spacing w:before="81" w:after="81"/>
              <w:ind w:firstLine="0" w:firstLineChars="0"/>
              <w:textAlignment w:val="center"/>
              <w:rPr>
                <w:rFonts w:ascii="Times New Roman" w:hAnsi="Times New Roman"/>
                <w:szCs w:val="21"/>
                <w:highlight w:val="none"/>
              </w:rPr>
            </w:pPr>
            <w:r>
              <w:rPr>
                <w:rFonts w:ascii="Times New Roman" w:hAnsi="Times New Roman"/>
                <w:szCs w:val="21"/>
                <w:highlight w:val="none"/>
              </w:rPr>
              <w:t>772-007-50</w:t>
            </w:r>
          </w:p>
        </w:tc>
        <w:tc>
          <w:tcPr>
            <w:tcW w:w="299" w:type="pct"/>
            <w:vMerge w:val="restart"/>
            <w:noWrap w:val="0"/>
            <w:vAlign w:val="center"/>
          </w:tcPr>
          <w:p w14:paraId="23EE6C3D">
            <w:pPr>
              <w:pStyle w:val="42"/>
              <w:spacing w:before="81" w:after="81"/>
              <w:textAlignment w:val="center"/>
              <w:rPr>
                <w:rFonts w:ascii="Times New Roman" w:hAnsi="Times New Roman"/>
                <w:szCs w:val="21"/>
                <w:highlight w:val="none"/>
              </w:rPr>
            </w:pPr>
            <w:r>
              <w:rPr>
                <w:rFonts w:ascii="Times New Roman" w:hAnsi="Times New Roman"/>
                <w:szCs w:val="21"/>
                <w:highlight w:val="none"/>
              </w:rPr>
              <w:t>危险废物</w:t>
            </w:r>
          </w:p>
        </w:tc>
        <w:tc>
          <w:tcPr>
            <w:tcW w:w="450" w:type="pct"/>
            <w:noWrap w:val="0"/>
            <w:vAlign w:val="center"/>
          </w:tcPr>
          <w:p w14:paraId="2E24ED83">
            <w:pPr>
              <w:pStyle w:val="42"/>
              <w:spacing w:before="81" w:after="81"/>
              <w:textAlignment w:val="center"/>
              <w:rPr>
                <w:rFonts w:ascii="Times New Roman" w:hAnsi="Times New Roman"/>
                <w:szCs w:val="21"/>
                <w:highlight w:val="none"/>
              </w:rPr>
            </w:pPr>
            <w:r>
              <w:rPr>
                <w:rFonts w:ascii="Times New Roman" w:hAnsi="Times New Roman"/>
                <w:szCs w:val="21"/>
                <w:highlight w:val="none"/>
              </w:rPr>
              <w:t>物料衡算法</w:t>
            </w:r>
          </w:p>
        </w:tc>
        <w:tc>
          <w:tcPr>
            <w:tcW w:w="522" w:type="pct"/>
            <w:noWrap w:val="0"/>
            <w:vAlign w:val="center"/>
          </w:tcPr>
          <w:p w14:paraId="4A00B22C">
            <w:pPr>
              <w:pStyle w:val="42"/>
              <w:spacing w:before="81" w:after="81"/>
              <w:textAlignment w:val="center"/>
              <w:rPr>
                <w:rFonts w:ascii="Times New Roman" w:hAnsi="Times New Roman"/>
                <w:szCs w:val="21"/>
                <w:highlight w:val="none"/>
              </w:rPr>
            </w:pPr>
            <w:r>
              <w:rPr>
                <w:rFonts w:ascii="Times New Roman" w:hAnsi="Times New Roman"/>
                <w:szCs w:val="21"/>
                <w:highlight w:val="none"/>
              </w:rPr>
              <w:t>10m</w:t>
            </w:r>
            <w:r>
              <w:rPr>
                <w:rFonts w:ascii="Times New Roman" w:hAnsi="Times New Roman"/>
                <w:szCs w:val="21"/>
                <w:highlight w:val="none"/>
                <w:vertAlign w:val="superscript"/>
              </w:rPr>
              <w:t>3</w:t>
            </w:r>
            <w:r>
              <w:rPr>
                <w:rFonts w:ascii="Times New Roman" w:hAnsi="Times New Roman"/>
                <w:szCs w:val="21"/>
                <w:highlight w:val="none"/>
              </w:rPr>
              <w:t>/3a</w:t>
            </w:r>
          </w:p>
        </w:tc>
        <w:tc>
          <w:tcPr>
            <w:tcW w:w="426" w:type="pct"/>
            <w:noWrap w:val="0"/>
            <w:vAlign w:val="center"/>
          </w:tcPr>
          <w:p w14:paraId="412210B6">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委托处理</w:t>
            </w:r>
          </w:p>
        </w:tc>
        <w:tc>
          <w:tcPr>
            <w:tcW w:w="600" w:type="pct"/>
            <w:noWrap w:val="0"/>
            <w:vAlign w:val="center"/>
          </w:tcPr>
          <w:p w14:paraId="18DCE600">
            <w:pPr>
              <w:pStyle w:val="42"/>
              <w:spacing w:before="81" w:after="81"/>
              <w:textAlignment w:val="center"/>
              <w:rPr>
                <w:rFonts w:ascii="Times New Roman" w:hAnsi="Times New Roman"/>
                <w:szCs w:val="21"/>
                <w:highlight w:val="none"/>
              </w:rPr>
            </w:pPr>
            <w:r>
              <w:rPr>
                <w:rFonts w:ascii="Times New Roman" w:hAnsi="Times New Roman"/>
                <w:szCs w:val="21"/>
                <w:highlight w:val="none"/>
              </w:rPr>
              <w:t>10m</w:t>
            </w:r>
            <w:r>
              <w:rPr>
                <w:rFonts w:ascii="Times New Roman" w:hAnsi="Times New Roman"/>
                <w:szCs w:val="21"/>
                <w:highlight w:val="none"/>
                <w:vertAlign w:val="superscript"/>
              </w:rPr>
              <w:t>3</w:t>
            </w:r>
            <w:r>
              <w:rPr>
                <w:rFonts w:ascii="Times New Roman" w:hAnsi="Times New Roman"/>
                <w:szCs w:val="21"/>
                <w:highlight w:val="none"/>
              </w:rPr>
              <w:t>/3a</w:t>
            </w:r>
          </w:p>
        </w:tc>
        <w:tc>
          <w:tcPr>
            <w:tcW w:w="565" w:type="pct"/>
            <w:noWrap w:val="0"/>
            <w:vAlign w:val="center"/>
          </w:tcPr>
          <w:p w14:paraId="66090C09">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委托有资质单位处置</w:t>
            </w:r>
          </w:p>
        </w:tc>
      </w:tr>
      <w:tr w14:paraId="098D06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33FEEBEA">
            <w:pPr>
              <w:pStyle w:val="42"/>
              <w:spacing w:before="81" w:after="81"/>
              <w:textAlignment w:val="center"/>
              <w:rPr>
                <w:rFonts w:ascii="Times New Roman" w:hAnsi="Times New Roman"/>
                <w:szCs w:val="21"/>
                <w:highlight w:val="none"/>
              </w:rPr>
            </w:pPr>
          </w:p>
        </w:tc>
        <w:tc>
          <w:tcPr>
            <w:tcW w:w="461" w:type="pct"/>
            <w:noWrap w:val="0"/>
            <w:vAlign w:val="center"/>
          </w:tcPr>
          <w:p w14:paraId="1953999B">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厂区</w:t>
            </w:r>
          </w:p>
        </w:tc>
        <w:tc>
          <w:tcPr>
            <w:tcW w:w="396" w:type="pct"/>
            <w:noWrap w:val="0"/>
            <w:vAlign w:val="center"/>
          </w:tcPr>
          <w:p w14:paraId="2406BA95">
            <w:pPr>
              <w:pStyle w:val="42"/>
              <w:spacing w:before="81" w:after="81"/>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废机油</w:t>
            </w:r>
          </w:p>
        </w:tc>
        <w:tc>
          <w:tcPr>
            <w:tcW w:w="348" w:type="pct"/>
            <w:noWrap w:val="0"/>
            <w:vAlign w:val="center"/>
          </w:tcPr>
          <w:p w14:paraId="52F1050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HW08</w:t>
            </w:r>
          </w:p>
        </w:tc>
        <w:tc>
          <w:tcPr>
            <w:tcW w:w="551" w:type="pct"/>
            <w:noWrap w:val="0"/>
            <w:vAlign w:val="center"/>
          </w:tcPr>
          <w:p w14:paraId="047D1EF4">
            <w:pPr>
              <w:pStyle w:val="42"/>
              <w:spacing w:before="81" w:after="81"/>
              <w:ind w:firstLine="0" w:firstLineChars="0"/>
              <w:textAlignment w:val="center"/>
              <w:rPr>
                <w:rFonts w:hint="eastAsia" w:ascii="Times New Roman" w:hAnsi="Times New Roman"/>
                <w:szCs w:val="21"/>
                <w:highlight w:val="none"/>
                <w:lang w:val="en-US" w:eastAsia="zh-CN"/>
              </w:rPr>
            </w:pPr>
            <w:r>
              <w:rPr>
                <w:rFonts w:hint="eastAsia" w:ascii="Times New Roman" w:hAnsi="Times New Roman"/>
                <w:szCs w:val="21"/>
                <w:highlight w:val="none"/>
                <w:lang w:val="en-US" w:eastAsia="zh-CN"/>
              </w:rPr>
              <w:t>900-217-08</w:t>
            </w:r>
          </w:p>
        </w:tc>
        <w:tc>
          <w:tcPr>
            <w:tcW w:w="299" w:type="pct"/>
            <w:vMerge w:val="continue"/>
            <w:noWrap w:val="0"/>
            <w:vAlign w:val="center"/>
          </w:tcPr>
          <w:p w14:paraId="45607A4C">
            <w:pPr>
              <w:pStyle w:val="42"/>
              <w:spacing w:before="81" w:after="81"/>
              <w:textAlignment w:val="center"/>
              <w:rPr>
                <w:rFonts w:ascii="Times New Roman" w:hAnsi="Times New Roman"/>
                <w:szCs w:val="21"/>
                <w:highlight w:val="none"/>
              </w:rPr>
            </w:pPr>
          </w:p>
        </w:tc>
        <w:tc>
          <w:tcPr>
            <w:tcW w:w="450" w:type="pct"/>
            <w:noWrap w:val="0"/>
            <w:vAlign w:val="center"/>
          </w:tcPr>
          <w:p w14:paraId="31D42BE8">
            <w:pPr>
              <w:pStyle w:val="42"/>
              <w:spacing w:before="81" w:after="81"/>
              <w:textAlignment w:val="center"/>
              <w:rPr>
                <w:rFonts w:ascii="Times New Roman" w:hAnsi="Times New Roman"/>
                <w:szCs w:val="21"/>
                <w:highlight w:val="none"/>
              </w:rPr>
            </w:pPr>
            <w:r>
              <w:rPr>
                <w:rFonts w:ascii="Times New Roman" w:hAnsi="Times New Roman"/>
                <w:szCs w:val="21"/>
                <w:highlight w:val="none"/>
              </w:rPr>
              <w:t>类比法</w:t>
            </w:r>
          </w:p>
        </w:tc>
        <w:tc>
          <w:tcPr>
            <w:tcW w:w="522" w:type="pct"/>
            <w:noWrap w:val="0"/>
            <w:vAlign w:val="center"/>
          </w:tcPr>
          <w:p w14:paraId="0FC1931D">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w:t>
            </w:r>
          </w:p>
        </w:tc>
        <w:tc>
          <w:tcPr>
            <w:tcW w:w="426" w:type="pct"/>
            <w:noWrap w:val="0"/>
            <w:vAlign w:val="center"/>
          </w:tcPr>
          <w:p w14:paraId="3CD71561">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委托处理</w:t>
            </w:r>
          </w:p>
        </w:tc>
        <w:tc>
          <w:tcPr>
            <w:tcW w:w="600" w:type="pct"/>
            <w:noWrap w:val="0"/>
            <w:vAlign w:val="center"/>
          </w:tcPr>
          <w:p w14:paraId="0F73113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w:t>
            </w:r>
          </w:p>
        </w:tc>
        <w:tc>
          <w:tcPr>
            <w:tcW w:w="565" w:type="pct"/>
            <w:noWrap w:val="0"/>
            <w:vAlign w:val="center"/>
          </w:tcPr>
          <w:p w14:paraId="1D558B9D">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委托有资质单位处置</w:t>
            </w:r>
          </w:p>
        </w:tc>
      </w:tr>
      <w:tr w14:paraId="3BBD3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4DABF321">
            <w:pPr>
              <w:pStyle w:val="42"/>
              <w:spacing w:before="81" w:after="81"/>
              <w:textAlignment w:val="center"/>
              <w:rPr>
                <w:rFonts w:ascii="Times New Roman" w:hAnsi="Times New Roman"/>
                <w:szCs w:val="21"/>
                <w:highlight w:val="none"/>
              </w:rPr>
            </w:pPr>
          </w:p>
        </w:tc>
        <w:tc>
          <w:tcPr>
            <w:tcW w:w="461" w:type="pct"/>
            <w:noWrap w:val="0"/>
            <w:vAlign w:val="center"/>
          </w:tcPr>
          <w:p w14:paraId="3B2015CD">
            <w:pPr>
              <w:pStyle w:val="42"/>
              <w:spacing w:before="81" w:after="81"/>
              <w:textAlignment w:val="center"/>
              <w:rPr>
                <w:rFonts w:ascii="Times New Roman" w:hAnsi="Times New Roman"/>
                <w:szCs w:val="21"/>
                <w:highlight w:val="none"/>
              </w:rPr>
            </w:pPr>
            <w:r>
              <w:rPr>
                <w:rFonts w:ascii="Times New Roman" w:hAnsi="Times New Roman"/>
                <w:szCs w:val="21"/>
                <w:highlight w:val="none"/>
              </w:rPr>
              <w:t>食堂</w:t>
            </w:r>
          </w:p>
        </w:tc>
        <w:tc>
          <w:tcPr>
            <w:tcW w:w="396" w:type="pct"/>
            <w:noWrap w:val="0"/>
            <w:vAlign w:val="center"/>
          </w:tcPr>
          <w:p w14:paraId="5DD28FA8">
            <w:pPr>
              <w:pStyle w:val="42"/>
              <w:spacing w:before="81" w:after="81"/>
              <w:textAlignment w:val="center"/>
              <w:rPr>
                <w:rFonts w:ascii="Times New Roman" w:hAnsi="Times New Roman"/>
                <w:szCs w:val="21"/>
                <w:highlight w:val="none"/>
              </w:rPr>
            </w:pPr>
            <w:r>
              <w:rPr>
                <w:rFonts w:ascii="Times New Roman" w:hAnsi="Times New Roman"/>
                <w:szCs w:val="21"/>
                <w:highlight w:val="none"/>
              </w:rPr>
              <w:t>餐厨垃圾及废油脂</w:t>
            </w:r>
          </w:p>
        </w:tc>
        <w:tc>
          <w:tcPr>
            <w:tcW w:w="899" w:type="pct"/>
            <w:gridSpan w:val="2"/>
            <w:noWrap w:val="0"/>
            <w:vAlign w:val="center"/>
          </w:tcPr>
          <w:p w14:paraId="71006722">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299" w:type="pct"/>
            <w:noWrap w:val="0"/>
            <w:vAlign w:val="center"/>
          </w:tcPr>
          <w:p w14:paraId="3C408603">
            <w:pPr>
              <w:pStyle w:val="42"/>
              <w:spacing w:before="81" w:after="81"/>
              <w:textAlignment w:val="center"/>
              <w:rPr>
                <w:rFonts w:ascii="Times New Roman" w:hAnsi="Times New Roman"/>
                <w:szCs w:val="21"/>
                <w:highlight w:val="none"/>
              </w:rPr>
            </w:pPr>
            <w:r>
              <w:rPr>
                <w:rFonts w:ascii="Times New Roman" w:hAnsi="Times New Roman"/>
                <w:szCs w:val="21"/>
                <w:highlight w:val="none"/>
              </w:rPr>
              <w:t>一般固体废物</w:t>
            </w:r>
          </w:p>
        </w:tc>
        <w:tc>
          <w:tcPr>
            <w:tcW w:w="450" w:type="pct"/>
            <w:noWrap w:val="0"/>
            <w:vAlign w:val="center"/>
          </w:tcPr>
          <w:p w14:paraId="10A31C58">
            <w:pPr>
              <w:pStyle w:val="42"/>
              <w:spacing w:before="81" w:after="81"/>
              <w:textAlignment w:val="center"/>
              <w:rPr>
                <w:rFonts w:ascii="Times New Roman" w:hAnsi="Times New Roman"/>
                <w:szCs w:val="21"/>
                <w:highlight w:val="none"/>
              </w:rPr>
            </w:pPr>
            <w:r>
              <w:rPr>
                <w:rFonts w:ascii="Times New Roman" w:hAnsi="Times New Roman"/>
                <w:szCs w:val="21"/>
                <w:highlight w:val="none"/>
              </w:rPr>
              <w:t>系数法</w:t>
            </w:r>
          </w:p>
        </w:tc>
        <w:tc>
          <w:tcPr>
            <w:tcW w:w="522" w:type="pct"/>
            <w:noWrap w:val="0"/>
            <w:vAlign w:val="center"/>
          </w:tcPr>
          <w:p w14:paraId="45722795">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11.122</w:t>
            </w:r>
          </w:p>
        </w:tc>
        <w:tc>
          <w:tcPr>
            <w:tcW w:w="426" w:type="pct"/>
            <w:noWrap w:val="0"/>
            <w:vAlign w:val="center"/>
          </w:tcPr>
          <w:p w14:paraId="6FE0BCDD">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委托处理</w:t>
            </w:r>
          </w:p>
        </w:tc>
        <w:tc>
          <w:tcPr>
            <w:tcW w:w="600" w:type="pct"/>
            <w:noWrap w:val="0"/>
            <w:vAlign w:val="center"/>
          </w:tcPr>
          <w:p w14:paraId="4513860F">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11.122</w:t>
            </w:r>
          </w:p>
        </w:tc>
        <w:tc>
          <w:tcPr>
            <w:tcW w:w="565" w:type="pct"/>
            <w:noWrap w:val="0"/>
            <w:vAlign w:val="center"/>
          </w:tcPr>
          <w:p w14:paraId="02A9F387">
            <w:pPr>
              <w:pStyle w:val="42"/>
              <w:spacing w:before="81" w:after="81"/>
              <w:textAlignment w:val="center"/>
              <w:rPr>
                <w:rFonts w:ascii="Times New Roman" w:hAnsi="Times New Roman"/>
                <w:szCs w:val="21"/>
                <w:highlight w:val="none"/>
              </w:rPr>
            </w:pPr>
            <w:r>
              <w:rPr>
                <w:rFonts w:ascii="Times New Roman" w:hAnsi="Times New Roman"/>
                <w:szCs w:val="21"/>
                <w:highlight w:val="none"/>
              </w:rPr>
              <w:t>委托有资质单位处置</w:t>
            </w:r>
          </w:p>
        </w:tc>
      </w:tr>
      <w:tr w14:paraId="4DB74E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Merge w:val="continue"/>
            <w:noWrap w:val="0"/>
            <w:vAlign w:val="center"/>
          </w:tcPr>
          <w:p w14:paraId="4A6119E7">
            <w:pPr>
              <w:pStyle w:val="42"/>
              <w:spacing w:before="81" w:after="81"/>
              <w:textAlignment w:val="center"/>
              <w:rPr>
                <w:rFonts w:ascii="Times New Roman" w:hAnsi="Times New Roman"/>
                <w:szCs w:val="21"/>
                <w:highlight w:val="none"/>
              </w:rPr>
            </w:pPr>
          </w:p>
        </w:tc>
        <w:tc>
          <w:tcPr>
            <w:tcW w:w="461" w:type="pct"/>
            <w:noWrap w:val="0"/>
            <w:vAlign w:val="center"/>
          </w:tcPr>
          <w:p w14:paraId="2F095FDE">
            <w:pPr>
              <w:pStyle w:val="42"/>
              <w:spacing w:before="81" w:after="81"/>
              <w:textAlignment w:val="center"/>
              <w:rPr>
                <w:rFonts w:ascii="Times New Roman" w:hAnsi="Times New Roman"/>
                <w:szCs w:val="21"/>
                <w:highlight w:val="none"/>
              </w:rPr>
            </w:pPr>
            <w:r>
              <w:rPr>
                <w:rFonts w:ascii="Times New Roman" w:hAnsi="Times New Roman"/>
                <w:szCs w:val="21"/>
                <w:highlight w:val="none"/>
              </w:rPr>
              <w:t>办公室</w:t>
            </w:r>
          </w:p>
        </w:tc>
        <w:tc>
          <w:tcPr>
            <w:tcW w:w="396" w:type="pct"/>
            <w:noWrap w:val="0"/>
            <w:vAlign w:val="center"/>
          </w:tcPr>
          <w:p w14:paraId="45B00DC0">
            <w:pPr>
              <w:pStyle w:val="42"/>
              <w:spacing w:before="81" w:after="81"/>
              <w:textAlignment w:val="center"/>
              <w:rPr>
                <w:rFonts w:ascii="Times New Roman" w:hAnsi="Times New Roman"/>
                <w:szCs w:val="21"/>
                <w:highlight w:val="none"/>
              </w:rPr>
            </w:pPr>
            <w:r>
              <w:rPr>
                <w:rFonts w:ascii="Times New Roman" w:hAnsi="Times New Roman"/>
                <w:szCs w:val="21"/>
                <w:highlight w:val="none"/>
              </w:rPr>
              <w:t>生活垃圾</w:t>
            </w:r>
          </w:p>
        </w:tc>
        <w:tc>
          <w:tcPr>
            <w:tcW w:w="899" w:type="pct"/>
            <w:gridSpan w:val="2"/>
            <w:noWrap w:val="0"/>
            <w:vAlign w:val="center"/>
          </w:tcPr>
          <w:p w14:paraId="2FAE71F6">
            <w:pPr>
              <w:pStyle w:val="42"/>
              <w:spacing w:before="81" w:after="81"/>
              <w:textAlignment w:val="center"/>
              <w:rPr>
                <w:rFonts w:ascii="Times New Roman" w:hAnsi="Times New Roman"/>
                <w:szCs w:val="21"/>
                <w:highlight w:val="none"/>
              </w:rPr>
            </w:pPr>
            <w:r>
              <w:rPr>
                <w:rFonts w:ascii="Times New Roman" w:hAnsi="Times New Roman"/>
                <w:szCs w:val="21"/>
                <w:highlight w:val="none"/>
              </w:rPr>
              <w:t>/</w:t>
            </w:r>
          </w:p>
        </w:tc>
        <w:tc>
          <w:tcPr>
            <w:tcW w:w="299" w:type="pct"/>
            <w:noWrap w:val="0"/>
            <w:vAlign w:val="center"/>
          </w:tcPr>
          <w:p w14:paraId="72D4E4EC">
            <w:pPr>
              <w:pStyle w:val="42"/>
              <w:spacing w:before="81" w:after="81"/>
              <w:textAlignment w:val="center"/>
              <w:rPr>
                <w:rFonts w:ascii="Times New Roman" w:hAnsi="Times New Roman"/>
                <w:szCs w:val="21"/>
                <w:highlight w:val="none"/>
              </w:rPr>
            </w:pPr>
            <w:r>
              <w:rPr>
                <w:rFonts w:ascii="Times New Roman" w:hAnsi="Times New Roman"/>
                <w:szCs w:val="21"/>
                <w:highlight w:val="none"/>
              </w:rPr>
              <w:t>一般固体废物</w:t>
            </w:r>
          </w:p>
        </w:tc>
        <w:tc>
          <w:tcPr>
            <w:tcW w:w="450" w:type="pct"/>
            <w:noWrap w:val="0"/>
            <w:vAlign w:val="center"/>
          </w:tcPr>
          <w:p w14:paraId="1134E4B4">
            <w:pPr>
              <w:pStyle w:val="42"/>
              <w:spacing w:before="81" w:after="81"/>
              <w:textAlignment w:val="center"/>
              <w:rPr>
                <w:rFonts w:ascii="Times New Roman" w:hAnsi="Times New Roman"/>
                <w:szCs w:val="21"/>
                <w:highlight w:val="none"/>
              </w:rPr>
            </w:pPr>
            <w:r>
              <w:rPr>
                <w:rFonts w:ascii="Times New Roman" w:hAnsi="Times New Roman"/>
                <w:szCs w:val="21"/>
                <w:highlight w:val="none"/>
              </w:rPr>
              <w:t>系数法</w:t>
            </w:r>
          </w:p>
        </w:tc>
        <w:tc>
          <w:tcPr>
            <w:tcW w:w="522" w:type="pct"/>
            <w:noWrap w:val="0"/>
            <w:vAlign w:val="center"/>
          </w:tcPr>
          <w:p w14:paraId="0BD688CB">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18.38</w:t>
            </w:r>
          </w:p>
        </w:tc>
        <w:tc>
          <w:tcPr>
            <w:tcW w:w="426" w:type="pct"/>
            <w:noWrap w:val="0"/>
            <w:vAlign w:val="center"/>
          </w:tcPr>
          <w:p w14:paraId="32F7151F">
            <w:pPr>
              <w:pStyle w:val="42"/>
              <w:spacing w:before="81" w:after="81"/>
              <w:textAlignment w:val="center"/>
              <w:rPr>
                <w:rFonts w:ascii="Times New Roman" w:hAnsi="Times New Roman"/>
                <w:szCs w:val="21"/>
                <w:highlight w:val="none"/>
              </w:rPr>
            </w:pPr>
            <w:r>
              <w:rPr>
                <w:rFonts w:ascii="Times New Roman" w:hAnsi="Times New Roman"/>
                <w:szCs w:val="21"/>
                <w:highlight w:val="none"/>
              </w:rPr>
              <w:t>日产日清</w:t>
            </w:r>
          </w:p>
        </w:tc>
        <w:tc>
          <w:tcPr>
            <w:tcW w:w="600" w:type="pct"/>
            <w:noWrap w:val="0"/>
            <w:vAlign w:val="center"/>
          </w:tcPr>
          <w:p w14:paraId="06492193">
            <w:pPr>
              <w:pStyle w:val="42"/>
              <w:spacing w:before="81" w:after="81"/>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18.38</w:t>
            </w:r>
          </w:p>
        </w:tc>
        <w:tc>
          <w:tcPr>
            <w:tcW w:w="565" w:type="pct"/>
            <w:noWrap w:val="0"/>
            <w:vAlign w:val="center"/>
          </w:tcPr>
          <w:p w14:paraId="2873EF24">
            <w:pPr>
              <w:pStyle w:val="42"/>
              <w:spacing w:before="81" w:after="81"/>
              <w:textAlignment w:val="center"/>
              <w:rPr>
                <w:rFonts w:ascii="Times New Roman" w:hAnsi="Times New Roman"/>
                <w:szCs w:val="21"/>
                <w:highlight w:val="none"/>
              </w:rPr>
            </w:pPr>
            <w:r>
              <w:rPr>
                <w:rFonts w:ascii="Times New Roman" w:hAnsi="Times New Roman"/>
                <w:szCs w:val="21"/>
                <w:highlight w:val="none"/>
              </w:rPr>
              <w:t>由市政环卫部门统一处理</w:t>
            </w:r>
          </w:p>
        </w:tc>
      </w:tr>
    </w:tbl>
    <w:p w14:paraId="10A28AF3">
      <w:pPr>
        <w:pStyle w:val="23"/>
        <w:rPr>
          <w:rFonts w:hint="default"/>
          <w:highlight w:val="none"/>
          <w:lang w:val="en-US" w:eastAsia="zh-CN"/>
        </w:rPr>
        <w:sectPr>
          <w:pgSz w:w="16838" w:h="11906" w:orient="landscape"/>
          <w:pgMar w:top="1383"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1022FFF">
      <w:pPr>
        <w:pStyle w:val="5"/>
        <w:bidi w:val="0"/>
        <w:ind w:left="0" w:leftChars="0" w:firstLine="0" w:firstLineChars="0"/>
        <w:rPr>
          <w:rFonts w:hint="eastAsia"/>
          <w:highlight w:val="none"/>
        </w:rPr>
      </w:pPr>
      <w:bookmarkStart w:id="91" w:name="_Toc6633"/>
      <w:r>
        <w:rPr>
          <w:rFonts w:hint="eastAsia" w:ascii="Times New Roman" w:hAnsi="Times New Roman" w:cs="Times New Roman"/>
          <w:highlight w:val="none"/>
          <w:lang w:val="en-US" w:eastAsia="zh-CN"/>
        </w:rPr>
        <w:t>3.3.6</w:t>
      </w:r>
      <w:r>
        <w:rPr>
          <w:rFonts w:hint="eastAsia"/>
          <w:highlight w:val="none"/>
        </w:rPr>
        <w:t>燃料及灰渣运输环节移动源</w:t>
      </w:r>
      <w:bookmarkEnd w:id="91"/>
    </w:p>
    <w:p w14:paraId="1E260688">
      <w:pPr>
        <w:ind w:firstLine="480"/>
        <w:rPr>
          <w:highlight w:val="none"/>
        </w:rPr>
      </w:pPr>
      <w:r>
        <w:rPr>
          <w:rFonts w:hint="eastAsia"/>
          <w:highlight w:val="none"/>
        </w:rPr>
        <w:t>（1）本项目燃煤及灰渣运输路线</w:t>
      </w:r>
    </w:p>
    <w:p w14:paraId="57586EA8">
      <w:pPr>
        <w:ind w:firstLine="480"/>
        <w:rPr>
          <w:rFonts w:hint="default" w:eastAsia="宋体"/>
          <w:highlight w:val="none"/>
          <w:lang w:val="en-US" w:eastAsia="zh-CN"/>
        </w:rPr>
      </w:pPr>
      <w:r>
        <w:rPr>
          <w:rFonts w:hint="eastAsia"/>
          <w:highlight w:val="none"/>
        </w:rPr>
        <w:t>本项目燃煤及灰渣采用公路运输方式，从煤炭供应地出发通过汽车运至本项目厂区内储煤场内。灰渣从本项目厂址通过汽车运至</w:t>
      </w:r>
      <w:r>
        <w:rPr>
          <w:rFonts w:hint="eastAsia"/>
          <w:highlight w:val="none"/>
          <w:lang w:val="en-US" w:eastAsia="zh-CN"/>
        </w:rPr>
        <w:t>采矿区回填。</w:t>
      </w:r>
    </w:p>
    <w:p w14:paraId="3A10DEDF">
      <w:pPr>
        <w:ind w:firstLine="480"/>
        <w:rPr>
          <w:highlight w:val="none"/>
        </w:rPr>
      </w:pPr>
      <w:r>
        <w:rPr>
          <w:rFonts w:hint="eastAsia"/>
          <w:highlight w:val="none"/>
        </w:rPr>
        <w:t>（2）燃煤及灰渣运输过程扬尘环境影响分析</w:t>
      </w:r>
    </w:p>
    <w:p w14:paraId="56019719">
      <w:pPr>
        <w:ind w:firstLine="480"/>
        <w:rPr>
          <w:highlight w:val="none"/>
        </w:rPr>
      </w:pPr>
      <w:r>
        <w:rPr>
          <w:rFonts w:hint="eastAsia"/>
          <w:highlight w:val="none"/>
        </w:rPr>
        <w:t>本项目燃煤运输车辆采用苫布遮盖；炉渣经渣仓由卸干渣设备装车外运至综合利用单位；干灰采用气力输送至灰仓，采用封闭罐车运输至综合利用单位。车辆行驶过程中由于轮胎与路面接触会产生路面风蚀扬尘，由于运输道路全部为是水泥路面，运输车辆行驶过程中产生的扬尘量较少，因此运输车辆行驶过程中产生的路面扬尘对环境影响较小。</w:t>
      </w:r>
    </w:p>
    <w:p w14:paraId="7728A722">
      <w:pPr>
        <w:ind w:firstLine="480"/>
        <w:rPr>
          <w:highlight w:val="none"/>
        </w:rPr>
      </w:pPr>
      <w:r>
        <w:rPr>
          <w:rFonts w:hint="eastAsia"/>
          <w:highlight w:val="none"/>
        </w:rPr>
        <w:t>（3）燃煤及灰渣运输过程中声环境影响分析</w:t>
      </w:r>
    </w:p>
    <w:p w14:paraId="7EDCA6EC">
      <w:pPr>
        <w:ind w:firstLine="480"/>
        <w:rPr>
          <w:highlight w:val="none"/>
        </w:rPr>
      </w:pPr>
      <w:r>
        <w:rPr>
          <w:rFonts w:hint="eastAsia"/>
          <w:highlight w:val="none"/>
        </w:rPr>
        <w:t>交通噪声对环境的影响，采用《公路建设项目环境影响评价规范》（JTG B03-2006）中推荐的公路交通噪声预测模式，其模式如下：</w:t>
      </w:r>
    </w:p>
    <w:p w14:paraId="7DFA3F97">
      <w:pPr>
        <w:ind w:firstLine="0" w:firstLineChars="0"/>
        <w:jc w:val="center"/>
        <w:rPr>
          <w:highlight w:val="none"/>
        </w:rPr>
      </w:pPr>
      <w:r>
        <w:rPr>
          <w:rFonts w:cs="Times New Roman"/>
          <w:highlight w:val="none"/>
        </w:rPr>
        <w:object>
          <v:shape id="_x0000_i1026" o:spt="75" type="#_x0000_t75" style="height:55.85pt;width:432.6pt;" o:ole="t" filled="f" o:preferrelative="t" stroked="f" coordsize="21600,21600">
            <v:path/>
            <v:fill on="f" focussize="0,0"/>
            <v:stroke on="f" joinstyle="miter"/>
            <v:imagedata r:id="rId32" o:title=""/>
            <o:lock v:ext="edit" aspectratio="t"/>
            <w10:wrap type="none"/>
            <w10:anchorlock/>
          </v:shape>
          <o:OLEObject Type="Embed" ProgID="Equation.3" ShapeID="_x0000_i1026" DrawAspect="Content" ObjectID="_1468075726" r:id="rId31">
            <o:LockedField>false</o:LockedField>
          </o:OLEObject>
        </w:object>
      </w:r>
      <w:r>
        <w:rPr>
          <w:rFonts w:hint="eastAsia"/>
          <w:highlight w:val="none"/>
        </w:rPr>
        <w:t>式中：(L</w:t>
      </w:r>
      <w:r>
        <w:rPr>
          <w:rFonts w:hint="eastAsia"/>
          <w:highlight w:val="none"/>
          <w:vertAlign w:val="subscript"/>
        </w:rPr>
        <w:t>Aeq</w:t>
      </w:r>
      <w:r>
        <w:rPr>
          <w:rFonts w:hint="eastAsia"/>
          <w:highlight w:val="none"/>
        </w:rPr>
        <w:t>)</w:t>
      </w:r>
      <w:r>
        <w:rPr>
          <w:rFonts w:hint="eastAsia"/>
          <w:highlight w:val="none"/>
          <w:vertAlign w:val="subscript"/>
        </w:rPr>
        <w:t>i</w:t>
      </w:r>
      <w:r>
        <w:rPr>
          <w:rFonts w:hint="eastAsia"/>
          <w:highlight w:val="none"/>
        </w:rPr>
        <w:t>——i型车辆行驶于昼间或夜间，预测点接收到小时交通噪声值，dB（A）；</w:t>
      </w:r>
    </w:p>
    <w:p w14:paraId="507DE628">
      <w:pPr>
        <w:ind w:firstLine="480"/>
        <w:rPr>
          <w:highlight w:val="none"/>
        </w:rPr>
      </w:pPr>
      <w:r>
        <w:rPr>
          <w:rFonts w:hint="eastAsia"/>
          <w:highlight w:val="none"/>
        </w:rPr>
        <w:t>L</w:t>
      </w:r>
      <w:r>
        <w:rPr>
          <w:rFonts w:hint="eastAsia"/>
          <w:highlight w:val="none"/>
          <w:vertAlign w:val="subscript"/>
        </w:rPr>
        <w:t>w,i</w:t>
      </w:r>
      <w:r>
        <w:rPr>
          <w:rFonts w:hint="eastAsia"/>
          <w:highlight w:val="none"/>
        </w:rPr>
        <w:t>——第i型车辆的平均辐射声级，相当于7.5m处的A声级，dB（A）；</w:t>
      </w:r>
    </w:p>
    <w:p w14:paraId="0700547D">
      <w:pPr>
        <w:ind w:firstLine="480"/>
        <w:rPr>
          <w:highlight w:val="none"/>
        </w:rPr>
      </w:pPr>
      <w:r>
        <w:rPr>
          <w:rFonts w:hint="eastAsia"/>
          <w:highlight w:val="none"/>
        </w:rPr>
        <w:t>N</w:t>
      </w:r>
      <w:r>
        <w:rPr>
          <w:rFonts w:hint="eastAsia"/>
          <w:highlight w:val="none"/>
          <w:vertAlign w:val="subscript"/>
        </w:rPr>
        <w:t>i</w:t>
      </w:r>
      <w:r>
        <w:rPr>
          <w:rFonts w:hint="eastAsia"/>
          <w:highlight w:val="none"/>
        </w:rPr>
        <w:t>——第i型车辆的昼间或夜间的平均小时交通量，辆/h；</w:t>
      </w:r>
    </w:p>
    <w:p w14:paraId="49B6DA28">
      <w:pPr>
        <w:ind w:firstLine="480"/>
        <w:rPr>
          <w:highlight w:val="none"/>
        </w:rPr>
      </w:pPr>
      <w:r>
        <w:rPr>
          <w:rFonts w:hint="eastAsia"/>
          <w:highlight w:val="none"/>
        </w:rPr>
        <w:t>v</w:t>
      </w:r>
      <w:r>
        <w:rPr>
          <w:rFonts w:hint="eastAsia"/>
          <w:highlight w:val="none"/>
          <w:vertAlign w:val="subscript"/>
        </w:rPr>
        <w:t>i</w:t>
      </w:r>
      <w:r>
        <w:rPr>
          <w:rFonts w:hint="eastAsia"/>
          <w:highlight w:val="none"/>
        </w:rPr>
        <w:t>——i型车辆的平均行驶速度，km/h；</w:t>
      </w:r>
    </w:p>
    <w:p w14:paraId="02ECC1DB">
      <w:pPr>
        <w:ind w:firstLine="480"/>
        <w:rPr>
          <w:highlight w:val="none"/>
        </w:rPr>
      </w:pPr>
      <w:r>
        <w:rPr>
          <w:rFonts w:hint="eastAsia"/>
          <w:highlight w:val="none"/>
        </w:rPr>
        <w:t>T——LAeq的预测时间，在此取1h；</w:t>
      </w:r>
    </w:p>
    <w:p w14:paraId="5AEC8CA4">
      <w:pPr>
        <w:ind w:firstLine="480"/>
        <w:rPr>
          <w:highlight w:val="none"/>
        </w:rPr>
      </w:pPr>
      <w:r>
        <w:rPr>
          <w:rFonts w:hint="eastAsia"/>
          <w:highlight w:val="none"/>
        </w:rPr>
        <w:t>ΔL距离——第i型车辆行驶噪声，昼间或夜间在距噪声等效行车线距离为r的预测点处的距离衰减量，dB（A）；</w:t>
      </w:r>
    </w:p>
    <w:p w14:paraId="2B2F77AB">
      <w:pPr>
        <w:ind w:firstLine="480"/>
        <w:rPr>
          <w:highlight w:val="none"/>
        </w:rPr>
      </w:pPr>
      <w:r>
        <w:rPr>
          <w:rFonts w:hint="eastAsia"/>
          <w:highlight w:val="none"/>
        </w:rPr>
        <w:t>ΔL纵坡——公路纵坡引起的交通噪声修正量，dB（A）；</w:t>
      </w:r>
    </w:p>
    <w:p w14:paraId="28B57C4F">
      <w:pPr>
        <w:ind w:firstLine="480"/>
        <w:rPr>
          <w:highlight w:val="none"/>
        </w:rPr>
      </w:pPr>
      <w:r>
        <w:rPr>
          <w:rFonts w:hint="eastAsia"/>
          <w:highlight w:val="none"/>
        </w:rPr>
        <w:t>ΔL路面——公路路面引起的交通噪声修正量，dB（A）。</w:t>
      </w:r>
    </w:p>
    <w:p w14:paraId="01EA8B29">
      <w:pPr>
        <w:ind w:firstLine="480"/>
        <w:rPr>
          <w:highlight w:val="none"/>
        </w:rPr>
      </w:pPr>
      <w:r>
        <w:rPr>
          <w:rFonts w:hint="eastAsia"/>
          <w:highlight w:val="none"/>
        </w:rPr>
        <w:t>本项目运输车辆引发的公路交通噪声对公路两侧的噪声贡献值见表</w:t>
      </w:r>
      <w:r>
        <w:rPr>
          <w:rFonts w:hint="eastAsia"/>
          <w:highlight w:val="none"/>
          <w:lang w:val="en-US" w:eastAsia="zh-CN"/>
        </w:rPr>
        <w:t>3.3-7</w:t>
      </w:r>
      <w:r>
        <w:rPr>
          <w:rFonts w:hint="eastAsia"/>
          <w:highlight w:val="none"/>
        </w:rPr>
        <w:t>。</w:t>
      </w:r>
    </w:p>
    <w:p w14:paraId="2DE073A3">
      <w:pPr>
        <w:ind w:firstLine="0" w:firstLineChars="0"/>
        <w:jc w:val="center"/>
        <w:rPr>
          <w:highlight w:val="none"/>
        </w:rPr>
      </w:pPr>
    </w:p>
    <w:p w14:paraId="4E89E05A">
      <w:pPr>
        <w:ind w:firstLine="0" w:firstLineChars="0"/>
        <w:jc w:val="center"/>
        <w:rPr>
          <w:highlight w:val="none"/>
        </w:rPr>
      </w:pPr>
      <w:r>
        <w:rPr>
          <w:rFonts w:hint="eastAsia" w:ascii="黑体" w:hAnsi="黑体" w:eastAsia="黑体" w:cs="黑体"/>
          <w:b w:val="0"/>
          <w:bCs w:val="0"/>
          <w:highlight w:val="none"/>
        </w:rPr>
        <w:t>表</w:t>
      </w:r>
      <w:r>
        <w:rPr>
          <w:rFonts w:hint="eastAsia" w:ascii="黑体" w:hAnsi="黑体" w:eastAsia="黑体" w:cs="黑体"/>
          <w:b w:val="0"/>
          <w:bCs w:val="0"/>
          <w:highlight w:val="none"/>
          <w:lang w:val="en-US" w:eastAsia="zh-CN"/>
        </w:rPr>
        <w:t>3.3-7</w:t>
      </w:r>
      <w:r>
        <w:rPr>
          <w:rFonts w:hint="eastAsia" w:ascii="黑体" w:hAnsi="黑体" w:eastAsia="黑体" w:cs="黑体"/>
          <w:b w:val="0"/>
          <w:bCs w:val="0"/>
          <w:highlight w:val="none"/>
        </w:rPr>
        <w:t>本项目公路运输交通噪声贡献值（单位：dB(A)）</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775"/>
        <w:gridCol w:w="775"/>
        <w:gridCol w:w="775"/>
        <w:gridCol w:w="775"/>
        <w:gridCol w:w="784"/>
        <w:gridCol w:w="776"/>
        <w:gridCol w:w="776"/>
        <w:gridCol w:w="776"/>
        <w:gridCol w:w="776"/>
        <w:gridCol w:w="776"/>
        <w:gridCol w:w="758"/>
      </w:tblGrid>
      <w:tr w14:paraId="46662B8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Align w:val="center"/>
          </w:tcPr>
          <w:p w14:paraId="3A620D9F">
            <w:pPr>
              <w:spacing w:line="240" w:lineRule="auto"/>
              <w:ind w:firstLine="0" w:firstLineChars="0"/>
              <w:jc w:val="center"/>
              <w:rPr>
                <w:rFonts w:cs="Times New Roman"/>
                <w:sz w:val="21"/>
                <w:szCs w:val="21"/>
                <w:highlight w:val="none"/>
              </w:rPr>
            </w:pPr>
            <w:r>
              <w:rPr>
                <w:rFonts w:cs="Times New Roman"/>
                <w:sz w:val="21"/>
                <w:szCs w:val="21"/>
                <w:highlight w:val="none"/>
              </w:rPr>
              <w:t>路段</w:t>
            </w:r>
          </w:p>
        </w:tc>
        <w:tc>
          <w:tcPr>
            <w:tcW w:w="4545" w:type="pct"/>
            <w:gridSpan w:val="10"/>
            <w:vAlign w:val="center"/>
          </w:tcPr>
          <w:p w14:paraId="21D8D8C7">
            <w:pPr>
              <w:spacing w:line="240" w:lineRule="auto"/>
              <w:ind w:firstLine="0" w:firstLineChars="0"/>
              <w:jc w:val="center"/>
              <w:rPr>
                <w:rFonts w:cs="Times New Roman"/>
                <w:sz w:val="21"/>
                <w:szCs w:val="21"/>
                <w:highlight w:val="none"/>
              </w:rPr>
            </w:pPr>
            <w:r>
              <w:rPr>
                <w:rFonts w:cs="Times New Roman"/>
                <w:sz w:val="21"/>
                <w:szCs w:val="21"/>
                <w:highlight w:val="none"/>
              </w:rPr>
              <w:t>公路中线两侧不同距离处交通噪声贡献值LAeq，dB（A）</w:t>
            </w:r>
          </w:p>
        </w:tc>
      </w:tr>
      <w:tr w14:paraId="03F50CF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restart"/>
            <w:vAlign w:val="center"/>
          </w:tcPr>
          <w:p w14:paraId="2B4B113A">
            <w:pPr>
              <w:spacing w:line="240" w:lineRule="auto"/>
              <w:ind w:firstLine="0" w:firstLineChars="0"/>
              <w:jc w:val="center"/>
              <w:rPr>
                <w:rFonts w:cs="Times New Roman"/>
                <w:sz w:val="21"/>
                <w:szCs w:val="21"/>
                <w:highlight w:val="none"/>
              </w:rPr>
            </w:pPr>
            <w:r>
              <w:rPr>
                <w:rFonts w:cs="Times New Roman"/>
                <w:sz w:val="21"/>
                <w:szCs w:val="21"/>
                <w:highlight w:val="none"/>
              </w:rPr>
              <w:t>全</w:t>
            </w:r>
          </w:p>
          <w:p w14:paraId="6A44ABFD">
            <w:pPr>
              <w:spacing w:line="240" w:lineRule="auto"/>
              <w:ind w:firstLine="0" w:firstLineChars="0"/>
              <w:jc w:val="center"/>
              <w:rPr>
                <w:rFonts w:cs="Times New Roman"/>
                <w:sz w:val="21"/>
                <w:szCs w:val="21"/>
                <w:highlight w:val="none"/>
              </w:rPr>
            </w:pPr>
            <w:r>
              <w:rPr>
                <w:rFonts w:cs="Times New Roman"/>
                <w:sz w:val="21"/>
                <w:szCs w:val="21"/>
                <w:highlight w:val="none"/>
              </w:rPr>
              <w:t>路</w:t>
            </w:r>
          </w:p>
          <w:p w14:paraId="4ACBE524">
            <w:pPr>
              <w:spacing w:line="240" w:lineRule="auto"/>
              <w:ind w:firstLine="0" w:firstLineChars="0"/>
              <w:jc w:val="center"/>
              <w:rPr>
                <w:rFonts w:cs="Times New Roman"/>
                <w:sz w:val="21"/>
                <w:szCs w:val="21"/>
                <w:highlight w:val="none"/>
              </w:rPr>
            </w:pPr>
            <w:r>
              <w:rPr>
                <w:rFonts w:cs="Times New Roman"/>
                <w:sz w:val="21"/>
                <w:szCs w:val="21"/>
                <w:highlight w:val="none"/>
              </w:rPr>
              <w:t>段</w:t>
            </w:r>
          </w:p>
        </w:tc>
        <w:tc>
          <w:tcPr>
            <w:tcW w:w="1824" w:type="pct"/>
            <w:gridSpan w:val="4"/>
            <w:vAlign w:val="center"/>
          </w:tcPr>
          <w:p w14:paraId="1B7FE6CC">
            <w:pPr>
              <w:spacing w:line="240" w:lineRule="auto"/>
              <w:ind w:firstLine="0" w:firstLineChars="0"/>
              <w:jc w:val="center"/>
              <w:rPr>
                <w:rFonts w:cs="Times New Roman"/>
                <w:sz w:val="21"/>
                <w:szCs w:val="21"/>
                <w:highlight w:val="none"/>
              </w:rPr>
            </w:pPr>
            <w:r>
              <w:rPr>
                <w:rFonts w:cs="Times New Roman"/>
                <w:sz w:val="21"/>
                <w:szCs w:val="21"/>
                <w:highlight w:val="none"/>
              </w:rPr>
              <w:t>4a类声环境功能区</w:t>
            </w:r>
          </w:p>
        </w:tc>
        <w:tc>
          <w:tcPr>
            <w:tcW w:w="2721" w:type="pct"/>
            <w:gridSpan w:val="6"/>
            <w:vAlign w:val="center"/>
          </w:tcPr>
          <w:p w14:paraId="35719A03">
            <w:pPr>
              <w:spacing w:line="240" w:lineRule="auto"/>
              <w:ind w:firstLine="0" w:firstLineChars="0"/>
              <w:jc w:val="center"/>
              <w:rPr>
                <w:rFonts w:cs="Times New Roman"/>
                <w:sz w:val="21"/>
                <w:szCs w:val="21"/>
                <w:highlight w:val="none"/>
              </w:rPr>
            </w:pPr>
            <w:r>
              <w:rPr>
                <w:rFonts w:cs="Times New Roman"/>
                <w:sz w:val="21"/>
                <w:szCs w:val="21"/>
                <w:highlight w:val="none"/>
              </w:rPr>
              <w:t>2类声环境功能区</w:t>
            </w:r>
          </w:p>
        </w:tc>
      </w:tr>
      <w:tr w14:paraId="7C4068F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continue"/>
            <w:vAlign w:val="center"/>
          </w:tcPr>
          <w:p w14:paraId="69DBAC46">
            <w:pPr>
              <w:spacing w:line="240" w:lineRule="auto"/>
              <w:ind w:firstLine="0" w:firstLineChars="0"/>
              <w:jc w:val="center"/>
              <w:rPr>
                <w:rFonts w:cs="Times New Roman"/>
                <w:sz w:val="21"/>
                <w:szCs w:val="21"/>
                <w:highlight w:val="none"/>
              </w:rPr>
            </w:pPr>
          </w:p>
        </w:tc>
        <w:tc>
          <w:tcPr>
            <w:tcW w:w="455" w:type="pct"/>
            <w:vAlign w:val="center"/>
          </w:tcPr>
          <w:p w14:paraId="2D36AE26">
            <w:pPr>
              <w:spacing w:line="240" w:lineRule="auto"/>
              <w:ind w:firstLine="0" w:firstLineChars="0"/>
              <w:jc w:val="center"/>
              <w:rPr>
                <w:rFonts w:cs="Times New Roman"/>
                <w:sz w:val="21"/>
                <w:szCs w:val="21"/>
                <w:highlight w:val="none"/>
              </w:rPr>
            </w:pPr>
            <w:r>
              <w:rPr>
                <w:rFonts w:cs="Times New Roman"/>
                <w:sz w:val="21"/>
                <w:szCs w:val="21"/>
                <w:highlight w:val="none"/>
              </w:rPr>
              <w:t>10m</w:t>
            </w:r>
          </w:p>
        </w:tc>
        <w:tc>
          <w:tcPr>
            <w:tcW w:w="455" w:type="pct"/>
            <w:vAlign w:val="center"/>
          </w:tcPr>
          <w:p w14:paraId="0E3C0C17">
            <w:pPr>
              <w:spacing w:line="240" w:lineRule="auto"/>
              <w:ind w:firstLine="0" w:firstLineChars="0"/>
              <w:jc w:val="center"/>
              <w:rPr>
                <w:rFonts w:cs="Times New Roman"/>
                <w:sz w:val="21"/>
                <w:szCs w:val="21"/>
                <w:highlight w:val="none"/>
              </w:rPr>
            </w:pPr>
            <w:r>
              <w:rPr>
                <w:rFonts w:cs="Times New Roman"/>
                <w:sz w:val="21"/>
                <w:szCs w:val="21"/>
                <w:highlight w:val="none"/>
              </w:rPr>
              <w:t>20m</w:t>
            </w:r>
          </w:p>
        </w:tc>
        <w:tc>
          <w:tcPr>
            <w:tcW w:w="455" w:type="pct"/>
            <w:vAlign w:val="center"/>
          </w:tcPr>
          <w:p w14:paraId="4D2321E9">
            <w:pPr>
              <w:spacing w:line="240" w:lineRule="auto"/>
              <w:ind w:firstLine="0" w:firstLineChars="0"/>
              <w:jc w:val="center"/>
              <w:rPr>
                <w:rFonts w:cs="Times New Roman"/>
                <w:sz w:val="21"/>
                <w:szCs w:val="21"/>
                <w:highlight w:val="none"/>
              </w:rPr>
            </w:pPr>
            <w:r>
              <w:rPr>
                <w:rFonts w:cs="Times New Roman"/>
                <w:sz w:val="21"/>
                <w:szCs w:val="21"/>
                <w:highlight w:val="none"/>
              </w:rPr>
              <w:t>30 m</w:t>
            </w:r>
          </w:p>
        </w:tc>
        <w:tc>
          <w:tcPr>
            <w:tcW w:w="460" w:type="pct"/>
            <w:vAlign w:val="center"/>
          </w:tcPr>
          <w:p w14:paraId="52B8E31E">
            <w:pPr>
              <w:spacing w:line="240" w:lineRule="auto"/>
              <w:ind w:firstLine="0" w:firstLineChars="0"/>
              <w:jc w:val="center"/>
              <w:rPr>
                <w:rFonts w:cs="Times New Roman"/>
                <w:sz w:val="21"/>
                <w:szCs w:val="21"/>
                <w:highlight w:val="none"/>
              </w:rPr>
            </w:pPr>
            <w:r>
              <w:rPr>
                <w:rFonts w:cs="Times New Roman"/>
                <w:sz w:val="21"/>
                <w:szCs w:val="21"/>
                <w:highlight w:val="none"/>
              </w:rPr>
              <w:t>40 m</w:t>
            </w:r>
          </w:p>
        </w:tc>
        <w:tc>
          <w:tcPr>
            <w:tcW w:w="455" w:type="pct"/>
            <w:vAlign w:val="center"/>
          </w:tcPr>
          <w:p w14:paraId="09E4B16A">
            <w:pPr>
              <w:spacing w:line="240" w:lineRule="auto"/>
              <w:ind w:firstLine="0" w:firstLineChars="0"/>
              <w:jc w:val="center"/>
              <w:rPr>
                <w:rFonts w:cs="Times New Roman"/>
                <w:sz w:val="21"/>
                <w:szCs w:val="21"/>
                <w:highlight w:val="none"/>
              </w:rPr>
            </w:pPr>
            <w:r>
              <w:rPr>
                <w:rFonts w:cs="Times New Roman"/>
                <w:sz w:val="21"/>
                <w:szCs w:val="21"/>
                <w:highlight w:val="none"/>
              </w:rPr>
              <w:t>50 m</w:t>
            </w:r>
          </w:p>
        </w:tc>
        <w:tc>
          <w:tcPr>
            <w:tcW w:w="455" w:type="pct"/>
            <w:vAlign w:val="center"/>
          </w:tcPr>
          <w:p w14:paraId="0BA944B8">
            <w:pPr>
              <w:spacing w:line="240" w:lineRule="auto"/>
              <w:ind w:firstLine="0" w:firstLineChars="0"/>
              <w:jc w:val="center"/>
              <w:rPr>
                <w:rFonts w:cs="Times New Roman"/>
                <w:sz w:val="21"/>
                <w:szCs w:val="21"/>
                <w:highlight w:val="none"/>
              </w:rPr>
            </w:pPr>
            <w:r>
              <w:rPr>
                <w:rFonts w:cs="Times New Roman"/>
                <w:sz w:val="21"/>
                <w:szCs w:val="21"/>
                <w:highlight w:val="none"/>
              </w:rPr>
              <w:t>60 m</w:t>
            </w:r>
          </w:p>
        </w:tc>
        <w:tc>
          <w:tcPr>
            <w:tcW w:w="455" w:type="pct"/>
            <w:vAlign w:val="center"/>
          </w:tcPr>
          <w:p w14:paraId="10AC426D">
            <w:pPr>
              <w:spacing w:line="240" w:lineRule="auto"/>
              <w:ind w:firstLine="0" w:firstLineChars="0"/>
              <w:jc w:val="center"/>
              <w:rPr>
                <w:rFonts w:cs="Times New Roman"/>
                <w:sz w:val="21"/>
                <w:szCs w:val="21"/>
                <w:highlight w:val="none"/>
              </w:rPr>
            </w:pPr>
            <w:r>
              <w:rPr>
                <w:rFonts w:cs="Times New Roman"/>
                <w:sz w:val="21"/>
                <w:szCs w:val="21"/>
                <w:highlight w:val="none"/>
              </w:rPr>
              <w:t>70 m</w:t>
            </w:r>
          </w:p>
        </w:tc>
        <w:tc>
          <w:tcPr>
            <w:tcW w:w="455" w:type="pct"/>
            <w:vAlign w:val="center"/>
          </w:tcPr>
          <w:p w14:paraId="74BE25ED">
            <w:pPr>
              <w:spacing w:line="240" w:lineRule="auto"/>
              <w:ind w:firstLine="0" w:firstLineChars="0"/>
              <w:jc w:val="center"/>
              <w:rPr>
                <w:rFonts w:cs="Times New Roman"/>
                <w:sz w:val="21"/>
                <w:szCs w:val="21"/>
                <w:highlight w:val="none"/>
              </w:rPr>
            </w:pPr>
            <w:r>
              <w:rPr>
                <w:rFonts w:cs="Times New Roman"/>
                <w:sz w:val="21"/>
                <w:szCs w:val="21"/>
                <w:highlight w:val="none"/>
              </w:rPr>
              <w:t>80 m</w:t>
            </w:r>
          </w:p>
        </w:tc>
        <w:tc>
          <w:tcPr>
            <w:tcW w:w="455" w:type="pct"/>
            <w:vAlign w:val="center"/>
          </w:tcPr>
          <w:p w14:paraId="565E8EBE">
            <w:pPr>
              <w:spacing w:line="240" w:lineRule="auto"/>
              <w:ind w:firstLine="0" w:firstLineChars="0"/>
              <w:jc w:val="center"/>
              <w:rPr>
                <w:rFonts w:cs="Times New Roman"/>
                <w:sz w:val="21"/>
                <w:szCs w:val="21"/>
                <w:highlight w:val="none"/>
              </w:rPr>
            </w:pPr>
            <w:r>
              <w:rPr>
                <w:rFonts w:cs="Times New Roman"/>
                <w:sz w:val="21"/>
                <w:szCs w:val="21"/>
                <w:highlight w:val="none"/>
              </w:rPr>
              <w:t>90 m</w:t>
            </w:r>
          </w:p>
        </w:tc>
        <w:tc>
          <w:tcPr>
            <w:tcW w:w="445" w:type="pct"/>
            <w:vAlign w:val="center"/>
          </w:tcPr>
          <w:p w14:paraId="7F850780">
            <w:pPr>
              <w:spacing w:line="240" w:lineRule="auto"/>
              <w:ind w:firstLine="0" w:firstLineChars="0"/>
              <w:jc w:val="center"/>
              <w:rPr>
                <w:rFonts w:cs="Times New Roman"/>
                <w:sz w:val="21"/>
                <w:szCs w:val="21"/>
                <w:highlight w:val="none"/>
              </w:rPr>
            </w:pPr>
            <w:r>
              <w:rPr>
                <w:rFonts w:cs="Times New Roman"/>
                <w:sz w:val="21"/>
                <w:szCs w:val="21"/>
                <w:highlight w:val="none"/>
              </w:rPr>
              <w:t>100 m</w:t>
            </w:r>
          </w:p>
        </w:tc>
      </w:tr>
      <w:tr w14:paraId="5D02D0B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continue"/>
            <w:vAlign w:val="center"/>
          </w:tcPr>
          <w:p w14:paraId="598A0F8B">
            <w:pPr>
              <w:spacing w:line="240" w:lineRule="auto"/>
              <w:ind w:firstLine="0" w:firstLineChars="0"/>
              <w:jc w:val="center"/>
              <w:rPr>
                <w:rFonts w:cs="Times New Roman"/>
                <w:sz w:val="21"/>
                <w:szCs w:val="21"/>
                <w:highlight w:val="none"/>
              </w:rPr>
            </w:pPr>
          </w:p>
        </w:tc>
        <w:tc>
          <w:tcPr>
            <w:tcW w:w="455" w:type="pct"/>
            <w:vAlign w:val="center"/>
          </w:tcPr>
          <w:p w14:paraId="1730DE85">
            <w:pPr>
              <w:spacing w:line="240" w:lineRule="auto"/>
              <w:ind w:firstLine="0" w:firstLineChars="0"/>
              <w:jc w:val="center"/>
              <w:rPr>
                <w:rFonts w:cs="Times New Roman"/>
                <w:sz w:val="21"/>
                <w:szCs w:val="21"/>
                <w:highlight w:val="none"/>
              </w:rPr>
            </w:pPr>
            <w:r>
              <w:rPr>
                <w:rFonts w:cs="Times New Roman"/>
                <w:sz w:val="21"/>
                <w:szCs w:val="21"/>
                <w:highlight w:val="none"/>
              </w:rPr>
              <w:t>54.9</w:t>
            </w:r>
          </w:p>
        </w:tc>
        <w:tc>
          <w:tcPr>
            <w:tcW w:w="455" w:type="pct"/>
            <w:vAlign w:val="center"/>
          </w:tcPr>
          <w:p w14:paraId="6C18085E">
            <w:pPr>
              <w:spacing w:line="240" w:lineRule="auto"/>
              <w:ind w:firstLine="0" w:firstLineChars="0"/>
              <w:jc w:val="center"/>
              <w:rPr>
                <w:rFonts w:cs="Times New Roman"/>
                <w:sz w:val="21"/>
                <w:szCs w:val="21"/>
                <w:highlight w:val="none"/>
              </w:rPr>
            </w:pPr>
            <w:r>
              <w:rPr>
                <w:rFonts w:cs="Times New Roman"/>
                <w:sz w:val="21"/>
                <w:szCs w:val="21"/>
                <w:highlight w:val="none"/>
              </w:rPr>
              <w:t>51.9</w:t>
            </w:r>
          </w:p>
        </w:tc>
        <w:tc>
          <w:tcPr>
            <w:tcW w:w="455" w:type="pct"/>
            <w:vAlign w:val="center"/>
          </w:tcPr>
          <w:p w14:paraId="5B7F4149">
            <w:pPr>
              <w:spacing w:line="240" w:lineRule="auto"/>
              <w:ind w:firstLine="0" w:firstLineChars="0"/>
              <w:jc w:val="center"/>
              <w:rPr>
                <w:rFonts w:cs="Times New Roman"/>
                <w:sz w:val="21"/>
                <w:szCs w:val="21"/>
                <w:highlight w:val="none"/>
              </w:rPr>
            </w:pPr>
            <w:r>
              <w:rPr>
                <w:rFonts w:cs="Times New Roman"/>
                <w:sz w:val="21"/>
                <w:szCs w:val="21"/>
                <w:highlight w:val="none"/>
              </w:rPr>
              <w:t>50.1</w:t>
            </w:r>
          </w:p>
        </w:tc>
        <w:tc>
          <w:tcPr>
            <w:tcW w:w="460" w:type="pct"/>
            <w:vAlign w:val="center"/>
          </w:tcPr>
          <w:p w14:paraId="6B143C4C">
            <w:pPr>
              <w:spacing w:line="240" w:lineRule="auto"/>
              <w:ind w:firstLine="0" w:firstLineChars="0"/>
              <w:jc w:val="center"/>
              <w:rPr>
                <w:rFonts w:cs="Times New Roman"/>
                <w:sz w:val="21"/>
                <w:szCs w:val="21"/>
                <w:highlight w:val="none"/>
              </w:rPr>
            </w:pPr>
            <w:r>
              <w:rPr>
                <w:rFonts w:cs="Times New Roman"/>
                <w:sz w:val="21"/>
                <w:szCs w:val="21"/>
                <w:highlight w:val="none"/>
              </w:rPr>
              <w:t>48.8</w:t>
            </w:r>
          </w:p>
        </w:tc>
        <w:tc>
          <w:tcPr>
            <w:tcW w:w="455" w:type="pct"/>
            <w:vAlign w:val="center"/>
          </w:tcPr>
          <w:p w14:paraId="5F418AF8">
            <w:pPr>
              <w:spacing w:line="240" w:lineRule="auto"/>
              <w:ind w:firstLine="0" w:firstLineChars="0"/>
              <w:jc w:val="center"/>
              <w:rPr>
                <w:rFonts w:cs="Times New Roman"/>
                <w:sz w:val="21"/>
                <w:szCs w:val="21"/>
                <w:highlight w:val="none"/>
              </w:rPr>
            </w:pPr>
            <w:r>
              <w:rPr>
                <w:rFonts w:cs="Times New Roman"/>
                <w:sz w:val="21"/>
                <w:szCs w:val="21"/>
                <w:highlight w:val="none"/>
              </w:rPr>
              <w:t>47.8</w:t>
            </w:r>
          </w:p>
        </w:tc>
        <w:tc>
          <w:tcPr>
            <w:tcW w:w="455" w:type="pct"/>
            <w:vAlign w:val="center"/>
          </w:tcPr>
          <w:p w14:paraId="45873E1E">
            <w:pPr>
              <w:spacing w:line="240" w:lineRule="auto"/>
              <w:ind w:firstLine="0" w:firstLineChars="0"/>
              <w:jc w:val="center"/>
              <w:rPr>
                <w:rFonts w:cs="Times New Roman"/>
                <w:sz w:val="21"/>
                <w:szCs w:val="21"/>
                <w:highlight w:val="none"/>
              </w:rPr>
            </w:pPr>
            <w:r>
              <w:rPr>
                <w:rFonts w:cs="Times New Roman"/>
                <w:sz w:val="21"/>
                <w:szCs w:val="21"/>
                <w:highlight w:val="none"/>
              </w:rPr>
              <w:t>47</w:t>
            </w:r>
          </w:p>
        </w:tc>
        <w:tc>
          <w:tcPr>
            <w:tcW w:w="455" w:type="pct"/>
            <w:vAlign w:val="center"/>
          </w:tcPr>
          <w:p w14:paraId="69468A02">
            <w:pPr>
              <w:spacing w:line="240" w:lineRule="auto"/>
              <w:ind w:firstLine="0" w:firstLineChars="0"/>
              <w:jc w:val="center"/>
              <w:rPr>
                <w:rFonts w:cs="Times New Roman"/>
                <w:sz w:val="21"/>
                <w:szCs w:val="21"/>
                <w:highlight w:val="none"/>
              </w:rPr>
            </w:pPr>
            <w:r>
              <w:rPr>
                <w:rFonts w:cs="Times New Roman"/>
                <w:sz w:val="21"/>
                <w:szCs w:val="21"/>
                <w:highlight w:val="none"/>
              </w:rPr>
              <w:t>46.3</w:t>
            </w:r>
          </w:p>
        </w:tc>
        <w:tc>
          <w:tcPr>
            <w:tcW w:w="455" w:type="pct"/>
            <w:vAlign w:val="center"/>
          </w:tcPr>
          <w:p w14:paraId="074F60E6">
            <w:pPr>
              <w:spacing w:line="240" w:lineRule="auto"/>
              <w:ind w:firstLine="0" w:firstLineChars="0"/>
              <w:jc w:val="center"/>
              <w:rPr>
                <w:rFonts w:cs="Times New Roman"/>
                <w:sz w:val="21"/>
                <w:szCs w:val="21"/>
                <w:highlight w:val="none"/>
              </w:rPr>
            </w:pPr>
            <w:r>
              <w:rPr>
                <w:rFonts w:cs="Times New Roman"/>
                <w:sz w:val="21"/>
                <w:szCs w:val="21"/>
                <w:highlight w:val="none"/>
              </w:rPr>
              <w:t>45.7</w:t>
            </w:r>
          </w:p>
        </w:tc>
        <w:tc>
          <w:tcPr>
            <w:tcW w:w="455" w:type="pct"/>
            <w:vAlign w:val="center"/>
          </w:tcPr>
          <w:p w14:paraId="6491B2C4">
            <w:pPr>
              <w:spacing w:line="240" w:lineRule="auto"/>
              <w:ind w:firstLine="0" w:firstLineChars="0"/>
              <w:jc w:val="center"/>
              <w:rPr>
                <w:rFonts w:cs="Times New Roman"/>
                <w:sz w:val="21"/>
                <w:szCs w:val="21"/>
                <w:highlight w:val="none"/>
              </w:rPr>
            </w:pPr>
            <w:r>
              <w:rPr>
                <w:rFonts w:cs="Times New Roman"/>
                <w:sz w:val="21"/>
                <w:szCs w:val="21"/>
                <w:highlight w:val="none"/>
              </w:rPr>
              <w:t>45.1</w:t>
            </w:r>
          </w:p>
        </w:tc>
        <w:tc>
          <w:tcPr>
            <w:tcW w:w="445" w:type="pct"/>
            <w:vAlign w:val="center"/>
          </w:tcPr>
          <w:p w14:paraId="684EB683">
            <w:pPr>
              <w:spacing w:line="240" w:lineRule="auto"/>
              <w:ind w:firstLine="0" w:firstLineChars="0"/>
              <w:jc w:val="center"/>
              <w:rPr>
                <w:rFonts w:cs="Times New Roman"/>
                <w:sz w:val="21"/>
                <w:szCs w:val="21"/>
                <w:highlight w:val="none"/>
              </w:rPr>
            </w:pPr>
            <w:r>
              <w:rPr>
                <w:rFonts w:cs="Times New Roman"/>
                <w:sz w:val="21"/>
                <w:szCs w:val="21"/>
                <w:highlight w:val="none"/>
              </w:rPr>
              <w:t>44.6</w:t>
            </w:r>
          </w:p>
        </w:tc>
      </w:tr>
    </w:tbl>
    <w:p w14:paraId="5F5B6AB2">
      <w:pPr>
        <w:rPr>
          <w:rFonts w:hint="default"/>
          <w:highlight w:val="none"/>
          <w:lang w:val="en-US" w:eastAsia="zh-CN"/>
        </w:rPr>
      </w:pPr>
      <w:r>
        <w:rPr>
          <w:rFonts w:hint="eastAsia"/>
          <w:highlight w:val="none"/>
        </w:rPr>
        <w:t>由表</w:t>
      </w:r>
      <w:r>
        <w:rPr>
          <w:rFonts w:hint="eastAsia"/>
          <w:highlight w:val="none"/>
          <w:lang w:val="en-US" w:eastAsia="zh-CN"/>
        </w:rPr>
        <w:t>3.3-7</w:t>
      </w:r>
      <w:r>
        <w:rPr>
          <w:rFonts w:hint="eastAsia"/>
          <w:highlight w:val="none"/>
        </w:rPr>
        <w:t>可以看出，本项目运输车辆对市区道路两侧的交通噪声贡献值符合《声环境质量标准》（GB3096-2008）昼间4a类70dB（A）和2类60dB（A）标准限值。本项目夜间不安排运输，当白天运输车经过居民区时，运输车辆应采取限制车速、禁鸣等措施，可有效降低运输车辆噪声对道路两侧居民的影响。运输噪声影响相对较小，可以接受。</w:t>
      </w:r>
    </w:p>
    <w:p w14:paraId="608F2997">
      <w:pPr>
        <w:pStyle w:val="5"/>
        <w:bidi w:val="0"/>
        <w:ind w:left="0" w:leftChars="0" w:firstLine="0" w:firstLineChars="0"/>
        <w:rPr>
          <w:rFonts w:hint="eastAsia"/>
          <w:highlight w:val="none"/>
          <w:lang w:val="en-US" w:eastAsia="zh-CN"/>
        </w:rPr>
      </w:pPr>
      <w:bookmarkStart w:id="92" w:name="_Toc5505"/>
      <w:r>
        <w:rPr>
          <w:rFonts w:hint="default" w:ascii="Times New Roman" w:hAnsi="Times New Roman" w:cs="Times New Roman"/>
          <w:highlight w:val="none"/>
          <w:lang w:val="en-US" w:eastAsia="zh-CN"/>
        </w:rPr>
        <w:t>3.3.6</w:t>
      </w:r>
      <w:r>
        <w:rPr>
          <w:rFonts w:hint="eastAsia"/>
          <w:highlight w:val="none"/>
          <w:lang w:val="en-US" w:eastAsia="zh-CN"/>
        </w:rPr>
        <w:t>运营期风险识别</w:t>
      </w:r>
      <w:bookmarkEnd w:id="92"/>
    </w:p>
    <w:p w14:paraId="083D6281">
      <w:pPr>
        <w:ind w:firstLine="480"/>
        <w:rPr>
          <w:highlight w:val="none"/>
        </w:rPr>
      </w:pPr>
      <w:r>
        <w:rPr>
          <w:rFonts w:hint="eastAsia"/>
          <w:highlight w:val="none"/>
        </w:rPr>
        <w:t>物质危险性识别，包括主要原辅材料、燃料、中间产品、副产品、最终产品、污染物、火灾和爆炸伴生/次生物等。</w:t>
      </w:r>
    </w:p>
    <w:p w14:paraId="04262D0E">
      <w:pPr>
        <w:ind w:firstLine="480"/>
        <w:rPr>
          <w:highlight w:val="none"/>
        </w:rPr>
      </w:pPr>
      <w:r>
        <w:rPr>
          <w:rFonts w:hint="eastAsia"/>
          <w:highlight w:val="none"/>
        </w:rPr>
        <w:t>根据《建设项目环境风险评价技术导则》</w:t>
      </w:r>
      <w:r>
        <w:rPr>
          <w:rFonts w:hint="eastAsia"/>
          <w:highlight w:val="none"/>
          <w:lang w:eastAsia="zh-CN"/>
        </w:rPr>
        <w:t>（</w:t>
      </w:r>
      <w:r>
        <w:rPr>
          <w:rFonts w:hint="eastAsia"/>
          <w:highlight w:val="none"/>
        </w:rPr>
        <w:t>HJ169-2018</w:t>
      </w:r>
      <w:r>
        <w:rPr>
          <w:rFonts w:hint="eastAsia"/>
          <w:highlight w:val="none"/>
          <w:lang w:eastAsia="zh-CN"/>
        </w:rPr>
        <w:t>）</w:t>
      </w:r>
      <w:r>
        <w:rPr>
          <w:rFonts w:hint="eastAsia"/>
          <w:highlight w:val="none"/>
        </w:rPr>
        <w:t>附录B中突发环境风险事件风险物质及临界量</w:t>
      </w:r>
      <w:r>
        <w:rPr>
          <w:rFonts w:hint="eastAsia"/>
          <w:highlight w:val="none"/>
          <w:lang w:eastAsia="zh-CN"/>
        </w:rPr>
        <w:t>（</w:t>
      </w:r>
      <w:r>
        <w:rPr>
          <w:rFonts w:hint="eastAsia"/>
          <w:highlight w:val="none"/>
        </w:rPr>
        <w:t>表B.1</w:t>
      </w:r>
      <w:r>
        <w:rPr>
          <w:rFonts w:hint="eastAsia"/>
          <w:highlight w:val="none"/>
          <w:lang w:eastAsia="zh-CN"/>
        </w:rPr>
        <w:t>）</w:t>
      </w:r>
      <w:r>
        <w:rPr>
          <w:rFonts w:hint="eastAsia"/>
          <w:highlight w:val="none"/>
        </w:rPr>
        <w:t>和其他危险物质临界量推荐值</w:t>
      </w:r>
      <w:r>
        <w:rPr>
          <w:rFonts w:hint="eastAsia"/>
          <w:highlight w:val="none"/>
          <w:lang w:eastAsia="zh-CN"/>
        </w:rPr>
        <w:t>（</w:t>
      </w:r>
      <w:r>
        <w:rPr>
          <w:rFonts w:hint="eastAsia"/>
          <w:highlight w:val="none"/>
        </w:rPr>
        <w:t>表B.2</w:t>
      </w:r>
      <w:r>
        <w:rPr>
          <w:rFonts w:hint="eastAsia"/>
          <w:highlight w:val="none"/>
          <w:lang w:eastAsia="zh-CN"/>
        </w:rPr>
        <w:t>）</w:t>
      </w:r>
      <w:r>
        <w:rPr>
          <w:rFonts w:hint="eastAsia"/>
          <w:highlight w:val="none"/>
        </w:rPr>
        <w:t>，本项目危险物质理化性质及危险特性见表3</w:t>
      </w:r>
      <w:r>
        <w:rPr>
          <w:rFonts w:hint="eastAsia"/>
          <w:highlight w:val="none"/>
          <w:lang w:val="en-US" w:eastAsia="zh-CN"/>
        </w:rPr>
        <w:t>.3-8</w:t>
      </w:r>
      <w:r>
        <w:rPr>
          <w:rFonts w:hint="eastAsia"/>
          <w:highlight w:val="none"/>
        </w:rPr>
        <w:t>。危险性识别结果见表3</w:t>
      </w:r>
      <w:r>
        <w:rPr>
          <w:rFonts w:hint="eastAsia"/>
          <w:highlight w:val="none"/>
          <w:lang w:val="en-US" w:eastAsia="zh-CN"/>
        </w:rPr>
        <w:t>.3</w:t>
      </w:r>
      <w:r>
        <w:rPr>
          <w:rFonts w:hint="eastAsia"/>
          <w:highlight w:val="none"/>
        </w:rPr>
        <w:t>-</w:t>
      </w:r>
      <w:r>
        <w:rPr>
          <w:rFonts w:hint="eastAsia"/>
          <w:highlight w:val="none"/>
          <w:lang w:val="en-US" w:eastAsia="zh-CN"/>
        </w:rPr>
        <w:t>9</w:t>
      </w:r>
      <w:r>
        <w:rPr>
          <w:rFonts w:hint="eastAsia"/>
          <w:highlight w:val="none"/>
        </w:rPr>
        <w:t>。</w:t>
      </w:r>
    </w:p>
    <w:p w14:paraId="70659AC9">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rPr>
        <w:t>3</w:t>
      </w:r>
      <w:r>
        <w:rPr>
          <w:rFonts w:hint="eastAsia" w:ascii="Times New Roman" w:hAnsi="Times New Roman"/>
          <w:highlight w:val="none"/>
          <w:lang w:val="en-US" w:eastAsia="zh-CN"/>
        </w:rPr>
        <w:t>.3-8</w:t>
      </w:r>
      <w:r>
        <w:rPr>
          <w:rFonts w:hint="eastAsia" w:ascii="黑体" w:hAnsi="黑体" w:eastAsia="黑体" w:cs="黑体"/>
          <w:highlight w:val="none"/>
        </w:rPr>
        <w:t>柴油的理化特性及危险特性表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594"/>
        <w:gridCol w:w="1577"/>
        <w:gridCol w:w="1318"/>
        <w:gridCol w:w="373"/>
        <w:gridCol w:w="201"/>
        <w:gridCol w:w="651"/>
        <w:gridCol w:w="610"/>
        <w:gridCol w:w="320"/>
        <w:gridCol w:w="472"/>
        <w:gridCol w:w="803"/>
        <w:gridCol w:w="193"/>
        <w:gridCol w:w="1410"/>
      </w:tblGrid>
      <w:tr w14:paraId="3688C5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restart"/>
            <w:vAlign w:val="center"/>
          </w:tcPr>
          <w:p w14:paraId="20EB6A86">
            <w:pPr>
              <w:spacing w:line="240" w:lineRule="auto"/>
              <w:ind w:firstLine="0" w:firstLineChars="0"/>
              <w:jc w:val="center"/>
              <w:rPr>
                <w:sz w:val="21"/>
                <w:szCs w:val="21"/>
                <w:highlight w:val="none"/>
              </w:rPr>
            </w:pPr>
            <w:r>
              <w:rPr>
                <w:sz w:val="21"/>
                <w:szCs w:val="21"/>
                <w:highlight w:val="none"/>
              </w:rPr>
              <w:t>标识</w:t>
            </w:r>
          </w:p>
        </w:tc>
        <w:tc>
          <w:tcPr>
            <w:tcW w:w="925" w:type="pct"/>
            <w:vAlign w:val="center"/>
          </w:tcPr>
          <w:p w14:paraId="29674076">
            <w:pPr>
              <w:spacing w:line="240" w:lineRule="auto"/>
              <w:ind w:firstLine="0" w:firstLineChars="0"/>
              <w:jc w:val="center"/>
              <w:rPr>
                <w:sz w:val="21"/>
                <w:szCs w:val="21"/>
                <w:highlight w:val="none"/>
              </w:rPr>
            </w:pPr>
            <w:r>
              <w:rPr>
                <w:sz w:val="21"/>
                <w:szCs w:val="21"/>
                <w:highlight w:val="none"/>
              </w:rPr>
              <w:t>中文名</w:t>
            </w:r>
          </w:p>
        </w:tc>
        <w:tc>
          <w:tcPr>
            <w:tcW w:w="1850" w:type="pct"/>
            <w:gridSpan w:val="5"/>
            <w:vAlign w:val="center"/>
          </w:tcPr>
          <w:p w14:paraId="04479A48">
            <w:pPr>
              <w:spacing w:line="240" w:lineRule="auto"/>
              <w:ind w:firstLine="0" w:firstLineChars="0"/>
              <w:jc w:val="center"/>
              <w:rPr>
                <w:sz w:val="21"/>
                <w:szCs w:val="21"/>
                <w:highlight w:val="none"/>
              </w:rPr>
            </w:pPr>
            <w:r>
              <w:rPr>
                <w:sz w:val="21"/>
                <w:szCs w:val="21"/>
                <w:highlight w:val="none"/>
              </w:rPr>
              <w:t>柴油</w:t>
            </w:r>
          </w:p>
        </w:tc>
        <w:tc>
          <w:tcPr>
            <w:tcW w:w="936" w:type="pct"/>
            <w:gridSpan w:val="3"/>
            <w:vAlign w:val="center"/>
          </w:tcPr>
          <w:p w14:paraId="439A71D0">
            <w:pPr>
              <w:spacing w:line="240" w:lineRule="auto"/>
              <w:ind w:firstLine="0" w:firstLineChars="0"/>
              <w:jc w:val="center"/>
              <w:rPr>
                <w:sz w:val="21"/>
                <w:szCs w:val="21"/>
                <w:highlight w:val="none"/>
              </w:rPr>
            </w:pPr>
            <w:r>
              <w:rPr>
                <w:sz w:val="21"/>
                <w:szCs w:val="21"/>
                <w:highlight w:val="none"/>
              </w:rPr>
              <w:t>危险货物编号</w:t>
            </w:r>
          </w:p>
        </w:tc>
        <w:tc>
          <w:tcPr>
            <w:tcW w:w="939" w:type="pct"/>
            <w:gridSpan w:val="2"/>
            <w:vAlign w:val="center"/>
          </w:tcPr>
          <w:p w14:paraId="71F4CCDD">
            <w:pPr>
              <w:spacing w:line="240" w:lineRule="auto"/>
              <w:ind w:firstLine="0" w:firstLineChars="0"/>
              <w:jc w:val="center"/>
              <w:rPr>
                <w:sz w:val="21"/>
                <w:szCs w:val="21"/>
                <w:highlight w:val="none"/>
              </w:rPr>
            </w:pPr>
            <w:r>
              <w:rPr>
                <w:sz w:val="21"/>
                <w:szCs w:val="21"/>
                <w:highlight w:val="none"/>
              </w:rPr>
              <w:t>/</w:t>
            </w:r>
          </w:p>
        </w:tc>
      </w:tr>
      <w:tr w14:paraId="7B2B66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07FF5268">
            <w:pPr>
              <w:spacing w:line="240" w:lineRule="auto"/>
              <w:ind w:firstLine="0" w:firstLineChars="0"/>
              <w:jc w:val="center"/>
              <w:rPr>
                <w:sz w:val="21"/>
                <w:szCs w:val="21"/>
                <w:highlight w:val="none"/>
              </w:rPr>
            </w:pPr>
          </w:p>
        </w:tc>
        <w:tc>
          <w:tcPr>
            <w:tcW w:w="925" w:type="pct"/>
            <w:vAlign w:val="center"/>
          </w:tcPr>
          <w:p w14:paraId="3165075D">
            <w:pPr>
              <w:spacing w:line="240" w:lineRule="auto"/>
              <w:ind w:firstLine="0" w:firstLineChars="0"/>
              <w:jc w:val="center"/>
              <w:rPr>
                <w:sz w:val="21"/>
                <w:szCs w:val="21"/>
                <w:highlight w:val="none"/>
              </w:rPr>
            </w:pPr>
            <w:r>
              <w:rPr>
                <w:sz w:val="21"/>
                <w:szCs w:val="21"/>
                <w:highlight w:val="none"/>
              </w:rPr>
              <w:t>英文名</w:t>
            </w:r>
          </w:p>
        </w:tc>
        <w:tc>
          <w:tcPr>
            <w:tcW w:w="1850" w:type="pct"/>
            <w:gridSpan w:val="5"/>
            <w:vAlign w:val="center"/>
          </w:tcPr>
          <w:p w14:paraId="37D80E71">
            <w:pPr>
              <w:spacing w:line="240" w:lineRule="auto"/>
              <w:ind w:firstLine="0" w:firstLineChars="0"/>
              <w:jc w:val="center"/>
              <w:rPr>
                <w:sz w:val="21"/>
                <w:szCs w:val="21"/>
                <w:highlight w:val="none"/>
              </w:rPr>
            </w:pPr>
            <w:r>
              <w:rPr>
                <w:sz w:val="21"/>
                <w:szCs w:val="21"/>
                <w:highlight w:val="none"/>
              </w:rPr>
              <w:t>diesel oil</w:t>
            </w:r>
          </w:p>
        </w:tc>
        <w:tc>
          <w:tcPr>
            <w:tcW w:w="936" w:type="pct"/>
            <w:gridSpan w:val="3"/>
            <w:vAlign w:val="center"/>
          </w:tcPr>
          <w:p w14:paraId="31F704C9">
            <w:pPr>
              <w:spacing w:line="240" w:lineRule="auto"/>
              <w:ind w:firstLine="0" w:firstLineChars="0"/>
              <w:jc w:val="center"/>
              <w:rPr>
                <w:sz w:val="21"/>
                <w:szCs w:val="21"/>
                <w:highlight w:val="none"/>
              </w:rPr>
            </w:pPr>
            <w:r>
              <w:rPr>
                <w:sz w:val="21"/>
                <w:szCs w:val="21"/>
                <w:highlight w:val="none"/>
              </w:rPr>
              <w:t>UN编号</w:t>
            </w:r>
          </w:p>
        </w:tc>
        <w:tc>
          <w:tcPr>
            <w:tcW w:w="939" w:type="pct"/>
            <w:gridSpan w:val="2"/>
            <w:vAlign w:val="center"/>
          </w:tcPr>
          <w:p w14:paraId="492CE405">
            <w:pPr>
              <w:spacing w:line="240" w:lineRule="auto"/>
              <w:ind w:firstLine="0" w:firstLineChars="0"/>
              <w:jc w:val="center"/>
              <w:rPr>
                <w:sz w:val="21"/>
                <w:szCs w:val="21"/>
                <w:highlight w:val="none"/>
              </w:rPr>
            </w:pPr>
            <w:r>
              <w:rPr>
                <w:sz w:val="21"/>
                <w:szCs w:val="21"/>
                <w:highlight w:val="none"/>
              </w:rPr>
              <w:t>/</w:t>
            </w:r>
          </w:p>
        </w:tc>
      </w:tr>
      <w:tr w14:paraId="6729E8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restart"/>
            <w:vAlign w:val="center"/>
          </w:tcPr>
          <w:p w14:paraId="26622AD7">
            <w:pPr>
              <w:spacing w:line="240" w:lineRule="auto"/>
              <w:ind w:firstLine="0" w:firstLineChars="0"/>
              <w:jc w:val="center"/>
              <w:rPr>
                <w:sz w:val="21"/>
                <w:szCs w:val="21"/>
                <w:highlight w:val="none"/>
              </w:rPr>
            </w:pPr>
            <w:r>
              <w:rPr>
                <w:sz w:val="21"/>
                <w:szCs w:val="21"/>
                <w:highlight w:val="none"/>
              </w:rPr>
              <w:t>理化性质</w:t>
            </w:r>
          </w:p>
        </w:tc>
        <w:tc>
          <w:tcPr>
            <w:tcW w:w="925" w:type="pct"/>
            <w:vAlign w:val="center"/>
          </w:tcPr>
          <w:p w14:paraId="047EEEE8">
            <w:pPr>
              <w:spacing w:line="240" w:lineRule="auto"/>
              <w:ind w:firstLine="0" w:firstLineChars="0"/>
              <w:jc w:val="center"/>
              <w:rPr>
                <w:sz w:val="21"/>
                <w:szCs w:val="21"/>
                <w:highlight w:val="none"/>
              </w:rPr>
            </w:pPr>
            <w:r>
              <w:rPr>
                <w:sz w:val="21"/>
                <w:szCs w:val="21"/>
                <w:highlight w:val="none"/>
              </w:rPr>
              <w:t>外观与性状</w:t>
            </w:r>
          </w:p>
        </w:tc>
        <w:tc>
          <w:tcPr>
            <w:tcW w:w="3726" w:type="pct"/>
            <w:gridSpan w:val="10"/>
            <w:vAlign w:val="center"/>
          </w:tcPr>
          <w:p w14:paraId="1A73ED29">
            <w:pPr>
              <w:spacing w:line="240" w:lineRule="auto"/>
              <w:ind w:firstLine="0" w:firstLineChars="0"/>
              <w:jc w:val="center"/>
              <w:rPr>
                <w:sz w:val="21"/>
                <w:szCs w:val="21"/>
                <w:highlight w:val="none"/>
              </w:rPr>
            </w:pPr>
            <w:r>
              <w:rPr>
                <w:sz w:val="21"/>
                <w:szCs w:val="21"/>
                <w:highlight w:val="none"/>
              </w:rPr>
              <w:t>稍有粘性的棕色液体。</w:t>
            </w:r>
          </w:p>
        </w:tc>
      </w:tr>
      <w:tr w14:paraId="112655C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6EE0BB73">
            <w:pPr>
              <w:spacing w:line="240" w:lineRule="auto"/>
              <w:ind w:firstLine="0" w:firstLineChars="0"/>
              <w:jc w:val="center"/>
              <w:rPr>
                <w:sz w:val="21"/>
                <w:szCs w:val="21"/>
                <w:highlight w:val="none"/>
              </w:rPr>
            </w:pPr>
          </w:p>
        </w:tc>
        <w:tc>
          <w:tcPr>
            <w:tcW w:w="925" w:type="pct"/>
            <w:vAlign w:val="center"/>
          </w:tcPr>
          <w:p w14:paraId="294D28DC">
            <w:pPr>
              <w:spacing w:line="240" w:lineRule="auto"/>
              <w:ind w:firstLine="0" w:firstLineChars="0"/>
              <w:jc w:val="center"/>
              <w:rPr>
                <w:sz w:val="21"/>
                <w:szCs w:val="21"/>
                <w:highlight w:val="none"/>
              </w:rPr>
            </w:pPr>
            <w:r>
              <w:rPr>
                <w:sz w:val="21"/>
                <w:szCs w:val="21"/>
                <w:highlight w:val="none"/>
              </w:rPr>
              <w:t>熔点（℃）</w:t>
            </w:r>
          </w:p>
        </w:tc>
        <w:tc>
          <w:tcPr>
            <w:tcW w:w="1110" w:type="pct"/>
            <w:gridSpan w:val="3"/>
            <w:vAlign w:val="center"/>
          </w:tcPr>
          <w:p w14:paraId="698BF738">
            <w:pPr>
              <w:spacing w:line="240" w:lineRule="auto"/>
              <w:ind w:firstLine="0" w:firstLineChars="0"/>
              <w:jc w:val="center"/>
              <w:rPr>
                <w:sz w:val="21"/>
                <w:szCs w:val="21"/>
                <w:highlight w:val="none"/>
              </w:rPr>
            </w:pPr>
            <w:r>
              <w:rPr>
                <w:sz w:val="21"/>
                <w:szCs w:val="21"/>
                <w:highlight w:val="none"/>
              </w:rPr>
              <w:t>＜29.56</w:t>
            </w:r>
          </w:p>
        </w:tc>
        <w:tc>
          <w:tcPr>
            <w:tcW w:w="1205" w:type="pct"/>
            <w:gridSpan w:val="4"/>
            <w:vAlign w:val="center"/>
          </w:tcPr>
          <w:p w14:paraId="32BCB63B">
            <w:pPr>
              <w:spacing w:line="240" w:lineRule="auto"/>
              <w:ind w:firstLine="0" w:firstLineChars="0"/>
              <w:jc w:val="center"/>
              <w:rPr>
                <w:sz w:val="21"/>
                <w:szCs w:val="21"/>
                <w:highlight w:val="none"/>
              </w:rPr>
            </w:pPr>
            <w:r>
              <w:rPr>
                <w:sz w:val="21"/>
                <w:szCs w:val="21"/>
                <w:highlight w:val="none"/>
              </w:rPr>
              <w:t>相对密度(水=1)</w:t>
            </w:r>
          </w:p>
        </w:tc>
        <w:tc>
          <w:tcPr>
            <w:tcW w:w="1411" w:type="pct"/>
            <w:gridSpan w:val="3"/>
            <w:vAlign w:val="center"/>
          </w:tcPr>
          <w:p w14:paraId="611434F3">
            <w:pPr>
              <w:spacing w:line="240" w:lineRule="auto"/>
              <w:ind w:firstLine="0" w:firstLineChars="0"/>
              <w:jc w:val="center"/>
              <w:rPr>
                <w:sz w:val="21"/>
                <w:szCs w:val="21"/>
                <w:highlight w:val="none"/>
              </w:rPr>
            </w:pPr>
            <w:r>
              <w:rPr>
                <w:sz w:val="21"/>
                <w:szCs w:val="21"/>
                <w:highlight w:val="none"/>
              </w:rPr>
              <w:t>0.85</w:t>
            </w:r>
          </w:p>
        </w:tc>
      </w:tr>
      <w:tr w14:paraId="267A82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4C99BCCC">
            <w:pPr>
              <w:spacing w:line="240" w:lineRule="auto"/>
              <w:ind w:firstLine="0" w:firstLineChars="0"/>
              <w:jc w:val="center"/>
              <w:rPr>
                <w:sz w:val="21"/>
                <w:szCs w:val="21"/>
                <w:highlight w:val="none"/>
              </w:rPr>
            </w:pPr>
          </w:p>
        </w:tc>
        <w:tc>
          <w:tcPr>
            <w:tcW w:w="925" w:type="pct"/>
            <w:vAlign w:val="center"/>
          </w:tcPr>
          <w:p w14:paraId="54C621D1">
            <w:pPr>
              <w:spacing w:line="240" w:lineRule="auto"/>
              <w:ind w:firstLine="0" w:firstLineChars="0"/>
              <w:jc w:val="center"/>
              <w:rPr>
                <w:sz w:val="21"/>
                <w:szCs w:val="21"/>
                <w:highlight w:val="none"/>
              </w:rPr>
            </w:pPr>
            <w:r>
              <w:rPr>
                <w:sz w:val="21"/>
                <w:szCs w:val="21"/>
                <w:highlight w:val="none"/>
              </w:rPr>
              <w:t>沸点（℃）</w:t>
            </w:r>
          </w:p>
        </w:tc>
        <w:tc>
          <w:tcPr>
            <w:tcW w:w="1110" w:type="pct"/>
            <w:gridSpan w:val="3"/>
            <w:vAlign w:val="center"/>
          </w:tcPr>
          <w:p w14:paraId="63E66CE2">
            <w:pPr>
              <w:spacing w:line="240" w:lineRule="auto"/>
              <w:ind w:firstLine="0" w:firstLineChars="0"/>
              <w:jc w:val="center"/>
              <w:rPr>
                <w:sz w:val="21"/>
                <w:szCs w:val="21"/>
                <w:highlight w:val="none"/>
              </w:rPr>
            </w:pPr>
            <w:r>
              <w:rPr>
                <w:sz w:val="21"/>
                <w:szCs w:val="21"/>
                <w:highlight w:val="none"/>
              </w:rPr>
              <w:t>180～370</w:t>
            </w:r>
          </w:p>
        </w:tc>
        <w:tc>
          <w:tcPr>
            <w:tcW w:w="1205" w:type="pct"/>
            <w:gridSpan w:val="4"/>
            <w:vAlign w:val="center"/>
          </w:tcPr>
          <w:p w14:paraId="60A3D851">
            <w:pPr>
              <w:spacing w:line="240" w:lineRule="auto"/>
              <w:ind w:firstLine="0" w:firstLineChars="0"/>
              <w:jc w:val="center"/>
              <w:rPr>
                <w:sz w:val="21"/>
                <w:szCs w:val="21"/>
                <w:highlight w:val="none"/>
              </w:rPr>
            </w:pPr>
            <w:r>
              <w:rPr>
                <w:sz w:val="21"/>
                <w:szCs w:val="21"/>
                <w:highlight w:val="none"/>
              </w:rPr>
              <w:t>饱和蒸汽压（KPa）</w:t>
            </w:r>
          </w:p>
        </w:tc>
        <w:tc>
          <w:tcPr>
            <w:tcW w:w="1411" w:type="pct"/>
            <w:gridSpan w:val="3"/>
            <w:vAlign w:val="center"/>
          </w:tcPr>
          <w:p w14:paraId="02F439C9">
            <w:pPr>
              <w:spacing w:line="240" w:lineRule="auto"/>
              <w:ind w:firstLine="0" w:firstLineChars="0"/>
              <w:jc w:val="center"/>
              <w:rPr>
                <w:sz w:val="21"/>
                <w:szCs w:val="21"/>
                <w:highlight w:val="none"/>
              </w:rPr>
            </w:pPr>
            <w:r>
              <w:rPr>
                <w:sz w:val="21"/>
                <w:szCs w:val="21"/>
                <w:highlight w:val="none"/>
              </w:rPr>
              <w:t>/</w:t>
            </w:r>
          </w:p>
        </w:tc>
      </w:tr>
      <w:tr w14:paraId="31C761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restart"/>
            <w:vAlign w:val="center"/>
          </w:tcPr>
          <w:p w14:paraId="132AA971">
            <w:pPr>
              <w:spacing w:line="240" w:lineRule="auto"/>
              <w:ind w:firstLine="0" w:firstLineChars="0"/>
              <w:jc w:val="center"/>
              <w:rPr>
                <w:sz w:val="21"/>
                <w:szCs w:val="21"/>
                <w:highlight w:val="none"/>
              </w:rPr>
            </w:pPr>
            <w:r>
              <w:rPr>
                <w:sz w:val="21"/>
                <w:szCs w:val="21"/>
                <w:highlight w:val="none"/>
              </w:rPr>
              <w:t>健康危害</w:t>
            </w:r>
          </w:p>
        </w:tc>
        <w:tc>
          <w:tcPr>
            <w:tcW w:w="925" w:type="pct"/>
            <w:vAlign w:val="center"/>
          </w:tcPr>
          <w:p w14:paraId="5F8E0319">
            <w:pPr>
              <w:spacing w:line="240" w:lineRule="auto"/>
              <w:ind w:firstLine="0" w:firstLineChars="0"/>
              <w:jc w:val="center"/>
              <w:rPr>
                <w:sz w:val="21"/>
                <w:szCs w:val="21"/>
                <w:highlight w:val="none"/>
              </w:rPr>
            </w:pPr>
            <w:r>
              <w:rPr>
                <w:sz w:val="21"/>
                <w:szCs w:val="21"/>
                <w:highlight w:val="none"/>
              </w:rPr>
              <w:t>侵入途径</w:t>
            </w:r>
          </w:p>
        </w:tc>
        <w:tc>
          <w:tcPr>
            <w:tcW w:w="3726" w:type="pct"/>
            <w:gridSpan w:val="10"/>
            <w:vAlign w:val="center"/>
          </w:tcPr>
          <w:p w14:paraId="0263D53F">
            <w:pPr>
              <w:spacing w:line="240" w:lineRule="auto"/>
              <w:ind w:firstLine="0" w:firstLineChars="0"/>
              <w:jc w:val="center"/>
              <w:rPr>
                <w:sz w:val="21"/>
                <w:szCs w:val="21"/>
                <w:highlight w:val="none"/>
              </w:rPr>
            </w:pPr>
            <w:r>
              <w:rPr>
                <w:sz w:val="21"/>
                <w:szCs w:val="21"/>
                <w:highlight w:val="none"/>
              </w:rPr>
              <w:t>吸入、食入、经皮吸收。</w:t>
            </w:r>
          </w:p>
        </w:tc>
      </w:tr>
      <w:tr w14:paraId="18F7D7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4CBDE3E5">
            <w:pPr>
              <w:spacing w:line="240" w:lineRule="auto"/>
              <w:ind w:firstLine="0" w:firstLineChars="0"/>
              <w:jc w:val="center"/>
              <w:rPr>
                <w:sz w:val="21"/>
                <w:szCs w:val="21"/>
                <w:highlight w:val="none"/>
              </w:rPr>
            </w:pPr>
          </w:p>
        </w:tc>
        <w:tc>
          <w:tcPr>
            <w:tcW w:w="925" w:type="pct"/>
            <w:vAlign w:val="center"/>
          </w:tcPr>
          <w:p w14:paraId="33BDD47D">
            <w:pPr>
              <w:spacing w:line="240" w:lineRule="auto"/>
              <w:ind w:firstLine="0" w:firstLineChars="0"/>
              <w:jc w:val="center"/>
              <w:rPr>
                <w:sz w:val="21"/>
                <w:szCs w:val="21"/>
                <w:highlight w:val="none"/>
              </w:rPr>
            </w:pPr>
            <w:r>
              <w:rPr>
                <w:sz w:val="21"/>
                <w:szCs w:val="21"/>
                <w:highlight w:val="none"/>
              </w:rPr>
              <w:t>毒性</w:t>
            </w:r>
          </w:p>
        </w:tc>
        <w:tc>
          <w:tcPr>
            <w:tcW w:w="3726" w:type="pct"/>
            <w:gridSpan w:val="10"/>
            <w:vAlign w:val="center"/>
          </w:tcPr>
          <w:p w14:paraId="411DC888">
            <w:pPr>
              <w:spacing w:line="240" w:lineRule="auto"/>
              <w:ind w:firstLine="0" w:firstLineChars="0"/>
              <w:jc w:val="center"/>
              <w:rPr>
                <w:sz w:val="21"/>
                <w:szCs w:val="21"/>
                <w:highlight w:val="none"/>
              </w:rPr>
            </w:pPr>
            <w:r>
              <w:rPr>
                <w:sz w:val="21"/>
                <w:szCs w:val="21"/>
                <w:highlight w:val="none"/>
              </w:rPr>
              <w:t>LD</w:t>
            </w:r>
            <w:r>
              <w:rPr>
                <w:sz w:val="21"/>
                <w:szCs w:val="21"/>
                <w:highlight w:val="none"/>
                <w:vertAlign w:val="subscript"/>
              </w:rPr>
              <w:t>50</w:t>
            </w:r>
            <w:r>
              <w:rPr>
                <w:sz w:val="21"/>
                <w:szCs w:val="21"/>
                <w:highlight w:val="none"/>
              </w:rPr>
              <w:t>：无资料</w:t>
            </w:r>
          </w:p>
          <w:p w14:paraId="0A7B473C">
            <w:pPr>
              <w:spacing w:line="240" w:lineRule="auto"/>
              <w:ind w:firstLine="0" w:firstLineChars="0"/>
              <w:jc w:val="center"/>
              <w:rPr>
                <w:sz w:val="21"/>
                <w:szCs w:val="21"/>
                <w:highlight w:val="none"/>
              </w:rPr>
            </w:pPr>
            <w:r>
              <w:rPr>
                <w:sz w:val="21"/>
                <w:szCs w:val="21"/>
                <w:highlight w:val="none"/>
              </w:rPr>
              <w:t>LC</w:t>
            </w:r>
            <w:r>
              <w:rPr>
                <w:sz w:val="21"/>
                <w:szCs w:val="21"/>
                <w:highlight w:val="none"/>
                <w:vertAlign w:val="subscript"/>
              </w:rPr>
              <w:t>50</w:t>
            </w:r>
            <w:r>
              <w:rPr>
                <w:sz w:val="21"/>
                <w:szCs w:val="21"/>
                <w:highlight w:val="none"/>
              </w:rPr>
              <w:t>：无资料</w:t>
            </w:r>
          </w:p>
        </w:tc>
      </w:tr>
      <w:tr w14:paraId="263870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4F52203F">
            <w:pPr>
              <w:spacing w:line="240" w:lineRule="auto"/>
              <w:ind w:firstLine="0" w:firstLineChars="0"/>
              <w:jc w:val="center"/>
              <w:rPr>
                <w:sz w:val="21"/>
                <w:szCs w:val="21"/>
                <w:highlight w:val="none"/>
              </w:rPr>
            </w:pPr>
          </w:p>
        </w:tc>
        <w:tc>
          <w:tcPr>
            <w:tcW w:w="925" w:type="pct"/>
            <w:vAlign w:val="center"/>
          </w:tcPr>
          <w:p w14:paraId="52E5D107">
            <w:pPr>
              <w:spacing w:line="240" w:lineRule="auto"/>
              <w:ind w:firstLine="0" w:firstLineChars="0"/>
              <w:jc w:val="center"/>
              <w:rPr>
                <w:sz w:val="21"/>
                <w:szCs w:val="21"/>
                <w:highlight w:val="none"/>
              </w:rPr>
            </w:pPr>
            <w:r>
              <w:rPr>
                <w:sz w:val="21"/>
                <w:szCs w:val="21"/>
                <w:highlight w:val="none"/>
              </w:rPr>
              <w:t>健康危害</w:t>
            </w:r>
          </w:p>
        </w:tc>
        <w:tc>
          <w:tcPr>
            <w:tcW w:w="3726" w:type="pct"/>
            <w:gridSpan w:val="10"/>
            <w:vAlign w:val="center"/>
          </w:tcPr>
          <w:p w14:paraId="0006C8ED">
            <w:pPr>
              <w:spacing w:line="240" w:lineRule="auto"/>
              <w:ind w:firstLine="0" w:firstLineChars="0"/>
              <w:jc w:val="center"/>
              <w:rPr>
                <w:sz w:val="21"/>
                <w:szCs w:val="21"/>
                <w:highlight w:val="none"/>
              </w:rPr>
            </w:pPr>
            <w:r>
              <w:rPr>
                <w:sz w:val="21"/>
                <w:szCs w:val="21"/>
                <w:highlight w:val="none"/>
              </w:rPr>
              <w:t>皮肤接触柴油可引起接触性皮炎、油性痤疮；吸入可引起吸入性肺炎，能经胎盘进入胎儿血中。柴油废气可引起眼、鼻刺激症状、头昏及头痛。</w:t>
            </w:r>
          </w:p>
        </w:tc>
      </w:tr>
      <w:tr w14:paraId="3DA19D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2ACD667A">
            <w:pPr>
              <w:spacing w:line="240" w:lineRule="auto"/>
              <w:ind w:firstLine="0" w:firstLineChars="0"/>
              <w:jc w:val="center"/>
              <w:rPr>
                <w:sz w:val="21"/>
                <w:szCs w:val="21"/>
                <w:highlight w:val="none"/>
              </w:rPr>
            </w:pPr>
          </w:p>
        </w:tc>
        <w:tc>
          <w:tcPr>
            <w:tcW w:w="925" w:type="pct"/>
            <w:vAlign w:val="center"/>
          </w:tcPr>
          <w:p w14:paraId="7933F00C">
            <w:pPr>
              <w:spacing w:line="240" w:lineRule="auto"/>
              <w:ind w:firstLine="0" w:firstLineChars="0"/>
              <w:jc w:val="center"/>
              <w:rPr>
                <w:sz w:val="21"/>
                <w:szCs w:val="21"/>
                <w:highlight w:val="none"/>
              </w:rPr>
            </w:pPr>
            <w:r>
              <w:rPr>
                <w:sz w:val="21"/>
                <w:szCs w:val="21"/>
                <w:highlight w:val="none"/>
              </w:rPr>
              <w:t>急救方法</w:t>
            </w:r>
          </w:p>
        </w:tc>
        <w:tc>
          <w:tcPr>
            <w:tcW w:w="3726" w:type="pct"/>
            <w:gridSpan w:val="10"/>
            <w:vAlign w:val="center"/>
          </w:tcPr>
          <w:p w14:paraId="685A3797">
            <w:pPr>
              <w:spacing w:line="240" w:lineRule="auto"/>
              <w:ind w:firstLine="0" w:firstLineChars="0"/>
              <w:jc w:val="center"/>
              <w:rPr>
                <w:sz w:val="21"/>
                <w:szCs w:val="21"/>
                <w:highlight w:val="none"/>
              </w:rPr>
            </w:pPr>
            <w:r>
              <w:rPr>
                <w:sz w:val="21"/>
                <w:szCs w:val="21"/>
                <w:highlight w:val="none"/>
              </w:rPr>
              <w:t>皮肤接触：脱去被污染的衣着，用肥皂水和清水彻底冲洗皮肤。</w:t>
            </w:r>
          </w:p>
          <w:p w14:paraId="4C9F10BC">
            <w:pPr>
              <w:spacing w:line="240" w:lineRule="auto"/>
              <w:ind w:firstLine="0" w:firstLineChars="0"/>
              <w:jc w:val="center"/>
              <w:rPr>
                <w:sz w:val="21"/>
                <w:szCs w:val="21"/>
                <w:highlight w:val="none"/>
              </w:rPr>
            </w:pPr>
            <w:r>
              <w:rPr>
                <w:sz w:val="21"/>
                <w:szCs w:val="21"/>
                <w:highlight w:val="none"/>
              </w:rPr>
              <w:t>眼睛接触：提起眼睑，用流动清水或生理盐水彻底冲洗就医。</w:t>
            </w:r>
          </w:p>
          <w:p w14:paraId="76851CB1">
            <w:pPr>
              <w:spacing w:line="240" w:lineRule="auto"/>
              <w:ind w:firstLine="0" w:firstLineChars="0"/>
              <w:jc w:val="center"/>
              <w:rPr>
                <w:sz w:val="21"/>
                <w:szCs w:val="21"/>
                <w:highlight w:val="none"/>
              </w:rPr>
            </w:pPr>
            <w:r>
              <w:rPr>
                <w:sz w:val="21"/>
                <w:szCs w:val="21"/>
                <w:highlight w:val="none"/>
              </w:rPr>
              <w:t>吸入：迅速脱离现场至空气新鲜处。保持呼吸道通畅。如呼吸困难，给输氧。如呼吸停止，立即进行人工呼吸。就医。</w:t>
            </w:r>
          </w:p>
          <w:p w14:paraId="368F0565">
            <w:pPr>
              <w:spacing w:line="240" w:lineRule="auto"/>
              <w:ind w:firstLine="0" w:firstLineChars="0"/>
              <w:jc w:val="center"/>
              <w:rPr>
                <w:sz w:val="21"/>
                <w:szCs w:val="21"/>
                <w:highlight w:val="none"/>
              </w:rPr>
            </w:pPr>
            <w:r>
              <w:rPr>
                <w:sz w:val="21"/>
                <w:szCs w:val="21"/>
                <w:highlight w:val="none"/>
              </w:rPr>
              <w:t>食入：尽快彻底洗胃。就医。</w:t>
            </w:r>
          </w:p>
        </w:tc>
      </w:tr>
      <w:tr w14:paraId="2BEB8B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restart"/>
            <w:vAlign w:val="center"/>
          </w:tcPr>
          <w:p w14:paraId="0D14E92E">
            <w:pPr>
              <w:spacing w:line="240" w:lineRule="auto"/>
              <w:ind w:firstLine="0" w:firstLineChars="0"/>
              <w:jc w:val="center"/>
              <w:rPr>
                <w:sz w:val="21"/>
                <w:szCs w:val="21"/>
                <w:highlight w:val="none"/>
              </w:rPr>
            </w:pPr>
            <w:r>
              <w:rPr>
                <w:sz w:val="21"/>
                <w:szCs w:val="21"/>
                <w:highlight w:val="none"/>
              </w:rPr>
              <w:t>燃烧爆炸危险性</w:t>
            </w:r>
          </w:p>
        </w:tc>
        <w:tc>
          <w:tcPr>
            <w:tcW w:w="925" w:type="pct"/>
            <w:vAlign w:val="center"/>
          </w:tcPr>
          <w:p w14:paraId="362DDD38">
            <w:pPr>
              <w:spacing w:line="240" w:lineRule="auto"/>
              <w:ind w:firstLine="0" w:firstLineChars="0"/>
              <w:jc w:val="center"/>
              <w:rPr>
                <w:sz w:val="21"/>
                <w:szCs w:val="21"/>
                <w:highlight w:val="none"/>
              </w:rPr>
            </w:pPr>
            <w:r>
              <w:rPr>
                <w:sz w:val="21"/>
                <w:szCs w:val="21"/>
                <w:highlight w:val="none"/>
              </w:rPr>
              <w:t>燃烧性</w:t>
            </w:r>
          </w:p>
        </w:tc>
        <w:tc>
          <w:tcPr>
            <w:tcW w:w="992" w:type="pct"/>
            <w:gridSpan w:val="2"/>
            <w:vAlign w:val="center"/>
          </w:tcPr>
          <w:p w14:paraId="4D02CD77">
            <w:pPr>
              <w:spacing w:line="240" w:lineRule="auto"/>
              <w:ind w:firstLine="0" w:firstLineChars="0"/>
              <w:jc w:val="center"/>
              <w:rPr>
                <w:sz w:val="21"/>
                <w:szCs w:val="21"/>
                <w:highlight w:val="none"/>
              </w:rPr>
            </w:pPr>
            <w:r>
              <w:rPr>
                <w:sz w:val="21"/>
                <w:szCs w:val="21"/>
                <w:highlight w:val="none"/>
              </w:rPr>
              <w:t>可燃</w:t>
            </w:r>
          </w:p>
        </w:tc>
        <w:tc>
          <w:tcPr>
            <w:tcW w:w="1322" w:type="pct"/>
            <w:gridSpan w:val="5"/>
            <w:vAlign w:val="center"/>
          </w:tcPr>
          <w:p w14:paraId="413F0435">
            <w:pPr>
              <w:spacing w:line="240" w:lineRule="auto"/>
              <w:ind w:firstLine="0" w:firstLineChars="0"/>
              <w:jc w:val="center"/>
              <w:rPr>
                <w:sz w:val="21"/>
                <w:szCs w:val="21"/>
                <w:highlight w:val="none"/>
              </w:rPr>
            </w:pPr>
            <w:r>
              <w:rPr>
                <w:sz w:val="21"/>
                <w:szCs w:val="21"/>
                <w:highlight w:val="none"/>
              </w:rPr>
              <w:t>燃烧分解物</w:t>
            </w:r>
          </w:p>
        </w:tc>
        <w:tc>
          <w:tcPr>
            <w:tcW w:w="1411" w:type="pct"/>
            <w:gridSpan w:val="3"/>
            <w:vAlign w:val="center"/>
          </w:tcPr>
          <w:p w14:paraId="3520F006">
            <w:pPr>
              <w:spacing w:line="240" w:lineRule="auto"/>
              <w:ind w:firstLine="0" w:firstLineChars="0"/>
              <w:jc w:val="center"/>
              <w:rPr>
                <w:sz w:val="21"/>
                <w:szCs w:val="21"/>
                <w:highlight w:val="none"/>
              </w:rPr>
            </w:pPr>
            <w:r>
              <w:rPr>
                <w:sz w:val="21"/>
                <w:szCs w:val="21"/>
                <w:highlight w:val="none"/>
              </w:rPr>
              <w:t>一氧化碳、二氧化碳。</w:t>
            </w:r>
          </w:p>
        </w:tc>
      </w:tr>
      <w:tr w14:paraId="5C84A78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1B042D3F">
            <w:pPr>
              <w:spacing w:line="240" w:lineRule="auto"/>
              <w:ind w:firstLine="0" w:firstLineChars="0"/>
              <w:jc w:val="center"/>
              <w:rPr>
                <w:sz w:val="21"/>
                <w:szCs w:val="21"/>
                <w:highlight w:val="none"/>
              </w:rPr>
            </w:pPr>
          </w:p>
        </w:tc>
        <w:tc>
          <w:tcPr>
            <w:tcW w:w="925" w:type="pct"/>
            <w:vAlign w:val="center"/>
          </w:tcPr>
          <w:p w14:paraId="3FEE7D2B">
            <w:pPr>
              <w:spacing w:line="240" w:lineRule="auto"/>
              <w:ind w:firstLine="0" w:firstLineChars="0"/>
              <w:jc w:val="center"/>
              <w:rPr>
                <w:sz w:val="21"/>
                <w:szCs w:val="21"/>
                <w:highlight w:val="none"/>
              </w:rPr>
            </w:pPr>
            <w:r>
              <w:rPr>
                <w:sz w:val="21"/>
                <w:szCs w:val="21"/>
                <w:highlight w:val="none"/>
              </w:rPr>
              <w:t>闪点(℃)</w:t>
            </w:r>
          </w:p>
        </w:tc>
        <w:tc>
          <w:tcPr>
            <w:tcW w:w="992" w:type="pct"/>
            <w:gridSpan w:val="2"/>
            <w:vAlign w:val="center"/>
          </w:tcPr>
          <w:p w14:paraId="571E86C6">
            <w:pPr>
              <w:spacing w:line="240" w:lineRule="auto"/>
              <w:ind w:firstLine="0" w:firstLineChars="0"/>
              <w:jc w:val="center"/>
              <w:rPr>
                <w:sz w:val="21"/>
                <w:szCs w:val="21"/>
                <w:highlight w:val="none"/>
              </w:rPr>
            </w:pPr>
            <w:r>
              <w:rPr>
                <w:sz w:val="21"/>
                <w:szCs w:val="21"/>
                <w:highlight w:val="none"/>
              </w:rPr>
              <w:t>≥55</w:t>
            </w:r>
          </w:p>
        </w:tc>
        <w:tc>
          <w:tcPr>
            <w:tcW w:w="1322" w:type="pct"/>
            <w:gridSpan w:val="5"/>
            <w:vAlign w:val="center"/>
          </w:tcPr>
          <w:p w14:paraId="49CCA105">
            <w:pPr>
              <w:spacing w:line="240" w:lineRule="auto"/>
              <w:ind w:firstLine="0" w:firstLineChars="0"/>
              <w:jc w:val="center"/>
              <w:rPr>
                <w:sz w:val="21"/>
                <w:szCs w:val="21"/>
                <w:highlight w:val="none"/>
              </w:rPr>
            </w:pPr>
            <w:r>
              <w:rPr>
                <w:sz w:val="21"/>
                <w:szCs w:val="21"/>
                <w:highlight w:val="none"/>
              </w:rPr>
              <w:t>爆炸上限（v%）</w:t>
            </w:r>
          </w:p>
        </w:tc>
        <w:tc>
          <w:tcPr>
            <w:tcW w:w="1411" w:type="pct"/>
            <w:gridSpan w:val="3"/>
            <w:vAlign w:val="center"/>
          </w:tcPr>
          <w:p w14:paraId="3E9DA52B">
            <w:pPr>
              <w:spacing w:line="240" w:lineRule="auto"/>
              <w:ind w:firstLine="0" w:firstLineChars="0"/>
              <w:jc w:val="center"/>
              <w:rPr>
                <w:sz w:val="21"/>
                <w:szCs w:val="21"/>
                <w:highlight w:val="none"/>
              </w:rPr>
            </w:pPr>
            <w:r>
              <w:rPr>
                <w:sz w:val="21"/>
                <w:szCs w:val="21"/>
                <w:highlight w:val="none"/>
              </w:rPr>
              <w:t>6.5</w:t>
            </w:r>
          </w:p>
        </w:tc>
      </w:tr>
      <w:tr w14:paraId="0F6525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5556F994">
            <w:pPr>
              <w:spacing w:line="240" w:lineRule="auto"/>
              <w:ind w:firstLine="0" w:firstLineChars="0"/>
              <w:jc w:val="center"/>
              <w:rPr>
                <w:sz w:val="21"/>
                <w:szCs w:val="21"/>
                <w:highlight w:val="none"/>
              </w:rPr>
            </w:pPr>
          </w:p>
        </w:tc>
        <w:tc>
          <w:tcPr>
            <w:tcW w:w="925" w:type="pct"/>
            <w:vAlign w:val="center"/>
          </w:tcPr>
          <w:p w14:paraId="5924F87A">
            <w:pPr>
              <w:spacing w:line="240" w:lineRule="auto"/>
              <w:ind w:firstLine="0" w:firstLineChars="0"/>
              <w:jc w:val="center"/>
              <w:rPr>
                <w:sz w:val="21"/>
                <w:szCs w:val="21"/>
                <w:highlight w:val="none"/>
              </w:rPr>
            </w:pPr>
            <w:r>
              <w:rPr>
                <w:sz w:val="21"/>
                <w:szCs w:val="21"/>
                <w:highlight w:val="none"/>
              </w:rPr>
              <w:t>引燃温度(℃)</w:t>
            </w:r>
          </w:p>
        </w:tc>
        <w:tc>
          <w:tcPr>
            <w:tcW w:w="992" w:type="pct"/>
            <w:gridSpan w:val="2"/>
            <w:vAlign w:val="center"/>
          </w:tcPr>
          <w:p w14:paraId="15B53894">
            <w:pPr>
              <w:spacing w:line="240" w:lineRule="auto"/>
              <w:ind w:firstLine="0" w:firstLineChars="0"/>
              <w:jc w:val="center"/>
              <w:rPr>
                <w:sz w:val="21"/>
                <w:szCs w:val="21"/>
                <w:highlight w:val="none"/>
              </w:rPr>
            </w:pPr>
            <w:r>
              <w:rPr>
                <w:sz w:val="21"/>
                <w:szCs w:val="21"/>
                <w:highlight w:val="none"/>
              </w:rPr>
              <w:t>350～380</w:t>
            </w:r>
          </w:p>
        </w:tc>
        <w:tc>
          <w:tcPr>
            <w:tcW w:w="1322" w:type="pct"/>
            <w:gridSpan w:val="5"/>
            <w:vAlign w:val="center"/>
          </w:tcPr>
          <w:p w14:paraId="0DFD3FD1">
            <w:pPr>
              <w:spacing w:line="240" w:lineRule="auto"/>
              <w:ind w:firstLine="0" w:firstLineChars="0"/>
              <w:jc w:val="center"/>
              <w:rPr>
                <w:sz w:val="21"/>
                <w:szCs w:val="21"/>
                <w:highlight w:val="none"/>
              </w:rPr>
            </w:pPr>
            <w:r>
              <w:rPr>
                <w:sz w:val="21"/>
                <w:szCs w:val="21"/>
                <w:highlight w:val="none"/>
              </w:rPr>
              <w:t>爆炸下限（v%）</w:t>
            </w:r>
          </w:p>
        </w:tc>
        <w:tc>
          <w:tcPr>
            <w:tcW w:w="1411" w:type="pct"/>
            <w:gridSpan w:val="3"/>
            <w:vAlign w:val="center"/>
          </w:tcPr>
          <w:p w14:paraId="245A9E1F">
            <w:pPr>
              <w:spacing w:line="240" w:lineRule="auto"/>
              <w:ind w:firstLine="0" w:firstLineChars="0"/>
              <w:jc w:val="center"/>
              <w:rPr>
                <w:sz w:val="21"/>
                <w:szCs w:val="21"/>
                <w:highlight w:val="none"/>
              </w:rPr>
            </w:pPr>
            <w:r>
              <w:rPr>
                <w:sz w:val="21"/>
                <w:szCs w:val="21"/>
                <w:highlight w:val="none"/>
              </w:rPr>
              <w:t>0.6</w:t>
            </w:r>
          </w:p>
        </w:tc>
      </w:tr>
      <w:tr w14:paraId="05CAC2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18098816">
            <w:pPr>
              <w:spacing w:line="240" w:lineRule="auto"/>
              <w:ind w:firstLine="0" w:firstLineChars="0"/>
              <w:jc w:val="center"/>
              <w:rPr>
                <w:sz w:val="21"/>
                <w:szCs w:val="21"/>
                <w:highlight w:val="none"/>
              </w:rPr>
            </w:pPr>
          </w:p>
        </w:tc>
        <w:tc>
          <w:tcPr>
            <w:tcW w:w="925" w:type="pct"/>
            <w:vAlign w:val="center"/>
          </w:tcPr>
          <w:p w14:paraId="57796E9E">
            <w:pPr>
              <w:spacing w:line="240" w:lineRule="auto"/>
              <w:ind w:firstLine="0" w:firstLineChars="0"/>
              <w:jc w:val="center"/>
              <w:rPr>
                <w:sz w:val="21"/>
                <w:szCs w:val="21"/>
                <w:highlight w:val="none"/>
              </w:rPr>
            </w:pPr>
            <w:r>
              <w:rPr>
                <w:sz w:val="21"/>
                <w:szCs w:val="21"/>
                <w:highlight w:val="none"/>
              </w:rPr>
              <w:t>危险特性</w:t>
            </w:r>
          </w:p>
        </w:tc>
        <w:tc>
          <w:tcPr>
            <w:tcW w:w="3726" w:type="pct"/>
            <w:gridSpan w:val="10"/>
            <w:vAlign w:val="center"/>
          </w:tcPr>
          <w:p w14:paraId="090162DA">
            <w:pPr>
              <w:spacing w:line="240" w:lineRule="auto"/>
              <w:ind w:firstLine="0" w:firstLineChars="0"/>
              <w:jc w:val="center"/>
              <w:rPr>
                <w:sz w:val="21"/>
                <w:szCs w:val="21"/>
                <w:highlight w:val="none"/>
              </w:rPr>
            </w:pPr>
            <w:r>
              <w:rPr>
                <w:sz w:val="21"/>
                <w:szCs w:val="21"/>
                <w:highlight w:val="none"/>
              </w:rPr>
              <w:t>遇明火、高热或与氧化剂接触有可能引起燃烧爆炸的危险。若遇高热，容器内压增大，有开裂和爆炸的危险。</w:t>
            </w:r>
          </w:p>
        </w:tc>
      </w:tr>
      <w:tr w14:paraId="12D3436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51EE637A">
            <w:pPr>
              <w:spacing w:line="240" w:lineRule="auto"/>
              <w:ind w:firstLine="0" w:firstLineChars="0"/>
              <w:jc w:val="center"/>
              <w:rPr>
                <w:sz w:val="21"/>
                <w:szCs w:val="21"/>
                <w:highlight w:val="none"/>
              </w:rPr>
            </w:pPr>
          </w:p>
        </w:tc>
        <w:tc>
          <w:tcPr>
            <w:tcW w:w="925" w:type="pct"/>
            <w:vAlign w:val="center"/>
          </w:tcPr>
          <w:p w14:paraId="1E8B927B">
            <w:pPr>
              <w:spacing w:line="240" w:lineRule="auto"/>
              <w:ind w:firstLine="0" w:firstLineChars="0"/>
              <w:jc w:val="center"/>
              <w:rPr>
                <w:sz w:val="21"/>
                <w:szCs w:val="21"/>
                <w:highlight w:val="none"/>
              </w:rPr>
            </w:pPr>
            <w:r>
              <w:rPr>
                <w:sz w:val="21"/>
                <w:szCs w:val="21"/>
                <w:highlight w:val="none"/>
              </w:rPr>
              <w:t>储运条件</w:t>
            </w:r>
          </w:p>
          <w:p w14:paraId="146C0CCA">
            <w:pPr>
              <w:spacing w:line="240" w:lineRule="auto"/>
              <w:ind w:firstLine="0" w:firstLineChars="0"/>
              <w:jc w:val="center"/>
              <w:rPr>
                <w:sz w:val="21"/>
                <w:szCs w:val="21"/>
                <w:highlight w:val="none"/>
              </w:rPr>
            </w:pPr>
            <w:r>
              <w:rPr>
                <w:sz w:val="21"/>
                <w:szCs w:val="21"/>
                <w:highlight w:val="none"/>
              </w:rPr>
              <w:t>与泄漏处理</w:t>
            </w:r>
          </w:p>
        </w:tc>
        <w:tc>
          <w:tcPr>
            <w:tcW w:w="3726" w:type="pct"/>
            <w:gridSpan w:val="10"/>
            <w:vAlign w:val="center"/>
          </w:tcPr>
          <w:p w14:paraId="27F97216">
            <w:pPr>
              <w:spacing w:line="240" w:lineRule="auto"/>
              <w:ind w:firstLine="0" w:firstLineChars="0"/>
              <w:jc w:val="center"/>
              <w:rPr>
                <w:sz w:val="21"/>
                <w:szCs w:val="21"/>
                <w:highlight w:val="none"/>
              </w:rPr>
            </w:pPr>
            <w:r>
              <w:rPr>
                <w:sz w:val="21"/>
                <w:szCs w:val="21"/>
                <w:highlight w:val="none"/>
              </w:rPr>
              <w:t>储运条件：储存于阴凉、通风的库房。远离火种、热源。应与氧化剂、卤素分开存放，切忌混储。公路运输时要按规定路线行驶。泄漏处理：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r w14:paraId="7B54B4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303BFC25">
            <w:pPr>
              <w:spacing w:line="240" w:lineRule="auto"/>
              <w:ind w:firstLine="0" w:firstLineChars="0"/>
              <w:jc w:val="center"/>
              <w:rPr>
                <w:sz w:val="21"/>
                <w:szCs w:val="21"/>
                <w:highlight w:val="none"/>
              </w:rPr>
            </w:pPr>
          </w:p>
        </w:tc>
        <w:tc>
          <w:tcPr>
            <w:tcW w:w="925" w:type="pct"/>
            <w:vAlign w:val="center"/>
          </w:tcPr>
          <w:p w14:paraId="2D44F2DE">
            <w:pPr>
              <w:spacing w:line="240" w:lineRule="auto"/>
              <w:ind w:firstLine="0" w:firstLineChars="0"/>
              <w:jc w:val="center"/>
              <w:rPr>
                <w:sz w:val="21"/>
                <w:szCs w:val="21"/>
                <w:highlight w:val="none"/>
              </w:rPr>
            </w:pPr>
            <w:r>
              <w:rPr>
                <w:sz w:val="21"/>
                <w:szCs w:val="21"/>
                <w:highlight w:val="none"/>
              </w:rPr>
              <w:t>建规火险分级</w:t>
            </w:r>
          </w:p>
        </w:tc>
        <w:tc>
          <w:tcPr>
            <w:tcW w:w="773" w:type="pct"/>
            <w:vAlign w:val="center"/>
          </w:tcPr>
          <w:p w14:paraId="45BA3189">
            <w:pPr>
              <w:spacing w:line="240" w:lineRule="auto"/>
              <w:ind w:firstLine="0" w:firstLineChars="0"/>
              <w:jc w:val="center"/>
              <w:rPr>
                <w:sz w:val="21"/>
                <w:szCs w:val="21"/>
                <w:highlight w:val="none"/>
              </w:rPr>
            </w:pPr>
            <w:r>
              <w:rPr>
                <w:sz w:val="21"/>
                <w:szCs w:val="21"/>
                <w:highlight w:val="none"/>
              </w:rPr>
              <w:t>乙</w:t>
            </w:r>
          </w:p>
        </w:tc>
        <w:tc>
          <w:tcPr>
            <w:tcW w:w="719" w:type="pct"/>
            <w:gridSpan w:val="3"/>
            <w:vAlign w:val="center"/>
          </w:tcPr>
          <w:p w14:paraId="02044617">
            <w:pPr>
              <w:spacing w:line="240" w:lineRule="auto"/>
              <w:ind w:firstLine="0" w:firstLineChars="0"/>
              <w:jc w:val="center"/>
              <w:rPr>
                <w:sz w:val="21"/>
                <w:szCs w:val="21"/>
                <w:highlight w:val="none"/>
              </w:rPr>
            </w:pPr>
            <w:r>
              <w:rPr>
                <w:sz w:val="21"/>
                <w:szCs w:val="21"/>
                <w:highlight w:val="none"/>
              </w:rPr>
              <w:t>稳定性</w:t>
            </w:r>
          </w:p>
        </w:tc>
        <w:tc>
          <w:tcPr>
            <w:tcW w:w="546" w:type="pct"/>
            <w:gridSpan w:val="2"/>
            <w:vAlign w:val="center"/>
          </w:tcPr>
          <w:p w14:paraId="089667B7">
            <w:pPr>
              <w:spacing w:line="240" w:lineRule="auto"/>
              <w:ind w:firstLine="0" w:firstLineChars="0"/>
              <w:jc w:val="center"/>
              <w:rPr>
                <w:sz w:val="21"/>
                <w:szCs w:val="21"/>
                <w:highlight w:val="none"/>
              </w:rPr>
            </w:pPr>
            <w:r>
              <w:rPr>
                <w:sz w:val="21"/>
                <w:szCs w:val="21"/>
                <w:highlight w:val="none"/>
              </w:rPr>
              <w:t>稳定</w:t>
            </w:r>
          </w:p>
        </w:tc>
        <w:tc>
          <w:tcPr>
            <w:tcW w:w="861" w:type="pct"/>
            <w:gridSpan w:val="3"/>
            <w:vAlign w:val="center"/>
          </w:tcPr>
          <w:p w14:paraId="04B67C29">
            <w:pPr>
              <w:spacing w:line="240" w:lineRule="auto"/>
              <w:ind w:firstLine="0" w:firstLineChars="0"/>
              <w:jc w:val="center"/>
              <w:rPr>
                <w:sz w:val="21"/>
                <w:szCs w:val="21"/>
                <w:highlight w:val="none"/>
              </w:rPr>
            </w:pPr>
            <w:r>
              <w:rPr>
                <w:sz w:val="21"/>
                <w:szCs w:val="21"/>
                <w:highlight w:val="none"/>
              </w:rPr>
              <w:t>聚合危害</w:t>
            </w:r>
          </w:p>
        </w:tc>
        <w:tc>
          <w:tcPr>
            <w:tcW w:w="827" w:type="pct"/>
            <w:vAlign w:val="center"/>
          </w:tcPr>
          <w:p w14:paraId="3AEFA82C">
            <w:pPr>
              <w:spacing w:line="240" w:lineRule="auto"/>
              <w:ind w:firstLine="0" w:firstLineChars="0"/>
              <w:jc w:val="center"/>
              <w:rPr>
                <w:sz w:val="21"/>
                <w:szCs w:val="21"/>
                <w:highlight w:val="none"/>
              </w:rPr>
            </w:pPr>
            <w:r>
              <w:rPr>
                <w:sz w:val="21"/>
                <w:szCs w:val="21"/>
                <w:highlight w:val="none"/>
              </w:rPr>
              <w:t>不出现</w:t>
            </w:r>
          </w:p>
        </w:tc>
      </w:tr>
      <w:tr w14:paraId="1B0A98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209650EE">
            <w:pPr>
              <w:spacing w:line="240" w:lineRule="auto"/>
              <w:ind w:firstLine="0" w:firstLineChars="0"/>
              <w:jc w:val="center"/>
              <w:rPr>
                <w:sz w:val="21"/>
                <w:szCs w:val="21"/>
                <w:highlight w:val="none"/>
              </w:rPr>
            </w:pPr>
          </w:p>
        </w:tc>
        <w:tc>
          <w:tcPr>
            <w:tcW w:w="925" w:type="pct"/>
            <w:vAlign w:val="center"/>
          </w:tcPr>
          <w:p w14:paraId="2E73C52F">
            <w:pPr>
              <w:spacing w:line="240" w:lineRule="auto"/>
              <w:ind w:firstLine="0" w:firstLineChars="0"/>
              <w:jc w:val="center"/>
              <w:rPr>
                <w:sz w:val="21"/>
                <w:szCs w:val="21"/>
                <w:highlight w:val="none"/>
              </w:rPr>
            </w:pPr>
            <w:r>
              <w:rPr>
                <w:sz w:val="21"/>
                <w:szCs w:val="21"/>
                <w:highlight w:val="none"/>
              </w:rPr>
              <w:t>禁忌物</w:t>
            </w:r>
          </w:p>
        </w:tc>
        <w:tc>
          <w:tcPr>
            <w:tcW w:w="3726" w:type="pct"/>
            <w:gridSpan w:val="10"/>
            <w:vAlign w:val="center"/>
          </w:tcPr>
          <w:p w14:paraId="2A0D6292">
            <w:pPr>
              <w:spacing w:line="240" w:lineRule="auto"/>
              <w:ind w:firstLine="0" w:firstLineChars="0"/>
              <w:jc w:val="center"/>
              <w:rPr>
                <w:sz w:val="21"/>
                <w:szCs w:val="21"/>
                <w:highlight w:val="none"/>
              </w:rPr>
            </w:pPr>
            <w:r>
              <w:rPr>
                <w:sz w:val="21"/>
                <w:szCs w:val="21"/>
                <w:highlight w:val="none"/>
              </w:rPr>
              <w:t>强氧化剂、卤素。</w:t>
            </w:r>
          </w:p>
        </w:tc>
      </w:tr>
      <w:tr w14:paraId="33A261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349" w:type="pct"/>
            <w:vMerge w:val="continue"/>
            <w:vAlign w:val="center"/>
          </w:tcPr>
          <w:p w14:paraId="170797D9">
            <w:pPr>
              <w:spacing w:line="240" w:lineRule="auto"/>
              <w:ind w:firstLine="0" w:firstLineChars="0"/>
              <w:jc w:val="center"/>
              <w:rPr>
                <w:sz w:val="21"/>
                <w:szCs w:val="21"/>
                <w:highlight w:val="none"/>
              </w:rPr>
            </w:pPr>
          </w:p>
        </w:tc>
        <w:tc>
          <w:tcPr>
            <w:tcW w:w="925" w:type="pct"/>
            <w:vAlign w:val="center"/>
          </w:tcPr>
          <w:p w14:paraId="4AC34ED6">
            <w:pPr>
              <w:spacing w:line="240" w:lineRule="auto"/>
              <w:ind w:firstLine="0" w:firstLineChars="0"/>
              <w:jc w:val="center"/>
              <w:rPr>
                <w:sz w:val="21"/>
                <w:szCs w:val="21"/>
                <w:highlight w:val="none"/>
              </w:rPr>
            </w:pPr>
            <w:r>
              <w:rPr>
                <w:sz w:val="21"/>
                <w:szCs w:val="21"/>
                <w:highlight w:val="none"/>
              </w:rPr>
              <w:t>灭火方法</w:t>
            </w:r>
          </w:p>
        </w:tc>
        <w:tc>
          <w:tcPr>
            <w:tcW w:w="3726" w:type="pct"/>
            <w:gridSpan w:val="10"/>
            <w:vAlign w:val="center"/>
          </w:tcPr>
          <w:p w14:paraId="6C9BBAC8">
            <w:pPr>
              <w:spacing w:line="240" w:lineRule="auto"/>
              <w:ind w:firstLine="0" w:firstLineChars="0"/>
              <w:jc w:val="center"/>
              <w:rPr>
                <w:sz w:val="21"/>
                <w:szCs w:val="21"/>
                <w:highlight w:val="none"/>
              </w:rPr>
            </w:pPr>
            <w:r>
              <w:rPr>
                <w:sz w:val="21"/>
                <w:szCs w:val="21"/>
                <w:highlight w:val="none"/>
              </w:rPr>
              <w:t>用泡沫、二氧化碳、干粉灭火，用水灭火无效。</w:t>
            </w:r>
          </w:p>
        </w:tc>
      </w:tr>
    </w:tbl>
    <w:p w14:paraId="03FAFF94">
      <w:pPr>
        <w:ind w:firstLine="0" w:firstLineChars="0"/>
        <w:jc w:val="center"/>
        <w:rPr>
          <w:rFonts w:hint="eastAsia"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lang w:val="en-US" w:eastAsia="zh-CN"/>
        </w:rPr>
        <w:t>3.3-9</w:t>
      </w:r>
      <w:r>
        <w:rPr>
          <w:rFonts w:hint="eastAsia" w:ascii="黑体" w:hAnsi="黑体" w:eastAsia="黑体" w:cs="黑体"/>
          <w:highlight w:val="none"/>
        </w:rPr>
        <w:t>项目危险物质危险性识别结果表</w:t>
      </w:r>
    </w:p>
    <w:tbl>
      <w:tblPr>
        <w:tblStyle w:val="17"/>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532"/>
        <w:gridCol w:w="1028"/>
        <w:gridCol w:w="1091"/>
        <w:gridCol w:w="728"/>
        <w:gridCol w:w="655"/>
        <w:gridCol w:w="1403"/>
        <w:gridCol w:w="1028"/>
        <w:gridCol w:w="2057"/>
      </w:tblGrid>
      <w:tr w14:paraId="5F965D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12" w:type="pct"/>
            <w:vMerge w:val="restart"/>
            <w:tcBorders>
              <w:tl2br w:val="nil"/>
              <w:tr2bl w:val="nil"/>
            </w:tcBorders>
            <w:shd w:val="clear" w:color="auto" w:fill="FFFFFF"/>
            <w:vAlign w:val="center"/>
          </w:tcPr>
          <w:p w14:paraId="7A792C2C">
            <w:pPr>
              <w:spacing w:line="240" w:lineRule="auto"/>
              <w:ind w:firstLine="0" w:firstLineChars="0"/>
              <w:jc w:val="center"/>
              <w:rPr>
                <w:sz w:val="21"/>
                <w:szCs w:val="21"/>
                <w:highlight w:val="none"/>
              </w:rPr>
            </w:pPr>
            <w:r>
              <w:rPr>
                <w:sz w:val="21"/>
                <w:szCs w:val="21"/>
                <w:highlight w:val="none"/>
              </w:rPr>
              <w:t>序号</w:t>
            </w:r>
          </w:p>
        </w:tc>
        <w:tc>
          <w:tcPr>
            <w:tcW w:w="2054" w:type="pct"/>
            <w:gridSpan w:val="4"/>
            <w:tcBorders>
              <w:tl2br w:val="nil"/>
              <w:tr2bl w:val="nil"/>
            </w:tcBorders>
            <w:shd w:val="clear" w:color="auto" w:fill="FFFFFF"/>
            <w:vAlign w:val="center"/>
          </w:tcPr>
          <w:p w14:paraId="74C3B4FD">
            <w:pPr>
              <w:spacing w:line="240" w:lineRule="auto"/>
              <w:ind w:firstLine="0" w:firstLineChars="0"/>
              <w:jc w:val="center"/>
              <w:rPr>
                <w:sz w:val="21"/>
                <w:szCs w:val="21"/>
                <w:highlight w:val="none"/>
              </w:rPr>
            </w:pPr>
            <w:r>
              <w:rPr>
                <w:sz w:val="21"/>
                <w:szCs w:val="21"/>
                <w:highlight w:val="none"/>
              </w:rPr>
              <w:t>HJ169-2018附录 B 中涉及内容</w:t>
            </w:r>
          </w:p>
        </w:tc>
        <w:tc>
          <w:tcPr>
            <w:tcW w:w="823" w:type="pct"/>
            <w:vMerge w:val="restart"/>
            <w:tcBorders>
              <w:tl2br w:val="nil"/>
              <w:tr2bl w:val="nil"/>
            </w:tcBorders>
            <w:shd w:val="clear" w:color="auto" w:fill="FFFFFF"/>
            <w:vAlign w:val="center"/>
          </w:tcPr>
          <w:p w14:paraId="765EBAC2">
            <w:pPr>
              <w:spacing w:line="240" w:lineRule="auto"/>
              <w:ind w:firstLine="0" w:firstLineChars="0"/>
              <w:jc w:val="center"/>
              <w:rPr>
                <w:sz w:val="21"/>
                <w:szCs w:val="21"/>
                <w:highlight w:val="none"/>
              </w:rPr>
            </w:pPr>
            <w:r>
              <w:rPr>
                <w:sz w:val="21"/>
                <w:szCs w:val="21"/>
                <w:highlight w:val="none"/>
              </w:rPr>
              <w:t>危险物质</w:t>
            </w:r>
          </w:p>
          <w:p w14:paraId="5E7584A7">
            <w:pPr>
              <w:spacing w:line="240" w:lineRule="auto"/>
              <w:ind w:firstLine="0" w:firstLineChars="0"/>
              <w:jc w:val="center"/>
              <w:rPr>
                <w:sz w:val="21"/>
                <w:szCs w:val="21"/>
                <w:highlight w:val="none"/>
              </w:rPr>
            </w:pPr>
            <w:r>
              <w:rPr>
                <w:sz w:val="21"/>
                <w:szCs w:val="21"/>
                <w:highlight w:val="none"/>
              </w:rPr>
              <w:t>的分布</w:t>
            </w:r>
          </w:p>
        </w:tc>
        <w:tc>
          <w:tcPr>
            <w:tcW w:w="603" w:type="pct"/>
            <w:vMerge w:val="restart"/>
            <w:tcBorders>
              <w:tl2br w:val="nil"/>
              <w:tr2bl w:val="nil"/>
            </w:tcBorders>
            <w:shd w:val="clear" w:color="auto" w:fill="FFFFFF"/>
            <w:vAlign w:val="center"/>
          </w:tcPr>
          <w:p w14:paraId="5B9C37FC">
            <w:pPr>
              <w:spacing w:line="240" w:lineRule="auto"/>
              <w:ind w:firstLine="0" w:firstLineChars="0"/>
              <w:jc w:val="center"/>
              <w:rPr>
                <w:sz w:val="21"/>
                <w:szCs w:val="21"/>
                <w:highlight w:val="none"/>
              </w:rPr>
            </w:pPr>
            <w:r>
              <w:rPr>
                <w:sz w:val="21"/>
                <w:szCs w:val="21"/>
                <w:highlight w:val="none"/>
              </w:rPr>
              <w:t>易燃易爆特性</w:t>
            </w:r>
          </w:p>
        </w:tc>
        <w:tc>
          <w:tcPr>
            <w:tcW w:w="1206" w:type="pct"/>
            <w:vMerge w:val="restart"/>
            <w:tcBorders>
              <w:tl2br w:val="nil"/>
              <w:tr2bl w:val="nil"/>
            </w:tcBorders>
            <w:shd w:val="clear" w:color="auto" w:fill="FFFFFF"/>
            <w:vAlign w:val="center"/>
          </w:tcPr>
          <w:p w14:paraId="57728D37">
            <w:pPr>
              <w:spacing w:line="240" w:lineRule="auto"/>
              <w:ind w:firstLine="0" w:firstLineChars="0"/>
              <w:jc w:val="center"/>
              <w:rPr>
                <w:sz w:val="21"/>
                <w:szCs w:val="21"/>
                <w:highlight w:val="none"/>
              </w:rPr>
            </w:pPr>
            <w:r>
              <w:rPr>
                <w:sz w:val="21"/>
                <w:szCs w:val="21"/>
                <w:highlight w:val="none"/>
              </w:rPr>
              <w:t>有毒有害危险性</w:t>
            </w:r>
          </w:p>
        </w:tc>
      </w:tr>
      <w:tr w14:paraId="2C8B20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12" w:type="pct"/>
            <w:vMerge w:val="continue"/>
            <w:tcBorders>
              <w:tl2br w:val="nil"/>
              <w:tr2bl w:val="nil"/>
            </w:tcBorders>
            <w:shd w:val="clear" w:color="auto" w:fill="FFFFFF"/>
            <w:vAlign w:val="center"/>
          </w:tcPr>
          <w:p w14:paraId="7F98B851">
            <w:pPr>
              <w:spacing w:line="240" w:lineRule="auto"/>
              <w:ind w:firstLine="0" w:firstLineChars="0"/>
              <w:jc w:val="center"/>
              <w:rPr>
                <w:sz w:val="21"/>
                <w:szCs w:val="21"/>
                <w:highlight w:val="none"/>
              </w:rPr>
            </w:pPr>
          </w:p>
        </w:tc>
        <w:tc>
          <w:tcPr>
            <w:tcW w:w="603" w:type="pct"/>
            <w:tcBorders>
              <w:tl2br w:val="nil"/>
              <w:tr2bl w:val="nil"/>
            </w:tcBorders>
            <w:shd w:val="clear" w:color="auto" w:fill="FFFFFF"/>
            <w:vAlign w:val="center"/>
          </w:tcPr>
          <w:p w14:paraId="7874E11E">
            <w:pPr>
              <w:spacing w:line="240" w:lineRule="auto"/>
              <w:ind w:firstLine="0" w:firstLineChars="0"/>
              <w:jc w:val="center"/>
              <w:rPr>
                <w:sz w:val="21"/>
                <w:szCs w:val="21"/>
                <w:highlight w:val="none"/>
              </w:rPr>
            </w:pPr>
            <w:r>
              <w:rPr>
                <w:sz w:val="21"/>
                <w:szCs w:val="21"/>
                <w:highlight w:val="none"/>
              </w:rPr>
              <w:t>危险物质名称</w:t>
            </w:r>
          </w:p>
        </w:tc>
        <w:tc>
          <w:tcPr>
            <w:tcW w:w="640" w:type="pct"/>
            <w:tcBorders>
              <w:tl2br w:val="nil"/>
              <w:tr2bl w:val="nil"/>
            </w:tcBorders>
            <w:shd w:val="clear" w:color="auto" w:fill="FFFFFF"/>
            <w:vAlign w:val="center"/>
          </w:tcPr>
          <w:p w14:paraId="5364C171">
            <w:pPr>
              <w:spacing w:line="240" w:lineRule="auto"/>
              <w:ind w:firstLine="0" w:firstLineChars="0"/>
              <w:jc w:val="center"/>
              <w:rPr>
                <w:sz w:val="21"/>
                <w:szCs w:val="21"/>
                <w:highlight w:val="none"/>
              </w:rPr>
            </w:pPr>
            <w:r>
              <w:rPr>
                <w:sz w:val="21"/>
                <w:szCs w:val="21"/>
                <w:highlight w:val="none"/>
              </w:rPr>
              <w:t>CAS号</w:t>
            </w:r>
          </w:p>
        </w:tc>
        <w:tc>
          <w:tcPr>
            <w:tcW w:w="427" w:type="pct"/>
            <w:tcBorders>
              <w:tl2br w:val="nil"/>
              <w:tr2bl w:val="nil"/>
            </w:tcBorders>
            <w:shd w:val="clear" w:color="auto" w:fill="FFFFFF"/>
            <w:vAlign w:val="center"/>
          </w:tcPr>
          <w:p w14:paraId="40EFD69E">
            <w:pPr>
              <w:spacing w:line="240" w:lineRule="auto"/>
              <w:ind w:firstLine="0" w:firstLineChars="0"/>
              <w:jc w:val="center"/>
              <w:rPr>
                <w:sz w:val="21"/>
                <w:szCs w:val="21"/>
                <w:highlight w:val="none"/>
              </w:rPr>
            </w:pPr>
            <w:r>
              <w:rPr>
                <w:sz w:val="21"/>
                <w:szCs w:val="21"/>
                <w:highlight w:val="none"/>
              </w:rPr>
              <w:t>临界量</w:t>
            </w:r>
          </w:p>
        </w:tc>
        <w:tc>
          <w:tcPr>
            <w:tcW w:w="383" w:type="pct"/>
            <w:tcBorders>
              <w:tl2br w:val="nil"/>
              <w:tr2bl w:val="nil"/>
            </w:tcBorders>
            <w:shd w:val="clear" w:color="auto" w:fill="FFFFFF"/>
            <w:vAlign w:val="center"/>
          </w:tcPr>
          <w:p w14:paraId="53B33218">
            <w:pPr>
              <w:spacing w:line="240" w:lineRule="auto"/>
              <w:ind w:firstLine="0" w:firstLineChars="0"/>
              <w:jc w:val="center"/>
              <w:rPr>
                <w:sz w:val="21"/>
                <w:szCs w:val="21"/>
                <w:highlight w:val="none"/>
              </w:rPr>
            </w:pPr>
            <w:r>
              <w:rPr>
                <w:sz w:val="21"/>
                <w:szCs w:val="21"/>
                <w:highlight w:val="none"/>
              </w:rPr>
              <w:t>备注</w:t>
            </w:r>
          </w:p>
        </w:tc>
        <w:tc>
          <w:tcPr>
            <w:tcW w:w="823" w:type="pct"/>
            <w:vMerge w:val="continue"/>
            <w:tcBorders>
              <w:tl2br w:val="nil"/>
              <w:tr2bl w:val="nil"/>
            </w:tcBorders>
            <w:shd w:val="clear" w:color="auto" w:fill="FFFFFF"/>
            <w:vAlign w:val="center"/>
          </w:tcPr>
          <w:p w14:paraId="3864ACA8">
            <w:pPr>
              <w:spacing w:line="240" w:lineRule="auto"/>
              <w:ind w:firstLine="0" w:firstLineChars="0"/>
              <w:jc w:val="center"/>
              <w:rPr>
                <w:sz w:val="21"/>
                <w:szCs w:val="21"/>
                <w:highlight w:val="none"/>
              </w:rPr>
            </w:pPr>
          </w:p>
        </w:tc>
        <w:tc>
          <w:tcPr>
            <w:tcW w:w="603" w:type="pct"/>
            <w:vMerge w:val="continue"/>
            <w:tcBorders>
              <w:tl2br w:val="nil"/>
              <w:tr2bl w:val="nil"/>
            </w:tcBorders>
            <w:shd w:val="clear" w:color="auto" w:fill="FFFFFF"/>
            <w:vAlign w:val="center"/>
          </w:tcPr>
          <w:p w14:paraId="3A8580F2">
            <w:pPr>
              <w:spacing w:line="240" w:lineRule="auto"/>
              <w:ind w:firstLine="0" w:firstLineChars="0"/>
              <w:jc w:val="center"/>
              <w:rPr>
                <w:sz w:val="21"/>
                <w:szCs w:val="21"/>
                <w:highlight w:val="none"/>
              </w:rPr>
            </w:pPr>
          </w:p>
        </w:tc>
        <w:tc>
          <w:tcPr>
            <w:tcW w:w="1206" w:type="pct"/>
            <w:vMerge w:val="continue"/>
            <w:tcBorders>
              <w:tl2br w:val="nil"/>
              <w:tr2bl w:val="nil"/>
            </w:tcBorders>
            <w:shd w:val="clear" w:color="auto" w:fill="FFFFFF"/>
            <w:vAlign w:val="center"/>
          </w:tcPr>
          <w:p w14:paraId="4D778767">
            <w:pPr>
              <w:spacing w:line="240" w:lineRule="auto"/>
              <w:ind w:firstLine="0" w:firstLineChars="0"/>
              <w:jc w:val="center"/>
              <w:rPr>
                <w:sz w:val="21"/>
                <w:szCs w:val="21"/>
                <w:highlight w:val="none"/>
              </w:rPr>
            </w:pPr>
          </w:p>
        </w:tc>
      </w:tr>
      <w:tr w14:paraId="2A73BD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312" w:type="pct"/>
            <w:tcBorders>
              <w:tl2br w:val="nil"/>
              <w:tr2bl w:val="nil"/>
            </w:tcBorders>
            <w:shd w:val="clear" w:color="auto" w:fill="FFFFFF"/>
            <w:vAlign w:val="center"/>
          </w:tcPr>
          <w:p w14:paraId="22C03607">
            <w:pPr>
              <w:spacing w:line="240" w:lineRule="auto"/>
              <w:ind w:firstLine="0" w:firstLineChars="0"/>
              <w:jc w:val="center"/>
              <w:rPr>
                <w:sz w:val="21"/>
                <w:szCs w:val="21"/>
                <w:highlight w:val="none"/>
              </w:rPr>
            </w:pPr>
            <w:r>
              <w:rPr>
                <w:rFonts w:hint="eastAsia"/>
                <w:sz w:val="21"/>
                <w:szCs w:val="21"/>
                <w:highlight w:val="none"/>
              </w:rPr>
              <w:t>1</w:t>
            </w:r>
          </w:p>
        </w:tc>
        <w:tc>
          <w:tcPr>
            <w:tcW w:w="603" w:type="pct"/>
            <w:tcBorders>
              <w:tl2br w:val="nil"/>
              <w:tr2bl w:val="nil"/>
            </w:tcBorders>
            <w:shd w:val="clear" w:color="auto" w:fill="FFFFFF"/>
            <w:vAlign w:val="center"/>
          </w:tcPr>
          <w:p w14:paraId="5F72C94E">
            <w:pPr>
              <w:spacing w:line="240" w:lineRule="auto"/>
              <w:ind w:firstLine="0" w:firstLineChars="0"/>
              <w:jc w:val="center"/>
              <w:rPr>
                <w:sz w:val="21"/>
                <w:szCs w:val="21"/>
                <w:highlight w:val="none"/>
              </w:rPr>
            </w:pPr>
            <w:r>
              <w:rPr>
                <w:sz w:val="21"/>
                <w:szCs w:val="21"/>
                <w:highlight w:val="none"/>
              </w:rPr>
              <w:t>柴油</w:t>
            </w:r>
          </w:p>
        </w:tc>
        <w:tc>
          <w:tcPr>
            <w:tcW w:w="640" w:type="pct"/>
            <w:tcBorders>
              <w:tl2br w:val="nil"/>
              <w:tr2bl w:val="nil"/>
            </w:tcBorders>
            <w:shd w:val="clear" w:color="auto" w:fill="FFFFFF"/>
            <w:vAlign w:val="center"/>
          </w:tcPr>
          <w:p w14:paraId="23A17393">
            <w:pPr>
              <w:spacing w:line="240" w:lineRule="auto"/>
              <w:ind w:firstLine="0" w:firstLineChars="0"/>
              <w:jc w:val="center"/>
              <w:rPr>
                <w:sz w:val="21"/>
                <w:szCs w:val="21"/>
                <w:highlight w:val="none"/>
              </w:rPr>
            </w:pPr>
            <w:r>
              <w:rPr>
                <w:sz w:val="21"/>
                <w:szCs w:val="21"/>
                <w:highlight w:val="none"/>
              </w:rPr>
              <w:t>/</w:t>
            </w:r>
          </w:p>
        </w:tc>
        <w:tc>
          <w:tcPr>
            <w:tcW w:w="427" w:type="pct"/>
            <w:tcBorders>
              <w:tl2br w:val="nil"/>
              <w:tr2bl w:val="nil"/>
            </w:tcBorders>
            <w:shd w:val="clear" w:color="auto" w:fill="FFFFFF"/>
            <w:vAlign w:val="center"/>
          </w:tcPr>
          <w:p w14:paraId="1DC5B339">
            <w:pPr>
              <w:spacing w:line="240" w:lineRule="auto"/>
              <w:ind w:firstLine="0" w:firstLineChars="0"/>
              <w:jc w:val="center"/>
              <w:rPr>
                <w:sz w:val="21"/>
                <w:szCs w:val="21"/>
                <w:highlight w:val="none"/>
              </w:rPr>
            </w:pPr>
            <w:r>
              <w:rPr>
                <w:sz w:val="21"/>
                <w:szCs w:val="21"/>
                <w:highlight w:val="none"/>
              </w:rPr>
              <w:t>2500</w:t>
            </w:r>
          </w:p>
        </w:tc>
        <w:tc>
          <w:tcPr>
            <w:tcW w:w="383" w:type="pct"/>
            <w:tcBorders>
              <w:tl2br w:val="nil"/>
              <w:tr2bl w:val="nil"/>
            </w:tcBorders>
            <w:shd w:val="clear" w:color="auto" w:fill="FFFFFF"/>
            <w:vAlign w:val="center"/>
          </w:tcPr>
          <w:p w14:paraId="6849627D">
            <w:pPr>
              <w:spacing w:line="240" w:lineRule="auto"/>
              <w:ind w:firstLine="0" w:firstLineChars="0"/>
              <w:jc w:val="center"/>
              <w:rPr>
                <w:sz w:val="21"/>
                <w:szCs w:val="21"/>
                <w:highlight w:val="none"/>
              </w:rPr>
            </w:pPr>
            <w:r>
              <w:rPr>
                <w:sz w:val="21"/>
                <w:szCs w:val="21"/>
                <w:highlight w:val="none"/>
              </w:rPr>
              <w:t>表B.1</w:t>
            </w:r>
          </w:p>
        </w:tc>
        <w:tc>
          <w:tcPr>
            <w:tcW w:w="823" w:type="pct"/>
            <w:tcBorders>
              <w:tl2br w:val="nil"/>
              <w:tr2bl w:val="nil"/>
            </w:tcBorders>
            <w:shd w:val="clear" w:color="auto" w:fill="FFFFFF"/>
            <w:vAlign w:val="center"/>
          </w:tcPr>
          <w:p w14:paraId="1425D847">
            <w:pPr>
              <w:spacing w:line="240" w:lineRule="auto"/>
              <w:ind w:firstLine="0" w:firstLineChars="0"/>
              <w:jc w:val="center"/>
              <w:rPr>
                <w:sz w:val="21"/>
                <w:szCs w:val="21"/>
                <w:highlight w:val="none"/>
              </w:rPr>
            </w:pPr>
            <w:r>
              <w:rPr>
                <w:rFonts w:hint="eastAsia"/>
                <w:sz w:val="21"/>
                <w:szCs w:val="21"/>
                <w:highlight w:val="none"/>
              </w:rPr>
              <w:t>油罐车</w:t>
            </w:r>
          </w:p>
        </w:tc>
        <w:tc>
          <w:tcPr>
            <w:tcW w:w="603" w:type="pct"/>
            <w:tcBorders>
              <w:tl2br w:val="nil"/>
              <w:tr2bl w:val="nil"/>
            </w:tcBorders>
            <w:shd w:val="clear" w:color="auto" w:fill="FFFFFF"/>
            <w:vAlign w:val="center"/>
          </w:tcPr>
          <w:p w14:paraId="74930FDA">
            <w:pPr>
              <w:spacing w:line="240" w:lineRule="auto"/>
              <w:ind w:firstLine="0" w:firstLineChars="0"/>
              <w:jc w:val="center"/>
              <w:rPr>
                <w:sz w:val="21"/>
                <w:szCs w:val="21"/>
                <w:highlight w:val="none"/>
              </w:rPr>
            </w:pPr>
            <w:r>
              <w:rPr>
                <w:sz w:val="21"/>
                <w:szCs w:val="21"/>
                <w:highlight w:val="none"/>
              </w:rPr>
              <w:t>可燃</w:t>
            </w:r>
          </w:p>
        </w:tc>
        <w:tc>
          <w:tcPr>
            <w:tcW w:w="1206" w:type="pct"/>
            <w:tcBorders>
              <w:tl2br w:val="nil"/>
              <w:tr2bl w:val="nil"/>
            </w:tcBorders>
            <w:shd w:val="clear" w:color="auto" w:fill="FFFFFF"/>
            <w:vAlign w:val="center"/>
          </w:tcPr>
          <w:p w14:paraId="0831C43E">
            <w:pPr>
              <w:spacing w:line="240" w:lineRule="auto"/>
              <w:ind w:firstLine="0" w:firstLineChars="0"/>
              <w:jc w:val="center"/>
              <w:rPr>
                <w:sz w:val="21"/>
                <w:szCs w:val="21"/>
                <w:highlight w:val="none"/>
              </w:rPr>
            </w:pPr>
            <w:r>
              <w:rPr>
                <w:sz w:val="21"/>
                <w:szCs w:val="21"/>
                <w:highlight w:val="none"/>
              </w:rPr>
              <w:t>/</w:t>
            </w:r>
          </w:p>
        </w:tc>
      </w:tr>
    </w:tbl>
    <w:p w14:paraId="25C6372F">
      <w:pPr>
        <w:pStyle w:val="5"/>
        <w:bidi w:val="0"/>
        <w:ind w:left="0" w:leftChars="0" w:firstLine="0" w:firstLineChars="0"/>
        <w:rPr>
          <w:rFonts w:hint="eastAsia"/>
          <w:highlight w:val="none"/>
          <w:lang w:val="en-US" w:eastAsia="zh-CN"/>
        </w:rPr>
      </w:pPr>
      <w:bookmarkStart w:id="93" w:name="_Toc30736"/>
      <w:r>
        <w:rPr>
          <w:rFonts w:hint="eastAsia"/>
          <w:highlight w:val="none"/>
          <w:lang w:val="en-US" w:eastAsia="zh-CN"/>
        </w:rPr>
        <w:t>3.3.7本项目投产后总量排放分析</w:t>
      </w:r>
      <w:bookmarkEnd w:id="93"/>
    </w:p>
    <w:p w14:paraId="7476DF10">
      <w:pPr>
        <w:rPr>
          <w:rFonts w:hint="eastAsia" w:ascii="Times New Roman" w:hAnsi="Times New Roman"/>
          <w:highlight w:val="none"/>
          <w:lang w:val="en-US" w:eastAsia="zh-CN"/>
        </w:rPr>
      </w:pPr>
      <w:r>
        <w:rPr>
          <w:rFonts w:ascii="Times New Roman" w:hAnsi="Times New Roman"/>
          <w:highlight w:val="none"/>
        </w:rPr>
        <w:t>本项目污染物排放汇总见表3.3-</w:t>
      </w:r>
      <w:r>
        <w:rPr>
          <w:rFonts w:hint="eastAsia" w:ascii="Times New Roman" w:hAnsi="Times New Roman"/>
          <w:highlight w:val="none"/>
          <w:lang w:val="en-US" w:eastAsia="zh-CN"/>
        </w:rPr>
        <w:t>10。</w:t>
      </w:r>
    </w:p>
    <w:p w14:paraId="6B129B71">
      <w:pPr>
        <w:jc w:val="center"/>
        <w:rPr>
          <w:rFonts w:hint="eastAsia" w:ascii="黑体" w:hAnsi="黑体" w:eastAsia="黑体" w:cs="黑体"/>
          <w:highlight w:val="none"/>
        </w:rPr>
      </w:pPr>
      <w:r>
        <w:rPr>
          <w:rFonts w:hint="eastAsia" w:ascii="黑体" w:hAnsi="黑体" w:eastAsia="黑体" w:cs="黑体"/>
          <w:highlight w:val="none"/>
        </w:rPr>
        <w:t>表</w:t>
      </w:r>
      <w:r>
        <w:rPr>
          <w:rFonts w:ascii="Times New Roman" w:hAnsi="Times New Roman"/>
          <w:highlight w:val="none"/>
        </w:rPr>
        <w:t>3.3-</w:t>
      </w:r>
      <w:r>
        <w:rPr>
          <w:rFonts w:hint="eastAsia" w:ascii="Times New Roman" w:hAnsi="Times New Roman"/>
          <w:highlight w:val="none"/>
          <w:lang w:val="en-US" w:eastAsia="zh-CN"/>
        </w:rPr>
        <w:t>10</w:t>
      </w:r>
      <w:r>
        <w:rPr>
          <w:rFonts w:hint="eastAsia" w:ascii="黑体" w:hAnsi="黑体" w:eastAsia="黑体" w:cs="黑体"/>
          <w:highlight w:val="none"/>
        </w:rPr>
        <w:t>污染物排放汇总表</w:t>
      </w:r>
    </w:p>
    <w:tbl>
      <w:tblPr>
        <w:tblStyle w:val="1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autofit"/>
        <w:tblCellMar>
          <w:top w:w="0" w:type="dxa"/>
          <w:left w:w="108" w:type="dxa"/>
          <w:bottom w:w="0" w:type="dxa"/>
          <w:right w:w="108" w:type="dxa"/>
        </w:tblCellMar>
      </w:tblPr>
      <w:tblGrid>
        <w:gridCol w:w="627"/>
        <w:gridCol w:w="1431"/>
        <w:gridCol w:w="2036"/>
        <w:gridCol w:w="2202"/>
        <w:gridCol w:w="2221"/>
      </w:tblGrid>
      <w:tr w14:paraId="69A19E2D">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tblHeader/>
          <w:jc w:val="center"/>
        </w:trPr>
        <w:tc>
          <w:tcPr>
            <w:tcW w:w="368" w:type="pct"/>
            <w:noWrap w:val="0"/>
            <w:vAlign w:val="center"/>
          </w:tcPr>
          <w:p w14:paraId="0EF652C5">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类别</w:t>
            </w:r>
          </w:p>
        </w:tc>
        <w:tc>
          <w:tcPr>
            <w:tcW w:w="840" w:type="pct"/>
            <w:noWrap w:val="0"/>
            <w:vAlign w:val="center"/>
          </w:tcPr>
          <w:p w14:paraId="7550980E">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污染物</w:t>
            </w:r>
          </w:p>
        </w:tc>
        <w:tc>
          <w:tcPr>
            <w:tcW w:w="1195" w:type="pct"/>
            <w:noWrap w:val="0"/>
            <w:vAlign w:val="center"/>
          </w:tcPr>
          <w:p w14:paraId="133AFA97">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产生量</w:t>
            </w:r>
            <w:r>
              <w:rPr>
                <w:rFonts w:hint="eastAsia" w:ascii="Times New Roman" w:hAnsi="Times New Roman"/>
                <w:szCs w:val="21"/>
                <w:highlight w:val="none"/>
              </w:rPr>
              <w:t>t/a</w:t>
            </w:r>
          </w:p>
        </w:tc>
        <w:tc>
          <w:tcPr>
            <w:tcW w:w="1292" w:type="pct"/>
            <w:noWrap w:val="0"/>
            <w:vAlign w:val="center"/>
          </w:tcPr>
          <w:p w14:paraId="3CFB3369">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削减量</w:t>
            </w:r>
            <w:r>
              <w:rPr>
                <w:rFonts w:hint="eastAsia" w:ascii="Times New Roman" w:hAnsi="Times New Roman"/>
                <w:szCs w:val="21"/>
                <w:highlight w:val="none"/>
              </w:rPr>
              <w:t>t/a</w:t>
            </w:r>
          </w:p>
        </w:tc>
        <w:tc>
          <w:tcPr>
            <w:tcW w:w="1303" w:type="pct"/>
            <w:noWrap w:val="0"/>
            <w:vAlign w:val="center"/>
          </w:tcPr>
          <w:p w14:paraId="754B2130">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排放量</w:t>
            </w:r>
            <w:r>
              <w:rPr>
                <w:rFonts w:hint="eastAsia" w:ascii="Times New Roman" w:hAnsi="Times New Roman"/>
                <w:szCs w:val="21"/>
                <w:highlight w:val="none"/>
              </w:rPr>
              <w:t>t/a</w:t>
            </w:r>
          </w:p>
        </w:tc>
      </w:tr>
      <w:tr w14:paraId="152C8105">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restart"/>
            <w:noWrap w:val="0"/>
            <w:vAlign w:val="center"/>
          </w:tcPr>
          <w:p w14:paraId="70A2289E">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废气</w:t>
            </w:r>
          </w:p>
        </w:tc>
        <w:tc>
          <w:tcPr>
            <w:tcW w:w="840" w:type="pct"/>
            <w:noWrap w:val="0"/>
            <w:vAlign w:val="center"/>
          </w:tcPr>
          <w:p w14:paraId="4C492DDC">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烟尘（颗粒物）</w:t>
            </w:r>
          </w:p>
        </w:tc>
        <w:tc>
          <w:tcPr>
            <w:tcW w:w="1195" w:type="pct"/>
            <w:noWrap w:val="0"/>
            <w:vAlign w:val="center"/>
          </w:tcPr>
          <w:p w14:paraId="19FA513F">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6053.28</w:t>
            </w:r>
          </w:p>
        </w:tc>
        <w:tc>
          <w:tcPr>
            <w:tcW w:w="1292" w:type="pct"/>
            <w:noWrap w:val="0"/>
            <w:vAlign w:val="center"/>
          </w:tcPr>
          <w:p w14:paraId="219858C2">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6050.89</w:t>
            </w:r>
          </w:p>
        </w:tc>
        <w:tc>
          <w:tcPr>
            <w:tcW w:w="1303" w:type="pct"/>
            <w:noWrap w:val="0"/>
            <w:vAlign w:val="center"/>
          </w:tcPr>
          <w:p w14:paraId="5E759890">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2.39</w:t>
            </w:r>
          </w:p>
        </w:tc>
      </w:tr>
      <w:tr w14:paraId="5FE2E559">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67FAFB87">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60F7A329">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SO</w:t>
            </w:r>
            <w:r>
              <w:rPr>
                <w:rFonts w:ascii="Times New Roman" w:hAnsi="Times New Roman"/>
                <w:szCs w:val="21"/>
                <w:highlight w:val="none"/>
                <w:vertAlign w:val="subscript"/>
              </w:rPr>
              <w:t>2</w:t>
            </w:r>
          </w:p>
        </w:tc>
        <w:tc>
          <w:tcPr>
            <w:tcW w:w="1195" w:type="pct"/>
            <w:noWrap w:val="0"/>
            <w:vAlign w:val="center"/>
          </w:tcPr>
          <w:p w14:paraId="5BCEE50E">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243.888</w:t>
            </w:r>
          </w:p>
        </w:tc>
        <w:tc>
          <w:tcPr>
            <w:tcW w:w="1292" w:type="pct"/>
            <w:noWrap w:val="0"/>
            <w:vAlign w:val="center"/>
          </w:tcPr>
          <w:p w14:paraId="64214096">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236.536</w:t>
            </w:r>
          </w:p>
        </w:tc>
        <w:tc>
          <w:tcPr>
            <w:tcW w:w="1303" w:type="pct"/>
            <w:noWrap w:val="0"/>
            <w:vAlign w:val="center"/>
          </w:tcPr>
          <w:p w14:paraId="76826A96">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7.352</w:t>
            </w:r>
          </w:p>
        </w:tc>
      </w:tr>
      <w:tr w14:paraId="3DC7657E">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22C56E2A">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1EE3AA74">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NOx</w:t>
            </w:r>
          </w:p>
        </w:tc>
        <w:tc>
          <w:tcPr>
            <w:tcW w:w="1195" w:type="pct"/>
            <w:noWrap w:val="0"/>
            <w:vAlign w:val="center"/>
          </w:tcPr>
          <w:p w14:paraId="41D1786D">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687.024</w:t>
            </w:r>
          </w:p>
        </w:tc>
        <w:tc>
          <w:tcPr>
            <w:tcW w:w="1292" w:type="pct"/>
            <w:noWrap w:val="0"/>
            <w:vAlign w:val="center"/>
          </w:tcPr>
          <w:p w14:paraId="770F4E90">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680.154</w:t>
            </w:r>
          </w:p>
        </w:tc>
        <w:tc>
          <w:tcPr>
            <w:tcW w:w="1303" w:type="pct"/>
            <w:noWrap w:val="0"/>
            <w:vAlign w:val="center"/>
          </w:tcPr>
          <w:p w14:paraId="0D0741BB">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6.87</w:t>
            </w:r>
          </w:p>
        </w:tc>
      </w:tr>
      <w:tr w14:paraId="03F4DCB6">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3F278D50">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778DD7D0">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Hg及其化合物</w:t>
            </w:r>
          </w:p>
        </w:tc>
        <w:tc>
          <w:tcPr>
            <w:tcW w:w="1195" w:type="pct"/>
            <w:noWrap w:val="0"/>
            <w:vAlign w:val="center"/>
          </w:tcPr>
          <w:p w14:paraId="6C1AE60D">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0.018</w:t>
            </w:r>
          </w:p>
        </w:tc>
        <w:tc>
          <w:tcPr>
            <w:tcW w:w="1292" w:type="pct"/>
            <w:noWrap w:val="0"/>
            <w:vAlign w:val="center"/>
          </w:tcPr>
          <w:p w14:paraId="6B40C64F">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0.0125</w:t>
            </w:r>
          </w:p>
        </w:tc>
        <w:tc>
          <w:tcPr>
            <w:tcW w:w="1303" w:type="pct"/>
            <w:noWrap w:val="0"/>
            <w:vAlign w:val="center"/>
          </w:tcPr>
          <w:p w14:paraId="6F7A102E">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0.0055</w:t>
            </w:r>
          </w:p>
        </w:tc>
      </w:tr>
      <w:tr w14:paraId="2B960247">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5C8C1DAE">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76D7D1B7">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氨</w:t>
            </w:r>
          </w:p>
        </w:tc>
        <w:tc>
          <w:tcPr>
            <w:tcW w:w="1195" w:type="pct"/>
            <w:noWrap w:val="0"/>
            <w:vAlign w:val="center"/>
          </w:tcPr>
          <w:p w14:paraId="2B41C175">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1.88</w:t>
            </w:r>
          </w:p>
        </w:tc>
        <w:tc>
          <w:tcPr>
            <w:tcW w:w="1292" w:type="pct"/>
            <w:noWrap w:val="0"/>
            <w:vAlign w:val="center"/>
          </w:tcPr>
          <w:p w14:paraId="3D50912A">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c>
          <w:tcPr>
            <w:tcW w:w="1303" w:type="pct"/>
            <w:noWrap w:val="0"/>
            <w:vAlign w:val="center"/>
          </w:tcPr>
          <w:p w14:paraId="38D54CE0">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1.88</w:t>
            </w:r>
          </w:p>
        </w:tc>
      </w:tr>
      <w:tr w14:paraId="70DA3377">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71D2D775">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07292087">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粉尘（颗粒物）</w:t>
            </w:r>
          </w:p>
        </w:tc>
        <w:tc>
          <w:tcPr>
            <w:tcW w:w="1195" w:type="pct"/>
            <w:noWrap w:val="0"/>
            <w:vAlign w:val="center"/>
          </w:tcPr>
          <w:p w14:paraId="52AA320A">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113.768</w:t>
            </w:r>
          </w:p>
        </w:tc>
        <w:tc>
          <w:tcPr>
            <w:tcW w:w="1292" w:type="pct"/>
            <w:noWrap w:val="0"/>
            <w:vAlign w:val="center"/>
          </w:tcPr>
          <w:p w14:paraId="5F0B0690">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113.4327</w:t>
            </w:r>
          </w:p>
        </w:tc>
        <w:tc>
          <w:tcPr>
            <w:tcW w:w="1303" w:type="pct"/>
            <w:noWrap w:val="0"/>
            <w:vAlign w:val="center"/>
          </w:tcPr>
          <w:p w14:paraId="14990BF8">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0.3353</w:t>
            </w:r>
          </w:p>
        </w:tc>
      </w:tr>
      <w:tr w14:paraId="44AE8EE9">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restart"/>
            <w:noWrap w:val="0"/>
            <w:vAlign w:val="center"/>
          </w:tcPr>
          <w:p w14:paraId="47DE522E">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废水</w:t>
            </w:r>
          </w:p>
        </w:tc>
        <w:tc>
          <w:tcPr>
            <w:tcW w:w="840" w:type="pct"/>
            <w:noWrap w:val="0"/>
            <w:vAlign w:val="center"/>
          </w:tcPr>
          <w:p w14:paraId="32B7DCDB">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COD</w:t>
            </w:r>
          </w:p>
        </w:tc>
        <w:tc>
          <w:tcPr>
            <w:tcW w:w="1195" w:type="pct"/>
            <w:noWrap w:val="0"/>
            <w:vAlign w:val="bottom"/>
          </w:tcPr>
          <w:p w14:paraId="18322296">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1.176</w:t>
            </w:r>
          </w:p>
        </w:tc>
        <w:tc>
          <w:tcPr>
            <w:tcW w:w="1292" w:type="pct"/>
            <w:noWrap w:val="0"/>
            <w:vAlign w:val="center"/>
          </w:tcPr>
          <w:p w14:paraId="0FFE15CF">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c>
          <w:tcPr>
            <w:tcW w:w="2221" w:type="dxa"/>
            <w:noWrap w:val="0"/>
            <w:vAlign w:val="bottom"/>
          </w:tcPr>
          <w:p w14:paraId="3E12FB8F">
            <w:pPr>
              <w:pStyle w:val="42"/>
              <w:spacing w:before="0" w:beforeLines="0" w:after="0" w:afterLines="0"/>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1.176</w:t>
            </w:r>
          </w:p>
        </w:tc>
      </w:tr>
      <w:tr w14:paraId="2B0D6DB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391D8D8B">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12BDCBB4">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氨氮</w:t>
            </w:r>
          </w:p>
        </w:tc>
        <w:tc>
          <w:tcPr>
            <w:tcW w:w="1195" w:type="pct"/>
            <w:noWrap w:val="0"/>
            <w:vAlign w:val="bottom"/>
          </w:tcPr>
          <w:p w14:paraId="1DC27C88">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0.0588</w:t>
            </w:r>
          </w:p>
        </w:tc>
        <w:tc>
          <w:tcPr>
            <w:tcW w:w="1292" w:type="pct"/>
            <w:noWrap w:val="0"/>
            <w:vAlign w:val="center"/>
          </w:tcPr>
          <w:p w14:paraId="453D03FD">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c>
          <w:tcPr>
            <w:tcW w:w="2221" w:type="dxa"/>
            <w:noWrap w:val="0"/>
            <w:vAlign w:val="bottom"/>
          </w:tcPr>
          <w:p w14:paraId="0B82A917">
            <w:pPr>
              <w:pStyle w:val="42"/>
              <w:spacing w:before="0" w:beforeLines="0" w:after="0" w:afterLines="0"/>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0.0588</w:t>
            </w:r>
          </w:p>
        </w:tc>
      </w:tr>
      <w:tr w14:paraId="63364DCD">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70" w:hRule="atLeast"/>
          <w:jc w:val="center"/>
        </w:trPr>
        <w:tc>
          <w:tcPr>
            <w:tcW w:w="368" w:type="pct"/>
            <w:vMerge w:val="continue"/>
            <w:noWrap w:val="0"/>
            <w:vAlign w:val="center"/>
          </w:tcPr>
          <w:p w14:paraId="3F135B1B">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35661ADC">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动植物油</w:t>
            </w:r>
          </w:p>
        </w:tc>
        <w:tc>
          <w:tcPr>
            <w:tcW w:w="1195" w:type="pct"/>
            <w:noWrap w:val="0"/>
            <w:vAlign w:val="bottom"/>
          </w:tcPr>
          <w:p w14:paraId="7442E54F">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0.235</w:t>
            </w:r>
          </w:p>
        </w:tc>
        <w:tc>
          <w:tcPr>
            <w:tcW w:w="1292" w:type="pct"/>
            <w:noWrap w:val="0"/>
            <w:vAlign w:val="center"/>
          </w:tcPr>
          <w:p w14:paraId="1175C1C6">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c>
          <w:tcPr>
            <w:tcW w:w="2221" w:type="dxa"/>
            <w:noWrap w:val="0"/>
            <w:vAlign w:val="bottom"/>
          </w:tcPr>
          <w:p w14:paraId="4C97C23D">
            <w:pPr>
              <w:pStyle w:val="42"/>
              <w:spacing w:before="0" w:beforeLines="0" w:after="0" w:afterLines="0"/>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0.235</w:t>
            </w:r>
          </w:p>
        </w:tc>
      </w:tr>
      <w:tr w14:paraId="61EA86DE">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539D1BDE">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7B8B41B4">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SS</w:t>
            </w:r>
          </w:p>
        </w:tc>
        <w:tc>
          <w:tcPr>
            <w:tcW w:w="1195" w:type="pct"/>
            <w:noWrap w:val="0"/>
            <w:vAlign w:val="bottom"/>
          </w:tcPr>
          <w:p w14:paraId="683798E6">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0.94</w:t>
            </w:r>
          </w:p>
        </w:tc>
        <w:tc>
          <w:tcPr>
            <w:tcW w:w="1292" w:type="pct"/>
            <w:noWrap w:val="0"/>
            <w:vAlign w:val="center"/>
          </w:tcPr>
          <w:p w14:paraId="38F9C517">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c>
          <w:tcPr>
            <w:tcW w:w="2221" w:type="dxa"/>
            <w:noWrap w:val="0"/>
            <w:vAlign w:val="bottom"/>
          </w:tcPr>
          <w:p w14:paraId="1E929581">
            <w:pPr>
              <w:pStyle w:val="42"/>
              <w:spacing w:before="0" w:beforeLines="0" w:after="0" w:afterLines="0"/>
              <w:ind w:firstLine="0" w:firstLineChars="0"/>
              <w:textAlignment w:val="center"/>
              <w:rPr>
                <w:rFonts w:ascii="Times New Roman" w:hAnsi="Times New Roman"/>
                <w:szCs w:val="21"/>
                <w:highlight w:val="none"/>
              </w:rPr>
            </w:pPr>
            <w:r>
              <w:rPr>
                <w:rFonts w:hint="eastAsia" w:ascii="Times New Roman" w:hAnsi="Times New Roman"/>
                <w:szCs w:val="21"/>
                <w:highlight w:val="none"/>
                <w:lang w:val="en-US" w:eastAsia="zh-CN"/>
              </w:rPr>
              <w:t>0.94</w:t>
            </w:r>
          </w:p>
        </w:tc>
      </w:tr>
      <w:tr w14:paraId="043D98F3">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restart"/>
            <w:noWrap w:val="0"/>
            <w:vAlign w:val="center"/>
          </w:tcPr>
          <w:p w14:paraId="30BECAE8">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固体废物</w:t>
            </w:r>
          </w:p>
        </w:tc>
        <w:tc>
          <w:tcPr>
            <w:tcW w:w="840" w:type="pct"/>
            <w:noWrap w:val="0"/>
            <w:vAlign w:val="center"/>
          </w:tcPr>
          <w:p w14:paraId="20B571D8">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飞灰</w:t>
            </w:r>
          </w:p>
        </w:tc>
        <w:tc>
          <w:tcPr>
            <w:tcW w:w="1195" w:type="pct"/>
            <w:noWrap w:val="0"/>
            <w:vAlign w:val="center"/>
          </w:tcPr>
          <w:p w14:paraId="3039D742">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6050.89</w:t>
            </w:r>
          </w:p>
        </w:tc>
        <w:tc>
          <w:tcPr>
            <w:tcW w:w="1292" w:type="pct"/>
            <w:noWrap w:val="0"/>
            <w:vAlign w:val="center"/>
          </w:tcPr>
          <w:p w14:paraId="1064D2E9">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60.50.89</w:t>
            </w:r>
          </w:p>
        </w:tc>
        <w:tc>
          <w:tcPr>
            <w:tcW w:w="1303" w:type="pct"/>
            <w:noWrap w:val="0"/>
            <w:vAlign w:val="center"/>
          </w:tcPr>
          <w:p w14:paraId="023DD5EE">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04E605C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38EE0978">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4CD036B6">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炉渣</w:t>
            </w:r>
          </w:p>
        </w:tc>
        <w:tc>
          <w:tcPr>
            <w:tcW w:w="1195" w:type="pct"/>
            <w:noWrap w:val="0"/>
            <w:vAlign w:val="center"/>
          </w:tcPr>
          <w:p w14:paraId="7852F265">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25919.71</w:t>
            </w:r>
          </w:p>
        </w:tc>
        <w:tc>
          <w:tcPr>
            <w:tcW w:w="1292" w:type="pct"/>
            <w:noWrap w:val="0"/>
            <w:vAlign w:val="center"/>
          </w:tcPr>
          <w:p w14:paraId="728016A8">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25919.71</w:t>
            </w:r>
          </w:p>
        </w:tc>
        <w:tc>
          <w:tcPr>
            <w:tcW w:w="1303" w:type="pct"/>
            <w:noWrap w:val="0"/>
            <w:vAlign w:val="center"/>
          </w:tcPr>
          <w:p w14:paraId="028EE256">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44BDE014">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1F14E4DC">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06B37EC5">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脱硫石膏</w:t>
            </w:r>
          </w:p>
        </w:tc>
        <w:tc>
          <w:tcPr>
            <w:tcW w:w="1195" w:type="pct"/>
            <w:noWrap w:val="0"/>
            <w:vAlign w:val="center"/>
          </w:tcPr>
          <w:p w14:paraId="509BF3B2">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502.549</w:t>
            </w:r>
          </w:p>
        </w:tc>
        <w:tc>
          <w:tcPr>
            <w:tcW w:w="1292" w:type="pct"/>
            <w:noWrap w:val="0"/>
            <w:vAlign w:val="center"/>
          </w:tcPr>
          <w:p w14:paraId="1DB14EEB">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502.549</w:t>
            </w:r>
          </w:p>
        </w:tc>
        <w:tc>
          <w:tcPr>
            <w:tcW w:w="1303" w:type="pct"/>
            <w:noWrap w:val="0"/>
            <w:vAlign w:val="center"/>
          </w:tcPr>
          <w:p w14:paraId="558933CC">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3BEBAD6C">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11EAF1E0">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13B74932">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废催化剂</w:t>
            </w:r>
          </w:p>
        </w:tc>
        <w:tc>
          <w:tcPr>
            <w:tcW w:w="1195" w:type="pct"/>
            <w:noWrap w:val="0"/>
            <w:vAlign w:val="center"/>
          </w:tcPr>
          <w:p w14:paraId="7143E4A9">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10m</w:t>
            </w:r>
            <w:r>
              <w:rPr>
                <w:rFonts w:ascii="Times New Roman" w:hAnsi="Times New Roman"/>
                <w:szCs w:val="21"/>
                <w:highlight w:val="none"/>
                <w:vertAlign w:val="superscript"/>
              </w:rPr>
              <w:t>3</w:t>
            </w:r>
            <w:r>
              <w:rPr>
                <w:rFonts w:ascii="Times New Roman" w:hAnsi="Times New Roman"/>
                <w:szCs w:val="21"/>
                <w:highlight w:val="none"/>
              </w:rPr>
              <w:t>/3年</w:t>
            </w:r>
          </w:p>
        </w:tc>
        <w:tc>
          <w:tcPr>
            <w:tcW w:w="1292" w:type="pct"/>
            <w:noWrap w:val="0"/>
            <w:vAlign w:val="center"/>
          </w:tcPr>
          <w:p w14:paraId="37E304FA">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10m</w:t>
            </w:r>
            <w:r>
              <w:rPr>
                <w:rFonts w:ascii="Times New Roman" w:hAnsi="Times New Roman"/>
                <w:szCs w:val="21"/>
                <w:highlight w:val="none"/>
                <w:vertAlign w:val="superscript"/>
              </w:rPr>
              <w:t>3</w:t>
            </w:r>
            <w:r>
              <w:rPr>
                <w:rFonts w:ascii="Times New Roman" w:hAnsi="Times New Roman"/>
                <w:szCs w:val="21"/>
                <w:highlight w:val="none"/>
              </w:rPr>
              <w:t>/3年</w:t>
            </w:r>
          </w:p>
        </w:tc>
        <w:tc>
          <w:tcPr>
            <w:tcW w:w="1303" w:type="pct"/>
            <w:noWrap w:val="0"/>
            <w:vAlign w:val="center"/>
          </w:tcPr>
          <w:p w14:paraId="41D341AE">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77A874FF">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0717EC31">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5C45B1F6">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生活垃圾</w:t>
            </w:r>
          </w:p>
        </w:tc>
        <w:tc>
          <w:tcPr>
            <w:tcW w:w="1195" w:type="pct"/>
            <w:noWrap w:val="0"/>
            <w:vAlign w:val="center"/>
          </w:tcPr>
          <w:p w14:paraId="57F63801">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18.38</w:t>
            </w:r>
          </w:p>
        </w:tc>
        <w:tc>
          <w:tcPr>
            <w:tcW w:w="1292" w:type="pct"/>
            <w:noWrap w:val="0"/>
            <w:vAlign w:val="center"/>
          </w:tcPr>
          <w:p w14:paraId="39996154">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18.38</w:t>
            </w:r>
          </w:p>
        </w:tc>
        <w:tc>
          <w:tcPr>
            <w:tcW w:w="1303" w:type="pct"/>
            <w:noWrap w:val="0"/>
            <w:vAlign w:val="center"/>
          </w:tcPr>
          <w:p w14:paraId="4B585D9A">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51B682D8">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2EBE9CC1">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69B0572C">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餐厨垃圾及废油脂</w:t>
            </w:r>
          </w:p>
        </w:tc>
        <w:tc>
          <w:tcPr>
            <w:tcW w:w="1195" w:type="pct"/>
            <w:noWrap w:val="0"/>
            <w:vAlign w:val="center"/>
          </w:tcPr>
          <w:p w14:paraId="0F5D1C25">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11.122</w:t>
            </w:r>
          </w:p>
        </w:tc>
        <w:tc>
          <w:tcPr>
            <w:tcW w:w="1292" w:type="pct"/>
            <w:noWrap w:val="0"/>
            <w:vAlign w:val="center"/>
          </w:tcPr>
          <w:p w14:paraId="551FD02A">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11.122</w:t>
            </w:r>
          </w:p>
        </w:tc>
        <w:tc>
          <w:tcPr>
            <w:tcW w:w="1303" w:type="pct"/>
            <w:noWrap w:val="0"/>
            <w:vAlign w:val="center"/>
          </w:tcPr>
          <w:p w14:paraId="6CA02D92">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2A72AAC8">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6C0065D1">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0FF47C36">
            <w:pPr>
              <w:pStyle w:val="42"/>
              <w:spacing w:before="0" w:beforeLines="0" w:after="0" w:afterLines="0"/>
              <w:textAlignment w:val="center"/>
              <w:rPr>
                <w:rFonts w:hint="default" w:ascii="Times New Roman" w:hAnsi="Times New Roman" w:eastAsia="新宋体"/>
                <w:szCs w:val="21"/>
                <w:highlight w:val="none"/>
                <w:lang w:val="en-US" w:eastAsia="zh-CN"/>
              </w:rPr>
            </w:pPr>
            <w:r>
              <w:rPr>
                <w:rFonts w:ascii="Times New Roman" w:hAnsi="Times New Roman"/>
                <w:szCs w:val="21"/>
                <w:highlight w:val="none"/>
              </w:rPr>
              <w:t>废离子交换树脂</w:t>
            </w:r>
            <w:r>
              <w:rPr>
                <w:rFonts w:hint="eastAsia" w:ascii="Times New Roman" w:hAnsi="Times New Roman"/>
                <w:szCs w:val="21"/>
                <w:highlight w:val="none"/>
                <w:lang w:val="en-US" w:eastAsia="zh-CN"/>
              </w:rPr>
              <w:t>和反渗透膜</w:t>
            </w:r>
          </w:p>
        </w:tc>
        <w:tc>
          <w:tcPr>
            <w:tcW w:w="1195" w:type="pct"/>
            <w:noWrap w:val="0"/>
            <w:vAlign w:val="center"/>
          </w:tcPr>
          <w:p w14:paraId="1B5A7A79">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2</w:t>
            </w:r>
          </w:p>
        </w:tc>
        <w:tc>
          <w:tcPr>
            <w:tcW w:w="1292" w:type="pct"/>
            <w:noWrap w:val="0"/>
            <w:vAlign w:val="center"/>
          </w:tcPr>
          <w:p w14:paraId="1E4CC5B4">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2</w:t>
            </w:r>
          </w:p>
        </w:tc>
        <w:tc>
          <w:tcPr>
            <w:tcW w:w="1303" w:type="pct"/>
            <w:noWrap w:val="0"/>
            <w:vAlign w:val="center"/>
          </w:tcPr>
          <w:p w14:paraId="5627287D">
            <w:pPr>
              <w:pStyle w:val="42"/>
              <w:spacing w:before="0" w:beforeLines="0" w:after="0" w:afterLines="0"/>
              <w:textAlignment w:val="center"/>
              <w:rPr>
                <w:rFonts w:ascii="Times New Roman" w:hAnsi="Times New Roman"/>
                <w:szCs w:val="21"/>
                <w:highlight w:val="none"/>
              </w:rPr>
            </w:pPr>
            <w:r>
              <w:rPr>
                <w:rFonts w:ascii="Times New Roman" w:hAnsi="Times New Roman"/>
                <w:szCs w:val="21"/>
                <w:highlight w:val="none"/>
              </w:rPr>
              <w:t>0</w:t>
            </w:r>
          </w:p>
        </w:tc>
      </w:tr>
      <w:tr w14:paraId="418B9E2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108" w:type="dxa"/>
            <w:bottom w:w="0" w:type="dxa"/>
            <w:right w:w="108" w:type="dxa"/>
          </w:tblCellMar>
        </w:tblPrEx>
        <w:trPr>
          <w:trHeight w:val="20" w:hRule="atLeast"/>
          <w:jc w:val="center"/>
        </w:trPr>
        <w:tc>
          <w:tcPr>
            <w:tcW w:w="368" w:type="pct"/>
            <w:vMerge w:val="continue"/>
            <w:noWrap w:val="0"/>
            <w:vAlign w:val="center"/>
          </w:tcPr>
          <w:p w14:paraId="2E7235AC">
            <w:pPr>
              <w:pStyle w:val="42"/>
              <w:spacing w:before="0" w:beforeLines="0" w:after="0" w:afterLines="0"/>
              <w:textAlignment w:val="center"/>
              <w:rPr>
                <w:rFonts w:ascii="Times New Roman" w:hAnsi="Times New Roman"/>
                <w:szCs w:val="21"/>
                <w:highlight w:val="none"/>
              </w:rPr>
            </w:pPr>
          </w:p>
        </w:tc>
        <w:tc>
          <w:tcPr>
            <w:tcW w:w="840" w:type="pct"/>
            <w:noWrap w:val="0"/>
            <w:vAlign w:val="center"/>
          </w:tcPr>
          <w:p w14:paraId="0C32AF2D">
            <w:pPr>
              <w:pStyle w:val="42"/>
              <w:spacing w:before="0" w:beforeLines="0" w:after="0" w:afterLines="0"/>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废机油</w:t>
            </w:r>
          </w:p>
        </w:tc>
        <w:tc>
          <w:tcPr>
            <w:tcW w:w="1195" w:type="pct"/>
            <w:noWrap w:val="0"/>
            <w:vAlign w:val="center"/>
          </w:tcPr>
          <w:p w14:paraId="0CFDD025">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w:t>
            </w:r>
          </w:p>
        </w:tc>
        <w:tc>
          <w:tcPr>
            <w:tcW w:w="1292" w:type="pct"/>
            <w:noWrap w:val="0"/>
            <w:vAlign w:val="center"/>
          </w:tcPr>
          <w:p w14:paraId="330C7452">
            <w:pPr>
              <w:pStyle w:val="42"/>
              <w:spacing w:before="0" w:beforeLines="0" w:after="0" w:afterLines="0"/>
              <w:textAlignment w:val="center"/>
              <w:rPr>
                <w:rFonts w:hint="default"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0.2</w:t>
            </w:r>
          </w:p>
        </w:tc>
        <w:tc>
          <w:tcPr>
            <w:tcW w:w="1303" w:type="pct"/>
            <w:noWrap w:val="0"/>
            <w:vAlign w:val="center"/>
          </w:tcPr>
          <w:p w14:paraId="70C797C5">
            <w:pPr>
              <w:pStyle w:val="42"/>
              <w:spacing w:before="0" w:beforeLines="0" w:after="0" w:afterLines="0"/>
              <w:textAlignment w:val="center"/>
              <w:rPr>
                <w:rFonts w:hint="eastAsia" w:ascii="Times New Roman" w:hAnsi="Times New Roman" w:eastAsia="新宋体"/>
                <w:szCs w:val="21"/>
                <w:highlight w:val="none"/>
                <w:lang w:val="en-US" w:eastAsia="zh-CN"/>
              </w:rPr>
            </w:pPr>
            <w:r>
              <w:rPr>
                <w:rFonts w:hint="eastAsia" w:ascii="Times New Roman" w:hAnsi="Times New Roman"/>
                <w:szCs w:val="21"/>
                <w:highlight w:val="none"/>
                <w:lang w:val="en-US" w:eastAsia="zh-CN"/>
              </w:rPr>
              <w:t>0</w:t>
            </w:r>
          </w:p>
        </w:tc>
      </w:tr>
    </w:tbl>
    <w:p w14:paraId="39E6CD2C">
      <w:pPr>
        <w:pStyle w:val="4"/>
        <w:bidi w:val="0"/>
        <w:ind w:left="0" w:leftChars="0" w:firstLine="0" w:firstLineChars="0"/>
        <w:rPr>
          <w:rFonts w:hint="eastAsia"/>
          <w:highlight w:val="none"/>
          <w:lang w:val="en-US" w:eastAsia="zh-CN"/>
        </w:rPr>
      </w:pPr>
      <w:bookmarkStart w:id="94" w:name="_Toc11665"/>
      <w:r>
        <w:rPr>
          <w:rFonts w:hint="eastAsia"/>
          <w:highlight w:val="none"/>
          <w:lang w:val="en-US" w:eastAsia="zh-CN"/>
        </w:rPr>
        <w:t>3.4排放总量控制</w:t>
      </w:r>
      <w:bookmarkEnd w:id="94"/>
    </w:p>
    <w:p w14:paraId="363E2290">
      <w:pPr>
        <w:ind w:firstLine="480"/>
        <w:rPr>
          <w:rFonts w:ascii="Times New Roman" w:hAnsi="Times New Roman"/>
          <w:highlight w:val="none"/>
        </w:rPr>
      </w:pPr>
      <w:r>
        <w:rPr>
          <w:rFonts w:ascii="Times New Roman" w:hAnsi="Times New Roman"/>
          <w:highlight w:val="none"/>
        </w:rPr>
        <w:t>贯彻实现国家和省、市污染物排放总量控制规划是实现哈尔滨环境保护目标之一。实现总量控制将促进资源、能源的合理利用和优化配置，加速产业结构的调整，实现经济增长方面的根本转变。实施总量控制可以较好地处理经济与环境保护之间的协调关系，推进可持续发展战略的实施。</w:t>
      </w:r>
    </w:p>
    <w:p w14:paraId="284993D1">
      <w:pPr>
        <w:ind w:firstLine="480"/>
        <w:rPr>
          <w:rFonts w:ascii="Times New Roman" w:hAnsi="Times New Roman"/>
          <w:highlight w:val="none"/>
        </w:rPr>
      </w:pPr>
      <w:r>
        <w:rPr>
          <w:rFonts w:ascii="Times New Roman" w:hAnsi="Times New Roman"/>
          <w:highlight w:val="none"/>
        </w:rPr>
        <w:t>根据《国务院关于“十一五”期间全国主要污染物排放总量控制计划的批复》（国函[2006]70号）中国家有关实施总量控制的有关规定要求，考虑本工程排污特征，确定本工程污染物排放总量控制因子：颗粒物、SO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w:t>
      </w:r>
      <w:r>
        <w:rPr>
          <w:rFonts w:hint="eastAsia" w:ascii="Times New Roman" w:hAnsi="Times New Roman"/>
          <w:highlight w:val="none"/>
        </w:rPr>
        <w:t>本项目废气污染物二氧化硫、氮氧化物、细颗粒物等排放总量为：细颗粒物</w:t>
      </w:r>
      <w:r>
        <w:rPr>
          <w:rFonts w:hint="eastAsia" w:ascii="Times New Roman" w:hAnsi="Times New Roman"/>
          <w:highlight w:val="none"/>
          <w:lang w:val="en-US" w:eastAsia="zh-CN"/>
        </w:rPr>
        <w:t>7.902</w:t>
      </w:r>
      <w:r>
        <w:rPr>
          <w:rFonts w:hint="eastAsia" w:ascii="Times New Roman" w:hAnsi="Times New Roman"/>
          <w:highlight w:val="none"/>
        </w:rPr>
        <w:t>t/a、二氧化硫</w:t>
      </w:r>
      <w:r>
        <w:rPr>
          <w:rFonts w:hint="eastAsia" w:ascii="Times New Roman" w:hAnsi="Times New Roman"/>
          <w:highlight w:val="none"/>
          <w:lang w:val="en-US" w:eastAsia="zh-CN"/>
        </w:rPr>
        <w:t>27.658</w:t>
      </w:r>
      <w:r>
        <w:rPr>
          <w:rFonts w:hint="eastAsia" w:ascii="Times New Roman" w:hAnsi="Times New Roman"/>
          <w:highlight w:val="none"/>
        </w:rPr>
        <w:t>t/a、氮氧化物</w:t>
      </w:r>
      <w:r>
        <w:rPr>
          <w:rFonts w:hint="eastAsia" w:ascii="Times New Roman" w:hAnsi="Times New Roman"/>
          <w:highlight w:val="none"/>
          <w:lang w:val="en-US" w:eastAsia="zh-CN"/>
        </w:rPr>
        <w:t>39.511</w:t>
      </w:r>
      <w:r>
        <w:rPr>
          <w:rFonts w:hint="eastAsia" w:ascii="Times New Roman" w:hAnsi="Times New Roman"/>
          <w:highlight w:val="none"/>
        </w:rPr>
        <w:t>t/a。</w:t>
      </w:r>
    </w:p>
    <w:p w14:paraId="406AB5C9">
      <w:pPr>
        <w:ind w:firstLine="480"/>
        <w:rPr>
          <w:rFonts w:ascii="Times New Roman" w:hAnsi="Times New Roman"/>
          <w:highlight w:val="none"/>
        </w:rPr>
      </w:pPr>
      <w:r>
        <w:rPr>
          <w:rFonts w:hint="eastAsia" w:ascii="Times New Roman" w:hAnsi="Times New Roman"/>
          <w:highlight w:val="none"/>
        </w:rPr>
        <w:t>绥芬河市新区供热有限责任公司</w:t>
      </w:r>
      <w:r>
        <w:rPr>
          <w:rFonts w:ascii="Times New Roman" w:hAnsi="Times New Roman"/>
          <w:highlight w:val="none"/>
        </w:rPr>
        <w:t>已取得生态环境主管部门核发的新版排污许可证（许可证编号：91231081828141815B001C），有效期2022-0</w:t>
      </w:r>
      <w:r>
        <w:rPr>
          <w:rFonts w:hint="eastAsia" w:ascii="Times New Roman" w:hAnsi="Times New Roman"/>
          <w:highlight w:val="none"/>
          <w:lang w:val="en-US" w:eastAsia="zh-CN"/>
        </w:rPr>
        <w:t>8</w:t>
      </w:r>
      <w:r>
        <w:rPr>
          <w:rFonts w:ascii="Times New Roman" w:hAnsi="Times New Roman"/>
          <w:highlight w:val="none"/>
        </w:rPr>
        <w:t>-2</w:t>
      </w:r>
      <w:r>
        <w:rPr>
          <w:rFonts w:hint="eastAsia" w:ascii="Times New Roman" w:hAnsi="Times New Roman"/>
          <w:highlight w:val="none"/>
          <w:lang w:val="en-US" w:eastAsia="zh-CN"/>
        </w:rPr>
        <w:t>0</w:t>
      </w:r>
      <w:r>
        <w:rPr>
          <w:rFonts w:ascii="Times New Roman" w:hAnsi="Times New Roman"/>
          <w:highlight w:val="none"/>
        </w:rPr>
        <w:t>至2027-0</w:t>
      </w:r>
      <w:r>
        <w:rPr>
          <w:rFonts w:hint="eastAsia" w:ascii="Times New Roman" w:hAnsi="Times New Roman"/>
          <w:highlight w:val="none"/>
          <w:lang w:val="en-US" w:eastAsia="zh-CN"/>
        </w:rPr>
        <w:t>8</w:t>
      </w:r>
      <w:r>
        <w:rPr>
          <w:rFonts w:ascii="Times New Roman" w:hAnsi="Times New Roman"/>
          <w:highlight w:val="none"/>
        </w:rPr>
        <w:t>-</w:t>
      </w:r>
      <w:r>
        <w:rPr>
          <w:rFonts w:hint="eastAsia" w:ascii="Times New Roman" w:hAnsi="Times New Roman"/>
          <w:highlight w:val="none"/>
          <w:lang w:val="en-US" w:eastAsia="zh-CN"/>
        </w:rPr>
        <w:t>19</w:t>
      </w:r>
      <w:r>
        <w:rPr>
          <w:rFonts w:ascii="Times New Roman" w:hAnsi="Times New Roman"/>
          <w:highlight w:val="none"/>
        </w:rPr>
        <w:t>。排污许可证中的总许可量为，颗粒物：</w:t>
      </w:r>
      <w:r>
        <w:rPr>
          <w:rFonts w:hint="eastAsia" w:ascii="Times New Roman" w:hAnsi="Times New Roman"/>
          <w:highlight w:val="none"/>
          <w:lang w:val="en-US" w:eastAsia="zh-CN"/>
        </w:rPr>
        <w:t>41.346</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52.8</w:t>
      </w:r>
      <w:r>
        <w:rPr>
          <w:rFonts w:ascii="Times New Roman" w:hAnsi="Times New Roman"/>
          <w:highlight w:val="none"/>
        </w:rPr>
        <w:t>t/a和NOx：</w:t>
      </w:r>
      <w:r>
        <w:rPr>
          <w:rFonts w:hint="eastAsia" w:ascii="Times New Roman" w:hAnsi="Times New Roman"/>
          <w:highlight w:val="none"/>
          <w:lang w:val="en-US" w:eastAsia="zh-CN"/>
        </w:rPr>
        <w:t>161.7</w:t>
      </w:r>
      <w:r>
        <w:rPr>
          <w:rFonts w:ascii="Times New Roman" w:hAnsi="Times New Roman"/>
          <w:highlight w:val="none"/>
        </w:rPr>
        <w:t>t/a。本项目污染物核定总量为颗粒物：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22ABC899">
      <w:pPr>
        <w:bidi w:val="0"/>
        <w:rPr>
          <w:rFonts w:hint="default"/>
          <w:highlight w:val="none"/>
          <w:lang w:val="en-US" w:eastAsia="zh-CN"/>
        </w:rPr>
      </w:pPr>
      <w:r>
        <w:rPr>
          <w:rFonts w:ascii="Times New Roman" w:hAnsi="Times New Roman"/>
          <w:highlight w:val="none"/>
        </w:rPr>
        <w:t>全厂核定量：颗粒物：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1DD40032">
      <w:pPr>
        <w:pStyle w:val="4"/>
        <w:bidi w:val="0"/>
        <w:ind w:left="0" w:leftChars="0" w:firstLine="0" w:firstLineChars="0"/>
        <w:rPr>
          <w:rFonts w:hint="eastAsia" w:ascii="Times New Roman" w:hAnsi="Times New Roman" w:cs="Times New Roman"/>
          <w:highlight w:val="none"/>
          <w:lang w:val="en-US" w:eastAsia="zh-CN"/>
        </w:rPr>
      </w:pPr>
      <w:bookmarkStart w:id="95" w:name="_Toc7664"/>
      <w:r>
        <w:rPr>
          <w:rFonts w:hint="eastAsia" w:ascii="Times New Roman" w:hAnsi="Times New Roman" w:cs="Times New Roman"/>
          <w:highlight w:val="none"/>
          <w:lang w:val="en-US" w:eastAsia="zh-CN"/>
        </w:rPr>
        <w:t>3.5清洁生产分析</w:t>
      </w:r>
      <w:bookmarkEnd w:id="95"/>
    </w:p>
    <w:p w14:paraId="5B2FD59A">
      <w:pPr>
        <w:pStyle w:val="5"/>
        <w:bidi w:val="0"/>
        <w:ind w:left="0" w:leftChars="0" w:firstLine="0" w:firstLineChars="0"/>
        <w:rPr>
          <w:rFonts w:hint="default"/>
          <w:sz w:val="30"/>
          <w:szCs w:val="30"/>
          <w:highlight w:val="none"/>
          <w:lang w:val="en-US" w:eastAsia="zh-CN"/>
        </w:rPr>
      </w:pPr>
      <w:bookmarkStart w:id="96" w:name="_Toc24798"/>
      <w:r>
        <w:rPr>
          <w:rFonts w:hint="eastAsia"/>
          <w:sz w:val="30"/>
          <w:szCs w:val="30"/>
          <w:highlight w:val="none"/>
          <w:lang w:val="en-US" w:eastAsia="zh-CN"/>
        </w:rPr>
        <w:t>3.5.1国家相关产业政策分析</w:t>
      </w:r>
      <w:bookmarkEnd w:id="96"/>
    </w:p>
    <w:p w14:paraId="6411BD86">
      <w:pPr>
        <w:ind w:firstLine="480"/>
        <w:rPr>
          <w:rFonts w:ascii="Times New Roman" w:hAnsi="Times New Roman"/>
          <w:highlight w:val="none"/>
        </w:rPr>
      </w:pPr>
      <w:r>
        <w:rPr>
          <w:rFonts w:ascii="Times New Roman" w:hAnsi="Times New Roman"/>
          <w:highlight w:val="none"/>
        </w:rPr>
        <w:t>本项目属于发展和改革委员会《产业结构调整指导目录（20</w:t>
      </w:r>
      <w:r>
        <w:rPr>
          <w:rFonts w:hint="eastAsia" w:ascii="Times New Roman" w:hAnsi="Times New Roman"/>
          <w:highlight w:val="none"/>
          <w:lang w:val="en-US" w:eastAsia="zh-CN"/>
        </w:rPr>
        <w:t>24</w:t>
      </w:r>
      <w:r>
        <w:rPr>
          <w:rFonts w:ascii="Times New Roman" w:hAnsi="Times New Roman"/>
          <w:highlight w:val="none"/>
        </w:rPr>
        <w:t>年本）》中鼓励类第二十二部分“城镇基础设施”第</w:t>
      </w:r>
      <w:r>
        <w:rPr>
          <w:rFonts w:hint="eastAsia" w:ascii="Times New Roman" w:hAnsi="Times New Roman"/>
          <w:highlight w:val="none"/>
          <w:lang w:val="en-US" w:eastAsia="zh-CN"/>
        </w:rPr>
        <w:t>2</w:t>
      </w:r>
      <w:r>
        <w:rPr>
          <w:rFonts w:ascii="Times New Roman" w:hAnsi="Times New Roman"/>
          <w:highlight w:val="none"/>
        </w:rPr>
        <w:t>条为“城镇集中供热建设和改造工程</w:t>
      </w:r>
      <w:r>
        <w:rPr>
          <w:rFonts w:hint="eastAsia" w:ascii="Times New Roman" w:hAnsi="Times New Roman"/>
          <w:highlight w:val="none"/>
          <w:lang w:eastAsia="zh-CN"/>
        </w:rPr>
        <w:t>（</w:t>
      </w:r>
      <w:r>
        <w:rPr>
          <w:rFonts w:ascii="宋体" w:hAnsi="宋体" w:eastAsia="宋体" w:cs="宋体"/>
          <w:sz w:val="24"/>
          <w:szCs w:val="24"/>
          <w:highlight w:val="none"/>
        </w:rPr>
        <w:t>包括长距离集中供热管网应用工程</w:t>
      </w:r>
      <w:r>
        <w:rPr>
          <w:rFonts w:hint="eastAsia" w:ascii="Times New Roman" w:hAnsi="Times New Roman"/>
          <w:highlight w:val="none"/>
          <w:lang w:eastAsia="zh-CN"/>
        </w:rPr>
        <w:t>）</w:t>
      </w:r>
      <w:r>
        <w:rPr>
          <w:rFonts w:ascii="Times New Roman" w:hAnsi="Times New Roman"/>
          <w:highlight w:val="none"/>
        </w:rPr>
        <w:t>”中的“城镇集中供热建设工程”。因此，本项目属于鼓励类建设项目。</w:t>
      </w:r>
    </w:p>
    <w:p w14:paraId="32151529">
      <w:pPr>
        <w:ind w:firstLine="480"/>
        <w:rPr>
          <w:rFonts w:ascii="Times New Roman" w:hAnsi="Times New Roman"/>
          <w:highlight w:val="none"/>
        </w:rPr>
      </w:pPr>
      <w:r>
        <w:rPr>
          <w:rFonts w:ascii="Times New Roman" w:hAnsi="Times New Roman"/>
          <w:highlight w:val="none"/>
        </w:rPr>
        <w:t>国务院同意建设部、国家计委《关于加强城市集中供热管理工作的报告》中指出，“城市集中供热设施是现代化城市的基础设施之一。在城市经济体制改革中，各地要加强对这项工作的组织领导和管理，不断地摸索和总结经验，推动城市集中供热工作的开展”。</w:t>
      </w:r>
    </w:p>
    <w:p w14:paraId="6D2B05E8">
      <w:pPr>
        <w:ind w:firstLine="480"/>
        <w:rPr>
          <w:rFonts w:ascii="Times New Roman" w:hAnsi="Times New Roman"/>
          <w:highlight w:val="none"/>
        </w:rPr>
      </w:pPr>
      <w:r>
        <w:rPr>
          <w:rFonts w:ascii="Times New Roman" w:hAnsi="Times New Roman"/>
          <w:highlight w:val="none"/>
        </w:rPr>
        <w:t>为加强对供热体制改革试点工作的领导，建设部、国家发展和改革委员会、财政部、人事部、民政部、劳动和社会保障部、国家税务总局、原国家环保总局制定了《关于城镇供热体制改革试点工作的指导意见》，《指导意见》中指出，“改革单位统包的用热制度，停止福利供热，实行用热商品化、货币化；加大新型墙体材料、建筑节能技术的推广应用和供热采暖设施的技术改造力度，提高热能利用效率，改善城镇大气环境质量；继续发展和完善以集中供热为主导、多种方式相结合的经济、安全、清洁、高效的城镇供热采暖系统；加快供热企业改革，引入竞争机制，培育和规范城镇供热市场”。</w:t>
      </w:r>
    </w:p>
    <w:p w14:paraId="4BC8D46A">
      <w:pPr>
        <w:ind w:firstLine="480"/>
        <w:rPr>
          <w:rFonts w:ascii="Times New Roman" w:hAnsi="Times New Roman"/>
          <w:highlight w:val="none"/>
        </w:rPr>
      </w:pPr>
      <w:r>
        <w:rPr>
          <w:rFonts w:ascii="Times New Roman" w:hAnsi="Times New Roman"/>
          <w:highlight w:val="none"/>
        </w:rPr>
        <w:t>《中华人民共和国节约能源法》第39条明确提出：国家鼓励发展推广集中供热，提高热能综合利用率。</w:t>
      </w:r>
    </w:p>
    <w:p w14:paraId="09CAD6EB">
      <w:pPr>
        <w:rPr>
          <w:rFonts w:ascii="Times New Roman" w:hAnsi="Times New Roman"/>
          <w:highlight w:val="none"/>
        </w:rPr>
      </w:pPr>
      <w:r>
        <w:rPr>
          <w:rFonts w:ascii="Times New Roman" w:hAnsi="Times New Roman"/>
          <w:highlight w:val="none"/>
        </w:rPr>
        <w:t>由此可见，该项目的建设符合国家产业政策的要求。</w:t>
      </w:r>
    </w:p>
    <w:p w14:paraId="402DE4E6">
      <w:pPr>
        <w:pStyle w:val="5"/>
        <w:bidi w:val="0"/>
        <w:ind w:left="0" w:leftChars="0" w:firstLine="0" w:firstLineChars="0"/>
        <w:rPr>
          <w:rFonts w:hint="default" w:ascii="Times New Roman" w:hAnsi="Times New Roman" w:cs="Times New Roman"/>
          <w:sz w:val="30"/>
          <w:szCs w:val="30"/>
          <w:highlight w:val="none"/>
          <w:lang w:val="en-US" w:eastAsia="zh-CN"/>
        </w:rPr>
      </w:pPr>
      <w:bookmarkStart w:id="97" w:name="_Toc18405"/>
      <w:r>
        <w:rPr>
          <w:rFonts w:hint="eastAsia" w:ascii="Times New Roman" w:hAnsi="Times New Roman" w:cs="Times New Roman"/>
          <w:sz w:val="30"/>
          <w:szCs w:val="30"/>
          <w:highlight w:val="none"/>
          <w:lang w:val="en-US" w:eastAsia="zh-CN"/>
        </w:rPr>
        <w:t>3.5.2生产工艺先进性分析</w:t>
      </w:r>
      <w:bookmarkEnd w:id="97"/>
    </w:p>
    <w:p w14:paraId="3C42056B">
      <w:pPr>
        <w:ind w:firstLine="480"/>
        <w:rPr>
          <w:rFonts w:ascii="Times New Roman" w:hAnsi="Times New Roman"/>
          <w:highlight w:val="none"/>
        </w:rPr>
      </w:pPr>
      <w:r>
        <w:rPr>
          <w:rFonts w:ascii="Times New Roman" w:hAnsi="Times New Roman"/>
          <w:highlight w:val="none"/>
        </w:rPr>
        <w:t>本工程是以煤为基本原料的集中供热工程，其生产过程包括运煤、输煤、燃烧、除灰渣等几部分，现就清洁生产状况进行评述。</w:t>
      </w:r>
    </w:p>
    <w:p w14:paraId="04BEC1B2">
      <w:pPr>
        <w:ind w:firstLine="480"/>
        <w:rPr>
          <w:rFonts w:ascii="Times New Roman" w:hAnsi="Times New Roman"/>
          <w:highlight w:val="none"/>
        </w:rPr>
      </w:pPr>
      <w:r>
        <w:rPr>
          <w:rFonts w:ascii="Times New Roman" w:hAnsi="Times New Roman"/>
          <w:highlight w:val="none"/>
        </w:rPr>
        <w:t>（1）节能</w:t>
      </w:r>
    </w:p>
    <w:p w14:paraId="520A9D34">
      <w:pPr>
        <w:ind w:firstLine="480"/>
        <w:rPr>
          <w:rFonts w:ascii="Times New Roman" w:hAnsi="Times New Roman"/>
          <w:highlight w:val="none"/>
        </w:rPr>
      </w:pPr>
      <w:r>
        <w:rPr>
          <w:rFonts w:ascii="Times New Roman" w:hAnsi="Times New Roman"/>
          <w:highlight w:val="none"/>
        </w:rPr>
        <w:t>与分散小锅炉相比，集中供热具有提高供热质量的优点——连续均匀。</w:t>
      </w:r>
    </w:p>
    <w:p w14:paraId="5981840C">
      <w:pPr>
        <w:ind w:firstLine="480"/>
        <w:rPr>
          <w:rFonts w:ascii="Times New Roman" w:hAnsi="Times New Roman"/>
          <w:highlight w:val="none"/>
        </w:rPr>
      </w:pPr>
      <w:r>
        <w:rPr>
          <w:rFonts w:ascii="Times New Roman" w:hAnsi="Times New Roman"/>
          <w:highlight w:val="none"/>
        </w:rPr>
        <w:t>分散小锅炉由于设备条件的限制，不易保证热质量，压力和温度的波动会影响生产工艺，影响产品质量。而集中供热为连续运行，供热介质参数稳定，产品质量也有很大提高。小锅炉分散供热和集中供热(本工程)的特点见表3.5-1。</w:t>
      </w:r>
    </w:p>
    <w:p w14:paraId="5CBF585B">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3.5-1</w:t>
      </w:r>
      <w:r>
        <w:rPr>
          <w:rFonts w:hint="eastAsia" w:ascii="黑体" w:hAnsi="黑体" w:eastAsia="黑体" w:cs="黑体"/>
          <w:highlight w:val="none"/>
        </w:rPr>
        <w:t>分散供热与集中供热的比较</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69"/>
        <w:gridCol w:w="3364"/>
        <w:gridCol w:w="3989"/>
      </w:tblGrid>
      <w:tr w14:paraId="1A7616B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6" w:type="pct"/>
            <w:noWrap w:val="0"/>
            <w:vAlign w:val="center"/>
          </w:tcPr>
          <w:p w14:paraId="79BCADC3">
            <w:pPr>
              <w:pStyle w:val="27"/>
              <w:rPr>
                <w:rFonts w:ascii="Times New Roman" w:hAnsi="Times New Roman"/>
                <w:highlight w:val="none"/>
              </w:rPr>
            </w:pPr>
            <w:r>
              <w:rPr>
                <w:rFonts w:ascii="Times New Roman" w:hAnsi="Times New Roman"/>
                <w:highlight w:val="none"/>
              </w:rPr>
              <w:t>参数</w:t>
            </w:r>
          </w:p>
        </w:tc>
        <w:tc>
          <w:tcPr>
            <w:tcW w:w="1974" w:type="pct"/>
            <w:noWrap w:val="0"/>
            <w:vAlign w:val="center"/>
          </w:tcPr>
          <w:p w14:paraId="0E019F97">
            <w:pPr>
              <w:pStyle w:val="27"/>
              <w:rPr>
                <w:rFonts w:ascii="Times New Roman" w:hAnsi="Times New Roman"/>
                <w:highlight w:val="none"/>
              </w:rPr>
            </w:pPr>
            <w:r>
              <w:rPr>
                <w:rFonts w:ascii="Times New Roman" w:hAnsi="Times New Roman"/>
                <w:highlight w:val="none"/>
              </w:rPr>
              <w:t>分散供热</w:t>
            </w:r>
          </w:p>
        </w:tc>
        <w:tc>
          <w:tcPr>
            <w:tcW w:w="2340" w:type="pct"/>
            <w:noWrap w:val="0"/>
            <w:vAlign w:val="center"/>
          </w:tcPr>
          <w:p w14:paraId="57A6AF31">
            <w:pPr>
              <w:pStyle w:val="27"/>
              <w:rPr>
                <w:rFonts w:ascii="Times New Roman" w:hAnsi="Times New Roman"/>
                <w:highlight w:val="none"/>
              </w:rPr>
            </w:pPr>
            <w:r>
              <w:rPr>
                <w:rFonts w:ascii="Times New Roman" w:hAnsi="Times New Roman"/>
                <w:highlight w:val="none"/>
              </w:rPr>
              <w:t>集中供热(本工程数据)</w:t>
            </w:r>
          </w:p>
        </w:tc>
      </w:tr>
      <w:tr w14:paraId="09365E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6" w:type="pct"/>
            <w:noWrap w:val="0"/>
            <w:vAlign w:val="center"/>
          </w:tcPr>
          <w:p w14:paraId="4E6B2854">
            <w:pPr>
              <w:pStyle w:val="27"/>
              <w:rPr>
                <w:rFonts w:ascii="Times New Roman" w:hAnsi="Times New Roman"/>
                <w:highlight w:val="none"/>
              </w:rPr>
            </w:pPr>
            <w:r>
              <w:rPr>
                <w:rFonts w:ascii="Times New Roman" w:hAnsi="Times New Roman"/>
                <w:highlight w:val="none"/>
              </w:rPr>
              <w:t>锅炉容量</w:t>
            </w:r>
          </w:p>
        </w:tc>
        <w:tc>
          <w:tcPr>
            <w:tcW w:w="1974" w:type="pct"/>
            <w:noWrap w:val="0"/>
            <w:vAlign w:val="center"/>
          </w:tcPr>
          <w:p w14:paraId="6384CB1A">
            <w:pPr>
              <w:pStyle w:val="27"/>
              <w:rPr>
                <w:rFonts w:ascii="Times New Roman" w:hAnsi="Times New Roman"/>
                <w:highlight w:val="none"/>
              </w:rPr>
            </w:pPr>
            <w:r>
              <w:rPr>
                <w:rFonts w:ascii="Times New Roman" w:hAnsi="Times New Roman"/>
                <w:highlight w:val="none"/>
              </w:rPr>
              <w:t>小</w:t>
            </w:r>
          </w:p>
        </w:tc>
        <w:tc>
          <w:tcPr>
            <w:tcW w:w="2340" w:type="pct"/>
            <w:noWrap w:val="0"/>
            <w:vAlign w:val="center"/>
          </w:tcPr>
          <w:p w14:paraId="1363F55A">
            <w:pPr>
              <w:pStyle w:val="27"/>
              <w:rPr>
                <w:rFonts w:ascii="Times New Roman" w:hAnsi="Times New Roman"/>
                <w:highlight w:val="none"/>
              </w:rPr>
            </w:pPr>
            <w:r>
              <w:rPr>
                <w:rFonts w:ascii="Times New Roman" w:hAnsi="Times New Roman"/>
                <w:highlight w:val="none"/>
              </w:rPr>
              <w:t>大，建设</w:t>
            </w:r>
            <w:r>
              <w:rPr>
                <w:rFonts w:hint="eastAsia" w:ascii="Times New Roman" w:hAnsi="Times New Roman"/>
                <w:highlight w:val="none"/>
                <w:lang w:val="en-US" w:eastAsia="zh-CN"/>
              </w:rPr>
              <w:t>116MW+</w:t>
            </w:r>
            <w:r>
              <w:rPr>
                <w:rFonts w:hint="default" w:ascii="Times New Roman" w:hAnsi="Times New Roman"/>
                <w:highlight w:val="none"/>
                <w:lang w:val="en-US" w:eastAsia="zh-CN"/>
              </w:rPr>
              <w:t>58</w:t>
            </w:r>
            <w:r>
              <w:rPr>
                <w:rFonts w:hint="eastAsia" w:ascii="Times New Roman" w:hAnsi="Times New Roman"/>
                <w:highlight w:val="none"/>
                <w:lang w:val="en-US" w:eastAsia="zh-CN"/>
              </w:rPr>
              <w:t>MW热水锅炉和1台35t/h蒸汽锅炉</w:t>
            </w:r>
          </w:p>
        </w:tc>
      </w:tr>
      <w:tr w14:paraId="271C9E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6" w:type="pct"/>
            <w:noWrap w:val="0"/>
            <w:vAlign w:val="center"/>
          </w:tcPr>
          <w:p w14:paraId="2F7D209C">
            <w:pPr>
              <w:pStyle w:val="27"/>
              <w:rPr>
                <w:rFonts w:ascii="Times New Roman" w:hAnsi="Times New Roman"/>
                <w:highlight w:val="none"/>
              </w:rPr>
            </w:pPr>
            <w:r>
              <w:rPr>
                <w:rFonts w:ascii="Times New Roman" w:hAnsi="Times New Roman"/>
                <w:highlight w:val="none"/>
              </w:rPr>
              <w:t>烟囱高度</w:t>
            </w:r>
          </w:p>
        </w:tc>
        <w:tc>
          <w:tcPr>
            <w:tcW w:w="1974" w:type="pct"/>
            <w:noWrap w:val="0"/>
            <w:vAlign w:val="center"/>
          </w:tcPr>
          <w:p w14:paraId="721B52F8">
            <w:pPr>
              <w:pStyle w:val="27"/>
              <w:rPr>
                <w:rFonts w:ascii="Times New Roman" w:hAnsi="Times New Roman"/>
                <w:highlight w:val="none"/>
              </w:rPr>
            </w:pPr>
            <w:r>
              <w:rPr>
                <w:rFonts w:ascii="Times New Roman" w:hAnsi="Times New Roman"/>
                <w:highlight w:val="none"/>
              </w:rPr>
              <w:t>低，一般在40m以下</w:t>
            </w:r>
          </w:p>
        </w:tc>
        <w:tc>
          <w:tcPr>
            <w:tcW w:w="2340" w:type="pct"/>
            <w:noWrap w:val="0"/>
            <w:vAlign w:val="center"/>
          </w:tcPr>
          <w:p w14:paraId="788BAA96">
            <w:pPr>
              <w:pStyle w:val="27"/>
              <w:rPr>
                <w:rFonts w:ascii="Times New Roman" w:hAnsi="Times New Roman"/>
                <w:highlight w:val="none"/>
              </w:rPr>
            </w:pPr>
            <w:r>
              <w:rPr>
                <w:rFonts w:ascii="Times New Roman" w:hAnsi="Times New Roman"/>
                <w:highlight w:val="none"/>
              </w:rPr>
              <w:t>高，</w:t>
            </w:r>
            <w:r>
              <w:rPr>
                <w:rFonts w:hint="eastAsia" w:ascii="Times New Roman" w:hAnsi="Times New Roman"/>
                <w:highlight w:val="none"/>
                <w:lang w:val="en-US" w:eastAsia="zh-CN"/>
              </w:rPr>
              <w:t>60</w:t>
            </w:r>
            <w:r>
              <w:rPr>
                <w:rFonts w:ascii="Times New Roman" w:hAnsi="Times New Roman"/>
                <w:highlight w:val="none"/>
              </w:rPr>
              <w:t>m</w:t>
            </w:r>
          </w:p>
        </w:tc>
      </w:tr>
      <w:tr w14:paraId="620537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6" w:type="pct"/>
            <w:noWrap w:val="0"/>
            <w:vAlign w:val="center"/>
          </w:tcPr>
          <w:p w14:paraId="5F0245E0">
            <w:pPr>
              <w:pStyle w:val="27"/>
              <w:rPr>
                <w:rFonts w:ascii="Times New Roman" w:hAnsi="Times New Roman"/>
                <w:highlight w:val="none"/>
              </w:rPr>
            </w:pPr>
            <w:r>
              <w:rPr>
                <w:rFonts w:ascii="Times New Roman" w:hAnsi="Times New Roman"/>
                <w:highlight w:val="none"/>
              </w:rPr>
              <w:t>热效率</w:t>
            </w:r>
          </w:p>
        </w:tc>
        <w:tc>
          <w:tcPr>
            <w:tcW w:w="1974" w:type="pct"/>
            <w:noWrap w:val="0"/>
            <w:vAlign w:val="center"/>
          </w:tcPr>
          <w:p w14:paraId="034A2656">
            <w:pPr>
              <w:pStyle w:val="27"/>
              <w:rPr>
                <w:rFonts w:ascii="Times New Roman" w:hAnsi="Times New Roman"/>
                <w:highlight w:val="none"/>
              </w:rPr>
            </w:pPr>
            <w:r>
              <w:rPr>
                <w:rFonts w:ascii="Times New Roman" w:hAnsi="Times New Roman"/>
                <w:highlight w:val="none"/>
              </w:rPr>
              <w:t>低，一般为65%</w:t>
            </w:r>
          </w:p>
        </w:tc>
        <w:tc>
          <w:tcPr>
            <w:tcW w:w="2340" w:type="pct"/>
            <w:noWrap w:val="0"/>
            <w:vAlign w:val="center"/>
          </w:tcPr>
          <w:p w14:paraId="4533A2C7">
            <w:pPr>
              <w:pStyle w:val="27"/>
              <w:rPr>
                <w:rFonts w:ascii="Times New Roman" w:hAnsi="Times New Roman"/>
                <w:highlight w:val="none"/>
              </w:rPr>
            </w:pPr>
            <w:r>
              <w:rPr>
                <w:rFonts w:ascii="Times New Roman" w:hAnsi="Times New Roman"/>
                <w:highlight w:val="none"/>
              </w:rPr>
              <w:t>高，90%以上</w:t>
            </w:r>
          </w:p>
        </w:tc>
      </w:tr>
      <w:tr w14:paraId="7FA8DA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86" w:type="pct"/>
            <w:noWrap w:val="0"/>
            <w:vAlign w:val="center"/>
          </w:tcPr>
          <w:p w14:paraId="2C7D2119">
            <w:pPr>
              <w:pStyle w:val="27"/>
              <w:rPr>
                <w:rFonts w:ascii="Times New Roman" w:hAnsi="Times New Roman"/>
                <w:highlight w:val="none"/>
              </w:rPr>
            </w:pPr>
            <w:r>
              <w:rPr>
                <w:rFonts w:ascii="Times New Roman" w:hAnsi="Times New Roman"/>
                <w:highlight w:val="none"/>
              </w:rPr>
              <w:t>脱硫除尘脱硝效率</w:t>
            </w:r>
          </w:p>
        </w:tc>
        <w:tc>
          <w:tcPr>
            <w:tcW w:w="1974" w:type="pct"/>
            <w:noWrap w:val="0"/>
            <w:vAlign w:val="center"/>
          </w:tcPr>
          <w:p w14:paraId="7D5CBF4A">
            <w:pPr>
              <w:pStyle w:val="27"/>
              <w:rPr>
                <w:rFonts w:ascii="Times New Roman" w:hAnsi="Times New Roman"/>
                <w:highlight w:val="none"/>
              </w:rPr>
            </w:pPr>
            <w:r>
              <w:rPr>
                <w:rFonts w:ascii="Times New Roman" w:hAnsi="Times New Roman"/>
                <w:highlight w:val="none"/>
              </w:rPr>
              <w:t>低，很多小锅炉房除尘效率低于70%，无脱硫脱硝设施</w:t>
            </w:r>
          </w:p>
        </w:tc>
        <w:tc>
          <w:tcPr>
            <w:tcW w:w="2340" w:type="pct"/>
            <w:noWrap w:val="0"/>
            <w:vAlign w:val="center"/>
          </w:tcPr>
          <w:p w14:paraId="1D452FE5">
            <w:pPr>
              <w:pStyle w:val="27"/>
              <w:rPr>
                <w:rFonts w:ascii="Times New Roman" w:hAnsi="Times New Roman"/>
                <w:highlight w:val="none"/>
              </w:rPr>
            </w:pPr>
            <w:r>
              <w:rPr>
                <w:rFonts w:ascii="Times New Roman" w:hAnsi="Times New Roman"/>
                <w:highlight w:val="none"/>
              </w:rPr>
              <w:t>高，除尘99.96%、脱硫97%、脱硝</w:t>
            </w:r>
            <w:r>
              <w:rPr>
                <w:rFonts w:hint="eastAsia" w:ascii="Times New Roman" w:hAnsi="Times New Roman"/>
                <w:highlight w:val="none"/>
                <w:lang w:val="en-US" w:eastAsia="zh-CN"/>
              </w:rPr>
              <w:t>99</w:t>
            </w:r>
            <w:r>
              <w:rPr>
                <w:rFonts w:ascii="Times New Roman" w:hAnsi="Times New Roman"/>
                <w:highlight w:val="none"/>
              </w:rPr>
              <w:t>%</w:t>
            </w:r>
          </w:p>
        </w:tc>
      </w:tr>
    </w:tbl>
    <w:p w14:paraId="7D0A6CD9">
      <w:pPr>
        <w:ind w:firstLine="480"/>
        <w:rPr>
          <w:rFonts w:ascii="Times New Roman" w:hAnsi="Times New Roman"/>
          <w:highlight w:val="none"/>
        </w:rPr>
      </w:pPr>
      <w:r>
        <w:rPr>
          <w:rFonts w:ascii="Times New Roman" w:hAnsi="Times New Roman"/>
          <w:highlight w:val="none"/>
        </w:rPr>
        <w:t>通过本工程的建设，避免了区域各小型锅炉房供热，有利于保护该区域的环境空气质量，并且有利于污染物的集中控制与管理。</w:t>
      </w:r>
    </w:p>
    <w:p w14:paraId="3E4DC9DC">
      <w:pPr>
        <w:ind w:firstLine="480"/>
        <w:rPr>
          <w:rFonts w:ascii="Times New Roman" w:hAnsi="Times New Roman"/>
          <w:highlight w:val="none"/>
        </w:rPr>
      </w:pPr>
      <w:r>
        <w:rPr>
          <w:rFonts w:ascii="Times New Roman" w:hAnsi="Times New Roman"/>
          <w:highlight w:val="none"/>
        </w:rPr>
        <w:t>为了贯彻国家能源政策，以达到合理利用能源、节约能源的目的，本项设计中将采取下列节能措施：</w:t>
      </w:r>
    </w:p>
    <w:p w14:paraId="395F36F3">
      <w:pPr>
        <w:ind w:firstLine="480"/>
        <w:rPr>
          <w:rFonts w:ascii="Times New Roman" w:hAnsi="Times New Roman"/>
          <w:highlight w:val="none"/>
        </w:rPr>
      </w:pPr>
      <w:r>
        <w:rPr>
          <w:rFonts w:ascii="Times New Roman" w:hAnsi="Times New Roman"/>
          <w:highlight w:val="none"/>
        </w:rPr>
        <w:t>1）为了充分合理的利用能源，随着室外气温的变化不断调节供热介质的温度，使其达到合理的供热参数，在满足用户需求的情况下，尽可能降低成本，合理的利用能源，达到节能的目的。</w:t>
      </w:r>
    </w:p>
    <w:p w14:paraId="564A968F">
      <w:pPr>
        <w:ind w:firstLine="480"/>
        <w:rPr>
          <w:rFonts w:ascii="Times New Roman" w:hAnsi="Times New Roman"/>
          <w:highlight w:val="none"/>
        </w:rPr>
      </w:pPr>
      <w:r>
        <w:rPr>
          <w:rFonts w:ascii="Times New Roman" w:hAnsi="Times New Roman"/>
          <w:highlight w:val="none"/>
        </w:rPr>
        <w:t>2）热网采用计算机自动控制，可以精确地调节控制供热系统的运行参数，大大提高对热网系统的监控能力，节约能源。</w:t>
      </w:r>
    </w:p>
    <w:p w14:paraId="6DA0BC78">
      <w:pPr>
        <w:ind w:firstLine="480"/>
        <w:rPr>
          <w:rFonts w:ascii="Times New Roman" w:hAnsi="Times New Roman"/>
          <w:highlight w:val="none"/>
        </w:rPr>
      </w:pPr>
      <w:r>
        <w:rPr>
          <w:rFonts w:ascii="Times New Roman" w:hAnsi="Times New Roman"/>
          <w:highlight w:val="none"/>
        </w:rPr>
        <w:t>3）在设备选择方面，优先选用低耗高效率节能设备，补水泵、鼓风机、引风机、循环泵采用变频调速装置，降低能耗。变频调速装置是目前普遍采用的一种节能措施，它可以通过变频器调节水泵的转速，达到压力控制稳定，流量连续变化，这样即可以节约电耗，又可以减少频繁启动对设备的损耗，延长设备的使用寿命。</w:t>
      </w:r>
    </w:p>
    <w:p w14:paraId="660B3F6D">
      <w:pPr>
        <w:ind w:firstLine="480"/>
        <w:rPr>
          <w:rFonts w:ascii="Times New Roman" w:hAnsi="Times New Roman"/>
          <w:highlight w:val="none"/>
        </w:rPr>
      </w:pPr>
      <w:r>
        <w:rPr>
          <w:rFonts w:ascii="Times New Roman" w:hAnsi="Times New Roman"/>
          <w:highlight w:val="none"/>
        </w:rPr>
        <w:t>4）加强供热管道和热设备的保温，减少热损失，以便提高系统的热能利用率，保证供热管网热损失在5%以下。</w:t>
      </w:r>
    </w:p>
    <w:p w14:paraId="2DF30351">
      <w:pPr>
        <w:ind w:firstLine="480"/>
        <w:rPr>
          <w:rFonts w:ascii="Times New Roman" w:hAnsi="Times New Roman"/>
          <w:highlight w:val="none"/>
        </w:rPr>
      </w:pPr>
      <w:r>
        <w:rPr>
          <w:rFonts w:ascii="Times New Roman" w:hAnsi="Times New Roman"/>
          <w:highlight w:val="none"/>
        </w:rPr>
        <w:t>5）在锅炉房总图布置上力求紧凑，按工艺流程布置，减少输送距离，避免原材料在倒运中的能源消耗。</w:t>
      </w:r>
    </w:p>
    <w:p w14:paraId="2AB32184">
      <w:pPr>
        <w:ind w:firstLine="480"/>
        <w:rPr>
          <w:rFonts w:ascii="Times New Roman" w:hAnsi="Times New Roman"/>
          <w:highlight w:val="none"/>
        </w:rPr>
      </w:pPr>
      <w:r>
        <w:rPr>
          <w:rFonts w:ascii="Times New Roman" w:hAnsi="Times New Roman"/>
          <w:highlight w:val="none"/>
        </w:rPr>
        <w:t>6）建筑物的设计符合节能要求，采用节能墙体，减少建筑的热能损失。</w:t>
      </w:r>
    </w:p>
    <w:p w14:paraId="787E4C90">
      <w:pPr>
        <w:ind w:firstLine="480"/>
        <w:rPr>
          <w:rFonts w:ascii="Times New Roman" w:hAnsi="Times New Roman"/>
          <w:highlight w:val="none"/>
        </w:rPr>
      </w:pPr>
      <w:r>
        <w:rPr>
          <w:rFonts w:ascii="Times New Roman" w:hAnsi="Times New Roman"/>
          <w:highlight w:val="none"/>
        </w:rPr>
        <w:t>7）加强计量，锅炉供水和补水均设置计量仪表，进煤设地中衡，锅炉上煤加装电子皮带称，强化管理，节约能源。</w:t>
      </w:r>
    </w:p>
    <w:p w14:paraId="35BAD8BF">
      <w:pPr>
        <w:ind w:firstLine="480"/>
        <w:rPr>
          <w:rFonts w:ascii="Times New Roman" w:hAnsi="Times New Roman"/>
          <w:highlight w:val="none"/>
        </w:rPr>
      </w:pPr>
      <w:r>
        <w:rPr>
          <w:rFonts w:ascii="Times New Roman" w:hAnsi="Times New Roman"/>
          <w:highlight w:val="none"/>
        </w:rPr>
        <w:t>（2）节水</w:t>
      </w:r>
    </w:p>
    <w:p w14:paraId="3E77ECBB">
      <w:pPr>
        <w:ind w:firstLine="480"/>
        <w:rPr>
          <w:rFonts w:ascii="Times New Roman" w:hAnsi="Times New Roman"/>
          <w:highlight w:val="none"/>
        </w:rPr>
      </w:pPr>
      <w:r>
        <w:rPr>
          <w:rFonts w:ascii="Times New Roman" w:hAnsi="Times New Roman"/>
          <w:highlight w:val="none"/>
        </w:rPr>
        <w:t>与小锅炉供热相比，本工程节水效果较好。</w:t>
      </w:r>
    </w:p>
    <w:p w14:paraId="574D1899">
      <w:pPr>
        <w:ind w:firstLine="480"/>
        <w:rPr>
          <w:rFonts w:ascii="Times New Roman" w:hAnsi="Times New Roman"/>
          <w:highlight w:val="none"/>
        </w:rPr>
      </w:pPr>
      <w:r>
        <w:rPr>
          <w:rFonts w:ascii="Times New Roman" w:hAnsi="Times New Roman"/>
          <w:highlight w:val="none"/>
        </w:rPr>
        <w:t>（3）灰渣综合利用分析</w:t>
      </w:r>
    </w:p>
    <w:p w14:paraId="4C14D8BF">
      <w:pPr>
        <w:rPr>
          <w:rFonts w:ascii="Times New Roman" w:hAnsi="Times New Roman"/>
          <w:highlight w:val="none"/>
        </w:rPr>
      </w:pPr>
      <w:r>
        <w:rPr>
          <w:rFonts w:ascii="Times New Roman" w:hAnsi="Times New Roman"/>
          <w:highlight w:val="none"/>
        </w:rPr>
        <w:t>本工程灰渣全部综合利用，本工程除渣系统采用机械除渣。燃烬的灰渣由锅炉底部的出渣口排出，经灰浆泵运至沉渣室，沉淀后外运。灰渣利用率为100%，符合清洁生产的指导思想。</w:t>
      </w:r>
    </w:p>
    <w:p w14:paraId="44D2E7C5">
      <w:pPr>
        <w:pStyle w:val="5"/>
        <w:bidi w:val="0"/>
        <w:ind w:left="0" w:leftChars="0" w:firstLine="0" w:firstLineChars="0"/>
        <w:rPr>
          <w:rFonts w:hint="eastAsia"/>
          <w:sz w:val="30"/>
          <w:szCs w:val="30"/>
          <w:highlight w:val="none"/>
          <w:lang w:val="en-US" w:eastAsia="zh-CN"/>
        </w:rPr>
      </w:pPr>
      <w:bookmarkStart w:id="98" w:name="_Toc32653"/>
      <w:r>
        <w:rPr>
          <w:rFonts w:hint="eastAsia"/>
          <w:sz w:val="30"/>
          <w:szCs w:val="30"/>
          <w:highlight w:val="none"/>
          <w:lang w:val="en-US" w:eastAsia="zh-CN"/>
        </w:rPr>
        <w:t>3.5.3强化污染物的末端治理</w:t>
      </w:r>
      <w:bookmarkEnd w:id="98"/>
    </w:p>
    <w:p w14:paraId="500E7D73">
      <w:pPr>
        <w:ind w:firstLine="480"/>
        <w:rPr>
          <w:rFonts w:ascii="Times New Roman" w:hAnsi="Times New Roman"/>
          <w:highlight w:val="none"/>
        </w:rPr>
      </w:pPr>
      <w:r>
        <w:rPr>
          <w:rFonts w:ascii="Times New Roman" w:hAnsi="Times New Roman"/>
          <w:highlight w:val="none"/>
        </w:rPr>
        <w:t>本工程虽然在工艺设计中采用了先进的生产工艺及节能措施，但仍然有部分污染物排放。因此污染物的末端治理是清洁生产的必要途径。</w:t>
      </w:r>
    </w:p>
    <w:p w14:paraId="421E0CF4">
      <w:pPr>
        <w:ind w:firstLine="480"/>
        <w:rPr>
          <w:rFonts w:ascii="Times New Roman" w:hAnsi="Times New Roman"/>
          <w:highlight w:val="none"/>
        </w:rPr>
      </w:pPr>
      <w:r>
        <w:rPr>
          <w:rFonts w:ascii="Times New Roman" w:hAnsi="Times New Roman"/>
          <w:highlight w:val="none"/>
        </w:rPr>
        <w:t>（1）本工程主要污染源为锅炉排放的烟气，锅炉烟气经处理后新建一座高</w:t>
      </w:r>
      <w:r>
        <w:rPr>
          <w:rFonts w:hint="eastAsia" w:ascii="Times New Roman" w:hAnsi="Times New Roman"/>
          <w:highlight w:val="none"/>
          <w:lang w:val="en-US" w:eastAsia="zh-CN"/>
        </w:rPr>
        <w:t>60</w:t>
      </w:r>
      <w:r>
        <w:rPr>
          <w:rFonts w:ascii="Times New Roman" w:hAnsi="Times New Roman"/>
          <w:highlight w:val="none"/>
        </w:rPr>
        <w:t>m，内径</w:t>
      </w:r>
      <w:r>
        <w:rPr>
          <w:rFonts w:hint="eastAsia" w:ascii="Times New Roman" w:hAnsi="Times New Roman"/>
          <w:highlight w:val="none"/>
          <w:lang w:val="en-US" w:eastAsia="zh-CN"/>
        </w:rPr>
        <w:t>4</w:t>
      </w:r>
      <w:r>
        <w:rPr>
          <w:rFonts w:ascii="Times New Roman" w:hAnsi="Times New Roman"/>
          <w:highlight w:val="none"/>
        </w:rPr>
        <w:t>m的烟囱排放至大气中。脱硫方式采用石灰石/石膏法脱硫，脱硫效率97%以上；除尘采用布袋除尘系统，除尘效率99.96%以上；脱硝措施采用循环流化床低氮燃烧技术+SNCR-SCR法脱硝（脱硝效率</w:t>
      </w:r>
      <w:r>
        <w:rPr>
          <w:rFonts w:hint="eastAsia" w:ascii="Times New Roman" w:hAnsi="Times New Roman"/>
          <w:highlight w:val="none"/>
          <w:lang w:val="en-US" w:eastAsia="zh-CN"/>
        </w:rPr>
        <w:t>99</w:t>
      </w:r>
      <w:r>
        <w:rPr>
          <w:rFonts w:ascii="Times New Roman" w:hAnsi="Times New Roman"/>
          <w:highlight w:val="none"/>
        </w:rPr>
        <w:t>%）</w:t>
      </w:r>
      <w:r>
        <w:rPr>
          <w:rFonts w:hint="eastAsia" w:ascii="Times New Roman" w:hAnsi="Times New Roman"/>
          <w:highlight w:val="none"/>
        </w:rPr>
        <w:t>，本项目采取的烟气除尘、脱硫和脱氮系统对汞及其化合物产生协同脱除效率可达70%以上</w:t>
      </w:r>
      <w:r>
        <w:rPr>
          <w:rFonts w:ascii="Times New Roman" w:hAnsi="Times New Roman"/>
          <w:highlight w:val="none"/>
        </w:rPr>
        <w:t>。</w:t>
      </w:r>
    </w:p>
    <w:p w14:paraId="76941C48">
      <w:pPr>
        <w:ind w:firstLine="480"/>
        <w:rPr>
          <w:rFonts w:ascii="Times New Roman" w:hAnsi="Times New Roman"/>
          <w:highlight w:val="none"/>
        </w:rPr>
      </w:pPr>
      <w:r>
        <w:rPr>
          <w:rFonts w:ascii="Times New Roman" w:hAnsi="Times New Roman"/>
          <w:highlight w:val="none"/>
        </w:rPr>
        <w:t>（2）各类设备噪声和排气噪声均得到有效控制，治理措施得当，从而使得厂界噪声符合《工业企业厂界环境噪声排放标准》（GB12348-2008）中的</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p>
    <w:p w14:paraId="5D5E6492">
      <w:pPr>
        <w:ind w:firstLine="480"/>
        <w:rPr>
          <w:rFonts w:ascii="Times New Roman" w:hAnsi="Times New Roman"/>
          <w:highlight w:val="none"/>
        </w:rPr>
      </w:pPr>
      <w:r>
        <w:rPr>
          <w:rFonts w:ascii="Times New Roman" w:hAnsi="Times New Roman"/>
          <w:highlight w:val="none"/>
        </w:rPr>
        <w:t>（3）本工程生产固废主要为灰渣、</w:t>
      </w:r>
      <w:r>
        <w:rPr>
          <w:rFonts w:hint="eastAsia" w:ascii="Times New Roman" w:hAnsi="Times New Roman"/>
          <w:highlight w:val="none"/>
        </w:rPr>
        <w:t>脱硫石膏</w:t>
      </w:r>
      <w:r>
        <w:rPr>
          <w:rFonts w:hint="eastAsia" w:ascii="Times New Roman" w:hAnsi="Times New Roman"/>
          <w:highlight w:val="none"/>
          <w:lang w:val="en-US" w:eastAsia="zh-CN"/>
        </w:rPr>
        <w:t>用于采矿区回填；</w:t>
      </w:r>
      <w:r>
        <w:rPr>
          <w:rFonts w:ascii="Times New Roman" w:hAnsi="Times New Roman"/>
          <w:highlight w:val="none"/>
        </w:rPr>
        <w:t>生活垃圾由市政环卫部门统一处理；餐厨垃圾及废油脂交有资质处置</w:t>
      </w:r>
      <w:r>
        <w:rPr>
          <w:rFonts w:hint="eastAsia" w:ascii="Times New Roman" w:hAnsi="Times New Roman"/>
          <w:highlight w:val="none"/>
          <w:lang w:eastAsia="zh-CN"/>
        </w:rPr>
        <w:t>；</w:t>
      </w:r>
      <w:r>
        <w:rPr>
          <w:rFonts w:ascii="Times New Roman" w:hAnsi="Times New Roman"/>
          <w:highlight w:val="none"/>
        </w:rPr>
        <w:t>废离子交换树脂</w:t>
      </w:r>
      <w:r>
        <w:rPr>
          <w:rFonts w:hint="eastAsia" w:ascii="Times New Roman" w:hAnsi="Times New Roman"/>
          <w:highlight w:val="none"/>
          <w:lang w:val="en-US" w:eastAsia="zh-CN"/>
        </w:rPr>
        <w:t>和反渗透膜</w:t>
      </w:r>
      <w:r>
        <w:rPr>
          <w:rFonts w:ascii="Times New Roman" w:hAnsi="Times New Roman"/>
          <w:color w:val="auto"/>
          <w:highlight w:val="none"/>
        </w:rPr>
        <w:t>交由厂家回收处理</w:t>
      </w:r>
      <w:r>
        <w:rPr>
          <w:rFonts w:hint="eastAsia" w:ascii="Times New Roman" w:hAnsi="Times New Roman"/>
          <w:color w:val="auto"/>
          <w:highlight w:val="none"/>
          <w:lang w:eastAsia="zh-CN"/>
        </w:rPr>
        <w:t>；</w:t>
      </w:r>
      <w:r>
        <w:rPr>
          <w:rFonts w:ascii="Times New Roman" w:hAnsi="Times New Roman"/>
          <w:highlight w:val="none"/>
        </w:rPr>
        <w:t>废催化剂</w:t>
      </w:r>
      <w:r>
        <w:rPr>
          <w:rFonts w:hint="eastAsia" w:ascii="Times New Roman" w:hAnsi="Times New Roman"/>
          <w:highlight w:val="none"/>
          <w:lang w:val="en-US" w:eastAsia="zh-CN"/>
        </w:rPr>
        <w:t>和废机油</w:t>
      </w:r>
      <w:r>
        <w:rPr>
          <w:rFonts w:ascii="Times New Roman" w:hAnsi="Times New Roman"/>
          <w:highlight w:val="none"/>
        </w:rPr>
        <w:t>交有资质单位处置；本项目运行期间产生的固体废物处置得当，综合利用率达100%。</w:t>
      </w:r>
    </w:p>
    <w:p w14:paraId="6FDE898C">
      <w:pPr>
        <w:rPr>
          <w:rFonts w:ascii="Times New Roman" w:hAnsi="Times New Roman"/>
          <w:highlight w:val="none"/>
        </w:rPr>
      </w:pPr>
      <w:r>
        <w:rPr>
          <w:rFonts w:ascii="Times New Roman" w:hAnsi="Times New Roman"/>
          <w:highlight w:val="none"/>
        </w:rPr>
        <w:t>综上所述，通过对生产过程严格把关，加强污染物末端治理和环境管理，节约了能源消耗，不同程度地降低或避免了工程对环境产生的不利影响。</w:t>
      </w:r>
    </w:p>
    <w:p w14:paraId="6250F635">
      <w:pPr>
        <w:pStyle w:val="5"/>
        <w:bidi w:val="0"/>
        <w:ind w:left="0" w:leftChars="0" w:firstLine="0" w:firstLineChars="0"/>
        <w:rPr>
          <w:rFonts w:hint="eastAsia"/>
          <w:sz w:val="30"/>
          <w:szCs w:val="30"/>
          <w:highlight w:val="none"/>
          <w:lang w:val="en-US" w:eastAsia="zh-CN"/>
        </w:rPr>
      </w:pPr>
      <w:bookmarkStart w:id="99" w:name="_Toc24014"/>
      <w:r>
        <w:rPr>
          <w:rFonts w:hint="default" w:ascii="Times New Roman" w:hAnsi="Times New Roman" w:cs="Times New Roman"/>
          <w:sz w:val="30"/>
          <w:szCs w:val="30"/>
          <w:highlight w:val="none"/>
          <w:lang w:val="en-US" w:eastAsia="zh-CN"/>
        </w:rPr>
        <w:t>3.5.4</w:t>
      </w:r>
      <w:r>
        <w:rPr>
          <w:rFonts w:hint="eastAsia"/>
          <w:sz w:val="30"/>
          <w:szCs w:val="30"/>
          <w:highlight w:val="none"/>
          <w:lang w:val="en-US" w:eastAsia="zh-CN"/>
        </w:rPr>
        <w:t>产品指标</w:t>
      </w:r>
      <w:bookmarkEnd w:id="99"/>
    </w:p>
    <w:p w14:paraId="01075F68">
      <w:pPr>
        <w:ind w:firstLine="480"/>
        <w:rPr>
          <w:rFonts w:ascii="Times New Roman" w:hAnsi="Times New Roman"/>
          <w:highlight w:val="none"/>
        </w:rPr>
      </w:pPr>
      <w:r>
        <w:rPr>
          <w:rFonts w:ascii="Times New Roman" w:hAnsi="Times New Roman"/>
          <w:highlight w:val="none"/>
        </w:rPr>
        <w:t>清洁生产不但要求生产中选用清洁的原料、清洁的生产工艺，而且还要求产品在使用过程中以及使用后不会对人体健康和生态环境造成影响。</w:t>
      </w:r>
    </w:p>
    <w:p w14:paraId="56759B21">
      <w:pPr>
        <w:rPr>
          <w:rFonts w:ascii="Times New Roman" w:hAnsi="Times New Roman"/>
          <w:highlight w:val="none"/>
        </w:rPr>
      </w:pPr>
      <w:r>
        <w:rPr>
          <w:rFonts w:ascii="Times New Roman" w:hAnsi="Times New Roman"/>
          <w:highlight w:val="none"/>
        </w:rPr>
        <w:t>本项目的产品——热是优质、高效、可靠、清洁的二次能源，使用过程中不会对环境造成污染。所以，本项目从能源的使用开始，直至产品的应用，实施了清洁生产技术和措施，最大限度地减少了技术和产品的环境风险。</w:t>
      </w:r>
    </w:p>
    <w:p w14:paraId="1A3874DF">
      <w:pPr>
        <w:pStyle w:val="5"/>
        <w:bidi w:val="0"/>
        <w:ind w:left="0" w:leftChars="0" w:firstLine="0" w:firstLineChars="0"/>
        <w:rPr>
          <w:rFonts w:hint="eastAsia"/>
          <w:sz w:val="30"/>
          <w:szCs w:val="30"/>
          <w:highlight w:val="none"/>
          <w:lang w:val="en-US" w:eastAsia="zh-CN"/>
        </w:rPr>
      </w:pPr>
      <w:bookmarkStart w:id="100" w:name="_Toc4360"/>
      <w:r>
        <w:rPr>
          <w:rFonts w:hint="default" w:ascii="Times New Roman" w:hAnsi="Times New Roman" w:cs="Times New Roman"/>
          <w:sz w:val="30"/>
          <w:szCs w:val="30"/>
          <w:highlight w:val="none"/>
          <w:lang w:val="en-US" w:eastAsia="zh-CN"/>
        </w:rPr>
        <w:t>3.5.5</w:t>
      </w:r>
      <w:r>
        <w:rPr>
          <w:rFonts w:hint="eastAsia"/>
          <w:sz w:val="30"/>
          <w:szCs w:val="30"/>
          <w:highlight w:val="none"/>
          <w:lang w:val="en-US" w:eastAsia="zh-CN"/>
        </w:rPr>
        <w:t>废物回收利用指标</w:t>
      </w:r>
      <w:bookmarkEnd w:id="100"/>
    </w:p>
    <w:p w14:paraId="6FC564CC">
      <w:pPr>
        <w:rPr>
          <w:rFonts w:ascii="Times New Roman" w:hAnsi="Times New Roman"/>
          <w:color w:val="auto"/>
          <w:highlight w:val="none"/>
        </w:rPr>
      </w:pPr>
      <w:r>
        <w:rPr>
          <w:rFonts w:ascii="Times New Roman" w:hAnsi="Times New Roman"/>
          <w:color w:val="auto"/>
          <w:highlight w:val="none"/>
        </w:rPr>
        <w:t>本项目灰渣及脱硫石膏</w:t>
      </w:r>
      <w:r>
        <w:rPr>
          <w:rFonts w:hint="eastAsia" w:ascii="Times New Roman" w:hAnsi="Times New Roman"/>
          <w:color w:val="auto"/>
          <w:highlight w:val="none"/>
          <w:lang w:val="en-US" w:eastAsia="zh-CN"/>
        </w:rPr>
        <w:t>用于采矿区回填</w:t>
      </w:r>
      <w:r>
        <w:rPr>
          <w:rFonts w:ascii="Times New Roman" w:hAnsi="Times New Roman"/>
          <w:color w:val="auto"/>
          <w:highlight w:val="none"/>
        </w:rPr>
        <w:t>；废催化剂</w:t>
      </w:r>
      <w:r>
        <w:rPr>
          <w:rFonts w:hint="eastAsia" w:ascii="Times New Roman" w:hAnsi="Times New Roman"/>
          <w:color w:val="auto"/>
          <w:highlight w:val="none"/>
          <w:lang w:val="en-US" w:eastAsia="zh-CN"/>
        </w:rPr>
        <w:t>和废机油</w:t>
      </w:r>
      <w:r>
        <w:rPr>
          <w:rFonts w:ascii="Times New Roman" w:hAnsi="Times New Roman"/>
          <w:color w:val="auto"/>
          <w:highlight w:val="none"/>
        </w:rPr>
        <w:t>委托有资质单位处置；生活垃圾交市政部门处理；</w:t>
      </w:r>
      <w:r>
        <w:rPr>
          <w:rFonts w:ascii="Times New Roman" w:hAnsi="Times New Roman"/>
          <w:highlight w:val="none"/>
        </w:rPr>
        <w:t>餐厨垃圾及废油脂交有资质处置</w:t>
      </w:r>
      <w:r>
        <w:rPr>
          <w:rFonts w:hint="eastAsia" w:ascii="Times New Roman" w:hAnsi="Times New Roman"/>
          <w:highlight w:val="none"/>
          <w:lang w:eastAsia="zh-CN"/>
        </w:rPr>
        <w:t>；</w:t>
      </w:r>
      <w:r>
        <w:rPr>
          <w:rFonts w:ascii="Times New Roman" w:hAnsi="Times New Roman"/>
          <w:color w:val="auto"/>
          <w:highlight w:val="none"/>
        </w:rPr>
        <w:t>废离子交换树脂</w:t>
      </w:r>
      <w:r>
        <w:rPr>
          <w:rFonts w:hint="eastAsia" w:ascii="Times New Roman" w:hAnsi="Times New Roman"/>
          <w:color w:val="auto"/>
          <w:highlight w:val="none"/>
          <w:lang w:val="en-US" w:eastAsia="zh-CN"/>
        </w:rPr>
        <w:t>和反渗透膜</w:t>
      </w:r>
      <w:r>
        <w:rPr>
          <w:rFonts w:ascii="Times New Roman" w:hAnsi="Times New Roman"/>
          <w:color w:val="auto"/>
          <w:highlight w:val="none"/>
        </w:rPr>
        <w:t>交由厂家回收处理。</w:t>
      </w:r>
    </w:p>
    <w:p w14:paraId="39AC354B">
      <w:pPr>
        <w:pStyle w:val="5"/>
        <w:bidi w:val="0"/>
        <w:ind w:left="0" w:leftChars="0" w:firstLine="0" w:firstLineChars="0"/>
        <w:rPr>
          <w:rFonts w:hint="eastAsia" w:ascii="Times New Roman" w:hAnsi="Times New Roman" w:cs="Times New Roman"/>
          <w:sz w:val="30"/>
          <w:szCs w:val="30"/>
          <w:highlight w:val="none"/>
          <w:lang w:val="en-US" w:eastAsia="zh-CN"/>
        </w:rPr>
      </w:pPr>
      <w:bookmarkStart w:id="101" w:name="_Toc13396"/>
      <w:r>
        <w:rPr>
          <w:rFonts w:hint="eastAsia" w:ascii="Times New Roman" w:hAnsi="Times New Roman" w:cs="Times New Roman"/>
          <w:sz w:val="30"/>
          <w:szCs w:val="30"/>
          <w:highlight w:val="none"/>
          <w:lang w:val="en-US" w:eastAsia="zh-CN"/>
        </w:rPr>
        <w:t>3.5.6环境管理要求</w:t>
      </w:r>
      <w:bookmarkEnd w:id="101"/>
    </w:p>
    <w:p w14:paraId="0F3306F8">
      <w:pPr>
        <w:rPr>
          <w:rFonts w:hint="eastAsia"/>
          <w:color w:val="auto"/>
          <w:highlight w:val="none"/>
        </w:rPr>
      </w:pPr>
      <w:r>
        <w:rPr>
          <w:rFonts w:hint="eastAsia"/>
          <w:color w:val="auto"/>
          <w:highlight w:val="none"/>
        </w:rPr>
        <w:t>本项目投产后，将建立一整套完善的现场运行、维护和管理的规章制度，并严格执行；重视对除尘器运行、维修人员的培训，并使之制度化；除尘器的重要部件都建立完整的技术档案，严格检修周期，修必修好，勤维护保证设备的使用的条件，做好易损部件的备品备件工作；加强源头控制、全过程管理，建立健全原材料质检制度和原材料消耗定额管理制度，并建立能耗、水耗考核制度。</w:t>
      </w:r>
    </w:p>
    <w:p w14:paraId="34722E12">
      <w:pPr>
        <w:pStyle w:val="5"/>
        <w:bidi w:val="0"/>
        <w:ind w:left="0" w:leftChars="0" w:firstLine="0" w:firstLineChars="0"/>
        <w:rPr>
          <w:rFonts w:hint="eastAsia" w:ascii="Times New Roman" w:hAnsi="Times New Roman" w:cs="Times New Roman"/>
          <w:sz w:val="30"/>
          <w:szCs w:val="30"/>
          <w:highlight w:val="none"/>
          <w:lang w:val="en-US" w:eastAsia="zh-CN"/>
        </w:rPr>
      </w:pPr>
      <w:bookmarkStart w:id="102" w:name="_Toc24247"/>
      <w:r>
        <w:rPr>
          <w:rFonts w:hint="eastAsia" w:ascii="Times New Roman" w:hAnsi="Times New Roman" w:cs="Times New Roman"/>
          <w:sz w:val="30"/>
          <w:szCs w:val="30"/>
          <w:highlight w:val="none"/>
          <w:lang w:val="en-US" w:eastAsia="zh-CN"/>
        </w:rPr>
        <w:t>3.5.7结论</w:t>
      </w:r>
      <w:bookmarkEnd w:id="102"/>
    </w:p>
    <w:p w14:paraId="71571FC2">
      <w:pPr>
        <w:rPr>
          <w:rFonts w:ascii="Times New Roman" w:hAnsi="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highlight w:val="none"/>
        </w:rPr>
        <w:t>从以上分析可知，本工程在设计中采取了一系列节能、节水措施，同时，本工程产生的灰渣也均采取了有效的综合利用措施，达到了国内先进生产水平，项目建设符合清洁生产的指导思想。</w:t>
      </w:r>
    </w:p>
    <w:p w14:paraId="0A75FF49">
      <w:pPr>
        <w:pStyle w:val="3"/>
        <w:bidi w:val="0"/>
        <w:rPr>
          <w:rFonts w:hint="eastAsia"/>
          <w:highlight w:val="none"/>
          <w:lang w:val="en-US" w:eastAsia="zh-CN"/>
        </w:rPr>
      </w:pPr>
      <w:bookmarkStart w:id="103" w:name="_Toc302"/>
      <w:r>
        <w:rPr>
          <w:rFonts w:hint="eastAsia"/>
          <w:highlight w:val="none"/>
          <w:lang w:val="en-US" w:eastAsia="zh-CN"/>
        </w:rPr>
        <w:t>4环境现状调查与评价</w:t>
      </w:r>
      <w:bookmarkEnd w:id="103"/>
    </w:p>
    <w:p w14:paraId="267910A2">
      <w:pPr>
        <w:pStyle w:val="4"/>
        <w:bidi w:val="0"/>
        <w:ind w:left="0" w:leftChars="0" w:firstLine="0" w:firstLineChars="0"/>
        <w:rPr>
          <w:rFonts w:hint="eastAsia"/>
          <w:highlight w:val="none"/>
          <w:lang w:val="en-US" w:eastAsia="zh-CN"/>
        </w:rPr>
      </w:pPr>
      <w:bookmarkStart w:id="104" w:name="_Toc22931"/>
      <w:r>
        <w:rPr>
          <w:rFonts w:hint="default" w:ascii="Times New Roman" w:hAnsi="Times New Roman" w:cs="Times New Roman"/>
          <w:highlight w:val="none"/>
          <w:lang w:val="en-US" w:eastAsia="zh-CN"/>
        </w:rPr>
        <w:t>4.1</w:t>
      </w:r>
      <w:r>
        <w:rPr>
          <w:rFonts w:hint="eastAsia"/>
          <w:highlight w:val="none"/>
          <w:lang w:val="en-US" w:eastAsia="zh-CN"/>
        </w:rPr>
        <w:t>自然环境概括</w:t>
      </w:r>
      <w:bookmarkEnd w:id="104"/>
    </w:p>
    <w:p w14:paraId="4AD2ED16">
      <w:pPr>
        <w:pStyle w:val="5"/>
        <w:bidi w:val="0"/>
        <w:ind w:left="0" w:leftChars="0" w:firstLine="0" w:firstLineChars="0"/>
        <w:rPr>
          <w:rFonts w:hint="eastAsia"/>
          <w:sz w:val="30"/>
          <w:szCs w:val="30"/>
          <w:highlight w:val="none"/>
          <w:lang w:val="en-US" w:eastAsia="zh-CN"/>
        </w:rPr>
      </w:pPr>
      <w:bookmarkStart w:id="105" w:name="_Toc25330"/>
      <w:r>
        <w:rPr>
          <w:rFonts w:hint="default" w:ascii="Times New Roman" w:hAnsi="Times New Roman" w:cs="Times New Roman"/>
          <w:sz w:val="30"/>
          <w:szCs w:val="30"/>
          <w:highlight w:val="none"/>
          <w:lang w:val="en-US" w:eastAsia="zh-CN"/>
        </w:rPr>
        <w:t>4.1.1</w:t>
      </w:r>
      <w:r>
        <w:rPr>
          <w:rFonts w:hint="eastAsia"/>
          <w:sz w:val="30"/>
          <w:szCs w:val="30"/>
          <w:highlight w:val="none"/>
          <w:lang w:val="en-US" w:eastAsia="zh-CN"/>
        </w:rPr>
        <w:t>地理位置</w:t>
      </w:r>
      <w:bookmarkEnd w:id="105"/>
    </w:p>
    <w:p w14:paraId="3B80AB01">
      <w:pPr>
        <w:rPr>
          <w:rFonts w:hint="default"/>
          <w:highlight w:val="none"/>
          <w:lang w:val="en-US" w:eastAsia="zh-CN"/>
        </w:rPr>
      </w:pPr>
      <w:r>
        <w:rPr>
          <w:rFonts w:hint="default" w:ascii="Times New Roman" w:hAnsi="Times New Roman" w:cs="Times New Roman"/>
          <w:color w:val="auto"/>
          <w:sz w:val="24"/>
          <w:szCs w:val="24"/>
          <w:highlight w:val="none"/>
        </w:rPr>
        <w:t>绥芬河</w:t>
      </w:r>
      <w:r>
        <w:rPr>
          <w:rFonts w:hint="default" w:ascii="Times New Roman" w:hAnsi="Times New Roman" w:cs="Times New Roman"/>
          <w:color w:val="auto"/>
          <w:sz w:val="24"/>
          <w:szCs w:val="24"/>
          <w:highlight w:val="none"/>
          <w:lang w:val="en-US" w:eastAsia="zh-CN"/>
        </w:rPr>
        <w:t>市</w:t>
      </w:r>
      <w:r>
        <w:rPr>
          <w:rFonts w:hint="default" w:ascii="Times New Roman" w:hAnsi="Times New Roman" w:cs="Times New Roman"/>
          <w:color w:val="auto"/>
          <w:sz w:val="24"/>
          <w:szCs w:val="24"/>
          <w:highlight w:val="none"/>
        </w:rPr>
        <w:t>隶属于</w:t>
      </w: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HYPERLINK "https://baike.so.com/doc/5574741-5789159.html" \t "_blank"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黑龙江省</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4"/>
          <w:highlight w:val="none"/>
        </w:rPr>
        <w:t>牡丹江市</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地理坐标东经130°57′至131°13′，北纬44°18′至44°32′，南、西、北三面与东宁县相接，东侧与俄罗斯滨海边疆区接壤。</w:t>
      </w:r>
    </w:p>
    <w:p w14:paraId="7EB49FB6">
      <w:pPr>
        <w:bidi w:val="0"/>
        <w:rPr>
          <w:rFonts w:hint="eastAsia"/>
          <w:highlight w:val="none"/>
          <w:lang w:val="en-US" w:eastAsia="zh-CN"/>
        </w:rPr>
      </w:pPr>
      <w:r>
        <w:rPr>
          <w:rFonts w:hint="eastAsia"/>
          <w:highlight w:val="none"/>
          <w:lang w:val="en-US" w:eastAsia="zh-CN"/>
        </w:rPr>
        <w:t>项目地理位置见下图。</w:t>
      </w:r>
    </w:p>
    <w:p w14:paraId="3CC33B65">
      <w:pPr>
        <w:pStyle w:val="23"/>
        <w:ind w:left="0" w:leftChars="0" w:firstLine="0" w:firstLineChars="0"/>
        <w:rPr>
          <w:rFonts w:hint="default"/>
          <w:highlight w:val="none"/>
          <w:lang w:val="en-US" w:eastAsia="zh-CN"/>
        </w:rPr>
      </w:pPr>
      <w:r>
        <w:rPr>
          <w:sz w:val="24"/>
          <w:highlight w:val="none"/>
        </w:rPr>
        <mc:AlternateContent>
          <mc:Choice Requires="wps">
            <w:drawing>
              <wp:anchor distT="0" distB="0" distL="114300" distR="114300" simplePos="0" relativeHeight="251682816" behindDoc="0" locked="0" layoutInCell="1" allowOverlap="1">
                <wp:simplePos x="0" y="0"/>
                <wp:positionH relativeFrom="column">
                  <wp:posOffset>2637790</wp:posOffset>
                </wp:positionH>
                <wp:positionV relativeFrom="paragraph">
                  <wp:posOffset>1473200</wp:posOffset>
                </wp:positionV>
                <wp:extent cx="1054100" cy="623570"/>
                <wp:effectExtent l="6350" t="6350" r="6350" b="551180"/>
                <wp:wrapNone/>
                <wp:docPr id="40" name="矩形标注 40"/>
                <wp:cNvGraphicFramePr/>
                <a:graphic xmlns:a="http://schemas.openxmlformats.org/drawingml/2006/main">
                  <a:graphicData uri="http://schemas.microsoft.com/office/word/2010/wordprocessingShape">
                    <wps:wsp>
                      <wps:cNvSpPr/>
                      <wps:spPr>
                        <a:xfrm>
                          <a:off x="3927475" y="6101080"/>
                          <a:ext cx="1054100" cy="623570"/>
                        </a:xfrm>
                        <a:prstGeom prst="wedgeRectCallout">
                          <a:avLst>
                            <a:gd name="adj1" fmla="val -31062"/>
                            <a:gd name="adj2" fmla="val 133604"/>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14:paraId="7A40A968">
                            <w:pPr>
                              <w:ind w:left="0" w:leftChars="0" w:firstLine="0" w:firstLineChars="0"/>
                              <w:jc w:val="both"/>
                              <w:rPr>
                                <w:rFonts w:hint="default" w:eastAsia="宋体"/>
                                <w:lang w:val="en-US" w:eastAsia="zh-CN"/>
                              </w:rPr>
                            </w:pPr>
                            <w:r>
                              <w:rPr>
                                <w:rFonts w:hint="eastAsia"/>
                                <w:lang w:val="en-US" w:eastAsia="zh-CN"/>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07.7pt;margin-top:116pt;height:49.1pt;width:83pt;z-index:251682816;v-text-anchor:middle;mso-width-relative:page;mso-height-relative:page;" filled="f" stroked="t" coordsize="21600,21600" o:gfxdata="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NSZf4LXAAAACwEA&#10;AA8AAAAAAAAAAQAgAAAAIgAAAGRycy9kb3ducmV2LnhtbFBLAQIUABQAAAAIAIdO4kBmFfTwxgIA&#10;AGsFAAAOAAAAAAAAAAEAIAAAACYBAABkcnMvZTJvRG9jLnhtbFBLBQYAAAAABgAGAFkBAABeBgAA&#10;AAA=&#10;" adj="4091,39658">
                <v:fill on="f" focussize="0,0"/>
                <v:stroke weight="1pt" color="#2E54A1 [2404]" miterlimit="8" joinstyle="miter"/>
                <v:imagedata o:title=""/>
                <o:lock v:ext="edit" aspectratio="f"/>
                <v:textbox>
                  <w:txbxContent>
                    <w:p w14:paraId="7A40A968">
                      <w:pPr>
                        <w:ind w:left="0" w:leftChars="0" w:firstLine="0" w:firstLineChars="0"/>
                        <w:jc w:val="both"/>
                        <w:rPr>
                          <w:rFonts w:hint="default" w:eastAsia="宋体"/>
                          <w:lang w:val="en-US" w:eastAsia="zh-CN"/>
                        </w:rPr>
                      </w:pPr>
                      <w:r>
                        <w:rPr>
                          <w:rFonts w:hint="eastAsia"/>
                          <w:lang w:val="en-US" w:eastAsia="zh-CN"/>
                        </w:rPr>
                        <w:t>本项目位置</w:t>
                      </w:r>
                    </w:p>
                  </w:txbxContent>
                </v:textbox>
              </v:shape>
            </w:pict>
          </mc:Fallback>
        </mc:AlternateContent>
      </w:r>
      <w:r>
        <w:rPr>
          <w:sz w:val="24"/>
          <w:highlight w:val="none"/>
        </w:rPr>
        <mc:AlternateContent>
          <mc:Choice Requires="wps">
            <w:drawing>
              <wp:anchor distT="0" distB="0" distL="114300" distR="114300" simplePos="0" relativeHeight="251681792" behindDoc="0" locked="0" layoutInCell="1" allowOverlap="1">
                <wp:simplePos x="0" y="0"/>
                <wp:positionH relativeFrom="column">
                  <wp:posOffset>4438650</wp:posOffset>
                </wp:positionH>
                <wp:positionV relativeFrom="paragraph">
                  <wp:posOffset>53340</wp:posOffset>
                </wp:positionV>
                <wp:extent cx="831215" cy="1030605"/>
                <wp:effectExtent l="5080" t="4445" r="20955" b="12700"/>
                <wp:wrapNone/>
                <wp:docPr id="37" name="文本框 37"/>
                <wp:cNvGraphicFramePr/>
                <a:graphic xmlns:a="http://schemas.openxmlformats.org/drawingml/2006/main">
                  <a:graphicData uri="http://schemas.microsoft.com/office/word/2010/wordprocessingShape">
                    <wps:wsp>
                      <wps:cNvSpPr txBox="1"/>
                      <wps:spPr>
                        <a:xfrm>
                          <a:off x="5486400" y="3884295"/>
                          <a:ext cx="831215" cy="10306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D5A6E2B">
                            <w:pPr>
                              <w:ind w:left="0" w:leftChars="0" w:firstLine="0" w:firstLineChars="0"/>
                              <w:rPr>
                                <w:rFonts w:hint="eastAsia" w:eastAsia="宋体"/>
                                <w:lang w:eastAsia="zh-CN"/>
                              </w:rPr>
                            </w:pPr>
                            <w:r>
                              <w:rPr>
                                <w:rFonts w:hint="eastAsia" w:eastAsia="宋体"/>
                                <w:lang w:eastAsia="zh-CN"/>
                              </w:rPr>
                              <w:drawing>
                                <wp:inline distT="0" distB="0" distL="114300" distR="114300">
                                  <wp:extent cx="737870" cy="938530"/>
                                  <wp:effectExtent l="0" t="0" r="5080" b="13970"/>
                                  <wp:docPr id="39" name="图片 39" descr="21cc9d45970804bc4638252295c6d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1cc9d45970804bc4638252295c6dc6"/>
                                          <pic:cNvPicPr>
                                            <a:picLocks noChangeAspect="1"/>
                                          </pic:cNvPicPr>
                                        </pic:nvPicPr>
                                        <pic:blipFill>
                                          <a:blip r:embed="rId33"/>
                                          <a:stretch>
                                            <a:fillRect/>
                                          </a:stretch>
                                        </pic:blipFill>
                                        <pic:spPr>
                                          <a:xfrm>
                                            <a:off x="0" y="0"/>
                                            <a:ext cx="737870" cy="93853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9.5pt;margin-top:4.2pt;height:81.15pt;width:65.45pt;z-index:251681792;mso-width-relative:page;mso-height-relative:page;" fillcolor="#FFFFFF [3201]" filled="t" stroked="t" coordsize="21600,21600" o:gfxdata="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Cy8/g/WAAAACQEAAA8AAAAAAAAAAQAgAAAAIgAAAGRycy9kb3ducmV2LnhtbFBLAQIU&#10;ABQAAAAIAIdO4kBbVYdKZwIAAMUEAAAOAAAAAAAAAAEAIAAAACUBAABkcnMvZTJvRG9jLnhtbFBL&#10;BQYAAAAABgAGAFkBAAD+BQAAAAA=&#10;">
                <v:fill on="t" focussize="0,0"/>
                <v:stroke weight="0.5pt" color="#000000 [3204]" joinstyle="round"/>
                <v:imagedata o:title=""/>
                <o:lock v:ext="edit" aspectratio="f"/>
                <v:textbox>
                  <w:txbxContent>
                    <w:p w14:paraId="2D5A6E2B">
                      <w:pPr>
                        <w:ind w:left="0" w:leftChars="0" w:firstLine="0" w:firstLineChars="0"/>
                        <w:rPr>
                          <w:rFonts w:hint="eastAsia" w:eastAsia="宋体"/>
                          <w:lang w:eastAsia="zh-CN"/>
                        </w:rPr>
                      </w:pPr>
                      <w:r>
                        <w:rPr>
                          <w:rFonts w:hint="eastAsia" w:eastAsia="宋体"/>
                          <w:lang w:eastAsia="zh-CN"/>
                        </w:rPr>
                        <w:drawing>
                          <wp:inline distT="0" distB="0" distL="114300" distR="114300">
                            <wp:extent cx="737870" cy="938530"/>
                            <wp:effectExtent l="0" t="0" r="5080" b="13970"/>
                            <wp:docPr id="39" name="图片 39" descr="21cc9d45970804bc4638252295c6d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21cc9d45970804bc4638252295c6dc6"/>
                                    <pic:cNvPicPr>
                                      <a:picLocks noChangeAspect="1"/>
                                    </pic:cNvPicPr>
                                  </pic:nvPicPr>
                                  <pic:blipFill>
                                    <a:blip r:embed="rId33"/>
                                    <a:stretch>
                                      <a:fillRect/>
                                    </a:stretch>
                                  </pic:blipFill>
                                  <pic:spPr>
                                    <a:xfrm>
                                      <a:off x="0" y="0"/>
                                      <a:ext cx="737870" cy="938530"/>
                                    </a:xfrm>
                                    <a:prstGeom prst="rect">
                                      <a:avLst/>
                                    </a:prstGeom>
                                  </pic:spPr>
                                </pic:pic>
                              </a:graphicData>
                            </a:graphic>
                          </wp:inline>
                        </w:drawing>
                      </w:r>
                    </w:p>
                  </w:txbxContent>
                </v:textbox>
              </v:shape>
            </w:pict>
          </mc:Fallback>
        </mc:AlternateContent>
      </w:r>
      <w:r>
        <w:rPr>
          <w:rFonts w:hint="default"/>
          <w:highlight w:val="none"/>
          <w:lang w:val="en-US" w:eastAsia="zh-CN"/>
        </w:rPr>
        <w:drawing>
          <wp:inline distT="0" distB="0" distL="114300" distR="114300">
            <wp:extent cx="5272405" cy="5112385"/>
            <wp:effectExtent l="0" t="0" r="4445" b="12065"/>
            <wp:docPr id="35" name="图片 35" descr="0bf9b1b295d9b2196b81d85f2b33b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bf9b1b295d9b2196b81d85f2b33b80"/>
                    <pic:cNvPicPr>
                      <a:picLocks noChangeAspect="1"/>
                    </pic:cNvPicPr>
                  </pic:nvPicPr>
                  <pic:blipFill>
                    <a:blip r:embed="rId34"/>
                    <a:stretch>
                      <a:fillRect/>
                    </a:stretch>
                  </pic:blipFill>
                  <pic:spPr>
                    <a:xfrm>
                      <a:off x="0" y="0"/>
                      <a:ext cx="5272405" cy="5112385"/>
                    </a:xfrm>
                    <a:prstGeom prst="rect">
                      <a:avLst/>
                    </a:prstGeom>
                  </pic:spPr>
                </pic:pic>
              </a:graphicData>
            </a:graphic>
          </wp:inline>
        </w:drawing>
      </w:r>
    </w:p>
    <w:p w14:paraId="496BF537">
      <w:pPr>
        <w:jc w:val="center"/>
        <w:rPr>
          <w:rFonts w:hint="eastAsia"/>
          <w:b/>
          <w:bCs/>
          <w:highlight w:val="none"/>
          <w:lang w:val="en-US" w:eastAsia="zh-CN"/>
        </w:rPr>
      </w:pPr>
      <w:r>
        <w:rPr>
          <w:rFonts w:hint="eastAsia" w:ascii="黑体" w:hAnsi="黑体" w:eastAsia="黑体" w:cs="黑体"/>
          <w:b w:val="0"/>
          <w:bCs w:val="0"/>
          <w:highlight w:val="none"/>
          <w:lang w:val="en-US" w:eastAsia="zh-CN"/>
        </w:rPr>
        <w:t>图</w:t>
      </w:r>
      <w:r>
        <w:rPr>
          <w:rFonts w:hint="default" w:ascii="Times New Roman" w:hAnsi="Times New Roman" w:cs="Times New Roman"/>
          <w:b w:val="0"/>
          <w:bCs w:val="0"/>
          <w:highlight w:val="none"/>
          <w:lang w:val="en-US" w:eastAsia="zh-CN"/>
        </w:rPr>
        <w:t>4.1-1</w:t>
      </w:r>
      <w:r>
        <w:rPr>
          <w:rFonts w:hint="eastAsia" w:ascii="黑体" w:hAnsi="黑体" w:eastAsia="黑体" w:cs="黑体"/>
          <w:b w:val="0"/>
          <w:bCs w:val="0"/>
          <w:highlight w:val="none"/>
          <w:lang w:val="en-US" w:eastAsia="zh-CN"/>
        </w:rPr>
        <w:t>本项目地理位置示意图</w:t>
      </w:r>
    </w:p>
    <w:p w14:paraId="612A53E4">
      <w:pPr>
        <w:bidi w:val="0"/>
        <w:rPr>
          <w:rFonts w:hint="eastAsia"/>
          <w:highlight w:val="none"/>
          <w:lang w:val="en-US" w:eastAsia="zh-CN"/>
        </w:rPr>
      </w:pPr>
    </w:p>
    <w:p w14:paraId="181CEBEA">
      <w:pPr>
        <w:pStyle w:val="5"/>
        <w:bidi w:val="0"/>
        <w:ind w:left="0" w:leftChars="0" w:firstLine="0" w:firstLineChars="0"/>
        <w:rPr>
          <w:rFonts w:hint="eastAsia"/>
          <w:sz w:val="30"/>
          <w:szCs w:val="30"/>
          <w:highlight w:val="none"/>
          <w:lang w:val="en-US" w:eastAsia="zh-CN"/>
        </w:rPr>
      </w:pPr>
      <w:bookmarkStart w:id="106" w:name="_Toc22880"/>
      <w:r>
        <w:rPr>
          <w:rFonts w:hint="default" w:ascii="Times New Roman" w:hAnsi="Times New Roman" w:cs="Times New Roman"/>
          <w:sz w:val="30"/>
          <w:szCs w:val="30"/>
          <w:highlight w:val="none"/>
          <w:lang w:val="en-US" w:eastAsia="zh-CN"/>
        </w:rPr>
        <w:t>4.1.2</w:t>
      </w:r>
      <w:r>
        <w:rPr>
          <w:rFonts w:hint="eastAsia"/>
          <w:sz w:val="30"/>
          <w:szCs w:val="30"/>
          <w:highlight w:val="none"/>
          <w:lang w:val="en-US" w:eastAsia="zh-CN"/>
        </w:rPr>
        <w:t>地形地貌</w:t>
      </w:r>
      <w:bookmarkEnd w:id="106"/>
    </w:p>
    <w:p w14:paraId="35510C64">
      <w:pPr>
        <w:rPr>
          <w:rFonts w:hint="default" w:ascii="Times New Roman" w:hAnsi="Times New Roman" w:eastAsia="宋体" w:cs="Times New Roman"/>
          <w:bCs/>
          <w:color w:val="auto"/>
          <w:sz w:val="24"/>
          <w:szCs w:val="24"/>
          <w:highlight w:val="none"/>
          <w:lang w:val="en-US" w:eastAsia="zh-CN"/>
        </w:rPr>
      </w:pPr>
      <w:r>
        <w:rPr>
          <w:rFonts w:hint="default" w:ascii="Times New Roman" w:hAnsi="Times New Roman" w:eastAsia="宋体" w:cs="Times New Roman"/>
          <w:color w:val="auto"/>
          <w:sz w:val="24"/>
          <w:szCs w:val="24"/>
          <w:highlight w:val="none"/>
        </w:rPr>
        <w:t>绥芬河市区的整体地貌呈东高西低状态，为构造剥蚀地貌，丘陵广布，高低不平，平均海拔600米左右。</w:t>
      </w:r>
      <w:r>
        <w:rPr>
          <w:rFonts w:hint="default" w:ascii="Times New Roman" w:hAnsi="Times New Roman" w:eastAsia="宋体" w:cs="Times New Roman"/>
          <w:bCs/>
          <w:color w:val="auto"/>
          <w:sz w:val="24"/>
          <w:szCs w:val="24"/>
          <w:highlight w:val="none"/>
          <w:lang w:val="en-US" w:eastAsia="zh-CN"/>
        </w:rPr>
        <w:t>大部分为低山，属太平岭支脉。四周为太平岭支脉低山，海拔500m-888.1m，最高点位于市区东南端的鹿窖岭，海拔888.1m。工作区中部为山间河谷，海拔400m-420m。见绥芬河市地貌图（图4-1-2），工作区地貌特征（见表4-1-1）。</w:t>
      </w:r>
    </w:p>
    <w:p w14:paraId="6636B673">
      <w:pPr>
        <w:snapToGrid w:val="0"/>
        <w:ind w:right="480"/>
        <w:jc w:val="center"/>
        <w:rPr>
          <w:rFonts w:hint="default" w:ascii="Times New Roman" w:hAnsi="Times New Roman" w:eastAsia="黑体" w:cs="Times New Roman"/>
          <w:b w:val="0"/>
          <w:bCs/>
          <w:color w:val="auto"/>
          <w:sz w:val="24"/>
          <w:highlight w:val="none"/>
        </w:rPr>
      </w:pPr>
      <w:r>
        <w:rPr>
          <w:rFonts w:hint="default" w:ascii="Times New Roman" w:hAnsi="Times New Roman" w:eastAsia="黑体" w:cs="Times New Roman"/>
          <w:b w:val="0"/>
          <w:bCs/>
          <w:color w:val="auto"/>
          <w:sz w:val="24"/>
          <w:highlight w:val="none"/>
        </w:rPr>
        <w:t>表</w:t>
      </w:r>
      <w:r>
        <w:rPr>
          <w:rFonts w:hint="default" w:ascii="Times New Roman" w:hAnsi="Times New Roman" w:eastAsia="黑体" w:cs="Times New Roman"/>
          <w:b w:val="0"/>
          <w:bCs/>
          <w:color w:val="auto"/>
          <w:sz w:val="24"/>
          <w:highlight w:val="none"/>
          <w:lang w:val="en-US" w:eastAsia="zh-CN"/>
        </w:rPr>
        <w:t>4-1</w:t>
      </w:r>
      <w:r>
        <w:rPr>
          <w:rFonts w:hint="default" w:ascii="Times New Roman" w:hAnsi="Times New Roman" w:eastAsia="黑体" w:cs="Times New Roman"/>
          <w:b w:val="0"/>
          <w:bCs/>
          <w:color w:val="auto"/>
          <w:sz w:val="24"/>
          <w:highlight w:val="none"/>
        </w:rPr>
        <w:t>-1绥芬河市地貌分区说明表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926"/>
        <w:gridCol w:w="1221"/>
        <w:gridCol w:w="4852"/>
        <w:gridCol w:w="696"/>
      </w:tblGrid>
      <w:tr w14:paraId="2F082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485" w:type="pct"/>
            <w:tcBorders>
              <w:tl2br w:val="nil"/>
              <w:tr2bl w:val="nil"/>
            </w:tcBorders>
            <w:noWrap w:val="0"/>
            <w:vAlign w:val="center"/>
          </w:tcPr>
          <w:p w14:paraId="61C06A5E">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成因</w:t>
            </w:r>
          </w:p>
        </w:tc>
        <w:tc>
          <w:tcPr>
            <w:tcW w:w="543" w:type="pct"/>
            <w:tcBorders>
              <w:tl2br w:val="nil"/>
              <w:tr2bl w:val="nil"/>
            </w:tcBorders>
            <w:noWrap w:val="0"/>
            <w:vAlign w:val="center"/>
          </w:tcPr>
          <w:p w14:paraId="305340BC">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形态</w:t>
            </w:r>
          </w:p>
        </w:tc>
        <w:tc>
          <w:tcPr>
            <w:tcW w:w="716" w:type="pct"/>
            <w:tcBorders>
              <w:tl2br w:val="nil"/>
              <w:tr2bl w:val="nil"/>
            </w:tcBorders>
            <w:noWrap w:val="0"/>
            <w:vAlign w:val="center"/>
          </w:tcPr>
          <w:p w14:paraId="495FEA01">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岩性-特征</w:t>
            </w:r>
          </w:p>
        </w:tc>
        <w:tc>
          <w:tcPr>
            <w:tcW w:w="2845" w:type="pct"/>
            <w:tcBorders>
              <w:tl2br w:val="nil"/>
              <w:tr2bl w:val="nil"/>
            </w:tcBorders>
            <w:noWrap w:val="0"/>
            <w:vAlign w:val="center"/>
          </w:tcPr>
          <w:p w14:paraId="5030EFD2">
            <w:pPr>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特征描述</w:t>
            </w:r>
          </w:p>
        </w:tc>
        <w:tc>
          <w:tcPr>
            <w:tcW w:w="408" w:type="pct"/>
            <w:tcBorders>
              <w:tl2br w:val="nil"/>
              <w:tr2bl w:val="nil"/>
            </w:tcBorders>
            <w:noWrap w:val="0"/>
            <w:vAlign w:val="center"/>
          </w:tcPr>
          <w:p w14:paraId="1E0A07E1">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代号</w:t>
            </w:r>
          </w:p>
        </w:tc>
      </w:tr>
      <w:tr w14:paraId="106F29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5" w:type="pct"/>
            <w:tcBorders>
              <w:tl2br w:val="nil"/>
              <w:tr2bl w:val="nil"/>
            </w:tcBorders>
            <w:noWrap w:val="0"/>
            <w:vAlign w:val="center"/>
          </w:tcPr>
          <w:p w14:paraId="5023BEBF">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构造地貌</w:t>
            </w:r>
          </w:p>
        </w:tc>
        <w:tc>
          <w:tcPr>
            <w:tcW w:w="543" w:type="pct"/>
            <w:tcBorders>
              <w:tl2br w:val="nil"/>
              <w:tr2bl w:val="nil"/>
            </w:tcBorders>
            <w:noWrap w:val="0"/>
            <w:vAlign w:val="center"/>
          </w:tcPr>
          <w:p w14:paraId="33E125D1">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褶皱剥蚀低山</w:t>
            </w:r>
          </w:p>
        </w:tc>
        <w:tc>
          <w:tcPr>
            <w:tcW w:w="716" w:type="pct"/>
            <w:tcBorders>
              <w:tl2br w:val="nil"/>
              <w:tr2bl w:val="nil"/>
            </w:tcBorders>
            <w:noWrap w:val="0"/>
            <w:vAlign w:val="center"/>
          </w:tcPr>
          <w:p w14:paraId="52EEE847">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岩浆岩、变质岩、沉积岩浑圆状低山</w:t>
            </w:r>
          </w:p>
        </w:tc>
        <w:tc>
          <w:tcPr>
            <w:tcW w:w="2845" w:type="pct"/>
            <w:tcBorders>
              <w:tl2br w:val="nil"/>
              <w:tr2bl w:val="nil"/>
            </w:tcBorders>
            <w:noWrap w:val="0"/>
            <w:vAlign w:val="center"/>
          </w:tcPr>
          <w:p w14:paraId="4DE77053">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整个工作区均有分布，海拔500-888.1m，相对高差388.1m，地形四周高，中部低，山体多呈浑圆或半浑圆状。主要由中生界火山岩、火山碎屑岩、上元古界浅变质碎屑岩及印支晚期侵入岩组成。</w:t>
            </w:r>
          </w:p>
        </w:tc>
        <w:tc>
          <w:tcPr>
            <w:tcW w:w="408" w:type="pct"/>
            <w:tcBorders>
              <w:tl2br w:val="nil"/>
              <w:tr2bl w:val="nil"/>
            </w:tcBorders>
            <w:noWrap w:val="0"/>
            <w:vAlign w:val="center"/>
          </w:tcPr>
          <w:p w14:paraId="7BB35DA0">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I</w:t>
            </w:r>
          </w:p>
        </w:tc>
      </w:tr>
      <w:tr w14:paraId="230714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5" w:type="pct"/>
            <w:tcBorders>
              <w:tl2br w:val="nil"/>
              <w:tr2bl w:val="nil"/>
            </w:tcBorders>
            <w:noWrap w:val="0"/>
            <w:vAlign w:val="center"/>
          </w:tcPr>
          <w:p w14:paraId="74841184">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流水地貌</w:t>
            </w:r>
          </w:p>
        </w:tc>
        <w:tc>
          <w:tcPr>
            <w:tcW w:w="543" w:type="pct"/>
            <w:tcBorders>
              <w:tl2br w:val="nil"/>
              <w:tr2bl w:val="nil"/>
            </w:tcBorders>
            <w:noWrap w:val="0"/>
            <w:vAlign w:val="center"/>
          </w:tcPr>
          <w:p w14:paraId="1F68AED1">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冲积</w:t>
            </w:r>
          </w:p>
          <w:p w14:paraId="696F31AE">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平原</w:t>
            </w:r>
          </w:p>
        </w:tc>
        <w:tc>
          <w:tcPr>
            <w:tcW w:w="716" w:type="pct"/>
            <w:tcBorders>
              <w:tl2br w:val="nil"/>
              <w:tr2bl w:val="nil"/>
            </w:tcBorders>
            <w:noWrap w:val="0"/>
            <w:vAlign w:val="center"/>
          </w:tcPr>
          <w:p w14:paraId="70B9D6F0">
            <w:pPr>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泥砂砾石质山间平原</w:t>
            </w:r>
          </w:p>
        </w:tc>
        <w:tc>
          <w:tcPr>
            <w:tcW w:w="2845" w:type="pct"/>
            <w:tcBorders>
              <w:tl2br w:val="nil"/>
              <w:tr2bl w:val="nil"/>
            </w:tcBorders>
            <w:noWrap w:val="0"/>
            <w:vAlign w:val="center"/>
          </w:tcPr>
          <w:p w14:paraId="3450FDC2">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分布于工作区中部小绥芬河及北寒葱河河谷，河谷较狭窄，其间分布狭长条带状河漫滩，海拔400-420m，滩面较平坦，组成岩性为全新统粉质粘土、砂、砂砾石。</w:t>
            </w:r>
          </w:p>
        </w:tc>
        <w:tc>
          <w:tcPr>
            <w:tcW w:w="408" w:type="pct"/>
            <w:tcBorders>
              <w:tl2br w:val="nil"/>
              <w:tr2bl w:val="nil"/>
            </w:tcBorders>
            <w:noWrap w:val="0"/>
            <w:vAlign w:val="center"/>
          </w:tcPr>
          <w:p w14:paraId="76444F7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II</w:t>
            </w:r>
          </w:p>
        </w:tc>
      </w:tr>
    </w:tbl>
    <w:p w14:paraId="773C7336">
      <w:pPr>
        <w:pStyle w:val="34"/>
        <w:ind w:left="0" w:leftChars="0" w:firstLine="0" w:firstLineChars="0"/>
        <w:jc w:val="both"/>
        <w:rPr>
          <w:rFonts w:hint="default" w:ascii="Times New Roman" w:hAnsi="Times New Roman" w:eastAsia="黑体" w:cs="Times New Roman"/>
          <w:color w:val="auto"/>
          <w:highlight w:val="none"/>
          <w:lang w:eastAsia="zh-CN"/>
        </w:rPr>
      </w:pPr>
      <w:r>
        <w:rPr>
          <w:rFonts w:hint="default" w:ascii="Times New Roman" w:hAnsi="Times New Roman" w:eastAsia="宋体" w:cs="Times New Roman"/>
          <w:color w:val="auto"/>
          <w:sz w:val="28"/>
          <w:szCs w:val="28"/>
          <w:highlight w:val="none"/>
          <w:lang w:eastAsia="zh-CN"/>
        </w:rPr>
        <w:drawing>
          <wp:anchor distT="0" distB="0" distL="114300" distR="114300" simplePos="0" relativeHeight="251683840" behindDoc="0" locked="0" layoutInCell="1" allowOverlap="1">
            <wp:simplePos x="0" y="0"/>
            <wp:positionH relativeFrom="column">
              <wp:posOffset>7620</wp:posOffset>
            </wp:positionH>
            <wp:positionV relativeFrom="paragraph">
              <wp:posOffset>229870</wp:posOffset>
            </wp:positionV>
            <wp:extent cx="5087620" cy="3888105"/>
            <wp:effectExtent l="0" t="0" r="17780" b="17145"/>
            <wp:wrapNone/>
            <wp:docPr id="41" name="图片 23" descr="地貌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3" descr="地貌图"/>
                    <pic:cNvPicPr>
                      <a:picLocks noChangeAspect="1"/>
                    </pic:cNvPicPr>
                  </pic:nvPicPr>
                  <pic:blipFill>
                    <a:blip r:embed="rId35"/>
                    <a:stretch>
                      <a:fillRect/>
                    </a:stretch>
                  </pic:blipFill>
                  <pic:spPr>
                    <a:xfrm>
                      <a:off x="0" y="0"/>
                      <a:ext cx="5087620" cy="3888105"/>
                    </a:xfrm>
                    <a:prstGeom prst="rect">
                      <a:avLst/>
                    </a:prstGeom>
                    <a:noFill/>
                    <a:ln>
                      <a:noFill/>
                    </a:ln>
                  </pic:spPr>
                </pic:pic>
              </a:graphicData>
            </a:graphic>
          </wp:anchor>
        </w:drawing>
      </w:r>
    </w:p>
    <w:p w14:paraId="1CA9B310">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692E04F3">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43904727">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4616CF25">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4B702ED0">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0934E791">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191506E8">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124EA361">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2CAC8049">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2E508A8D">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7B5B4ED1">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17D84729">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5FBD60EC">
      <w:pPr>
        <w:adjustRightInd w:val="0"/>
        <w:spacing w:line="360" w:lineRule="auto"/>
        <w:jc w:val="center"/>
        <w:rPr>
          <w:rFonts w:hint="default" w:ascii="Times New Roman" w:hAnsi="Times New Roman" w:eastAsia="黑体" w:cs="Times New Roman"/>
          <w:color w:val="auto"/>
          <w:sz w:val="24"/>
          <w:szCs w:val="24"/>
          <w:highlight w:val="none"/>
          <w:lang w:eastAsia="zh-CN"/>
        </w:rPr>
      </w:pPr>
    </w:p>
    <w:p w14:paraId="7E6BF2EA">
      <w:pPr>
        <w:jc w:val="center"/>
        <w:rPr>
          <w:rFonts w:hint="eastAsia" w:eastAsia="宋体"/>
          <w:b/>
          <w:bCs/>
          <w:highlight w:val="none"/>
          <w:lang w:val="en-US" w:eastAsia="zh-CN"/>
        </w:rPr>
      </w:pPr>
      <w:r>
        <w:rPr>
          <w:rFonts w:hint="default" w:eastAsia="宋体"/>
          <w:b/>
          <w:bCs/>
          <w:highlight w:val="none"/>
          <w:lang w:val="en-US" w:eastAsia="zh-CN"/>
        </w:rPr>
        <w:t>图4</w:t>
      </w:r>
      <w:r>
        <w:rPr>
          <w:rFonts w:hint="eastAsia" w:eastAsia="宋体"/>
          <w:b/>
          <w:bCs/>
          <w:highlight w:val="none"/>
          <w:lang w:val="en-US" w:eastAsia="zh-CN"/>
        </w:rPr>
        <w:t>.</w:t>
      </w:r>
      <w:r>
        <w:rPr>
          <w:rFonts w:hint="default" w:eastAsia="宋体"/>
          <w:b/>
          <w:bCs/>
          <w:highlight w:val="none"/>
          <w:lang w:val="en-US" w:eastAsia="zh-CN"/>
        </w:rPr>
        <w:t>1-2绥芬河市地貌图</w:t>
      </w:r>
    </w:p>
    <w:p w14:paraId="24BE75C2">
      <w:pPr>
        <w:pStyle w:val="5"/>
        <w:bidi w:val="0"/>
        <w:ind w:left="0" w:leftChars="0" w:firstLine="0" w:firstLineChars="0"/>
        <w:rPr>
          <w:rFonts w:hint="eastAsia"/>
          <w:sz w:val="30"/>
          <w:szCs w:val="30"/>
          <w:highlight w:val="none"/>
          <w:lang w:val="en-US" w:eastAsia="zh-CN"/>
        </w:rPr>
      </w:pPr>
      <w:bookmarkStart w:id="107" w:name="_Toc8169"/>
      <w:r>
        <w:rPr>
          <w:rFonts w:hint="default" w:ascii="Times New Roman" w:hAnsi="Times New Roman" w:cs="Times New Roman"/>
          <w:sz w:val="30"/>
          <w:szCs w:val="30"/>
          <w:highlight w:val="none"/>
          <w:lang w:val="en-US" w:eastAsia="zh-CN"/>
        </w:rPr>
        <w:t>4.1.3</w:t>
      </w:r>
      <w:r>
        <w:rPr>
          <w:rFonts w:hint="eastAsia"/>
          <w:sz w:val="30"/>
          <w:szCs w:val="30"/>
          <w:highlight w:val="none"/>
          <w:lang w:val="en-US" w:eastAsia="zh-CN"/>
        </w:rPr>
        <w:t>气候、气象</w:t>
      </w:r>
      <w:bookmarkEnd w:id="107"/>
    </w:p>
    <w:p w14:paraId="0B785D75">
      <w:pPr>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绥芬河属于大陆性季风气候，四季变化明显。年平均降水量为650-700毫米,年平均日照时间2614小时,年总降水量782.5毫米，空气良好天数达到345天左右。夏季平均气温22.5℃。冬无严寒，夏无酷暑，群山环绕，清爽宜人，是天然氧吧和避暑胜地。</w:t>
      </w:r>
    </w:p>
    <w:p w14:paraId="4C459001">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108" w:name="_Toc27269"/>
      <w:r>
        <w:rPr>
          <w:rFonts w:hint="eastAsia" w:ascii="Times New Roman" w:hAnsi="Times New Roman" w:eastAsia="宋体" w:cs="Times New Roman"/>
          <w:sz w:val="30"/>
          <w:szCs w:val="30"/>
          <w:highlight w:val="none"/>
          <w:lang w:val="en-US" w:eastAsia="zh-CN"/>
        </w:rPr>
        <w:t>4.1.4水文地质情况</w:t>
      </w:r>
      <w:bookmarkEnd w:id="108"/>
    </w:p>
    <w:p w14:paraId="187A6392">
      <w:pPr>
        <w:rPr>
          <w:rFonts w:hint="default"/>
          <w:highlight w:val="none"/>
          <w:lang w:val="en-US" w:eastAsia="zh-CN"/>
        </w:rPr>
      </w:pPr>
      <w:r>
        <w:rPr>
          <w:rFonts w:hint="eastAsia" w:ascii="Times New Roman" w:hAnsi="Times New Roman" w:eastAsia="宋体" w:cs="Times New Roman"/>
          <w:sz w:val="24"/>
          <w:szCs w:val="24"/>
          <w:highlight w:val="none"/>
          <w:lang w:val="en-US" w:eastAsia="zh-CN"/>
        </w:rPr>
        <w:t>1.地质情况</w:t>
      </w:r>
    </w:p>
    <w:p w14:paraId="7AF63A8B">
      <w:pPr>
        <w:keepNext w:val="0"/>
        <w:keepLines w:val="0"/>
        <w:pageBreakBefore w:val="0"/>
        <w:widowControl w:val="0"/>
        <w:kinsoku/>
        <w:wordWrap/>
        <w:overflowPunct/>
        <w:topLinePunct w:val="0"/>
        <w:autoSpaceDE/>
        <w:autoSpaceDN/>
        <w:bidi w:val="0"/>
        <w:adjustRightInd w:val="0"/>
        <w:snapToGrid/>
        <w:spacing w:line="480" w:lineRule="exact"/>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区域地层</w:t>
      </w:r>
    </w:p>
    <w:p w14:paraId="599F778F">
      <w:pPr>
        <w:keepNext w:val="0"/>
        <w:keepLines w:val="0"/>
        <w:pageBreakBefore w:val="0"/>
        <w:widowControl w:val="0"/>
        <w:kinsoku/>
        <w:wordWrap/>
        <w:overflowPunct/>
        <w:topLinePunct w:val="0"/>
        <w:autoSpaceDE/>
        <w:autoSpaceDN/>
        <w:bidi w:val="0"/>
        <w:adjustRightInd w:val="0"/>
        <w:snapToGrid/>
        <w:spacing w:line="480" w:lineRule="exact"/>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区域</w:t>
      </w:r>
      <w:r>
        <w:rPr>
          <w:rFonts w:hint="default" w:ascii="Times New Roman" w:hAnsi="Times New Roman" w:eastAsia="宋体" w:cs="Times New Roman"/>
          <w:color w:val="auto"/>
          <w:sz w:val="24"/>
          <w:szCs w:val="24"/>
          <w:highlight w:val="none"/>
        </w:rPr>
        <w:t>新生代地层只有分布在现代河谷中的第四系全新统堆积物</w:t>
      </w:r>
      <w:r>
        <w:rPr>
          <w:rFonts w:hint="default" w:ascii="Times New Roman" w:hAnsi="Times New Roman" w:eastAsia="宋体" w:cs="Times New Roman"/>
          <w:color w:val="auto"/>
          <w:sz w:val="24"/>
          <w:szCs w:val="24"/>
          <w:highlight w:val="none"/>
          <w:lang w:eastAsia="zh-CN"/>
        </w:rPr>
        <w:t>，绥芬河市地层表见表</w:t>
      </w:r>
      <w:r>
        <w:rPr>
          <w:rFonts w:hint="default" w:ascii="Times New Roman" w:hAnsi="Times New Roman" w:eastAsia="宋体" w:cs="Times New Roman"/>
          <w:color w:val="auto"/>
          <w:sz w:val="24"/>
          <w:szCs w:val="24"/>
          <w:highlight w:val="none"/>
          <w:lang w:val="en-US" w:eastAsia="zh-CN"/>
        </w:rPr>
        <w:t>2.2-1</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评价区</w:t>
      </w:r>
      <w:r>
        <w:rPr>
          <w:rFonts w:hint="default" w:ascii="Times New Roman" w:hAnsi="Times New Roman" w:eastAsia="宋体" w:cs="Times New Roman"/>
          <w:color w:val="auto"/>
          <w:sz w:val="24"/>
          <w:szCs w:val="24"/>
          <w:highlight w:val="none"/>
        </w:rPr>
        <w:t>出露的前第四纪地层主要为中生界、侏罗系下统绥芬河组的一套中</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基性熔岩及火山碎屑岩。上段为安山玢岩，安山质凝灰岩、凝灰砂砾岩组成；下段为玄武岩、凝灰角砾岩、流纹斑岩组成</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本区地质构造具有地块区边部陆缘增生扩展带的特征；上元古界黄松群浅变质碎屑岩构成结晶基底，黄松群为一套陆缘优－冒地槽型沉积建造，晚元古代晚期的张广才岭运动，使其隆起褶皱固结成陆，并产生轻变质。古生代以来基底长期隆起遭受剥蚀，缺失沉积，中石炭世末，市区以南的东宁一带开始拉张裂陷，沉积有二叠系盖层，绥芬河市则于晚三叠世－早侏罗世伴随裂陷的扩大才形成上三迭统罗圈站组及下侏罗统绥芬河组中－酸性火山岩、火山碎屑岩盖层。</w:t>
      </w:r>
    </w:p>
    <w:p w14:paraId="45483028">
      <w:pPr>
        <w:adjustRightInd w:val="0"/>
        <w:snapToGrid w:val="0"/>
        <w:jc w:val="center"/>
        <w:rPr>
          <w:rFonts w:hint="default" w:ascii="Times New Roman" w:hAnsi="Times New Roman" w:eastAsia="黑体" w:cs="Times New Roman"/>
          <w:b w:val="0"/>
          <w:bCs/>
          <w:i w:val="0"/>
          <w:iCs w:val="0"/>
          <w:color w:val="auto"/>
          <w:sz w:val="24"/>
          <w:highlight w:val="none"/>
        </w:rPr>
      </w:pPr>
      <w:r>
        <w:rPr>
          <w:rFonts w:hint="default" w:ascii="Times New Roman" w:hAnsi="Times New Roman" w:eastAsia="黑体" w:cs="Times New Roman"/>
          <w:b w:val="0"/>
          <w:bCs/>
          <w:i w:val="0"/>
          <w:iCs w:val="0"/>
          <w:color w:val="auto"/>
          <w:sz w:val="24"/>
          <w:highlight w:val="none"/>
          <w:lang w:eastAsia="zh-CN"/>
        </w:rPr>
        <w:t>表</w:t>
      </w:r>
      <w:r>
        <w:rPr>
          <w:rFonts w:hint="default" w:ascii="Times New Roman" w:hAnsi="Times New Roman" w:eastAsia="黑体" w:cs="Times New Roman"/>
          <w:b w:val="0"/>
          <w:bCs/>
          <w:i w:val="0"/>
          <w:iCs w:val="0"/>
          <w:color w:val="auto"/>
          <w:sz w:val="24"/>
          <w:highlight w:val="none"/>
          <w:lang w:val="en-US" w:eastAsia="zh-CN"/>
        </w:rPr>
        <w:t>4</w:t>
      </w:r>
      <w:r>
        <w:rPr>
          <w:rFonts w:hint="eastAsia" w:ascii="Times New Roman" w:hAnsi="Times New Roman" w:eastAsia="黑体" w:cs="Times New Roman"/>
          <w:b w:val="0"/>
          <w:bCs/>
          <w:i w:val="0"/>
          <w:iCs w:val="0"/>
          <w:color w:val="auto"/>
          <w:sz w:val="24"/>
          <w:highlight w:val="none"/>
          <w:lang w:val="en-US" w:eastAsia="zh-CN"/>
        </w:rPr>
        <w:t>.</w:t>
      </w:r>
      <w:r>
        <w:rPr>
          <w:rFonts w:hint="default" w:ascii="Times New Roman" w:hAnsi="Times New Roman" w:eastAsia="黑体" w:cs="Times New Roman"/>
          <w:b w:val="0"/>
          <w:bCs/>
          <w:i w:val="0"/>
          <w:iCs w:val="0"/>
          <w:color w:val="auto"/>
          <w:sz w:val="24"/>
          <w:highlight w:val="none"/>
          <w:lang w:val="en-US" w:eastAsia="zh-CN"/>
        </w:rPr>
        <w:t xml:space="preserve">1-2  </w:t>
      </w:r>
      <w:r>
        <w:rPr>
          <w:rFonts w:hint="default" w:ascii="Times New Roman" w:hAnsi="Times New Roman" w:eastAsia="黑体" w:cs="Times New Roman"/>
          <w:b w:val="0"/>
          <w:bCs/>
          <w:i w:val="0"/>
          <w:iCs w:val="0"/>
          <w:color w:val="auto"/>
          <w:sz w:val="24"/>
          <w:highlight w:val="none"/>
        </w:rPr>
        <w:t>绥芬河市地层层序表</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830"/>
        <w:gridCol w:w="913"/>
        <w:gridCol w:w="838"/>
        <w:gridCol w:w="5086"/>
      </w:tblGrid>
      <w:tr w14:paraId="27564D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tcBorders>
              <w:tl2br w:val="nil"/>
              <w:tr2bl w:val="nil"/>
            </w:tcBorders>
            <w:noWrap w:val="0"/>
            <w:vAlign w:val="center"/>
          </w:tcPr>
          <w:p w14:paraId="68FD7B60">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界</w:t>
            </w:r>
          </w:p>
        </w:tc>
        <w:tc>
          <w:tcPr>
            <w:tcW w:w="214" w:type="pct"/>
            <w:tcBorders>
              <w:tl2br w:val="nil"/>
              <w:tr2bl w:val="nil"/>
            </w:tcBorders>
            <w:noWrap w:val="0"/>
            <w:vAlign w:val="center"/>
          </w:tcPr>
          <w:p w14:paraId="1CC8F2C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系</w:t>
            </w:r>
          </w:p>
        </w:tc>
        <w:tc>
          <w:tcPr>
            <w:tcW w:w="292" w:type="pct"/>
            <w:tcBorders>
              <w:tl2br w:val="nil"/>
              <w:tr2bl w:val="nil"/>
            </w:tcBorders>
            <w:noWrap w:val="0"/>
            <w:vAlign w:val="center"/>
          </w:tcPr>
          <w:p w14:paraId="57DCC6E0">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统</w:t>
            </w:r>
          </w:p>
        </w:tc>
        <w:tc>
          <w:tcPr>
            <w:tcW w:w="613" w:type="pct"/>
            <w:tcBorders>
              <w:tl2br w:val="nil"/>
              <w:tr2bl w:val="nil"/>
            </w:tcBorders>
            <w:noWrap w:val="0"/>
            <w:vAlign w:val="center"/>
          </w:tcPr>
          <w:p w14:paraId="6D0D718E">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组</w:t>
            </w:r>
          </w:p>
        </w:tc>
        <w:tc>
          <w:tcPr>
            <w:tcW w:w="569" w:type="pct"/>
            <w:tcBorders>
              <w:tl2br w:val="nil"/>
              <w:tr2bl w:val="nil"/>
            </w:tcBorders>
            <w:noWrap w:val="0"/>
            <w:vAlign w:val="center"/>
          </w:tcPr>
          <w:p w14:paraId="22605B24">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厚度</w:t>
            </w:r>
          </w:p>
          <w:p w14:paraId="78254B79">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p>
        </w:tc>
        <w:tc>
          <w:tcPr>
            <w:tcW w:w="3060" w:type="pct"/>
            <w:tcBorders>
              <w:tl2br w:val="nil"/>
              <w:tr2bl w:val="nil"/>
            </w:tcBorders>
            <w:noWrap w:val="0"/>
            <w:vAlign w:val="center"/>
          </w:tcPr>
          <w:p w14:paraId="2F26B184">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分布及岩性特征描述</w:t>
            </w:r>
          </w:p>
        </w:tc>
      </w:tr>
      <w:tr w14:paraId="48067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tcBorders>
              <w:tl2br w:val="nil"/>
              <w:tr2bl w:val="nil"/>
            </w:tcBorders>
            <w:noWrap w:val="0"/>
            <w:vAlign w:val="center"/>
          </w:tcPr>
          <w:p w14:paraId="73D0709C">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新生界</w:t>
            </w:r>
          </w:p>
        </w:tc>
        <w:tc>
          <w:tcPr>
            <w:tcW w:w="214" w:type="pct"/>
            <w:tcBorders>
              <w:tl2br w:val="nil"/>
              <w:tr2bl w:val="nil"/>
            </w:tcBorders>
            <w:noWrap w:val="0"/>
            <w:vAlign w:val="center"/>
          </w:tcPr>
          <w:p w14:paraId="47FAC012">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第四系</w:t>
            </w:r>
          </w:p>
        </w:tc>
        <w:tc>
          <w:tcPr>
            <w:tcW w:w="292" w:type="pct"/>
            <w:tcBorders>
              <w:tl2br w:val="nil"/>
              <w:tr2bl w:val="nil"/>
            </w:tcBorders>
            <w:noWrap w:val="0"/>
            <w:vAlign w:val="center"/>
          </w:tcPr>
          <w:p w14:paraId="1897519B">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全新统</w:t>
            </w:r>
          </w:p>
        </w:tc>
        <w:tc>
          <w:tcPr>
            <w:tcW w:w="613" w:type="pct"/>
            <w:tcBorders>
              <w:tl2br w:val="nil"/>
              <w:tr2bl w:val="nil"/>
            </w:tcBorders>
            <w:noWrap w:val="0"/>
            <w:vAlign w:val="center"/>
          </w:tcPr>
          <w:p w14:paraId="07956A6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漫滩冲积层</w:t>
            </w:r>
          </w:p>
        </w:tc>
        <w:tc>
          <w:tcPr>
            <w:tcW w:w="569" w:type="pct"/>
            <w:tcBorders>
              <w:tl2br w:val="nil"/>
              <w:tr2bl w:val="nil"/>
            </w:tcBorders>
            <w:noWrap w:val="0"/>
            <w:vAlign w:val="center"/>
          </w:tcPr>
          <w:p w14:paraId="5CCA603D">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2-13</w:t>
            </w:r>
          </w:p>
        </w:tc>
        <w:tc>
          <w:tcPr>
            <w:tcW w:w="3060" w:type="pct"/>
            <w:tcBorders>
              <w:tl2br w:val="nil"/>
              <w:tr2bl w:val="nil"/>
            </w:tcBorders>
            <w:noWrap w:val="0"/>
            <w:vAlign w:val="center"/>
          </w:tcPr>
          <w:p w14:paraId="58852D8D">
            <w:pPr>
              <w:spacing w:line="240" w:lineRule="auto"/>
              <w:ind w:left="0" w:leftChars="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布于小绥芬河、北寒葱河河谷及其支流河谷中。小绥芬河建设下游段及北寒葱河南寒村下游段略厚，为5-7m，局部可达13m，岩性上部为粉质粘土及含砂砾粉质粘土下部为含泥砂砾石层。河谷上游及各支流沟谷厚度一般小于4m，岩性为含砾砂粉质粘土为主，底部为薄层含泥砂砾石。</w:t>
            </w:r>
          </w:p>
        </w:tc>
      </w:tr>
      <w:tr w14:paraId="61BBDC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vMerge w:val="restart"/>
            <w:tcBorders>
              <w:tl2br w:val="nil"/>
              <w:tr2bl w:val="nil"/>
            </w:tcBorders>
            <w:noWrap w:val="0"/>
            <w:vAlign w:val="center"/>
          </w:tcPr>
          <w:p w14:paraId="1EE48A5B">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中生界</w:t>
            </w:r>
          </w:p>
        </w:tc>
        <w:tc>
          <w:tcPr>
            <w:tcW w:w="214" w:type="pct"/>
            <w:tcBorders>
              <w:tl2br w:val="nil"/>
              <w:tr2bl w:val="nil"/>
            </w:tcBorders>
            <w:noWrap w:val="0"/>
            <w:vAlign w:val="center"/>
          </w:tcPr>
          <w:p w14:paraId="3301DF80">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侏罗系</w:t>
            </w:r>
          </w:p>
        </w:tc>
        <w:tc>
          <w:tcPr>
            <w:tcW w:w="292" w:type="pct"/>
            <w:tcBorders>
              <w:tl2br w:val="nil"/>
              <w:tr2bl w:val="nil"/>
            </w:tcBorders>
            <w:noWrap w:val="0"/>
            <w:vAlign w:val="center"/>
          </w:tcPr>
          <w:p w14:paraId="530C5C2C">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下统</w:t>
            </w:r>
          </w:p>
        </w:tc>
        <w:tc>
          <w:tcPr>
            <w:tcW w:w="613" w:type="pct"/>
            <w:tcBorders>
              <w:tl2br w:val="nil"/>
              <w:tr2bl w:val="nil"/>
            </w:tcBorders>
            <w:noWrap w:val="0"/>
            <w:vAlign w:val="center"/>
          </w:tcPr>
          <w:p w14:paraId="1FFEC4E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绥芬河组</w:t>
            </w:r>
          </w:p>
        </w:tc>
        <w:tc>
          <w:tcPr>
            <w:tcW w:w="569" w:type="pct"/>
            <w:tcBorders>
              <w:tl2br w:val="nil"/>
              <w:tr2bl w:val="nil"/>
            </w:tcBorders>
            <w:noWrap w:val="0"/>
            <w:vAlign w:val="center"/>
          </w:tcPr>
          <w:p w14:paraId="0BDA44D3">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2070</w:t>
            </w:r>
          </w:p>
        </w:tc>
        <w:tc>
          <w:tcPr>
            <w:tcW w:w="3060" w:type="pct"/>
            <w:tcBorders>
              <w:tl2br w:val="nil"/>
              <w:tr2bl w:val="nil"/>
            </w:tcBorders>
            <w:noWrap w:val="0"/>
            <w:vAlign w:val="center"/>
          </w:tcPr>
          <w:p w14:paraId="561EEDAC">
            <w:pPr>
              <w:spacing w:line="240" w:lineRule="auto"/>
              <w:ind w:left="0" w:leftChars="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大面积分布于市区中部天长山、地久山、南大岭、小团山一带。岩性为一套中-基性熔岩及火山碎屑岩。上段为安山玢岩、安山质凝灰岩、凝灰砂砾岩组成，下段为玄武岩、为整合于罗圈站组之上。</w:t>
            </w:r>
          </w:p>
        </w:tc>
      </w:tr>
      <w:tr w14:paraId="5629E1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vMerge w:val="continue"/>
            <w:tcBorders>
              <w:tl2br w:val="nil"/>
              <w:tr2bl w:val="nil"/>
            </w:tcBorders>
            <w:noWrap w:val="0"/>
            <w:vAlign w:val="center"/>
          </w:tcPr>
          <w:p w14:paraId="3B8407A5">
            <w:pPr>
              <w:spacing w:line="240" w:lineRule="auto"/>
              <w:jc w:val="center"/>
              <w:rPr>
                <w:rFonts w:hint="default" w:ascii="Times New Roman" w:hAnsi="Times New Roman" w:eastAsia="宋体" w:cs="Times New Roman"/>
                <w:color w:val="auto"/>
                <w:sz w:val="21"/>
                <w:szCs w:val="21"/>
                <w:highlight w:val="none"/>
              </w:rPr>
            </w:pPr>
          </w:p>
        </w:tc>
        <w:tc>
          <w:tcPr>
            <w:tcW w:w="214" w:type="pct"/>
            <w:tcBorders>
              <w:tl2br w:val="nil"/>
              <w:tr2bl w:val="nil"/>
            </w:tcBorders>
            <w:noWrap w:val="0"/>
            <w:vAlign w:val="center"/>
          </w:tcPr>
          <w:p w14:paraId="1A0879AF">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三叠系</w:t>
            </w:r>
          </w:p>
        </w:tc>
        <w:tc>
          <w:tcPr>
            <w:tcW w:w="292" w:type="pct"/>
            <w:tcBorders>
              <w:tl2br w:val="nil"/>
              <w:tr2bl w:val="nil"/>
            </w:tcBorders>
            <w:noWrap w:val="0"/>
            <w:vAlign w:val="center"/>
          </w:tcPr>
          <w:p w14:paraId="4716FF9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上统</w:t>
            </w:r>
          </w:p>
        </w:tc>
        <w:tc>
          <w:tcPr>
            <w:tcW w:w="613" w:type="pct"/>
            <w:tcBorders>
              <w:tl2br w:val="nil"/>
              <w:tr2bl w:val="nil"/>
            </w:tcBorders>
            <w:noWrap w:val="0"/>
            <w:vAlign w:val="center"/>
          </w:tcPr>
          <w:p w14:paraId="2CBC889E">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罗圈站组</w:t>
            </w:r>
          </w:p>
        </w:tc>
        <w:tc>
          <w:tcPr>
            <w:tcW w:w="569" w:type="pct"/>
            <w:tcBorders>
              <w:tl2br w:val="nil"/>
              <w:tr2bl w:val="nil"/>
            </w:tcBorders>
            <w:noWrap w:val="0"/>
            <w:vAlign w:val="center"/>
          </w:tcPr>
          <w:p w14:paraId="6539E2EC">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&gt;1907</w:t>
            </w:r>
          </w:p>
        </w:tc>
        <w:tc>
          <w:tcPr>
            <w:tcW w:w="3060" w:type="pct"/>
            <w:tcBorders>
              <w:tl2br w:val="nil"/>
              <w:tr2bl w:val="nil"/>
            </w:tcBorders>
            <w:noWrap w:val="0"/>
            <w:vAlign w:val="center"/>
          </w:tcPr>
          <w:p w14:paraId="6477C231">
            <w:pPr>
              <w:spacing w:line="240" w:lineRule="auto"/>
              <w:ind w:left="0" w:leftChars="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分布于庙岭、大黑山及长山一带。其岩性为一套酸性火山熔岩及火山碎屑岩。主要包括流纹质熔岩、凝灰岩、凝灰角砾岩、流纹斑岩组成。</w:t>
            </w:r>
          </w:p>
        </w:tc>
      </w:tr>
      <w:tr w14:paraId="4F0230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tcBorders>
              <w:tl2br w:val="nil"/>
              <w:tr2bl w:val="nil"/>
            </w:tcBorders>
            <w:noWrap w:val="0"/>
            <w:vAlign w:val="center"/>
          </w:tcPr>
          <w:p w14:paraId="2AA764F5">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古生界</w:t>
            </w:r>
          </w:p>
        </w:tc>
        <w:tc>
          <w:tcPr>
            <w:tcW w:w="214" w:type="pct"/>
            <w:tcBorders>
              <w:tl2br w:val="nil"/>
              <w:tr2bl w:val="nil"/>
            </w:tcBorders>
            <w:noWrap w:val="0"/>
            <w:vAlign w:val="center"/>
          </w:tcPr>
          <w:p w14:paraId="44EFE72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二叠系</w:t>
            </w:r>
          </w:p>
        </w:tc>
        <w:tc>
          <w:tcPr>
            <w:tcW w:w="292" w:type="pct"/>
            <w:tcBorders>
              <w:tl2br w:val="nil"/>
              <w:tr2bl w:val="nil"/>
            </w:tcBorders>
            <w:noWrap w:val="0"/>
            <w:vAlign w:val="center"/>
          </w:tcPr>
          <w:p w14:paraId="768A000E">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下统</w:t>
            </w:r>
          </w:p>
        </w:tc>
        <w:tc>
          <w:tcPr>
            <w:tcW w:w="613" w:type="pct"/>
            <w:tcBorders>
              <w:tl2br w:val="nil"/>
              <w:tr2bl w:val="nil"/>
            </w:tcBorders>
            <w:noWrap w:val="0"/>
            <w:vAlign w:val="center"/>
          </w:tcPr>
          <w:p w14:paraId="7C964820">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平阳镇组</w:t>
            </w:r>
          </w:p>
        </w:tc>
        <w:tc>
          <w:tcPr>
            <w:tcW w:w="569" w:type="pct"/>
            <w:tcBorders>
              <w:tl2br w:val="nil"/>
              <w:tr2bl w:val="nil"/>
            </w:tcBorders>
            <w:noWrap w:val="0"/>
            <w:vAlign w:val="center"/>
          </w:tcPr>
          <w:p w14:paraId="1C387C01">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060" w:type="pct"/>
            <w:tcBorders>
              <w:tl2br w:val="nil"/>
              <w:tr2bl w:val="nil"/>
            </w:tcBorders>
            <w:noWrap w:val="0"/>
            <w:vAlign w:val="center"/>
          </w:tcPr>
          <w:p w14:paraId="321A4C04">
            <w:pPr>
              <w:spacing w:line="240" w:lineRule="auto"/>
              <w:ind w:left="0" w:leftChars="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主要分布于鸡东县平阳镇及东宁县老黑山附近岩性为绢云千枚岩、炭质板岩，沉积厚度及碳酸岩夹层由南而北增加（72-691m）局部为千枚岩。可与玉泉组中上部对比，时代为早二叠世至晚二叠世早期</w:t>
            </w:r>
            <w:r>
              <w:rPr>
                <w:rFonts w:hint="default" w:ascii="Times New Roman" w:hAnsi="Times New Roman" w:eastAsia="宋体" w:cs="Times New Roman"/>
                <w:color w:val="auto"/>
                <w:sz w:val="21"/>
                <w:szCs w:val="21"/>
                <w:highlight w:val="none"/>
                <w:lang w:eastAsia="zh-CN"/>
              </w:rPr>
              <w:t>。</w:t>
            </w:r>
          </w:p>
        </w:tc>
      </w:tr>
      <w:tr w14:paraId="07C837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48" w:type="pct"/>
            <w:tcBorders>
              <w:tl2br w:val="nil"/>
              <w:tr2bl w:val="nil"/>
            </w:tcBorders>
            <w:noWrap w:val="0"/>
            <w:vAlign w:val="center"/>
          </w:tcPr>
          <w:p w14:paraId="29C41F3B">
            <w:pPr>
              <w:spacing w:line="240" w:lineRule="auto"/>
              <w:ind w:left="0" w:leftChars="0" w:firstLine="0" w:firstLineChars="0"/>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上元古界</w:t>
            </w:r>
          </w:p>
        </w:tc>
        <w:tc>
          <w:tcPr>
            <w:tcW w:w="214" w:type="pct"/>
            <w:tcBorders>
              <w:tl2br w:val="nil"/>
              <w:tr2bl w:val="nil"/>
            </w:tcBorders>
            <w:noWrap w:val="0"/>
            <w:vAlign w:val="center"/>
          </w:tcPr>
          <w:p w14:paraId="59AE2B9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黄松群</w:t>
            </w:r>
          </w:p>
        </w:tc>
        <w:tc>
          <w:tcPr>
            <w:tcW w:w="292" w:type="pct"/>
            <w:tcBorders>
              <w:tl2br w:val="nil"/>
              <w:tr2bl w:val="nil"/>
            </w:tcBorders>
            <w:noWrap w:val="0"/>
            <w:vAlign w:val="center"/>
          </w:tcPr>
          <w:p w14:paraId="4B924B24">
            <w:pPr>
              <w:spacing w:line="240" w:lineRule="auto"/>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w:t>
            </w:r>
          </w:p>
          <w:p w14:paraId="58D4549F">
            <w:pPr>
              <w:pStyle w:val="34"/>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613" w:type="pct"/>
            <w:tcBorders>
              <w:tl2br w:val="nil"/>
              <w:tr2bl w:val="nil"/>
            </w:tcBorders>
            <w:noWrap w:val="0"/>
            <w:vAlign w:val="center"/>
          </w:tcPr>
          <w:p w14:paraId="275F692D">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阎王殿组</w:t>
            </w:r>
          </w:p>
        </w:tc>
        <w:tc>
          <w:tcPr>
            <w:tcW w:w="569" w:type="pct"/>
            <w:tcBorders>
              <w:tl2br w:val="nil"/>
              <w:tr2bl w:val="nil"/>
            </w:tcBorders>
            <w:noWrap w:val="0"/>
            <w:vAlign w:val="center"/>
          </w:tcPr>
          <w:p w14:paraId="658B8FB3">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3060" w:type="pct"/>
            <w:tcBorders>
              <w:tl2br w:val="nil"/>
              <w:tr2bl w:val="nil"/>
            </w:tcBorders>
            <w:noWrap w:val="0"/>
            <w:vAlign w:val="center"/>
          </w:tcPr>
          <w:p w14:paraId="45CECD0E">
            <w:pPr>
              <w:spacing w:line="240" w:lineRule="auto"/>
              <w:ind w:left="0" w:leftChars="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零星分布于市区东部边界。岩性主要为一套浅变质的石榴炭质绢云千枚岩、二云石英片岩、变粒岩、变粒砂岩。构成本区结晶基底。</w:t>
            </w:r>
          </w:p>
        </w:tc>
      </w:tr>
    </w:tbl>
    <w:p w14:paraId="6893A0AA">
      <w:pPr>
        <w:keepNext w:val="0"/>
        <w:keepLines w:val="0"/>
        <w:pageBreakBefore w:val="0"/>
        <w:widowControl w:val="0"/>
        <w:kinsoku/>
        <w:wordWrap/>
        <w:overflowPunct/>
        <w:topLinePunct w:val="0"/>
        <w:autoSpaceDE/>
        <w:autoSpaceDN/>
        <w:bidi w:val="0"/>
        <w:adjustRightInd w:val="0"/>
        <w:spacing w:line="480" w:lineRule="exact"/>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地质构造</w:t>
      </w:r>
    </w:p>
    <w:p w14:paraId="7F8D4DC6">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按照“黑龙江省区域地质志”大地构造单元划分观点，绥芬河市位于张广才岭－太平岭边缘隆起带中的老黑山断陷，一级构造单元属老爷岭地块区</w:t>
      </w:r>
      <w:r>
        <w:rPr>
          <w:rFonts w:hint="default" w:ascii="Times New Roman" w:hAnsi="Times New Roman" w:eastAsia="宋体" w:cs="Times New Roman"/>
          <w:color w:val="auto"/>
          <w:sz w:val="24"/>
          <w:szCs w:val="24"/>
          <w:highlight w:val="none"/>
          <w:lang w:eastAsia="zh-CN"/>
        </w:rPr>
        <w:t>，见表</w:t>
      </w:r>
      <w:r>
        <w:rPr>
          <w:rFonts w:hint="default" w:ascii="Times New Roman" w:hAnsi="Times New Roman" w:eastAsia="宋体" w:cs="Times New Roman"/>
          <w:color w:val="auto"/>
          <w:sz w:val="24"/>
          <w:szCs w:val="24"/>
          <w:highlight w:val="none"/>
          <w:lang w:val="en-US" w:eastAsia="zh-CN"/>
        </w:rPr>
        <w:t>4-1-3</w:t>
      </w:r>
      <w:r>
        <w:rPr>
          <w:rFonts w:hint="default" w:ascii="Times New Roman" w:hAnsi="Times New Roman" w:eastAsia="宋体" w:cs="Times New Roman"/>
          <w:color w:val="auto"/>
          <w:sz w:val="24"/>
          <w:szCs w:val="24"/>
          <w:highlight w:val="none"/>
        </w:rPr>
        <w:t>。区内侵入岩为印支晚期侵入岩。分布于市区北部及西北部的五花山、金鱼背及红花岭一带。由花岗斑岩岩组及二长花岗岩岩组构成。呈岩株或岩墙状产出。</w:t>
      </w:r>
    </w:p>
    <w:p w14:paraId="0DBAFB99">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color w:val="auto"/>
          <w:sz w:val="28"/>
          <w:szCs w:val="28"/>
          <w:highlight w:val="none"/>
        </w:rPr>
      </w:pPr>
      <w:r>
        <w:rPr>
          <w:rFonts w:hint="default" w:ascii="Times New Roman" w:hAnsi="Times New Roman" w:eastAsia="宋体" w:cs="Times New Roman"/>
          <w:color w:val="auto"/>
          <w:sz w:val="24"/>
          <w:szCs w:val="24"/>
          <w:highlight w:val="none"/>
        </w:rPr>
        <w:t>绥芬河市地质构造较为复杂，整体上看，绥芬河市属于一近南北向的中生代槽</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地，以沉积绥芬河组及罗圈站组地层为特征。主要褶皱构造有小绥芬河向斜，轴部近东西向与小绥芬河谷位置相近，核部为绥芬河组，两翼罗圈站组，产状较为平缓，轴部略向西倾伏。断裂构造多沿现代水系展布。小绥芬河断裂为市内一条规模较大的逆断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压性断裂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沿小绥芬河近东西向展布、北倾，倾角60°-70°，长约5000m，断层带宽约20m沿该断裂带两侧次级水系发育有一组北北东向和北北西向断裂，规模较小，长度1000-2000m不等，断裂带宽10-20m，多为正断层，包括黑瞎子沟断裂，建东村断裂、建设断裂、北沟断裂、头道沟断裂、朝阳沟断裂等</w:t>
      </w:r>
      <w:r>
        <w:rPr>
          <w:rFonts w:hint="default" w:ascii="Times New Roman" w:hAnsi="Times New Roman" w:cs="Times New Roman"/>
          <w:color w:val="auto"/>
          <w:sz w:val="28"/>
          <w:szCs w:val="28"/>
          <w:highlight w:val="none"/>
        </w:rPr>
        <w:t>。</w:t>
      </w:r>
    </w:p>
    <w:p w14:paraId="2AFE2D30">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hint="default" w:ascii="Times New Roman" w:hAnsi="Times New Roman" w:eastAsia="黑体" w:cs="Times New Roman"/>
          <w:b w:val="0"/>
          <w:bCs/>
          <w:color w:val="auto"/>
          <w:sz w:val="24"/>
          <w:highlight w:val="none"/>
        </w:rPr>
      </w:pPr>
      <w:r>
        <w:rPr>
          <w:rFonts w:hint="default" w:ascii="Times New Roman" w:hAnsi="Times New Roman" w:eastAsia="黑体" w:cs="Times New Roman"/>
          <w:b w:val="0"/>
          <w:bCs/>
          <w:i w:val="0"/>
          <w:iCs w:val="0"/>
          <w:color w:val="auto"/>
          <w:sz w:val="24"/>
          <w:highlight w:val="none"/>
          <w:lang w:eastAsia="zh-CN"/>
        </w:rPr>
        <w:t>表</w:t>
      </w:r>
      <w:r>
        <w:rPr>
          <w:rFonts w:hint="default" w:ascii="Times New Roman" w:hAnsi="Times New Roman" w:eastAsia="黑体" w:cs="Times New Roman"/>
          <w:b w:val="0"/>
          <w:bCs/>
          <w:i w:val="0"/>
          <w:iCs w:val="0"/>
          <w:color w:val="auto"/>
          <w:sz w:val="24"/>
          <w:highlight w:val="none"/>
          <w:lang w:val="en-US" w:eastAsia="zh-CN"/>
        </w:rPr>
        <w:t>4</w:t>
      </w:r>
      <w:r>
        <w:rPr>
          <w:rFonts w:hint="eastAsia" w:ascii="Times New Roman" w:hAnsi="Times New Roman" w:eastAsia="黑体" w:cs="Times New Roman"/>
          <w:b w:val="0"/>
          <w:bCs/>
          <w:i w:val="0"/>
          <w:iCs w:val="0"/>
          <w:color w:val="auto"/>
          <w:sz w:val="24"/>
          <w:highlight w:val="none"/>
          <w:lang w:val="en-US" w:eastAsia="zh-CN"/>
        </w:rPr>
        <w:t>.</w:t>
      </w:r>
      <w:r>
        <w:rPr>
          <w:rFonts w:hint="default" w:ascii="Times New Roman" w:hAnsi="Times New Roman" w:eastAsia="黑体" w:cs="Times New Roman"/>
          <w:b w:val="0"/>
          <w:bCs/>
          <w:i w:val="0"/>
          <w:iCs w:val="0"/>
          <w:color w:val="auto"/>
          <w:sz w:val="24"/>
          <w:highlight w:val="none"/>
          <w:lang w:val="en-US" w:eastAsia="zh-CN"/>
        </w:rPr>
        <w:t xml:space="preserve">1-3  </w:t>
      </w:r>
      <w:r>
        <w:rPr>
          <w:rFonts w:hint="default" w:ascii="Times New Roman" w:hAnsi="Times New Roman" w:eastAsia="黑体" w:cs="Times New Roman"/>
          <w:b w:val="0"/>
          <w:bCs/>
          <w:color w:val="auto"/>
          <w:sz w:val="24"/>
          <w:highlight w:val="none"/>
        </w:rPr>
        <w:t>绥芬河市大地构造位置分级说明表</w:t>
      </w:r>
    </w:p>
    <w:tbl>
      <w:tblPr>
        <w:tblStyle w:val="17"/>
        <w:tblW w:w="829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1"/>
        <w:gridCol w:w="1763"/>
        <w:gridCol w:w="3023"/>
        <w:gridCol w:w="2000"/>
      </w:tblGrid>
      <w:tr w14:paraId="5EA2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511" w:type="dxa"/>
            <w:tcBorders>
              <w:top w:val="single" w:color="auto" w:sz="12" w:space="0"/>
              <w:left w:val="nil"/>
            </w:tcBorders>
            <w:noWrap w:val="0"/>
            <w:vAlign w:val="center"/>
          </w:tcPr>
          <w:p w14:paraId="11491FE5">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构造单位分级</w:t>
            </w:r>
          </w:p>
        </w:tc>
        <w:tc>
          <w:tcPr>
            <w:tcW w:w="1763" w:type="dxa"/>
            <w:tcBorders>
              <w:top w:val="single" w:color="auto" w:sz="12" w:space="0"/>
            </w:tcBorders>
            <w:noWrap w:val="0"/>
            <w:vAlign w:val="center"/>
          </w:tcPr>
          <w:p w14:paraId="7C5131AC">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一级</w:t>
            </w:r>
          </w:p>
        </w:tc>
        <w:tc>
          <w:tcPr>
            <w:tcW w:w="3023" w:type="dxa"/>
            <w:tcBorders>
              <w:top w:val="single" w:color="auto" w:sz="12" w:space="0"/>
            </w:tcBorders>
            <w:noWrap w:val="0"/>
            <w:vAlign w:val="center"/>
          </w:tcPr>
          <w:p w14:paraId="0977C485">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二级</w:t>
            </w:r>
          </w:p>
        </w:tc>
        <w:tc>
          <w:tcPr>
            <w:tcW w:w="2000" w:type="dxa"/>
            <w:tcBorders>
              <w:top w:val="single" w:color="auto" w:sz="12" w:space="0"/>
              <w:right w:val="nil"/>
            </w:tcBorders>
            <w:noWrap w:val="0"/>
            <w:vAlign w:val="center"/>
          </w:tcPr>
          <w:p w14:paraId="2B43F2BC">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三级</w:t>
            </w:r>
          </w:p>
        </w:tc>
      </w:tr>
      <w:tr w14:paraId="6BC3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1511" w:type="dxa"/>
            <w:tcBorders>
              <w:left w:val="nil"/>
              <w:bottom w:val="single" w:color="auto" w:sz="12" w:space="0"/>
            </w:tcBorders>
            <w:noWrap w:val="0"/>
            <w:vAlign w:val="center"/>
          </w:tcPr>
          <w:p w14:paraId="7594C556">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构造单元名称</w:t>
            </w:r>
          </w:p>
        </w:tc>
        <w:tc>
          <w:tcPr>
            <w:tcW w:w="1763" w:type="dxa"/>
            <w:tcBorders>
              <w:bottom w:val="single" w:color="auto" w:sz="12" w:space="0"/>
            </w:tcBorders>
            <w:noWrap w:val="0"/>
            <w:vAlign w:val="center"/>
          </w:tcPr>
          <w:p w14:paraId="3F222727">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老爷岭地块区</w:t>
            </w:r>
          </w:p>
        </w:tc>
        <w:tc>
          <w:tcPr>
            <w:tcW w:w="3023" w:type="dxa"/>
            <w:tcBorders>
              <w:bottom w:val="single" w:color="auto" w:sz="12" w:space="0"/>
            </w:tcBorders>
            <w:noWrap w:val="0"/>
            <w:vAlign w:val="center"/>
          </w:tcPr>
          <w:p w14:paraId="5B69D78E">
            <w:pPr>
              <w:spacing w:line="240" w:lineRule="auto"/>
              <w:ind w:left="0" w:leftChars="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张广才岭-太平岭边缘隆起带</w:t>
            </w:r>
          </w:p>
        </w:tc>
        <w:tc>
          <w:tcPr>
            <w:tcW w:w="2000" w:type="dxa"/>
            <w:tcBorders>
              <w:bottom w:val="single" w:color="auto" w:sz="12" w:space="0"/>
              <w:right w:val="nil"/>
            </w:tcBorders>
            <w:noWrap w:val="0"/>
            <w:vAlign w:val="center"/>
          </w:tcPr>
          <w:p w14:paraId="66135E3B">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老黑山断陷</w:t>
            </w:r>
          </w:p>
        </w:tc>
      </w:tr>
    </w:tbl>
    <w:p w14:paraId="676FA6D9">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绥芬河市境内河流，均属绥芬河水系。主要河流有小绥芬河、寒葱河、北大河、黑瞎峙子河、朝阳河等。流域面积423.23km</w:t>
      </w:r>
      <w:r>
        <w:rPr>
          <w:rFonts w:hint="default" w:ascii="Times New Roman" w:hAnsi="Times New Roman" w:eastAsia="宋体" w:cs="Times New Roman"/>
          <w:bCs/>
          <w:color w:val="auto"/>
          <w:sz w:val="24"/>
          <w:szCs w:val="24"/>
          <w:highlight w:val="none"/>
          <w:vertAlign w:val="superscript"/>
        </w:rPr>
        <w:t>2</w:t>
      </w:r>
      <w:r>
        <w:rPr>
          <w:rFonts w:hint="default" w:ascii="Times New Roman" w:hAnsi="Times New Roman" w:eastAsia="宋体" w:cs="Times New Roman"/>
          <w:bCs/>
          <w:color w:val="auto"/>
          <w:sz w:val="24"/>
          <w:szCs w:val="24"/>
          <w:highlight w:val="none"/>
        </w:rPr>
        <w:t>，小绥芬河和寒葱河于洛河桥处汇合后，沿滨绥铁路向西经红花岭处向南流入东宁境内，入口处年平均径流量在5m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/s左右。流经城区主要是小绥芬河和其支流黑瞎峙子沟。</w:t>
      </w:r>
    </w:p>
    <w:p w14:paraId="4B35E4D0">
      <w:pPr>
        <w:bidi w:val="0"/>
        <w:rPr>
          <w:rFonts w:hint="default" w:eastAsia="宋体"/>
          <w:highlight w:val="none"/>
          <w:lang w:val="en-US" w:eastAsia="zh-CN"/>
        </w:rPr>
      </w:pPr>
      <w:r>
        <w:rPr>
          <w:rFonts w:hint="eastAsia"/>
          <w:highlight w:val="none"/>
          <w:lang w:val="en-US" w:eastAsia="zh-CN"/>
        </w:rPr>
        <w:t>2.水文情况</w:t>
      </w:r>
    </w:p>
    <w:p w14:paraId="474BBE97">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bCs/>
          <w:color w:val="auto"/>
          <w:sz w:val="24"/>
          <w:szCs w:val="24"/>
          <w:highlight w:val="none"/>
          <w:lang w:val="en-US" w:eastAsia="zh-CN"/>
        </w:rPr>
        <w:t>1</w:t>
      </w:r>
      <w:r>
        <w:rPr>
          <w:rFonts w:hint="eastAsia"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小绥芬河（也称夹板河）</w:t>
      </w:r>
    </w:p>
    <w:p w14:paraId="47066F45">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发源于绥芬河市与俄罗斯交界处的乌赫苏尔巴亚山，在马林园予以东流入绥芬河市境内，全流域面积为159km</w:t>
      </w:r>
      <w:r>
        <w:rPr>
          <w:rFonts w:hint="default" w:ascii="Times New Roman" w:hAnsi="Times New Roman" w:eastAsia="宋体" w:cs="Times New Roman"/>
          <w:bCs/>
          <w:color w:val="auto"/>
          <w:sz w:val="24"/>
          <w:szCs w:val="24"/>
          <w:highlight w:val="none"/>
          <w:vertAlign w:val="superscript"/>
        </w:rPr>
        <w:t>2</w:t>
      </w:r>
      <w:r>
        <w:rPr>
          <w:rFonts w:hint="default" w:ascii="Times New Roman" w:hAnsi="Times New Roman" w:eastAsia="宋体" w:cs="Times New Roman"/>
          <w:bCs/>
          <w:color w:val="auto"/>
          <w:sz w:val="24"/>
          <w:szCs w:val="24"/>
          <w:highlight w:val="none"/>
        </w:rPr>
        <w:t>，河长15km，河道比降为1/150左右。</w:t>
      </w:r>
    </w:p>
    <w:p w14:paraId="13796D1C">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bCs/>
          <w:color w:val="auto"/>
          <w:sz w:val="24"/>
          <w:szCs w:val="24"/>
          <w:highlight w:val="none"/>
          <w:lang w:val="en-US" w:eastAsia="zh-CN"/>
        </w:rPr>
        <w:t>2</w:t>
      </w:r>
      <w:r>
        <w:rPr>
          <w:rFonts w:hint="eastAsia"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寒葱河</w:t>
      </w:r>
    </w:p>
    <w:p w14:paraId="57E88352">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default" w:ascii="Times New Roman" w:hAnsi="Times New Roman" w:cs="Times New Roman"/>
          <w:bCs/>
          <w:color w:val="auto"/>
          <w:sz w:val="24"/>
          <w:szCs w:val="24"/>
          <w:highlight w:val="none"/>
          <w:lang w:val="en-US" w:eastAsia="zh-CN"/>
        </w:rPr>
        <w:t>小绥芬河支流，</w:t>
      </w:r>
      <w:r>
        <w:rPr>
          <w:rFonts w:hint="default" w:ascii="Times New Roman" w:hAnsi="Times New Roman" w:eastAsia="宋体" w:cs="Times New Roman"/>
          <w:bCs/>
          <w:color w:val="auto"/>
          <w:sz w:val="24"/>
          <w:szCs w:val="24"/>
          <w:highlight w:val="none"/>
        </w:rPr>
        <w:t>发源于东宁县南天门林场东部北天山3km处，流经南天门林场、新屯子、马架子、南寒、北寒等地，流域面积283km</w:t>
      </w:r>
      <w:r>
        <w:rPr>
          <w:rFonts w:hint="default" w:ascii="Times New Roman" w:hAnsi="Times New Roman" w:eastAsia="宋体" w:cs="Times New Roman"/>
          <w:bCs/>
          <w:color w:val="auto"/>
          <w:sz w:val="24"/>
          <w:szCs w:val="24"/>
          <w:highlight w:val="none"/>
          <w:vertAlign w:val="superscript"/>
        </w:rPr>
        <w:t>2</w:t>
      </w:r>
      <w:r>
        <w:rPr>
          <w:rFonts w:hint="default" w:ascii="Times New Roman" w:hAnsi="Times New Roman" w:eastAsia="宋体" w:cs="Times New Roman"/>
          <w:bCs/>
          <w:color w:val="auto"/>
          <w:sz w:val="24"/>
          <w:szCs w:val="24"/>
          <w:highlight w:val="none"/>
        </w:rPr>
        <w:t>，河长39km（绥芬河市境内16km），河道比降为1/120</w:t>
      </w:r>
      <w:r>
        <w:rPr>
          <w:rFonts w:hint="default" w:ascii="Times New Roman" w:hAnsi="Times New Roman" w:eastAsia="宋体"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rPr>
        <w:t>1/250。</w:t>
      </w:r>
    </w:p>
    <w:p w14:paraId="2C937655">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eastAsia="宋体" w:cs="Times New Roman"/>
          <w:bCs/>
          <w:color w:val="auto"/>
          <w:sz w:val="24"/>
          <w:szCs w:val="24"/>
          <w:highlight w:val="none"/>
          <w:lang w:val="en-US" w:eastAsia="zh-CN"/>
        </w:rPr>
        <w:t>3</w:t>
      </w:r>
      <w:r>
        <w:rPr>
          <w:rFonts w:hint="eastAsia" w:ascii="Times New Roman" w:hAnsi="Times New Roman" w:eastAsia="宋体" w:cs="Times New Roman"/>
          <w:bCs/>
          <w:color w:val="auto"/>
          <w:sz w:val="24"/>
          <w:szCs w:val="24"/>
          <w:highlight w:val="none"/>
          <w:lang w:eastAsia="zh-CN"/>
        </w:rPr>
        <w:t>）</w:t>
      </w:r>
      <w:r>
        <w:rPr>
          <w:rFonts w:hint="default" w:ascii="Times New Roman" w:hAnsi="Times New Roman" w:eastAsia="宋体" w:cs="Times New Roman"/>
          <w:bCs/>
          <w:color w:val="auto"/>
          <w:sz w:val="24"/>
          <w:szCs w:val="24"/>
          <w:highlight w:val="none"/>
        </w:rPr>
        <w:t>黑瞎峙子沟</w:t>
      </w:r>
    </w:p>
    <w:p w14:paraId="5666E5DD">
      <w:pPr>
        <w:keepNext w:val="0"/>
        <w:keepLines w:val="0"/>
        <w:pageBreakBefore w:val="0"/>
        <w:widowControl/>
        <w:kinsoku/>
        <w:wordWrap/>
        <w:overflowPunct/>
        <w:topLinePunct w:val="0"/>
        <w:autoSpaceDE/>
        <w:autoSpaceDN/>
        <w:bidi w:val="0"/>
        <w:adjustRightInd w:val="0"/>
        <w:snapToGrid w:val="0"/>
        <w:spacing w:line="480" w:lineRule="exact"/>
        <w:ind w:firstLine="484" w:firstLineChars="202"/>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该河是在小绥芬河左岸汇入的一条支流，汇水面积18.3km</w:t>
      </w:r>
      <w:r>
        <w:rPr>
          <w:rFonts w:hint="default" w:ascii="Times New Roman" w:hAnsi="Times New Roman" w:eastAsia="宋体" w:cs="Times New Roman"/>
          <w:bCs/>
          <w:color w:val="auto"/>
          <w:sz w:val="24"/>
          <w:szCs w:val="24"/>
          <w:highlight w:val="none"/>
          <w:vertAlign w:val="superscript"/>
        </w:rPr>
        <w:t>2</w:t>
      </w:r>
      <w:r>
        <w:rPr>
          <w:rFonts w:hint="default" w:ascii="Times New Roman" w:hAnsi="Times New Roman" w:eastAsia="宋体" w:cs="Times New Roman"/>
          <w:bCs/>
          <w:color w:val="auto"/>
          <w:sz w:val="24"/>
          <w:szCs w:val="24"/>
          <w:highlight w:val="none"/>
        </w:rPr>
        <w:t>，河长7.4km，河道比降为3.1%左右。</w:t>
      </w:r>
    </w:p>
    <w:p w14:paraId="2EFFD952">
      <w:pP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szCs w:val="24"/>
          <w:highlight w:val="none"/>
        </w:rPr>
        <w:t>水资源总量为5559.29万m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，地表水总量占4444.17万m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，年平均降雨量为570mm，年平均径流深141</w:t>
      </w:r>
      <w:r>
        <w:rPr>
          <w:rFonts w:hint="default" w:ascii="Times New Roman" w:hAnsi="Times New Roman" w:eastAsia="宋体"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rPr>
        <w:t>160mm，其水文特点为：河流结冰期长，河流水量年际变化大，年内各月分配不均，河流泥沙含量增加。地下水的埋藏深度多为120</w:t>
      </w:r>
      <w:r>
        <w:rPr>
          <w:rFonts w:hint="default" w:ascii="Times New Roman" w:hAnsi="Times New Roman" w:eastAsia="宋体"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rPr>
        <w:t>150m之间，地下水总量为1115.12万mm，主要分布于河谷地带</w:t>
      </w:r>
      <w:r>
        <w:rPr>
          <w:rFonts w:hint="default" w:ascii="Times New Roman" w:hAnsi="Times New Roman" w:eastAsia="宋体" w:cs="Times New Roman"/>
          <w:color w:val="auto"/>
          <w:sz w:val="24"/>
          <w:szCs w:val="24"/>
          <w:highlight w:val="none"/>
        </w:rPr>
        <w:t>。</w:t>
      </w:r>
    </w:p>
    <w:p w14:paraId="70DCFDA5">
      <w:pPr>
        <w:keepNext w:val="0"/>
        <w:keepLines w:val="0"/>
        <w:pageBreakBefore w:val="0"/>
        <w:widowControl w:val="0"/>
        <w:kinsoku/>
        <w:wordWrap/>
        <w:overflowPunct/>
        <w:topLinePunct w:val="0"/>
        <w:autoSpaceDE/>
        <w:autoSpaceDN/>
        <w:bidi w:val="0"/>
        <w:adjustRightInd w:val="0"/>
        <w:snapToGrid/>
        <w:spacing w:line="480" w:lineRule="exact"/>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评价区含水层</w:t>
      </w:r>
    </w:p>
    <w:p w14:paraId="3039E556">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评价区</w:t>
      </w:r>
      <w:r>
        <w:rPr>
          <w:rFonts w:hint="default" w:ascii="Times New Roman" w:hAnsi="Times New Roman" w:eastAsia="宋体" w:cs="Times New Roman"/>
          <w:color w:val="auto"/>
          <w:sz w:val="24"/>
          <w:szCs w:val="24"/>
          <w:highlight w:val="none"/>
        </w:rPr>
        <w:t>内地貌大面积为低山，仅在其间分布有狭窄的山间河谷，这种特点决定了区内地下水的赋存、分布与运移规律。广大低山区各类岩层与岩体普遍发育有不同深度的网状风化裂隙带，赋存基岩风化裂隙水；区内断裂构造较为发育，在断裂带两侧，尤其是张性断裂带上，岩石破碎，构造裂隙发育，赋存脉状基岩构造裂隙水。山间河谷中堆积有厚度较小的第四系粉质粘土、砂及含泥砂砾石，含有</w:t>
      </w:r>
      <w:r>
        <w:rPr>
          <w:rFonts w:hint="default" w:ascii="Times New Roman" w:hAnsi="Times New Roman" w:eastAsia="宋体" w:cs="Times New Roman"/>
          <w:color w:val="auto"/>
          <w:sz w:val="24"/>
          <w:szCs w:val="24"/>
          <w:highlight w:val="none"/>
          <w:lang w:eastAsia="zh-CN"/>
        </w:rPr>
        <w:t>松散岩类孔隙水。地下水为</w:t>
      </w:r>
      <w:r>
        <w:rPr>
          <w:rFonts w:hint="default" w:ascii="Times New Roman" w:hAnsi="Times New Roman" w:eastAsia="宋体" w:cs="Times New Roman"/>
          <w:color w:val="auto"/>
          <w:sz w:val="24"/>
          <w:szCs w:val="24"/>
          <w:highlight w:val="none"/>
        </w:rPr>
        <w:t>第四系松散岩类孔隙</w:t>
      </w:r>
      <w:r>
        <w:rPr>
          <w:rFonts w:hint="default" w:ascii="Times New Roman" w:hAnsi="Times New Roman" w:eastAsia="宋体" w:cs="Times New Roman"/>
          <w:color w:val="auto"/>
          <w:sz w:val="24"/>
          <w:szCs w:val="24"/>
          <w:highlight w:val="none"/>
          <w:lang w:eastAsia="zh-CN"/>
        </w:rPr>
        <w:t>潜</w:t>
      </w:r>
      <w:r>
        <w:rPr>
          <w:rFonts w:hint="default" w:ascii="Times New Roman" w:hAnsi="Times New Roman" w:eastAsia="宋体" w:cs="Times New Roman"/>
          <w:color w:val="auto"/>
          <w:sz w:val="24"/>
          <w:szCs w:val="24"/>
          <w:highlight w:val="none"/>
        </w:rPr>
        <w:t>水</w:t>
      </w:r>
      <w:r>
        <w:rPr>
          <w:rFonts w:hint="default" w:ascii="Times New Roman" w:hAnsi="Times New Roman" w:eastAsia="宋体" w:cs="Times New Roman"/>
          <w:color w:val="auto"/>
          <w:sz w:val="24"/>
          <w:szCs w:val="24"/>
          <w:highlight w:val="none"/>
          <w:lang w:eastAsia="zh-CN"/>
        </w:rPr>
        <w:t>和基岩风化裂隙潜水。</w:t>
      </w:r>
    </w:p>
    <w:p w14:paraId="676284C4">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①</w:t>
      </w:r>
      <w:r>
        <w:rPr>
          <w:rFonts w:hint="default" w:ascii="Times New Roman" w:hAnsi="Times New Roman" w:eastAsia="宋体" w:cs="Times New Roman"/>
          <w:color w:val="auto"/>
          <w:sz w:val="24"/>
          <w:szCs w:val="24"/>
          <w:highlight w:val="none"/>
        </w:rPr>
        <w:t>第四系松散岩类孔隙</w:t>
      </w:r>
      <w:r>
        <w:rPr>
          <w:rFonts w:hint="default" w:ascii="Times New Roman" w:hAnsi="Times New Roman" w:eastAsia="宋体" w:cs="Times New Roman"/>
          <w:color w:val="auto"/>
          <w:sz w:val="24"/>
          <w:szCs w:val="24"/>
          <w:highlight w:val="none"/>
          <w:lang w:eastAsia="zh-CN"/>
        </w:rPr>
        <w:t>潜</w:t>
      </w:r>
      <w:r>
        <w:rPr>
          <w:rFonts w:hint="default" w:ascii="Times New Roman" w:hAnsi="Times New Roman" w:eastAsia="宋体" w:cs="Times New Roman"/>
          <w:color w:val="auto"/>
          <w:sz w:val="24"/>
          <w:szCs w:val="24"/>
          <w:highlight w:val="none"/>
        </w:rPr>
        <w:t>水</w:t>
      </w:r>
    </w:p>
    <w:p w14:paraId="3E12AADF">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分布于</w:t>
      </w:r>
      <w:r>
        <w:rPr>
          <w:rFonts w:hint="default" w:ascii="Times New Roman" w:hAnsi="Times New Roman" w:eastAsia="宋体" w:cs="Times New Roman"/>
          <w:color w:val="auto"/>
          <w:sz w:val="24"/>
          <w:szCs w:val="24"/>
          <w:highlight w:val="none"/>
          <w:lang w:eastAsia="zh-CN"/>
        </w:rPr>
        <w:t>评价区南部</w:t>
      </w:r>
      <w:r>
        <w:rPr>
          <w:rFonts w:hint="default" w:ascii="Times New Roman" w:hAnsi="Times New Roman" w:eastAsia="宋体" w:cs="Times New Roman"/>
          <w:color w:val="auto"/>
          <w:sz w:val="24"/>
          <w:szCs w:val="24"/>
          <w:highlight w:val="none"/>
        </w:rPr>
        <w:t>小绥芬河、北寒葱河及其支流山间河谷中，含水层为第四系全新统砂砾石及含泥砂砾石。含水层厚度较小，小绥芬河谷下游段及北寒葱河下游厚3-5m，上游1-3m，支流山间河谷多数lm左右。一般上覆1-4m厚的粉质粘土，水位埋深1-4.5m。渗透系数10-30m/d。小绥芬河河谷及北寒葱河下游单井涌水量（管径225mm)100-200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/d，河谷上游及各支谷单井涌水量小于100m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/d，多为10-50m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/d。水化学类型为重碳酸钙或重碳酸钙钠型水。</w:t>
      </w:r>
    </w:p>
    <w:p w14:paraId="3C58F893">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②</w:t>
      </w:r>
      <w:r>
        <w:rPr>
          <w:rFonts w:hint="default" w:ascii="Times New Roman" w:hAnsi="Times New Roman" w:eastAsia="宋体" w:cs="Times New Roman"/>
          <w:color w:val="auto"/>
          <w:sz w:val="24"/>
          <w:szCs w:val="24"/>
          <w:highlight w:val="none"/>
        </w:rPr>
        <w:t>基岩风化裂隙潜水</w:t>
      </w:r>
      <w:r>
        <w:rPr>
          <w:rFonts w:hint="default" w:ascii="Times New Roman" w:hAnsi="Times New Roman" w:eastAsia="宋体" w:cs="Times New Roman"/>
          <w:color w:val="auto"/>
          <w:sz w:val="24"/>
          <w:szCs w:val="24"/>
          <w:highlight w:val="none"/>
          <w:lang w:eastAsia="zh-CN"/>
        </w:rPr>
        <w:t>（评价区主要含水层）</w:t>
      </w:r>
    </w:p>
    <w:p w14:paraId="17C8521E">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cs="Times New Roman"/>
          <w:color w:val="auto"/>
          <w:sz w:val="28"/>
          <w:szCs w:val="28"/>
          <w:highlight w:val="none"/>
        </w:rPr>
      </w:pPr>
      <w:r>
        <w:rPr>
          <w:rFonts w:hint="default" w:ascii="Times New Roman" w:hAnsi="Times New Roman" w:eastAsia="宋体" w:cs="Times New Roman"/>
          <w:color w:val="auto"/>
          <w:sz w:val="24"/>
          <w:szCs w:val="24"/>
          <w:highlight w:val="none"/>
        </w:rPr>
        <w:t>分布于广大低山区，含水层(带)为中生界火山岩、火山碎屑岩及晚印支期花岗岩风化带．风化带厚度主要与岩性有关：晚印支期花岗岩风化带较厚，为28-58m，多为30m左右，风化裂隙发育，张开性较好；中生界火山岩及火山碎屑岩风化带薄，一般10-20m，且风化裂隙多被充填。风化裂隙水的富水性与降水、植被、岩性、风化带厚度及地形有关，由于区内降水、地形等因素无大差异，故富水性主要与岩性和风化带厚度有关。分布在市区北部及西北部的五花山、金鱼背及红花岭一带的风化裂隙水，含水岩组由晚印支期花岗岩组成。该区植被较发育，花岗岩风化带较厚，泉流量10-30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/d。其余广大低山区风化裂隙水水量贫乏，含水岩组主要由中生界火山岩及火山碎屑岩组成。泉流量小于10m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/d。风化裂隙水水位埋深变化较大，5-10m不等，且富水性极不均匀，开发利用比较困难</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水化学类型为重碳酸钙型水</w:t>
      </w:r>
      <w:r>
        <w:rPr>
          <w:rFonts w:hint="default" w:ascii="Times New Roman" w:hAnsi="Times New Roman" w:cs="Times New Roman"/>
          <w:color w:val="auto"/>
          <w:sz w:val="24"/>
          <w:szCs w:val="24"/>
          <w:highlight w:val="none"/>
        </w:rPr>
        <w:t>。</w:t>
      </w:r>
    </w:p>
    <w:p w14:paraId="2A0F7C4D">
      <w:pPr>
        <w:keepNext w:val="0"/>
        <w:keepLines w:val="0"/>
        <w:pageBreakBefore w:val="0"/>
        <w:widowControl w:val="0"/>
        <w:kinsoku/>
        <w:wordWrap/>
        <w:overflowPunct/>
        <w:topLinePunct w:val="0"/>
        <w:autoSpaceDE/>
        <w:autoSpaceDN/>
        <w:bidi w:val="0"/>
        <w:adjustRightInd w:val="0"/>
        <w:spacing w:line="480" w:lineRule="exact"/>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地下水补给、径流及排泄条件</w:t>
      </w:r>
    </w:p>
    <w:p w14:paraId="1033031D">
      <w:pPr>
        <w:keepNext w:val="0"/>
        <w:keepLines w:val="0"/>
        <w:pageBreakBefore w:val="0"/>
        <w:widowControl w:val="0"/>
        <w:kinsoku/>
        <w:wordWrap/>
        <w:overflowPunct/>
        <w:topLinePunct w:val="0"/>
        <w:autoSpaceDE/>
        <w:autoSpaceDN/>
        <w:bidi w:val="0"/>
        <w:adjustRightInd/>
        <w:snapToGrid w:val="0"/>
        <w:spacing w:line="480" w:lineRule="exact"/>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大气降水入渗是基岩风化裂隙水的唯一补给来源。基岩裂隙水迳流通畅，在接受降水补给后，多数经一定距离的迳流后以泉的形式排泄于河流，在河谷附近则可以潜流方式补给河谷区孔隙潜水。风化裂隙水的泉流量多数具有较明显的季节性；降水充沛的季节，泉流量较大，降水少的季节，泉流量较小。</w:t>
      </w:r>
    </w:p>
    <w:p w14:paraId="6E182E89">
      <w:pPr>
        <w:bidi w:val="0"/>
        <w:rPr>
          <w:rFonts w:hint="eastAsia" w:ascii="Times New Roman" w:hAnsi="Times New Roman" w:cs="Times New Roman"/>
          <w:color w:val="auto"/>
          <w:sz w:val="24"/>
          <w:szCs w:val="24"/>
          <w:highlight w:val="none"/>
          <w:lang w:eastAsia="zh-CN"/>
        </w:rPr>
      </w:pPr>
      <w:r>
        <w:rPr>
          <w:rFonts w:hint="default" w:ascii="Times New Roman" w:hAnsi="Times New Roman" w:eastAsia="宋体" w:cs="Times New Roman"/>
          <w:color w:val="auto"/>
          <w:kern w:val="0"/>
          <w:sz w:val="24"/>
          <w:szCs w:val="24"/>
          <w:highlight w:val="none"/>
          <w:lang w:val="en-US" w:eastAsia="zh-CN" w:bidi="ar-SA"/>
        </w:rPr>
        <w:t>河谷区孔隙潜水以接受大气降水入渗补给为主，其次为基岩风化裂隙潜水的侧向迳流补给。山间河谷孔隙潜水含水层上覆粘性土较薄，地下水位埋藏浅，有利于降水入渗。其水位动态主要受气象要素控制，反映了该含水岩组主要接受大气降水补给。据有关调查资料，地下水水位均高于河水位。因此，孔隙潜水向河流迳流是主要排泄方式。此外，蒸发也是排泄途迳之一</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rPr>
        <w:t>地下水径流方向由东南向西北方向迳流，地下水水力坡度约为0.037</w:t>
      </w:r>
      <w:r>
        <w:rPr>
          <w:rFonts w:hint="eastAsia" w:ascii="Times New Roman" w:hAnsi="Times New Roman" w:cs="Times New Roman"/>
          <w:color w:val="auto"/>
          <w:sz w:val="24"/>
          <w:szCs w:val="24"/>
          <w:highlight w:val="none"/>
          <w:lang w:eastAsia="zh-CN"/>
        </w:rPr>
        <w:t>。</w:t>
      </w:r>
    </w:p>
    <w:p w14:paraId="53386265">
      <w:pPr>
        <w:pStyle w:val="5"/>
        <w:bidi w:val="0"/>
        <w:ind w:left="0" w:leftChars="0" w:firstLine="0" w:firstLineChars="0"/>
        <w:rPr>
          <w:rFonts w:hint="eastAsia"/>
          <w:sz w:val="30"/>
          <w:szCs w:val="30"/>
          <w:highlight w:val="none"/>
          <w:lang w:val="en-US" w:eastAsia="zh-CN"/>
        </w:rPr>
      </w:pPr>
      <w:bookmarkStart w:id="109" w:name="_Toc7421"/>
      <w:r>
        <w:rPr>
          <w:rFonts w:hint="default" w:ascii="Times New Roman" w:hAnsi="Times New Roman" w:cs="Times New Roman"/>
          <w:sz w:val="30"/>
          <w:szCs w:val="30"/>
          <w:highlight w:val="none"/>
          <w:lang w:val="en-US" w:eastAsia="zh-CN"/>
        </w:rPr>
        <w:t>4.1.</w:t>
      </w:r>
      <w:r>
        <w:rPr>
          <w:rFonts w:hint="eastAsia" w:ascii="Times New Roman" w:hAnsi="Times New Roman" w:cs="Times New Roman"/>
          <w:sz w:val="30"/>
          <w:szCs w:val="30"/>
          <w:highlight w:val="none"/>
          <w:lang w:val="en-US" w:eastAsia="zh-CN"/>
        </w:rPr>
        <w:t>5</w:t>
      </w:r>
      <w:r>
        <w:rPr>
          <w:rFonts w:hint="eastAsia"/>
          <w:sz w:val="30"/>
          <w:szCs w:val="30"/>
          <w:highlight w:val="none"/>
          <w:lang w:val="en-US" w:eastAsia="zh-CN"/>
        </w:rPr>
        <w:t>土壤</w:t>
      </w:r>
      <w:bookmarkEnd w:id="109"/>
    </w:p>
    <w:p w14:paraId="09374451">
      <w:pPr>
        <w:pStyle w:val="37"/>
        <w:rPr>
          <w:highlight w:val="none"/>
        </w:rPr>
      </w:pPr>
      <w:r>
        <w:rPr>
          <w:highlight w:val="none"/>
        </w:rPr>
        <w:t>全市土壤共分为六个土类，分别为暗棕壤、白浆土、草甸土、沼泽土、泥炭土以及河淤土。暗棕壤属地带性土壤，在本市分布最广，面积最大，分布在山上及陡坡处，表土层由上到下，逐渐加厚。</w:t>
      </w:r>
    </w:p>
    <w:p w14:paraId="54AA1460">
      <w:pPr>
        <w:rPr>
          <w:highlight w:val="none"/>
        </w:rPr>
      </w:pPr>
      <w:r>
        <w:rPr>
          <w:highlight w:val="none"/>
        </w:rPr>
        <w:t>白浆土和草甸土主要分布在河谷水线两旁的平缓坡地上，河淤土、沼泽土、泥炭土受微地形支配成复区分布在河谷水线和低平的洼地。</w:t>
      </w:r>
    </w:p>
    <w:p w14:paraId="25BABE6D">
      <w:pPr>
        <w:pStyle w:val="5"/>
        <w:bidi w:val="0"/>
        <w:ind w:left="0" w:leftChars="0" w:firstLine="0" w:firstLineChars="0"/>
        <w:rPr>
          <w:rFonts w:hint="eastAsia"/>
          <w:highlight w:val="none"/>
          <w:lang w:val="en-US" w:eastAsia="zh-CN"/>
        </w:rPr>
      </w:pPr>
      <w:bookmarkStart w:id="110" w:name="_Toc18399"/>
      <w:r>
        <w:rPr>
          <w:rFonts w:hint="eastAsia"/>
          <w:highlight w:val="none"/>
          <w:lang w:val="en-US" w:eastAsia="zh-CN"/>
        </w:rPr>
        <w:t>4.1.6自然资源</w:t>
      </w:r>
      <w:bookmarkEnd w:id="110"/>
    </w:p>
    <w:p w14:paraId="7AAD0075">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1、水资源</w:t>
      </w:r>
    </w:p>
    <w:p w14:paraId="7F50E09D">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根据2008年《黑龙江省水资源及开发利用调查评价》成果，论证范围内多年平均水资源总量为1.06×10</w:t>
      </w:r>
      <w:r>
        <w:rPr>
          <w:rFonts w:hint="default" w:ascii="Times New Roman" w:hAnsi="Times New Roman" w:eastAsia="宋体" w:cs="Times New Roman"/>
          <w:color w:val="auto"/>
          <w:sz w:val="24"/>
          <w:szCs w:val="24"/>
          <w:highlight w:val="none"/>
          <w:vertAlign w:val="superscript"/>
          <w:lang w:val="en-US" w:eastAsia="zh-CN"/>
        </w:rPr>
        <w:t>8</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，其中地表水资源量为1.06×10</w:t>
      </w:r>
      <w:r>
        <w:rPr>
          <w:rFonts w:hint="default" w:ascii="Times New Roman" w:hAnsi="Times New Roman" w:eastAsia="宋体" w:cs="Times New Roman"/>
          <w:color w:val="auto"/>
          <w:sz w:val="24"/>
          <w:szCs w:val="24"/>
          <w:highlight w:val="none"/>
          <w:vertAlign w:val="superscript"/>
          <w:lang w:val="en-US" w:eastAsia="zh-CN"/>
        </w:rPr>
        <w:t>8</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，地下水资源量为0.28×10</w:t>
      </w:r>
      <w:r>
        <w:rPr>
          <w:rFonts w:hint="default" w:ascii="Times New Roman" w:hAnsi="Times New Roman" w:eastAsia="宋体" w:cs="Times New Roman"/>
          <w:color w:val="auto"/>
          <w:sz w:val="24"/>
          <w:szCs w:val="24"/>
          <w:highlight w:val="none"/>
          <w:vertAlign w:val="superscript"/>
          <w:lang w:val="en-US" w:eastAsia="zh-CN"/>
        </w:rPr>
        <w:t>8</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，重复计算量为0.28×10</w:t>
      </w:r>
      <w:r>
        <w:rPr>
          <w:rFonts w:hint="default" w:ascii="Times New Roman" w:hAnsi="Times New Roman" w:eastAsia="宋体" w:cs="Times New Roman"/>
          <w:color w:val="auto"/>
          <w:sz w:val="24"/>
          <w:szCs w:val="24"/>
          <w:highlight w:val="none"/>
          <w:vertAlign w:val="superscript"/>
          <w:lang w:val="en-US" w:eastAsia="zh-CN"/>
        </w:rPr>
        <w:t>8</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p>
    <w:p w14:paraId="336785F2">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（1）地表水水资源量时空分布特点</w:t>
      </w:r>
    </w:p>
    <w:p w14:paraId="18E2D594">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论证范围内各流域径流以地表水为主，其补给水源主要是大气降水，可分为降雨径流和融雪径流，其中融雪径流一般发生在4月中、下旬，所占比重较小，降雨径流为径流主要来源，降水主要集中在7、8月份，约占全年的62%。流域内多年平均年径流深381.5mm，径流深空间分布与降水量空间分布的趋势较为一致，上游山区径流大，下游平原区径流小。径流的年内丰枯变化较大，主要是受降雨量大小所支配，夏季水量较丰，冬季径流较小。径流的年内分配极不均匀，大部分径流量集中在夏秋汛期，其中6月～9月份径流量占全年的68.9%。11月至翌年3月份径流仅占年径流量的5.5％。</w:t>
      </w:r>
    </w:p>
    <w:p w14:paraId="39630DA6">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（2）地下水水资源量时空分布特点</w:t>
      </w:r>
    </w:p>
    <w:p w14:paraId="4B577C82">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区地下水动态变化主要受气象、水文条件的控制，并受人工开采的影响。从年内变化来看，本区地下水的动态变化具有明显的季节性周期变化规律。每年的3～4月份地下水位最低，为枯水期，此时，地表蒸发量较大，降水量较少，季节性冻土刚刚消失，地下水尚未得到降水的补给。随着降水量不断增加，入渗补给量增大，地下水位普遍开始抬升，8～9月份地下水位达到年内高峰值，为丰水期，与降水过程相比，地下水位的抬升具有滞后性。9月末以后，由于降水量减少，地下水获得的补给量亦相应减少，而蒸发作用加强，地下水位开始逐渐下降。11月中旬地表开始结冻，直至翌年3月底或4月初季节性冻土消失的全部时间段内，地下水位都处于下降状态之中。从总体上看，地下水动态变化规律是：山区、山前台地、一级阶地埋深较小，向河漫滩区水位埋深逐渐增大。</w:t>
      </w:r>
    </w:p>
    <w:p w14:paraId="63C109A0">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2、森林资源</w:t>
      </w:r>
    </w:p>
    <w:p w14:paraId="120B64A0">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森林覆盖率为45.87%，高于全省10.86个百分点，主要树种有松、桦、椴、柞、榆、杨、柳、槭、胡桃楸、水曲柳等；活力木蓄积量99.145万立方米。具有较高经济价值的野生植物资源主要有玫瑰、山葡萄、草莓、蕨菜、黄花菜、薇菜、黄芪、五味子、龙胆草、刺五加、芍药、贝母、百合、柴胡、桔梗、苍术、益母草、穿地龙、木耳、蘑菇等。</w:t>
      </w:r>
    </w:p>
    <w:p w14:paraId="58622AAE">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3、矿产资源</w:t>
      </w:r>
    </w:p>
    <w:p w14:paraId="2AB14D32">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绥芬河地下矿藏主要有沸石、铬铁、辰砂，沸石中的赋存浊沸石分布较广，储量可观。</w:t>
      </w:r>
    </w:p>
    <w:p w14:paraId="74D9378A">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4、动物资源</w:t>
      </w:r>
    </w:p>
    <w:p w14:paraId="4FA40C8D">
      <w:pPr>
        <w:pStyle w:val="35"/>
        <w:keepNext w:val="0"/>
        <w:keepLines w:val="0"/>
        <w:pageBreakBefore w:val="0"/>
        <w:widowControl w:val="0"/>
        <w:kinsoku/>
        <w:wordWrap/>
        <w:overflowPunct/>
        <w:topLinePunct w:val="0"/>
        <w:autoSpaceDE/>
        <w:autoSpaceDN/>
        <w:bidi w:val="0"/>
        <w:adjustRightInd/>
        <w:snapToGrid/>
        <w:spacing w:after="0" w:line="480" w:lineRule="exact"/>
        <w:ind w:left="0" w:leftChars="0"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野生动物资源主要有虎、熊、野猪、马鹿、狼、狐、貉、獾、狍、獐、黄鼬、水獭、雉鸡、飞龙、沙半鸡、蛇、蛙等。到80年代，大型哺乳动物已少见。</w:t>
      </w:r>
    </w:p>
    <w:p w14:paraId="26E578D8">
      <w:pPr>
        <w:pStyle w:val="4"/>
        <w:bidi w:val="0"/>
        <w:ind w:left="0" w:leftChars="0" w:firstLine="0" w:firstLineChars="0"/>
        <w:rPr>
          <w:rFonts w:hint="eastAsia"/>
          <w:highlight w:val="none"/>
          <w:lang w:val="en-US" w:eastAsia="zh-CN"/>
        </w:rPr>
      </w:pPr>
      <w:bookmarkStart w:id="111" w:name="_Toc21705"/>
      <w:r>
        <w:rPr>
          <w:rFonts w:hint="eastAsia"/>
          <w:highlight w:val="none"/>
          <w:lang w:val="en-US" w:eastAsia="zh-CN"/>
        </w:rPr>
        <w:t>4.2环境保护目标调查</w:t>
      </w:r>
      <w:bookmarkEnd w:id="111"/>
    </w:p>
    <w:p w14:paraId="52220D29">
      <w:pPr>
        <w:pStyle w:val="5"/>
        <w:ind w:left="0" w:leftChars="0" w:firstLine="0" w:firstLineChars="0"/>
        <w:rPr>
          <w:rFonts w:hint="default"/>
          <w:sz w:val="30"/>
          <w:szCs w:val="30"/>
          <w:highlight w:val="none"/>
          <w:lang w:val="en-US" w:eastAsia="zh-CN"/>
        </w:rPr>
      </w:pPr>
      <w:bookmarkStart w:id="112" w:name="_Toc18441"/>
      <w:r>
        <w:rPr>
          <w:rFonts w:hint="default" w:ascii="Times New Roman" w:hAnsi="Times New Roman" w:cs="Times New Roman"/>
          <w:sz w:val="30"/>
          <w:szCs w:val="30"/>
          <w:highlight w:val="none"/>
          <w:lang w:val="en-US" w:eastAsia="zh-CN"/>
        </w:rPr>
        <w:t>4.2.1</w:t>
      </w:r>
      <w:r>
        <w:rPr>
          <w:rFonts w:hint="eastAsia"/>
          <w:sz w:val="30"/>
          <w:szCs w:val="30"/>
          <w:highlight w:val="none"/>
          <w:lang w:val="en-US" w:eastAsia="zh-CN"/>
        </w:rPr>
        <w:t>环境功能区划</w:t>
      </w:r>
      <w:bookmarkEnd w:id="112"/>
    </w:p>
    <w:p w14:paraId="6DDD26B7">
      <w:pPr>
        <w:bidi w:val="0"/>
        <w:rPr>
          <w:rFonts w:hint="default" w:ascii="Times New Roman" w:hAnsi="Times New Roman" w:eastAsia="宋体" w:cs="Times New Roman"/>
          <w:color w:val="auto"/>
          <w:kern w:val="0"/>
          <w:sz w:val="24"/>
          <w:szCs w:val="24"/>
          <w:highlight w:val="none"/>
          <w:lang w:val="en-US" w:eastAsia="zh-CN"/>
        </w:rPr>
      </w:pPr>
      <w:r>
        <w:rPr>
          <w:rFonts w:hint="default" w:ascii="Times New Roman" w:hAnsi="Times New Roman" w:cs="Times New Roman"/>
          <w:color w:val="auto"/>
          <w:spacing w:val="0"/>
          <w:sz w:val="24"/>
          <w:szCs w:val="24"/>
          <w:highlight w:val="none"/>
          <w:lang w:val="en-US" w:eastAsia="zh-CN"/>
        </w:rPr>
        <w:t>依据“黑龙江省环境保护重要区域流域示意图”及“全国自然保护区名录”，绥芬河市有金家沟自然保护区。金家沟自然保护区始建于2002年7月1日，为县级自然保护区，</w:t>
      </w:r>
      <w:r>
        <w:rPr>
          <w:rFonts w:hint="default" w:ascii="Times New Roman" w:hAnsi="Times New Roman" w:cs="Times New Roman"/>
          <w:color w:val="auto"/>
          <w:kern w:val="0"/>
          <w:sz w:val="24"/>
          <w:highlight w:val="none"/>
          <w:lang w:val="en-US" w:eastAsia="zh-CN"/>
        </w:rPr>
        <w:t>主要保护对象为水域生态系统、饮用水源地，类型为内陆湿地，</w:t>
      </w:r>
      <w:r>
        <w:rPr>
          <w:rFonts w:hint="default" w:ascii="Times New Roman" w:hAnsi="Times New Roman" w:eastAsia="宋体" w:cs="Times New Roman"/>
          <w:color w:val="auto"/>
          <w:kern w:val="0"/>
          <w:sz w:val="24"/>
          <w:szCs w:val="24"/>
          <w:highlight w:val="none"/>
          <w:lang w:val="en-US" w:eastAsia="zh-CN"/>
        </w:rPr>
        <w:t>该自然保护区总面积为2080公顷。该自然保护区位于绥芬河市西部，本项目距离金家沟水库自然保护区约</w:t>
      </w:r>
      <w:r>
        <w:rPr>
          <w:rFonts w:hint="eastAsia" w:ascii="Times New Roman" w:hAnsi="Times New Roman" w:eastAsia="宋体" w:cs="Times New Roman"/>
          <w:color w:val="auto"/>
          <w:kern w:val="0"/>
          <w:sz w:val="24"/>
          <w:szCs w:val="24"/>
          <w:highlight w:val="none"/>
          <w:lang w:val="en-US" w:eastAsia="zh-CN"/>
        </w:rPr>
        <w:t>14</w:t>
      </w:r>
      <w:r>
        <w:rPr>
          <w:rFonts w:hint="default" w:ascii="Times New Roman" w:hAnsi="Times New Roman" w:eastAsia="宋体" w:cs="Times New Roman"/>
          <w:color w:val="auto"/>
          <w:kern w:val="0"/>
          <w:sz w:val="24"/>
          <w:szCs w:val="24"/>
          <w:highlight w:val="none"/>
          <w:lang w:val="en-US" w:eastAsia="zh-CN"/>
        </w:rPr>
        <w:t>km。</w:t>
      </w:r>
    </w:p>
    <w:p w14:paraId="06E31D37">
      <w:pPr>
        <w:ind w:firstLine="480"/>
        <w:rPr>
          <w:rFonts w:hint="eastAsia" w:ascii="Times New Roman" w:hAnsi="Times New Roman"/>
          <w:highlight w:val="none"/>
        </w:rPr>
      </w:pPr>
      <w:r>
        <w:rPr>
          <w:rFonts w:ascii="Times New Roman" w:hAnsi="Times New Roman"/>
          <w:highlight w:val="none"/>
        </w:rPr>
        <w:t>（1）水环境：根据《全国重要江河湖泊功能区划（2011-2030年）》，</w:t>
      </w:r>
      <w:r>
        <w:rPr>
          <w:rFonts w:hint="default" w:ascii="Times New Roman" w:hAnsi="Times New Roman" w:cs="Times New Roman"/>
          <w:color w:val="auto"/>
          <w:spacing w:val="0"/>
          <w:sz w:val="24"/>
          <w:highlight w:val="none"/>
          <w:lang w:val="en-US" w:eastAsia="zh-CN"/>
        </w:rPr>
        <w:t>项目</w:t>
      </w:r>
      <w:r>
        <w:rPr>
          <w:rFonts w:hint="default" w:ascii="Times New Roman" w:hAnsi="Times New Roman" w:eastAsia="宋体" w:cs="Times New Roman"/>
          <w:color w:val="auto"/>
          <w:sz w:val="24"/>
          <w:highlight w:val="none"/>
          <w:lang w:val="en-US" w:eastAsia="zh-CN"/>
        </w:rPr>
        <w:t>位于</w:t>
      </w:r>
      <w:r>
        <w:rPr>
          <w:rFonts w:hint="default" w:ascii="Times New Roman" w:hAnsi="Times New Roman" w:cs="Times New Roman"/>
          <w:color w:val="auto"/>
          <w:sz w:val="24"/>
          <w:highlight w:val="none"/>
          <w:lang w:val="en-US" w:eastAsia="zh-CN"/>
        </w:rPr>
        <w:t>小绥芬河（老莱营村-大、小绥芬河汇合口</w:t>
      </w:r>
      <w:r>
        <w:rPr>
          <w:rFonts w:hint="default" w:ascii="Times New Roman" w:hAnsi="Times New Roman" w:eastAsia="宋体" w:cs="Times New Roman"/>
          <w:color w:val="auto"/>
          <w:sz w:val="24"/>
          <w:highlight w:val="none"/>
          <w:lang w:val="en-US" w:eastAsia="zh-CN"/>
        </w:rPr>
        <w:t>断面</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根据《全国重要江河湖泊水功能区划（2011～2030年）》</w:t>
      </w:r>
      <w:r>
        <w:rPr>
          <w:rFonts w:hint="default" w:ascii="Times New Roman" w:hAnsi="Times New Roman" w:cs="Times New Roman"/>
          <w:color w:val="auto"/>
          <w:kern w:val="0"/>
          <w:sz w:val="24"/>
          <w:szCs w:val="24"/>
          <w:highlight w:val="none"/>
          <w:lang w:val="en-US" w:eastAsia="zh-CN" w:bidi="ar"/>
        </w:rPr>
        <w:t>，水质类别为</w:t>
      </w:r>
      <w:r>
        <w:rPr>
          <w:rFonts w:hint="default" w:ascii="Times New Roman" w:hAnsi="Times New Roman" w:eastAsia="宋体" w:cs="Times New Roman"/>
          <w:color w:val="auto"/>
          <w:sz w:val="24"/>
          <w:highlight w:val="none"/>
        </w:rPr>
        <w:t>Ⅲ</w:t>
      </w:r>
      <w:r>
        <w:rPr>
          <w:rFonts w:hint="default" w:ascii="Times New Roman" w:hAnsi="Times New Roman" w:cs="Times New Roman"/>
          <w:color w:val="auto"/>
          <w:kern w:val="0"/>
          <w:sz w:val="24"/>
          <w:szCs w:val="24"/>
          <w:highlight w:val="none"/>
          <w:lang w:val="en-US" w:eastAsia="zh-CN" w:bidi="ar"/>
        </w:rPr>
        <w:t>类，</w:t>
      </w:r>
      <w:r>
        <w:rPr>
          <w:rFonts w:hint="default" w:ascii="Times New Roman" w:hAnsi="Times New Roman" w:eastAsia="宋体" w:cs="Times New Roman"/>
          <w:color w:val="auto"/>
          <w:sz w:val="24"/>
          <w:highlight w:val="none"/>
          <w:lang w:val="en-US" w:eastAsia="zh-CN"/>
        </w:rPr>
        <w:t>执行</w:t>
      </w:r>
      <w:r>
        <w:rPr>
          <w:rFonts w:hint="default" w:ascii="Times New Roman" w:hAnsi="Times New Roman" w:eastAsia="宋体" w:cs="Times New Roman"/>
          <w:color w:val="auto"/>
          <w:sz w:val="24"/>
          <w:highlight w:val="none"/>
        </w:rPr>
        <w:t>《地表水环境质量标准》（GB3838-2002）中Ⅲ类水体标准</w:t>
      </w:r>
      <w:r>
        <w:rPr>
          <w:rFonts w:hint="default" w:ascii="Times New Roman" w:hAnsi="Times New Roman" w:cs="Times New Roman"/>
          <w:color w:val="auto"/>
          <w:sz w:val="24"/>
          <w:highlight w:val="none"/>
          <w:lang w:eastAsia="zh-CN"/>
        </w:rPr>
        <w:t>。</w:t>
      </w:r>
    </w:p>
    <w:p w14:paraId="1DFD7024">
      <w:pPr>
        <w:ind w:firstLine="480"/>
        <w:rPr>
          <w:rFonts w:ascii="Times New Roman" w:hAnsi="Times New Roman"/>
          <w:highlight w:val="none"/>
        </w:rPr>
      </w:pPr>
      <w:r>
        <w:rPr>
          <w:rFonts w:ascii="Times New Roman" w:hAnsi="Times New Roman"/>
          <w:highlight w:val="none"/>
        </w:rPr>
        <w:t>（2）环境空气：本项目所在区域为二类功能区，环境空气质量标准执行国家《环境空气质量标准》（GB3095-2012）中二级标准。</w:t>
      </w:r>
    </w:p>
    <w:p w14:paraId="3A5664AE">
      <w:pPr>
        <w:ind w:firstLine="480"/>
        <w:rPr>
          <w:rFonts w:ascii="Times New Roman" w:hAnsi="Times New Roman"/>
          <w:highlight w:val="none"/>
        </w:rPr>
      </w:pPr>
      <w:r>
        <w:rPr>
          <w:rFonts w:ascii="Times New Roman" w:hAnsi="Times New Roman"/>
          <w:highlight w:val="none"/>
        </w:rPr>
        <w:t>（3）声环境：</w:t>
      </w:r>
      <w:r>
        <w:rPr>
          <w:rFonts w:hint="eastAsia" w:ascii="Times New Roman" w:hAnsi="Times New Roman"/>
          <w:highlight w:val="none"/>
          <w:lang w:val="en-US" w:eastAsia="zh-CN"/>
        </w:rPr>
        <w:t>本</w:t>
      </w:r>
      <w:r>
        <w:rPr>
          <w:rFonts w:ascii="Times New Roman" w:hAnsi="Times New Roman"/>
          <w:highlight w:val="none"/>
        </w:rPr>
        <w:t>项目所在</w:t>
      </w:r>
      <w:r>
        <w:rPr>
          <w:rFonts w:hint="eastAsia" w:ascii="Times New Roman" w:hAnsi="Times New Roman"/>
          <w:highlight w:val="none"/>
          <w:lang w:val="en-US" w:eastAsia="zh-CN"/>
        </w:rPr>
        <w:t>区域</w:t>
      </w:r>
      <w:r>
        <w:rPr>
          <w:rFonts w:ascii="Times New Roman" w:hAnsi="Times New Roman"/>
          <w:highlight w:val="none"/>
        </w:rPr>
        <w:t>为</w:t>
      </w:r>
      <w:r>
        <w:rPr>
          <w:rFonts w:hint="eastAsia" w:ascii="Times New Roman" w:hAnsi="Times New Roman"/>
          <w:highlight w:val="none"/>
          <w:lang w:val="en-US" w:eastAsia="zh-CN"/>
        </w:rPr>
        <w:t>2</w:t>
      </w:r>
      <w:r>
        <w:rPr>
          <w:rFonts w:ascii="Times New Roman" w:hAnsi="Times New Roman"/>
          <w:highlight w:val="none"/>
        </w:rPr>
        <w:t>类声环境功能区，故本项目所在区域执行《声环境质量标准》(GB3096-2008)中</w:t>
      </w:r>
      <w:r>
        <w:rPr>
          <w:rFonts w:hint="eastAsia" w:ascii="Times New Roman" w:hAnsi="Times New Roman"/>
          <w:highlight w:val="none"/>
          <w:lang w:val="en-US" w:eastAsia="zh-CN"/>
        </w:rPr>
        <w:t>2</w:t>
      </w:r>
      <w:r>
        <w:rPr>
          <w:rFonts w:ascii="Times New Roman" w:hAnsi="Times New Roman"/>
          <w:highlight w:val="none"/>
        </w:rPr>
        <w:t>类区标准。</w:t>
      </w:r>
    </w:p>
    <w:p w14:paraId="7036807D">
      <w:pPr>
        <w:bidi w:val="0"/>
        <w:rPr>
          <w:rFonts w:ascii="Times New Roman" w:hAnsi="Times New Roman"/>
          <w:highlight w:val="none"/>
        </w:rPr>
      </w:pPr>
      <w:r>
        <w:rPr>
          <w:rFonts w:ascii="Times New Roman" w:hAnsi="Times New Roman"/>
          <w:highlight w:val="none"/>
        </w:rPr>
        <w:t>（4）土壤环境：</w:t>
      </w:r>
      <w:r>
        <w:rPr>
          <w:rFonts w:hint="eastAsia" w:ascii="Times New Roman" w:hAnsi="Times New Roman"/>
          <w:highlight w:val="none"/>
        </w:rPr>
        <w:t>居住区土壤环境执行《土壤环境质量 建设用地土壤污染风险管控标准（试行）》（GB36600-2018）中第一类建设用地风险筛选值；项目厂址土壤环境执行《土壤环境质量 建设用地土壤污染风险管控标准（试行）》（GB36600-2018）中第二类建设用地风险筛选值；农田土壤环境执行《土壤环境质量 农用地土壤污染风险管控标准（试行）》（GB15618-2018）风险筛选值</w:t>
      </w:r>
      <w:r>
        <w:rPr>
          <w:rFonts w:ascii="Times New Roman" w:hAnsi="Times New Roman"/>
          <w:highlight w:val="none"/>
        </w:rPr>
        <w:t>。</w:t>
      </w:r>
    </w:p>
    <w:p w14:paraId="18B012B2">
      <w:pPr>
        <w:pStyle w:val="5"/>
        <w:bidi w:val="0"/>
        <w:ind w:left="0" w:leftChars="0" w:firstLine="0" w:firstLineChars="0"/>
        <w:rPr>
          <w:rFonts w:hint="eastAsia"/>
          <w:sz w:val="30"/>
          <w:szCs w:val="30"/>
          <w:highlight w:val="none"/>
          <w:lang w:val="en-US" w:eastAsia="zh-CN"/>
        </w:rPr>
      </w:pPr>
      <w:bookmarkStart w:id="113" w:name="_Toc6208"/>
      <w:r>
        <w:rPr>
          <w:rFonts w:hint="eastAsia"/>
          <w:sz w:val="30"/>
          <w:szCs w:val="30"/>
          <w:highlight w:val="none"/>
          <w:lang w:val="en-US" w:eastAsia="zh-CN"/>
        </w:rPr>
        <w:t>4.2.2主要环境敏感区</w:t>
      </w:r>
      <w:bookmarkEnd w:id="113"/>
    </w:p>
    <w:p w14:paraId="5908686F">
      <w:pPr>
        <w:rPr>
          <w:rFonts w:hint="default" w:ascii="Times New Roman" w:hAnsi="Times New Roman" w:eastAsia="宋体" w:cs="Times New Roman"/>
          <w:color w:val="auto"/>
          <w:kern w:val="0"/>
          <w:sz w:val="24"/>
          <w:szCs w:val="24"/>
          <w:highlight w:val="none"/>
          <w:lang w:val="en-US" w:eastAsia="zh-CN"/>
        </w:rPr>
      </w:pPr>
      <w:r>
        <w:rPr>
          <w:rFonts w:ascii="Times New Roman" w:hAnsi="Times New Roman"/>
          <w:highlight w:val="none"/>
        </w:rPr>
        <w:t>根据调查，本项目厂址不在自然保护区、风景名胜区、世界文化和自然遗产地、海洋特别保护区、饮用水水源保护区；基本农田保护区、基本草原、森林公园、地质公园、重要湿地、天然林、野生动物重要栖息地、重点保护野生植物生长繁殖地、重要水生生物的自然产卵场、索饵场、越冬场和洄游通道、天然渔场、水土流失重点防治区、沙化土地封禁保护区、封闭及半封闭海域；以居住、医疗卫生、文化教育、科研、行政办公等为主要功能的区域，以及文物保护单位范围内。</w:t>
      </w:r>
      <w:r>
        <w:rPr>
          <w:rFonts w:hint="default" w:ascii="Times New Roman" w:hAnsi="Times New Roman" w:cs="Times New Roman"/>
          <w:color w:val="auto"/>
          <w:spacing w:val="0"/>
          <w:sz w:val="24"/>
          <w:szCs w:val="24"/>
          <w:highlight w:val="none"/>
          <w:lang w:val="en-US" w:eastAsia="zh-CN"/>
        </w:rPr>
        <w:t>绥芬河市有金家沟自然保护区。金家沟自然保护区始建于2002年7月1日，为县级自然保护区，</w:t>
      </w:r>
      <w:r>
        <w:rPr>
          <w:rFonts w:hint="default" w:ascii="Times New Roman" w:hAnsi="Times New Roman" w:cs="Times New Roman"/>
          <w:color w:val="auto"/>
          <w:kern w:val="0"/>
          <w:sz w:val="24"/>
          <w:highlight w:val="none"/>
          <w:lang w:val="en-US" w:eastAsia="zh-CN"/>
        </w:rPr>
        <w:t>主要保护对象为水域生态系统、饮用水源地，类型为内陆湿地，</w:t>
      </w:r>
      <w:r>
        <w:rPr>
          <w:rFonts w:hint="default" w:ascii="Times New Roman" w:hAnsi="Times New Roman" w:eastAsia="宋体" w:cs="Times New Roman"/>
          <w:color w:val="auto"/>
          <w:kern w:val="0"/>
          <w:sz w:val="24"/>
          <w:szCs w:val="24"/>
          <w:highlight w:val="none"/>
          <w:lang w:val="en-US" w:eastAsia="zh-CN"/>
        </w:rPr>
        <w:t>该自然保护区总面积为2080公顷。该自然保护区位于绥芬河市西部，本项目距离金家沟水库自然保护区约</w:t>
      </w:r>
      <w:r>
        <w:rPr>
          <w:rFonts w:hint="eastAsia" w:ascii="Times New Roman" w:hAnsi="Times New Roman" w:eastAsia="宋体" w:cs="Times New Roman"/>
          <w:color w:val="auto"/>
          <w:kern w:val="0"/>
          <w:sz w:val="24"/>
          <w:szCs w:val="24"/>
          <w:highlight w:val="none"/>
          <w:lang w:val="en-US" w:eastAsia="zh-CN"/>
        </w:rPr>
        <w:t>14</w:t>
      </w:r>
      <w:r>
        <w:rPr>
          <w:rFonts w:hint="default" w:ascii="Times New Roman" w:hAnsi="Times New Roman" w:eastAsia="宋体" w:cs="Times New Roman"/>
          <w:color w:val="auto"/>
          <w:kern w:val="0"/>
          <w:sz w:val="24"/>
          <w:szCs w:val="24"/>
          <w:highlight w:val="none"/>
          <w:lang w:val="en-US" w:eastAsia="zh-CN"/>
        </w:rPr>
        <w:t>km</w:t>
      </w:r>
      <w:r>
        <w:rPr>
          <w:rFonts w:hint="eastAsia" w:ascii="Times New Roman" w:hAnsi="Times New Roman" w:cs="Times New Roman"/>
          <w:color w:val="auto"/>
          <w:kern w:val="0"/>
          <w:sz w:val="24"/>
          <w:szCs w:val="24"/>
          <w:highlight w:val="none"/>
          <w:lang w:val="en-US" w:eastAsia="zh-CN"/>
        </w:rPr>
        <w:t>，不在本项目评价范围内。</w:t>
      </w:r>
    </w:p>
    <w:p w14:paraId="66FD968E">
      <w:pPr>
        <w:pStyle w:val="4"/>
        <w:bidi w:val="0"/>
        <w:ind w:left="0" w:leftChars="0" w:firstLine="0" w:firstLineChars="0"/>
        <w:rPr>
          <w:rFonts w:hint="eastAsia"/>
          <w:highlight w:val="none"/>
          <w:lang w:val="en-US" w:eastAsia="zh-CN"/>
        </w:rPr>
      </w:pPr>
      <w:bookmarkStart w:id="114" w:name="_Toc484"/>
      <w:r>
        <w:rPr>
          <w:rFonts w:hint="eastAsia"/>
          <w:highlight w:val="none"/>
          <w:lang w:val="en-US" w:eastAsia="zh-CN"/>
        </w:rPr>
        <w:t>4.3环境质量现状调查与评价</w:t>
      </w:r>
      <w:bookmarkEnd w:id="114"/>
    </w:p>
    <w:p w14:paraId="52B5EDA2">
      <w:pPr>
        <w:pStyle w:val="5"/>
        <w:ind w:left="0" w:leftChars="0" w:firstLine="0" w:firstLineChars="0"/>
        <w:rPr>
          <w:rFonts w:hint="eastAsia"/>
          <w:sz w:val="30"/>
          <w:szCs w:val="30"/>
          <w:highlight w:val="none"/>
          <w:lang w:val="en-US" w:eastAsia="zh-CN"/>
        </w:rPr>
      </w:pPr>
      <w:bookmarkStart w:id="115" w:name="_Toc28050"/>
      <w:r>
        <w:rPr>
          <w:rFonts w:hint="default" w:ascii="Times New Roman" w:hAnsi="Times New Roman" w:cs="Times New Roman"/>
          <w:sz w:val="30"/>
          <w:szCs w:val="30"/>
          <w:highlight w:val="none"/>
          <w:lang w:val="en-US" w:eastAsia="zh-CN"/>
        </w:rPr>
        <w:t>4.3.1</w:t>
      </w:r>
      <w:r>
        <w:rPr>
          <w:rFonts w:hint="eastAsia"/>
          <w:sz w:val="30"/>
          <w:szCs w:val="30"/>
          <w:highlight w:val="none"/>
          <w:lang w:val="en-US" w:eastAsia="zh-CN"/>
        </w:rPr>
        <w:t>环境空气质量现状评价</w:t>
      </w:r>
      <w:bookmarkEnd w:id="115"/>
    </w:p>
    <w:p w14:paraId="73747018">
      <w:pPr>
        <w:ind w:firstLine="480"/>
        <w:rPr>
          <w:rFonts w:ascii="Times New Roman" w:hAnsi="Times New Roman"/>
          <w:highlight w:val="none"/>
        </w:rPr>
      </w:pPr>
      <w:r>
        <w:rPr>
          <w:rFonts w:ascii="Times New Roman" w:hAnsi="Times New Roman"/>
          <w:highlight w:val="none"/>
        </w:rPr>
        <w:t>一、区域环境空气质量达标区判定</w:t>
      </w:r>
    </w:p>
    <w:p w14:paraId="3AD7CE20">
      <w:pPr>
        <w:ind w:firstLine="480"/>
        <w:rPr>
          <w:rFonts w:ascii="Times New Roman" w:hAnsi="Times New Roman"/>
          <w:highlight w:val="none"/>
        </w:rPr>
      </w:pPr>
      <w:r>
        <w:rPr>
          <w:rFonts w:ascii="Times New Roman" w:hAnsi="Times New Roman"/>
          <w:highlight w:val="none"/>
        </w:rPr>
        <w:t>本项目位于黑龙江省</w:t>
      </w:r>
      <w:r>
        <w:rPr>
          <w:rFonts w:hint="eastAsia" w:ascii="Times New Roman" w:hAnsi="Times New Roman"/>
          <w:highlight w:val="none"/>
          <w:lang w:val="en-US" w:eastAsia="zh-CN"/>
        </w:rPr>
        <w:t>牡丹江</w:t>
      </w:r>
      <w:r>
        <w:rPr>
          <w:rFonts w:ascii="Times New Roman" w:hAnsi="Times New Roman"/>
          <w:highlight w:val="none"/>
        </w:rPr>
        <w:t>市</w:t>
      </w:r>
      <w:r>
        <w:rPr>
          <w:rFonts w:hint="eastAsia" w:ascii="Times New Roman" w:hAnsi="Times New Roman"/>
          <w:highlight w:val="none"/>
          <w:lang w:val="en-US" w:eastAsia="zh-CN"/>
        </w:rPr>
        <w:t>绥芬河市</w:t>
      </w:r>
      <w:r>
        <w:rPr>
          <w:rFonts w:ascii="Times New Roman" w:hAnsi="Times New Roman"/>
          <w:highlight w:val="none"/>
        </w:rPr>
        <w:t>，</w:t>
      </w:r>
      <w:r>
        <w:rPr>
          <w:rFonts w:hint="eastAsia" w:ascii="Times New Roman" w:hAnsi="Times New Roman" w:eastAsia="宋体" w:cs="Times New Roman"/>
          <w:color w:val="auto"/>
          <w:sz w:val="24"/>
          <w:szCs w:val="24"/>
          <w:highlight w:val="none"/>
        </w:rPr>
        <w:t>根据《</w:t>
      </w:r>
      <w:r>
        <w:rPr>
          <w:rFonts w:hint="eastAsia" w:ascii="Times New Roman" w:hAnsi="Times New Roman" w:eastAsia="宋体" w:cs="Times New Roman"/>
          <w:color w:val="auto"/>
          <w:sz w:val="24"/>
          <w:szCs w:val="24"/>
          <w:highlight w:val="none"/>
          <w:lang w:val="en-US" w:eastAsia="zh-CN"/>
        </w:rPr>
        <w:t>牡丹江市环境质量公报（2024年度）</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和《2024年黑龙江省生态环境质量状况》，2024年牡丹江市区环境空气质量达标天数比例为96.7%。市区细颗粒物、可吸入颗粒物、二氧化硫、二氧化氮年均值,一氧化碳日均值及臭氧日最大8小时平均值均优于国家环境空气质量二级标准。</w:t>
      </w:r>
      <w:r>
        <w:rPr>
          <w:rFonts w:hint="eastAsia" w:ascii="Times New Roman" w:hAnsi="Times New Roman" w:eastAsia="宋体" w:cs="Times New Roman"/>
          <w:color w:val="auto"/>
          <w:sz w:val="24"/>
          <w:szCs w:val="24"/>
          <w:highlight w:val="none"/>
        </w:rPr>
        <w:t>牡丹江市202</w:t>
      </w:r>
      <w:r>
        <w:rPr>
          <w:rFonts w:hint="eastAsia" w:ascii="Times New Roman" w:hAnsi="Times New Roman"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rPr>
        <w:t>年SO</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rPr>
        <w:t>NO</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rPr>
        <w:t>、PM</w:t>
      </w:r>
      <w:r>
        <w:rPr>
          <w:rFonts w:hint="eastAsia" w:ascii="Times New Roman" w:hAnsi="Times New Roman" w:eastAsia="宋体" w:cs="Times New Roman"/>
          <w:color w:val="auto"/>
          <w:sz w:val="24"/>
          <w:szCs w:val="24"/>
          <w:highlight w:val="none"/>
          <w:vertAlign w:val="subscript"/>
          <w:lang w:val="en-US" w:eastAsia="zh-CN"/>
        </w:rPr>
        <w:t>10</w:t>
      </w:r>
      <w:r>
        <w:rPr>
          <w:rFonts w:hint="eastAsia" w:ascii="Times New Roman" w:hAnsi="Times New Roman" w:eastAsia="宋体" w:cs="Times New Roman"/>
          <w:color w:val="auto"/>
          <w:sz w:val="24"/>
          <w:szCs w:val="24"/>
          <w:highlight w:val="none"/>
        </w:rPr>
        <w:t>、PM</w:t>
      </w:r>
      <w:r>
        <w:rPr>
          <w:rFonts w:hint="eastAsia" w:ascii="Times New Roman" w:hAnsi="Times New Roman" w:eastAsia="宋体" w:cs="Times New Roman"/>
          <w:color w:val="auto"/>
          <w:sz w:val="24"/>
          <w:szCs w:val="24"/>
          <w:highlight w:val="none"/>
          <w:vertAlign w:val="subscript"/>
        </w:rPr>
        <w:t>2</w:t>
      </w:r>
      <w:r>
        <w:rPr>
          <w:rFonts w:hint="eastAsia" w:ascii="Times New Roman" w:hAnsi="Times New Roman" w:eastAsia="宋体" w:cs="Times New Roman"/>
          <w:color w:val="auto"/>
          <w:sz w:val="24"/>
          <w:szCs w:val="24"/>
          <w:highlight w:val="none"/>
          <w:vertAlign w:val="subscript"/>
          <w:lang w:val="en-US" w:eastAsia="zh-CN"/>
        </w:rPr>
        <w:t>.</w:t>
      </w:r>
      <w:r>
        <w:rPr>
          <w:rFonts w:hint="eastAsia" w:ascii="Times New Roman" w:hAnsi="Times New Roman" w:eastAsia="宋体" w:cs="Times New Roman"/>
          <w:color w:val="auto"/>
          <w:sz w:val="24"/>
          <w:szCs w:val="24"/>
          <w:highlight w:val="none"/>
          <w:vertAlign w:val="subscript"/>
        </w:rPr>
        <w:t>5</w:t>
      </w:r>
      <w:r>
        <w:rPr>
          <w:rFonts w:hint="eastAsia" w:ascii="Times New Roman" w:hAnsi="Times New Roman" w:eastAsia="宋体" w:cs="Times New Roman"/>
          <w:color w:val="auto"/>
          <w:sz w:val="24"/>
          <w:szCs w:val="24"/>
          <w:highlight w:val="none"/>
        </w:rPr>
        <w:t>年均浓度分别为</w:t>
      </w:r>
      <w:r>
        <w:rPr>
          <w:rFonts w:hint="eastAsia" w:ascii="Times New Roman" w:hAnsi="Times New Roman" w:eastAsia="宋体" w:cs="Times New Roman"/>
          <w:color w:val="auto"/>
          <w:sz w:val="24"/>
          <w:szCs w:val="24"/>
          <w:highlight w:val="none"/>
          <w:lang w:val="en-US" w:eastAsia="zh-CN"/>
        </w:rPr>
        <w:t>9</w:t>
      </w:r>
      <w:r>
        <w:rPr>
          <w:rFonts w:hint="eastAsia" w:ascii="Times New Roman" w:hAnsi="Times New Roman" w:eastAsia="宋体" w:cs="Times New Roman"/>
          <w:color w:val="auto"/>
          <w:sz w:val="24"/>
          <w:szCs w:val="24"/>
          <w:highlight w:val="none"/>
        </w:rPr>
        <w:t>ug/m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、2</w:t>
      </w:r>
      <w:r>
        <w:rPr>
          <w:rFonts w:hint="eastAsia" w:ascii="Times New Roman" w:hAnsi="Times New Roman" w:eastAsia="宋体" w:cs="Times New Roman"/>
          <w:color w:val="auto"/>
          <w:sz w:val="24"/>
          <w:szCs w:val="24"/>
          <w:highlight w:val="none"/>
          <w:lang w:val="en-US" w:eastAsia="zh-CN"/>
        </w:rPr>
        <w:t>0</w:t>
      </w:r>
      <w:r>
        <w:rPr>
          <w:rFonts w:hint="eastAsia" w:ascii="Times New Roman" w:hAnsi="Times New Roman" w:eastAsia="宋体" w:cs="Times New Roman"/>
          <w:color w:val="auto"/>
          <w:sz w:val="24"/>
          <w:szCs w:val="24"/>
          <w:highlight w:val="none"/>
        </w:rPr>
        <w:t>ug/m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44</w:t>
      </w:r>
      <w:r>
        <w:rPr>
          <w:rFonts w:hint="eastAsia" w:ascii="Times New Roman" w:hAnsi="Times New Roman" w:eastAsia="宋体" w:cs="Times New Roman"/>
          <w:color w:val="auto"/>
          <w:sz w:val="24"/>
          <w:szCs w:val="24"/>
          <w:highlight w:val="none"/>
        </w:rPr>
        <w:t>ug/m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31</w:t>
      </w:r>
      <w:r>
        <w:rPr>
          <w:rFonts w:hint="eastAsia" w:ascii="Times New Roman" w:hAnsi="Times New Roman" w:eastAsia="宋体" w:cs="Times New Roman"/>
          <w:color w:val="auto"/>
          <w:sz w:val="24"/>
          <w:szCs w:val="24"/>
          <w:highlight w:val="none"/>
        </w:rPr>
        <w:t>ug/m</w:t>
      </w:r>
      <w:r>
        <w:rPr>
          <w:rFonts w:hint="eastAsia" w:ascii="Times New Roman" w:hAnsi="Times New Roman" w:eastAsia="宋体" w:cs="Times New Roman"/>
          <w:color w:val="auto"/>
          <w:sz w:val="24"/>
          <w:szCs w:val="24"/>
          <w:highlight w:val="none"/>
          <w:vertAlign w:val="superscript"/>
        </w:rPr>
        <w:t>3</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rPr>
        <w:t>CO24小时平均第95百分位数为</w:t>
      </w:r>
      <w:r>
        <w:rPr>
          <w:rFonts w:hint="eastAsia" w:ascii="Times New Roman" w:hAnsi="Times New Roman" w:eastAsia="宋体" w:cs="Times New Roman"/>
          <w:color w:val="auto"/>
          <w:sz w:val="24"/>
          <w:szCs w:val="24"/>
          <w:highlight w:val="none"/>
          <w:lang w:val="en-US" w:eastAsia="zh-CN"/>
        </w:rPr>
        <w:t>0.9</w:t>
      </w:r>
      <w:r>
        <w:rPr>
          <w:rFonts w:hint="eastAsia" w:ascii="Times New Roman" w:hAnsi="Times New Roman" w:eastAsia="宋体" w:cs="Times New Roman"/>
          <w:color w:val="auto"/>
          <w:sz w:val="24"/>
          <w:szCs w:val="24"/>
          <w:highlight w:val="none"/>
        </w:rPr>
        <w:t>mg/m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rPr>
        <w:t>，O</w:t>
      </w:r>
      <w:r>
        <w:rPr>
          <w:rFonts w:hint="eastAsia" w:ascii="Times New Roman" w:hAnsi="Times New Roman" w:eastAsia="宋体" w:cs="Times New Roman"/>
          <w:color w:val="auto"/>
          <w:sz w:val="24"/>
          <w:szCs w:val="24"/>
          <w:highlight w:val="none"/>
          <w:vertAlign w:val="subscript"/>
        </w:rPr>
        <w:t>3</w:t>
      </w:r>
      <w:r>
        <w:rPr>
          <w:rFonts w:hint="eastAsia" w:ascii="Times New Roman" w:hAnsi="Times New Roman" w:eastAsia="宋体" w:cs="Times New Roman"/>
          <w:color w:val="auto"/>
          <w:sz w:val="24"/>
          <w:szCs w:val="24"/>
          <w:highlight w:val="none"/>
        </w:rPr>
        <w:t>日最大8小时平均第90百分位数为</w:t>
      </w:r>
      <w:r>
        <w:rPr>
          <w:rFonts w:hint="eastAsia" w:ascii="Times New Roman" w:hAnsi="Times New Roman" w:eastAsia="宋体" w:cs="Times New Roman"/>
          <w:color w:val="auto"/>
          <w:sz w:val="24"/>
          <w:szCs w:val="24"/>
          <w:highlight w:val="none"/>
          <w:lang w:val="en-US" w:eastAsia="zh-CN"/>
        </w:rPr>
        <w:t>108</w:t>
      </w:r>
      <w:r>
        <w:rPr>
          <w:rFonts w:hint="eastAsia" w:ascii="Times New Roman" w:hAnsi="Times New Roman" w:eastAsia="宋体" w:cs="Times New Roman"/>
          <w:color w:val="auto"/>
          <w:sz w:val="24"/>
          <w:szCs w:val="24"/>
          <w:highlight w:val="none"/>
        </w:rPr>
        <w:t>ug/</w:t>
      </w:r>
      <w:r>
        <w:rPr>
          <w:rFonts w:hint="eastAsia" w:ascii="Times New Roman" w:hAnsi="Times New Roman" w:eastAsia="宋体" w:cs="Times New Roman"/>
          <w:color w:val="auto"/>
          <w:sz w:val="24"/>
          <w:szCs w:val="24"/>
          <w:highlight w:val="none"/>
          <w:lang w:val="en-US" w:eastAsia="zh-CN"/>
        </w:rPr>
        <w:t>m</w:t>
      </w:r>
      <w:r>
        <w:rPr>
          <w:rFonts w:hint="eastAsia" w:ascii="Times New Roman" w:hAnsi="Times New Roman" w:eastAsia="宋体" w:cs="Times New Roman"/>
          <w:color w:val="auto"/>
          <w:sz w:val="24"/>
          <w:szCs w:val="24"/>
          <w:highlight w:val="none"/>
          <w:vertAlign w:val="superscript"/>
          <w:lang w:val="en-US" w:eastAsia="zh-CN"/>
        </w:rPr>
        <w:t>3</w:t>
      </w:r>
      <w:r>
        <w:rPr>
          <w:rFonts w:hint="eastAsia"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rPr>
        <w:t>各污染物平均浓度能够满足《环境空气质量标准》(GB3095-2012)及修改单中二级标准限值，项目所在区域属于环境空气质量达标区。</w:t>
      </w:r>
    </w:p>
    <w:p w14:paraId="69D02E75">
      <w:pPr>
        <w:pStyle w:val="7"/>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4.3-1</w:t>
      </w:r>
      <w:r>
        <w:rPr>
          <w:rFonts w:hint="eastAsia" w:ascii="黑体" w:hAnsi="黑体" w:eastAsia="黑体" w:cs="黑体"/>
          <w:highlight w:val="none"/>
        </w:rPr>
        <w:t>区域空气质量现状评价表</w:t>
      </w:r>
      <w:r>
        <w:rPr>
          <w:rFonts w:ascii="Times New Roman" w:hAnsi="Times New Roman"/>
          <w:highlight w:val="none"/>
        </w:rPr>
        <w:t>（202</w:t>
      </w:r>
      <w:r>
        <w:rPr>
          <w:rFonts w:hint="eastAsia" w:ascii="Times New Roman" w:hAnsi="Times New Roman"/>
          <w:highlight w:val="none"/>
          <w:lang w:val="en-US" w:eastAsia="zh-CN"/>
        </w:rPr>
        <w:t>4</w:t>
      </w:r>
      <w:r>
        <w:rPr>
          <w:rFonts w:hint="eastAsia" w:ascii="黑体" w:hAnsi="黑体" w:eastAsia="黑体" w:cs="黑体"/>
          <w:highlight w:val="none"/>
        </w:rPr>
        <w:t>年</w:t>
      </w:r>
      <w:r>
        <w:rPr>
          <w:rFonts w:ascii="Times New Roman" w:hAnsi="Times New Roman"/>
          <w:highlight w:val="none"/>
        </w:rPr>
        <w:t>）</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63"/>
        <w:gridCol w:w="2895"/>
        <w:gridCol w:w="1564"/>
        <w:gridCol w:w="1203"/>
        <w:gridCol w:w="1063"/>
        <w:gridCol w:w="834"/>
      </w:tblGrid>
      <w:tr w14:paraId="6AFC8B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12" w:space="0"/>
              <w:left w:val="nil"/>
              <w:bottom w:val="single" w:color="auto" w:sz="4" w:space="0"/>
              <w:right w:val="single" w:color="auto" w:sz="4" w:space="0"/>
            </w:tcBorders>
            <w:noWrap w:val="0"/>
            <w:vAlign w:val="center"/>
          </w:tcPr>
          <w:p w14:paraId="25DC60B3">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污染物</w:t>
            </w:r>
          </w:p>
        </w:tc>
        <w:tc>
          <w:tcPr>
            <w:tcW w:w="1697" w:type="pct"/>
            <w:tcBorders>
              <w:top w:val="single" w:color="auto" w:sz="12" w:space="0"/>
              <w:left w:val="single" w:color="auto" w:sz="4" w:space="0"/>
              <w:bottom w:val="single" w:color="auto" w:sz="4" w:space="0"/>
              <w:right w:val="single" w:color="auto" w:sz="4" w:space="0"/>
            </w:tcBorders>
            <w:noWrap w:val="0"/>
            <w:vAlign w:val="center"/>
          </w:tcPr>
          <w:p w14:paraId="3D1CFDC3">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评价指标</w:t>
            </w:r>
          </w:p>
        </w:tc>
        <w:tc>
          <w:tcPr>
            <w:tcW w:w="917" w:type="pct"/>
            <w:tcBorders>
              <w:top w:val="single" w:color="auto" w:sz="12" w:space="0"/>
              <w:left w:val="single" w:color="auto" w:sz="4" w:space="0"/>
              <w:bottom w:val="single" w:color="auto" w:sz="4" w:space="0"/>
              <w:right w:val="single" w:color="auto" w:sz="4" w:space="0"/>
            </w:tcBorders>
            <w:noWrap w:val="0"/>
            <w:vAlign w:val="center"/>
          </w:tcPr>
          <w:p w14:paraId="5BDA48C5">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现状浓度（μg/m</w:t>
            </w:r>
            <w:r>
              <w:rPr>
                <w:rFonts w:ascii="Times New Roman" w:hAnsi="Times New Roman" w:eastAsia="宋体" w:cs="Times New Roman"/>
                <w:sz w:val="21"/>
                <w:szCs w:val="24"/>
                <w:highlight w:val="none"/>
                <w:vertAlign w:val="superscript"/>
              </w:rPr>
              <w:t>3</w:t>
            </w:r>
            <w:r>
              <w:rPr>
                <w:rFonts w:ascii="Times New Roman" w:hAnsi="Times New Roman" w:eastAsia="宋体" w:cs="Times New Roman"/>
                <w:sz w:val="21"/>
                <w:szCs w:val="24"/>
                <w:highlight w:val="none"/>
              </w:rPr>
              <w:t>）</w:t>
            </w:r>
          </w:p>
        </w:tc>
        <w:tc>
          <w:tcPr>
            <w:tcW w:w="705" w:type="pct"/>
            <w:tcBorders>
              <w:top w:val="single" w:color="auto" w:sz="12" w:space="0"/>
              <w:left w:val="single" w:color="auto" w:sz="4" w:space="0"/>
              <w:bottom w:val="single" w:color="auto" w:sz="4" w:space="0"/>
              <w:right w:val="single" w:color="auto" w:sz="4" w:space="0"/>
            </w:tcBorders>
            <w:noWrap w:val="0"/>
            <w:vAlign w:val="center"/>
          </w:tcPr>
          <w:p w14:paraId="4BA002B0">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标准值</w:t>
            </w:r>
          </w:p>
          <w:p w14:paraId="6CD90CA5">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（μg/m</w:t>
            </w:r>
            <w:r>
              <w:rPr>
                <w:rFonts w:ascii="Times New Roman" w:hAnsi="Times New Roman" w:eastAsia="宋体" w:cs="Times New Roman"/>
                <w:sz w:val="21"/>
                <w:szCs w:val="24"/>
                <w:highlight w:val="none"/>
                <w:vertAlign w:val="superscript"/>
              </w:rPr>
              <w:t>3</w:t>
            </w:r>
            <w:r>
              <w:rPr>
                <w:rFonts w:ascii="Times New Roman" w:hAnsi="Times New Roman" w:eastAsia="宋体" w:cs="Times New Roman"/>
                <w:sz w:val="21"/>
                <w:szCs w:val="24"/>
                <w:highlight w:val="none"/>
              </w:rPr>
              <w:t>）</w:t>
            </w:r>
          </w:p>
        </w:tc>
        <w:tc>
          <w:tcPr>
            <w:tcW w:w="623" w:type="pct"/>
            <w:tcBorders>
              <w:top w:val="single" w:color="auto" w:sz="12" w:space="0"/>
              <w:left w:val="single" w:color="auto" w:sz="4" w:space="0"/>
              <w:bottom w:val="single" w:color="auto" w:sz="4" w:space="0"/>
              <w:right w:val="single" w:color="auto" w:sz="4" w:space="0"/>
            </w:tcBorders>
            <w:noWrap w:val="0"/>
            <w:vAlign w:val="center"/>
          </w:tcPr>
          <w:p w14:paraId="232F7F5D">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占标率（%）</w:t>
            </w:r>
          </w:p>
        </w:tc>
        <w:tc>
          <w:tcPr>
            <w:tcW w:w="489" w:type="pct"/>
            <w:tcBorders>
              <w:top w:val="single" w:color="auto" w:sz="12" w:space="0"/>
              <w:left w:val="single" w:color="auto" w:sz="4" w:space="0"/>
              <w:bottom w:val="single" w:color="auto" w:sz="4" w:space="0"/>
              <w:right w:val="nil"/>
            </w:tcBorders>
            <w:noWrap w:val="0"/>
            <w:vAlign w:val="center"/>
          </w:tcPr>
          <w:p w14:paraId="385C7BA0">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p w14:paraId="570C812E">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情况</w:t>
            </w:r>
          </w:p>
        </w:tc>
      </w:tr>
      <w:tr w14:paraId="24C802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565" w:type="pct"/>
            <w:tcBorders>
              <w:top w:val="single" w:color="auto" w:sz="4" w:space="0"/>
              <w:left w:val="nil"/>
              <w:bottom w:val="single" w:color="auto" w:sz="4" w:space="0"/>
              <w:right w:val="single" w:color="auto" w:sz="4" w:space="0"/>
            </w:tcBorders>
            <w:noWrap w:val="0"/>
            <w:vAlign w:val="center"/>
          </w:tcPr>
          <w:p w14:paraId="6C7D410D">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PM</w:t>
            </w:r>
            <w:r>
              <w:rPr>
                <w:rFonts w:ascii="Times New Roman" w:hAnsi="Times New Roman" w:eastAsia="宋体" w:cs="Times New Roman"/>
                <w:sz w:val="21"/>
                <w:szCs w:val="24"/>
                <w:highlight w:val="none"/>
                <w:vertAlign w:val="subscript"/>
              </w:rPr>
              <w:t>2.5</w:t>
            </w:r>
          </w:p>
        </w:tc>
        <w:tc>
          <w:tcPr>
            <w:tcW w:w="1697" w:type="pct"/>
            <w:tcBorders>
              <w:top w:val="single" w:color="auto" w:sz="4" w:space="0"/>
              <w:left w:val="single" w:color="auto" w:sz="4" w:space="0"/>
              <w:bottom w:val="single" w:color="auto" w:sz="4" w:space="0"/>
              <w:right w:val="single" w:color="auto" w:sz="4" w:space="0"/>
            </w:tcBorders>
            <w:noWrap w:val="0"/>
            <w:vAlign w:val="center"/>
          </w:tcPr>
          <w:p w14:paraId="1B775B08">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年平均</w:t>
            </w:r>
            <w:r>
              <w:rPr>
                <w:rFonts w:hint="eastAsia" w:ascii="Times New Roman" w:hAnsi="Times New Roman" w:eastAsia="宋体" w:cs="Times New Roman"/>
                <w:sz w:val="21"/>
                <w:szCs w:val="24"/>
                <w:highlight w:val="none"/>
                <w:lang w:val="en-US" w:eastAsia="zh-CN"/>
              </w:rPr>
              <w:t>质量浓度</w:t>
            </w:r>
          </w:p>
        </w:tc>
        <w:tc>
          <w:tcPr>
            <w:tcW w:w="917" w:type="pct"/>
            <w:tcBorders>
              <w:top w:val="single" w:color="auto" w:sz="4" w:space="0"/>
              <w:left w:val="single" w:color="auto" w:sz="4" w:space="0"/>
              <w:bottom w:val="single" w:color="auto" w:sz="4" w:space="0"/>
              <w:right w:val="single" w:color="auto" w:sz="4" w:space="0"/>
            </w:tcBorders>
            <w:noWrap w:val="0"/>
            <w:vAlign w:val="center"/>
          </w:tcPr>
          <w:p w14:paraId="4B2B4489">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31</w:t>
            </w:r>
          </w:p>
        </w:tc>
        <w:tc>
          <w:tcPr>
            <w:tcW w:w="705" w:type="pct"/>
            <w:tcBorders>
              <w:top w:val="single" w:color="auto" w:sz="4" w:space="0"/>
              <w:left w:val="single" w:color="auto" w:sz="4" w:space="0"/>
              <w:bottom w:val="single" w:color="auto" w:sz="4" w:space="0"/>
              <w:right w:val="single" w:color="auto" w:sz="4" w:space="0"/>
            </w:tcBorders>
            <w:noWrap w:val="0"/>
            <w:vAlign w:val="center"/>
          </w:tcPr>
          <w:p w14:paraId="41B3076F">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35</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586207A9">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88.57</w:t>
            </w:r>
          </w:p>
        </w:tc>
        <w:tc>
          <w:tcPr>
            <w:tcW w:w="489" w:type="pct"/>
            <w:tcBorders>
              <w:top w:val="single" w:color="auto" w:sz="4" w:space="0"/>
              <w:left w:val="single" w:color="auto" w:sz="4" w:space="0"/>
              <w:bottom w:val="single" w:color="auto" w:sz="4" w:space="0"/>
              <w:right w:val="nil"/>
            </w:tcBorders>
            <w:noWrap w:val="0"/>
            <w:vAlign w:val="center"/>
          </w:tcPr>
          <w:p w14:paraId="2164C092">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tc>
      </w:tr>
      <w:tr w14:paraId="4ED95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4" w:space="0"/>
              <w:left w:val="nil"/>
              <w:bottom w:val="single" w:color="auto" w:sz="4" w:space="0"/>
              <w:right w:val="single" w:color="auto" w:sz="4" w:space="0"/>
            </w:tcBorders>
            <w:noWrap w:val="0"/>
            <w:vAlign w:val="center"/>
          </w:tcPr>
          <w:p w14:paraId="0471ABA5">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PM</w:t>
            </w:r>
            <w:r>
              <w:rPr>
                <w:rFonts w:ascii="Times New Roman" w:hAnsi="Times New Roman" w:eastAsia="宋体" w:cs="Times New Roman"/>
                <w:sz w:val="21"/>
                <w:szCs w:val="24"/>
                <w:highlight w:val="none"/>
                <w:vertAlign w:val="subscript"/>
              </w:rPr>
              <w:t>10</w:t>
            </w:r>
          </w:p>
        </w:tc>
        <w:tc>
          <w:tcPr>
            <w:tcW w:w="1697" w:type="pct"/>
            <w:tcBorders>
              <w:top w:val="single" w:color="auto" w:sz="4" w:space="0"/>
              <w:left w:val="single" w:color="auto" w:sz="4" w:space="0"/>
              <w:bottom w:val="single" w:color="auto" w:sz="4" w:space="0"/>
              <w:right w:val="single" w:color="auto" w:sz="4" w:space="0"/>
            </w:tcBorders>
            <w:noWrap w:val="0"/>
            <w:vAlign w:val="center"/>
          </w:tcPr>
          <w:p w14:paraId="019EF8C8">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年平均</w:t>
            </w:r>
            <w:r>
              <w:rPr>
                <w:rFonts w:hint="eastAsia" w:ascii="Times New Roman" w:hAnsi="Times New Roman" w:eastAsia="宋体" w:cs="Times New Roman"/>
                <w:sz w:val="21"/>
                <w:szCs w:val="24"/>
                <w:highlight w:val="none"/>
                <w:lang w:val="en-US" w:eastAsia="zh-CN"/>
              </w:rPr>
              <w:t>质量浓度</w:t>
            </w:r>
          </w:p>
        </w:tc>
        <w:tc>
          <w:tcPr>
            <w:tcW w:w="917" w:type="pct"/>
            <w:tcBorders>
              <w:top w:val="single" w:color="auto" w:sz="4" w:space="0"/>
              <w:left w:val="single" w:color="auto" w:sz="4" w:space="0"/>
              <w:bottom w:val="single" w:color="auto" w:sz="4" w:space="0"/>
              <w:right w:val="single" w:color="auto" w:sz="4" w:space="0"/>
            </w:tcBorders>
            <w:noWrap w:val="0"/>
            <w:vAlign w:val="center"/>
          </w:tcPr>
          <w:p w14:paraId="6B7B36B8">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44</w:t>
            </w:r>
          </w:p>
        </w:tc>
        <w:tc>
          <w:tcPr>
            <w:tcW w:w="705" w:type="pct"/>
            <w:tcBorders>
              <w:top w:val="single" w:color="auto" w:sz="4" w:space="0"/>
              <w:left w:val="single" w:color="auto" w:sz="4" w:space="0"/>
              <w:bottom w:val="single" w:color="auto" w:sz="4" w:space="0"/>
              <w:right w:val="single" w:color="auto" w:sz="4" w:space="0"/>
            </w:tcBorders>
            <w:noWrap w:val="0"/>
            <w:vAlign w:val="center"/>
          </w:tcPr>
          <w:p w14:paraId="472FE520">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70</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544A793E">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62.86</w:t>
            </w:r>
          </w:p>
        </w:tc>
        <w:tc>
          <w:tcPr>
            <w:tcW w:w="489" w:type="pct"/>
            <w:tcBorders>
              <w:top w:val="single" w:color="auto" w:sz="4" w:space="0"/>
              <w:left w:val="single" w:color="auto" w:sz="4" w:space="0"/>
              <w:bottom w:val="single" w:color="auto" w:sz="4" w:space="0"/>
              <w:right w:val="nil"/>
            </w:tcBorders>
            <w:noWrap w:val="0"/>
            <w:vAlign w:val="center"/>
          </w:tcPr>
          <w:p w14:paraId="15C43FA2">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tc>
      </w:tr>
      <w:tr w14:paraId="02486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4" w:space="0"/>
              <w:left w:val="nil"/>
              <w:bottom w:val="single" w:color="auto" w:sz="4" w:space="0"/>
              <w:right w:val="single" w:color="auto" w:sz="4" w:space="0"/>
            </w:tcBorders>
            <w:noWrap w:val="0"/>
            <w:vAlign w:val="center"/>
          </w:tcPr>
          <w:p w14:paraId="6B7B7112">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NO</w:t>
            </w:r>
            <w:r>
              <w:rPr>
                <w:rFonts w:ascii="Times New Roman" w:hAnsi="Times New Roman" w:eastAsia="宋体" w:cs="Times New Roman"/>
                <w:sz w:val="21"/>
                <w:szCs w:val="24"/>
                <w:highlight w:val="none"/>
                <w:vertAlign w:val="subscript"/>
              </w:rPr>
              <w:t>2</w:t>
            </w:r>
          </w:p>
        </w:tc>
        <w:tc>
          <w:tcPr>
            <w:tcW w:w="1697" w:type="pct"/>
            <w:tcBorders>
              <w:top w:val="single" w:color="auto" w:sz="4" w:space="0"/>
              <w:left w:val="single" w:color="auto" w:sz="4" w:space="0"/>
              <w:bottom w:val="single" w:color="auto" w:sz="4" w:space="0"/>
              <w:right w:val="single" w:color="auto" w:sz="4" w:space="0"/>
            </w:tcBorders>
            <w:noWrap w:val="0"/>
            <w:vAlign w:val="center"/>
          </w:tcPr>
          <w:p w14:paraId="4AF30E43">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年平均</w:t>
            </w:r>
            <w:r>
              <w:rPr>
                <w:rFonts w:hint="eastAsia" w:ascii="Times New Roman" w:hAnsi="Times New Roman" w:eastAsia="宋体" w:cs="Times New Roman"/>
                <w:sz w:val="21"/>
                <w:szCs w:val="24"/>
                <w:highlight w:val="none"/>
                <w:lang w:val="en-US" w:eastAsia="zh-CN"/>
              </w:rPr>
              <w:t>质量浓度</w:t>
            </w:r>
          </w:p>
        </w:tc>
        <w:tc>
          <w:tcPr>
            <w:tcW w:w="917" w:type="pct"/>
            <w:tcBorders>
              <w:top w:val="single" w:color="auto" w:sz="4" w:space="0"/>
              <w:left w:val="single" w:color="auto" w:sz="4" w:space="0"/>
              <w:bottom w:val="single" w:color="auto" w:sz="4" w:space="0"/>
              <w:right w:val="single" w:color="auto" w:sz="4" w:space="0"/>
            </w:tcBorders>
            <w:noWrap w:val="0"/>
            <w:vAlign w:val="center"/>
          </w:tcPr>
          <w:p w14:paraId="5B5B13FD">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20</w:t>
            </w:r>
          </w:p>
        </w:tc>
        <w:tc>
          <w:tcPr>
            <w:tcW w:w="705" w:type="pct"/>
            <w:tcBorders>
              <w:top w:val="single" w:color="auto" w:sz="4" w:space="0"/>
              <w:left w:val="single" w:color="auto" w:sz="4" w:space="0"/>
              <w:bottom w:val="single" w:color="auto" w:sz="4" w:space="0"/>
              <w:right w:val="single" w:color="auto" w:sz="4" w:space="0"/>
            </w:tcBorders>
            <w:noWrap w:val="0"/>
            <w:vAlign w:val="center"/>
          </w:tcPr>
          <w:p w14:paraId="46E69489">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40</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A87F0C2">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50</w:t>
            </w:r>
          </w:p>
        </w:tc>
        <w:tc>
          <w:tcPr>
            <w:tcW w:w="489" w:type="pct"/>
            <w:tcBorders>
              <w:top w:val="single" w:color="auto" w:sz="4" w:space="0"/>
              <w:left w:val="single" w:color="auto" w:sz="4" w:space="0"/>
              <w:bottom w:val="single" w:color="auto" w:sz="4" w:space="0"/>
              <w:right w:val="nil"/>
            </w:tcBorders>
            <w:noWrap w:val="0"/>
            <w:vAlign w:val="center"/>
          </w:tcPr>
          <w:p w14:paraId="39F45EFF">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tc>
      </w:tr>
      <w:tr w14:paraId="42CC69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4" w:space="0"/>
              <w:left w:val="nil"/>
              <w:bottom w:val="single" w:color="auto" w:sz="4" w:space="0"/>
              <w:right w:val="single" w:color="auto" w:sz="4" w:space="0"/>
            </w:tcBorders>
            <w:noWrap w:val="0"/>
            <w:vAlign w:val="center"/>
          </w:tcPr>
          <w:p w14:paraId="307CBD52">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SO</w:t>
            </w:r>
            <w:r>
              <w:rPr>
                <w:rFonts w:ascii="Times New Roman" w:hAnsi="Times New Roman" w:eastAsia="宋体" w:cs="Times New Roman"/>
                <w:sz w:val="21"/>
                <w:szCs w:val="24"/>
                <w:highlight w:val="none"/>
                <w:vertAlign w:val="subscript"/>
              </w:rPr>
              <w:t>2</w:t>
            </w:r>
          </w:p>
        </w:tc>
        <w:tc>
          <w:tcPr>
            <w:tcW w:w="1697" w:type="pct"/>
            <w:tcBorders>
              <w:top w:val="single" w:color="auto" w:sz="4" w:space="0"/>
              <w:left w:val="single" w:color="auto" w:sz="4" w:space="0"/>
              <w:bottom w:val="single" w:color="auto" w:sz="4" w:space="0"/>
              <w:right w:val="single" w:color="auto" w:sz="4" w:space="0"/>
            </w:tcBorders>
            <w:noWrap w:val="0"/>
            <w:vAlign w:val="center"/>
          </w:tcPr>
          <w:p w14:paraId="5318E670">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年平均</w:t>
            </w:r>
            <w:r>
              <w:rPr>
                <w:rFonts w:hint="eastAsia" w:ascii="Times New Roman" w:hAnsi="Times New Roman" w:eastAsia="宋体" w:cs="Times New Roman"/>
                <w:sz w:val="21"/>
                <w:szCs w:val="24"/>
                <w:highlight w:val="none"/>
                <w:lang w:val="en-US" w:eastAsia="zh-CN"/>
              </w:rPr>
              <w:t>质量浓度</w:t>
            </w:r>
          </w:p>
        </w:tc>
        <w:tc>
          <w:tcPr>
            <w:tcW w:w="917" w:type="pct"/>
            <w:tcBorders>
              <w:top w:val="single" w:color="auto" w:sz="4" w:space="0"/>
              <w:left w:val="single" w:color="auto" w:sz="4" w:space="0"/>
              <w:bottom w:val="single" w:color="auto" w:sz="4" w:space="0"/>
              <w:right w:val="single" w:color="auto" w:sz="4" w:space="0"/>
            </w:tcBorders>
            <w:noWrap w:val="0"/>
            <w:vAlign w:val="center"/>
          </w:tcPr>
          <w:p w14:paraId="7E83F3C7">
            <w:pPr>
              <w:spacing w:line="240" w:lineRule="auto"/>
              <w:ind w:firstLine="0" w:firstLineChars="0"/>
              <w:contextualSpacing/>
              <w:jc w:val="center"/>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9</w:t>
            </w:r>
          </w:p>
        </w:tc>
        <w:tc>
          <w:tcPr>
            <w:tcW w:w="705" w:type="pct"/>
            <w:tcBorders>
              <w:top w:val="single" w:color="auto" w:sz="4" w:space="0"/>
              <w:left w:val="single" w:color="auto" w:sz="4" w:space="0"/>
              <w:bottom w:val="single" w:color="auto" w:sz="4" w:space="0"/>
              <w:right w:val="single" w:color="auto" w:sz="4" w:space="0"/>
            </w:tcBorders>
            <w:noWrap w:val="0"/>
            <w:vAlign w:val="center"/>
          </w:tcPr>
          <w:p w14:paraId="7E98634C">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60</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7610CF2C">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15</w:t>
            </w:r>
          </w:p>
        </w:tc>
        <w:tc>
          <w:tcPr>
            <w:tcW w:w="489" w:type="pct"/>
            <w:tcBorders>
              <w:top w:val="single" w:color="auto" w:sz="4" w:space="0"/>
              <w:left w:val="single" w:color="auto" w:sz="4" w:space="0"/>
              <w:bottom w:val="single" w:color="auto" w:sz="4" w:space="0"/>
              <w:right w:val="nil"/>
            </w:tcBorders>
            <w:noWrap w:val="0"/>
            <w:vAlign w:val="center"/>
          </w:tcPr>
          <w:p w14:paraId="57AA33A1">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tc>
      </w:tr>
      <w:tr w14:paraId="3B0CD6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4" w:space="0"/>
              <w:left w:val="nil"/>
              <w:bottom w:val="single" w:color="auto" w:sz="4" w:space="0"/>
              <w:right w:val="single" w:color="auto" w:sz="4" w:space="0"/>
            </w:tcBorders>
            <w:noWrap w:val="0"/>
            <w:vAlign w:val="center"/>
          </w:tcPr>
          <w:p w14:paraId="7919ABBF">
            <w:pPr>
              <w:spacing w:line="240" w:lineRule="auto"/>
              <w:ind w:firstLine="0" w:firstLineChars="0"/>
              <w:contextualSpacing/>
              <w:jc w:val="center"/>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CO</w:t>
            </w:r>
          </w:p>
        </w:tc>
        <w:tc>
          <w:tcPr>
            <w:tcW w:w="1697" w:type="pct"/>
            <w:tcBorders>
              <w:top w:val="single" w:color="auto" w:sz="4" w:space="0"/>
              <w:left w:val="single" w:color="auto" w:sz="4" w:space="0"/>
              <w:bottom w:val="single" w:color="auto" w:sz="4" w:space="0"/>
              <w:right w:val="single" w:color="auto" w:sz="4" w:space="0"/>
            </w:tcBorders>
            <w:noWrap w:val="0"/>
            <w:vAlign w:val="center"/>
          </w:tcPr>
          <w:p w14:paraId="0EFB2261">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百分位数日平均</w:t>
            </w:r>
          </w:p>
        </w:tc>
        <w:tc>
          <w:tcPr>
            <w:tcW w:w="917" w:type="pct"/>
            <w:tcBorders>
              <w:top w:val="single" w:color="auto" w:sz="4" w:space="0"/>
              <w:left w:val="single" w:color="auto" w:sz="4" w:space="0"/>
              <w:bottom w:val="single" w:color="auto" w:sz="4" w:space="0"/>
              <w:right w:val="single" w:color="auto" w:sz="4" w:space="0"/>
            </w:tcBorders>
            <w:noWrap w:val="0"/>
            <w:vAlign w:val="center"/>
          </w:tcPr>
          <w:p w14:paraId="0F4400A0">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900</w:t>
            </w:r>
          </w:p>
        </w:tc>
        <w:tc>
          <w:tcPr>
            <w:tcW w:w="705" w:type="pct"/>
            <w:tcBorders>
              <w:top w:val="single" w:color="auto" w:sz="4" w:space="0"/>
              <w:left w:val="single" w:color="auto" w:sz="4" w:space="0"/>
              <w:bottom w:val="single" w:color="auto" w:sz="4" w:space="0"/>
              <w:right w:val="single" w:color="auto" w:sz="4" w:space="0"/>
            </w:tcBorders>
            <w:noWrap w:val="0"/>
            <w:vAlign w:val="center"/>
          </w:tcPr>
          <w:p w14:paraId="2A23DCAE">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4000</w:t>
            </w:r>
          </w:p>
        </w:tc>
        <w:tc>
          <w:tcPr>
            <w:tcW w:w="623" w:type="pct"/>
            <w:tcBorders>
              <w:top w:val="single" w:color="auto" w:sz="4" w:space="0"/>
              <w:left w:val="single" w:color="auto" w:sz="4" w:space="0"/>
              <w:bottom w:val="single" w:color="auto" w:sz="4" w:space="0"/>
              <w:right w:val="single" w:color="auto" w:sz="4" w:space="0"/>
            </w:tcBorders>
            <w:noWrap w:val="0"/>
            <w:vAlign w:val="center"/>
          </w:tcPr>
          <w:p w14:paraId="11EE8159">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22.5</w:t>
            </w:r>
          </w:p>
        </w:tc>
        <w:tc>
          <w:tcPr>
            <w:tcW w:w="489" w:type="pct"/>
            <w:tcBorders>
              <w:top w:val="single" w:color="auto" w:sz="4" w:space="0"/>
              <w:left w:val="single" w:color="auto" w:sz="4" w:space="0"/>
              <w:bottom w:val="single" w:color="auto" w:sz="4" w:space="0"/>
              <w:right w:val="nil"/>
            </w:tcBorders>
            <w:noWrap w:val="0"/>
            <w:vAlign w:val="center"/>
          </w:tcPr>
          <w:p w14:paraId="121CDCA5">
            <w:pPr>
              <w:spacing w:line="240" w:lineRule="auto"/>
              <w:ind w:firstLine="0" w:firstLineChars="0"/>
              <w:contextualSpacing/>
              <w:jc w:val="center"/>
              <w:rPr>
                <w:rFonts w:hint="eastAsia"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达标</w:t>
            </w:r>
          </w:p>
        </w:tc>
      </w:tr>
      <w:tr w14:paraId="2040D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5" w:type="pct"/>
            <w:tcBorders>
              <w:top w:val="single" w:color="auto" w:sz="4" w:space="0"/>
              <w:left w:val="nil"/>
              <w:bottom w:val="single" w:color="auto" w:sz="12" w:space="0"/>
              <w:right w:val="single" w:color="auto" w:sz="4" w:space="0"/>
            </w:tcBorders>
            <w:noWrap w:val="0"/>
            <w:vAlign w:val="center"/>
          </w:tcPr>
          <w:p w14:paraId="47DA9C4C">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O</w:t>
            </w:r>
            <w:r>
              <w:rPr>
                <w:rFonts w:ascii="Times New Roman" w:hAnsi="Times New Roman" w:eastAsia="宋体" w:cs="Times New Roman"/>
                <w:sz w:val="21"/>
                <w:szCs w:val="24"/>
                <w:highlight w:val="none"/>
                <w:vertAlign w:val="subscript"/>
              </w:rPr>
              <w:t>3</w:t>
            </w:r>
          </w:p>
        </w:tc>
        <w:tc>
          <w:tcPr>
            <w:tcW w:w="1697" w:type="pct"/>
            <w:tcBorders>
              <w:top w:val="single" w:color="auto" w:sz="4" w:space="0"/>
              <w:left w:val="single" w:color="auto" w:sz="4" w:space="0"/>
              <w:bottom w:val="single" w:color="auto" w:sz="12" w:space="0"/>
              <w:right w:val="single" w:color="auto" w:sz="4" w:space="0"/>
            </w:tcBorders>
            <w:noWrap w:val="0"/>
            <w:vAlign w:val="center"/>
          </w:tcPr>
          <w:p w14:paraId="1EDB9F37">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ascii="Times New Roman" w:hAnsi="Times New Roman" w:eastAsia="宋体" w:cs="Times New Roman"/>
                <w:sz w:val="21"/>
                <w:szCs w:val="24"/>
                <w:highlight w:val="none"/>
              </w:rPr>
              <w:t>8小时平均</w:t>
            </w:r>
            <w:r>
              <w:rPr>
                <w:rFonts w:hint="eastAsia" w:ascii="Times New Roman" w:hAnsi="Times New Roman" w:eastAsia="宋体" w:cs="Times New Roman"/>
                <w:sz w:val="21"/>
                <w:szCs w:val="24"/>
                <w:highlight w:val="none"/>
                <w:lang w:val="en-US" w:eastAsia="zh-CN"/>
              </w:rPr>
              <w:t>质量浓度</w:t>
            </w:r>
          </w:p>
        </w:tc>
        <w:tc>
          <w:tcPr>
            <w:tcW w:w="917" w:type="pct"/>
            <w:tcBorders>
              <w:top w:val="single" w:color="auto" w:sz="4" w:space="0"/>
              <w:left w:val="single" w:color="auto" w:sz="4" w:space="0"/>
              <w:bottom w:val="single" w:color="auto" w:sz="12" w:space="0"/>
              <w:right w:val="single" w:color="auto" w:sz="4" w:space="0"/>
            </w:tcBorders>
            <w:noWrap w:val="0"/>
            <w:vAlign w:val="center"/>
          </w:tcPr>
          <w:p w14:paraId="212AB5C1">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108</w:t>
            </w:r>
          </w:p>
        </w:tc>
        <w:tc>
          <w:tcPr>
            <w:tcW w:w="705" w:type="pct"/>
            <w:tcBorders>
              <w:top w:val="single" w:color="auto" w:sz="4" w:space="0"/>
              <w:left w:val="single" w:color="auto" w:sz="4" w:space="0"/>
              <w:bottom w:val="single" w:color="auto" w:sz="12" w:space="0"/>
              <w:right w:val="single" w:color="auto" w:sz="4" w:space="0"/>
            </w:tcBorders>
            <w:noWrap w:val="0"/>
            <w:vAlign w:val="center"/>
          </w:tcPr>
          <w:p w14:paraId="52D1056C">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160</w:t>
            </w:r>
          </w:p>
        </w:tc>
        <w:tc>
          <w:tcPr>
            <w:tcW w:w="623" w:type="pct"/>
            <w:tcBorders>
              <w:top w:val="single" w:color="auto" w:sz="4" w:space="0"/>
              <w:left w:val="single" w:color="auto" w:sz="4" w:space="0"/>
              <w:bottom w:val="single" w:color="auto" w:sz="12" w:space="0"/>
              <w:right w:val="single" w:color="auto" w:sz="4" w:space="0"/>
            </w:tcBorders>
            <w:noWrap w:val="0"/>
            <w:vAlign w:val="center"/>
          </w:tcPr>
          <w:p w14:paraId="43D9646F">
            <w:pPr>
              <w:spacing w:line="240" w:lineRule="auto"/>
              <w:ind w:firstLine="0" w:firstLineChars="0"/>
              <w:contextualSpacing/>
              <w:jc w:val="center"/>
              <w:rPr>
                <w:rFonts w:hint="default" w:ascii="Times New Roman" w:hAnsi="Times New Roman" w:eastAsia="宋体"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67.5</w:t>
            </w:r>
          </w:p>
        </w:tc>
        <w:tc>
          <w:tcPr>
            <w:tcW w:w="489" w:type="pct"/>
            <w:tcBorders>
              <w:top w:val="single" w:color="auto" w:sz="4" w:space="0"/>
              <w:left w:val="single" w:color="auto" w:sz="4" w:space="0"/>
              <w:bottom w:val="single" w:color="auto" w:sz="12" w:space="0"/>
              <w:right w:val="nil"/>
            </w:tcBorders>
            <w:noWrap w:val="0"/>
            <w:vAlign w:val="center"/>
          </w:tcPr>
          <w:p w14:paraId="56AC9444">
            <w:pPr>
              <w:spacing w:line="240" w:lineRule="auto"/>
              <w:ind w:firstLine="0" w:firstLineChars="0"/>
              <w:contextualSpacing/>
              <w:jc w:val="center"/>
              <w:rPr>
                <w:rFonts w:ascii="Times New Roman" w:hAnsi="Times New Roman" w:eastAsia="宋体" w:cs="Times New Roman"/>
                <w:sz w:val="21"/>
                <w:szCs w:val="24"/>
                <w:highlight w:val="none"/>
              </w:rPr>
            </w:pPr>
            <w:r>
              <w:rPr>
                <w:rFonts w:ascii="Times New Roman" w:hAnsi="Times New Roman" w:eastAsia="宋体" w:cs="Times New Roman"/>
                <w:sz w:val="21"/>
                <w:szCs w:val="24"/>
                <w:highlight w:val="none"/>
              </w:rPr>
              <w:t>达标</w:t>
            </w:r>
          </w:p>
        </w:tc>
      </w:tr>
    </w:tbl>
    <w:p w14:paraId="049F6F54">
      <w:pPr>
        <w:ind w:firstLine="480"/>
        <w:rPr>
          <w:rFonts w:ascii="Times New Roman" w:hAnsi="Times New Roman"/>
          <w:highlight w:val="none"/>
        </w:rPr>
      </w:pPr>
      <w:r>
        <w:rPr>
          <w:rFonts w:ascii="Times New Roman" w:hAnsi="Times New Roman"/>
          <w:highlight w:val="none"/>
        </w:rPr>
        <w:t>评价区环境空气质量能够满足环境空气二类功能区要求。项目所在区域为达标区。</w:t>
      </w:r>
    </w:p>
    <w:p w14:paraId="6493F7FD">
      <w:pPr>
        <w:ind w:firstLine="480"/>
        <w:rPr>
          <w:rFonts w:ascii="Times New Roman" w:hAnsi="Times New Roman"/>
          <w:highlight w:val="none"/>
        </w:rPr>
      </w:pPr>
      <w:r>
        <w:rPr>
          <w:rFonts w:ascii="Times New Roman" w:hAnsi="Times New Roman"/>
          <w:highlight w:val="none"/>
        </w:rPr>
        <w:t>二、区域污染物环境质量现状</w:t>
      </w:r>
    </w:p>
    <w:p w14:paraId="0FC802B6">
      <w:pPr>
        <w:ind w:firstLine="480"/>
        <w:rPr>
          <w:rFonts w:ascii="Times New Roman" w:hAnsi="Times New Roman"/>
          <w:highlight w:val="none"/>
        </w:rPr>
      </w:pPr>
      <w:r>
        <w:rPr>
          <w:rFonts w:ascii="Times New Roman" w:hAnsi="Times New Roman"/>
          <w:highlight w:val="none"/>
        </w:rPr>
        <w:t>（1）所在区域基本污染物境质量现状</w:t>
      </w:r>
    </w:p>
    <w:p w14:paraId="6563FEAD">
      <w:pPr>
        <w:pStyle w:val="7"/>
        <w:ind w:firstLine="480"/>
        <w:rPr>
          <w:rFonts w:ascii="Times New Roman" w:hAnsi="Times New Roman"/>
          <w:highlight w:val="none"/>
        </w:rPr>
      </w:pPr>
      <w:r>
        <w:rPr>
          <w:rFonts w:ascii="Times New Roman" w:hAnsi="Times New Roman"/>
          <w:highlight w:val="none"/>
        </w:rPr>
        <w:t>本项目预测采用距离本项目最近</w:t>
      </w:r>
      <w:r>
        <w:rPr>
          <w:rFonts w:hint="eastAsia" w:ascii="Times New Roman" w:hAnsi="Times New Roman"/>
          <w:highlight w:val="none"/>
          <w:lang w:val="en-US" w:eastAsia="zh-CN"/>
        </w:rPr>
        <w:t>的环保局</w:t>
      </w:r>
      <w:r>
        <w:rPr>
          <w:rFonts w:ascii="Times New Roman" w:hAnsi="Times New Roman"/>
          <w:highlight w:val="none"/>
        </w:rPr>
        <w:t>环境质量</w:t>
      </w:r>
      <w:r>
        <w:rPr>
          <w:rFonts w:hint="eastAsia" w:ascii="Times New Roman" w:hAnsi="Times New Roman"/>
          <w:highlight w:val="none"/>
        </w:rPr>
        <w:t>监测</w:t>
      </w:r>
      <w:r>
        <w:rPr>
          <w:rFonts w:ascii="Times New Roman" w:hAnsi="Times New Roman"/>
          <w:highlight w:val="none"/>
        </w:rPr>
        <w:t>站</w:t>
      </w:r>
      <w:r>
        <w:rPr>
          <w:rFonts w:hint="eastAsia" w:ascii="Times New Roman" w:hAnsi="Times New Roman"/>
          <w:highlight w:val="none"/>
        </w:rPr>
        <w:t>评价基准年连续一年的监测数作为评价范围内的环境空气质量现状浓度</w:t>
      </w:r>
      <w:r>
        <w:rPr>
          <w:rFonts w:ascii="Times New Roman" w:hAnsi="Times New Roman"/>
          <w:highlight w:val="none"/>
        </w:rPr>
        <w:t>,此监测站距离本项目约</w:t>
      </w:r>
      <w:r>
        <w:rPr>
          <w:rFonts w:hint="eastAsia" w:ascii="Times New Roman" w:hAnsi="Times New Roman"/>
          <w:highlight w:val="none"/>
          <w:lang w:val="en-US" w:eastAsia="zh-CN"/>
        </w:rPr>
        <w:t>99.3</w:t>
      </w:r>
      <w:r>
        <w:rPr>
          <w:rFonts w:ascii="Times New Roman" w:hAnsi="Times New Roman"/>
          <w:highlight w:val="none"/>
        </w:rPr>
        <w:t>km。</w:t>
      </w:r>
    </w:p>
    <w:p w14:paraId="49EADF8C">
      <w:pPr>
        <w:pStyle w:val="21"/>
        <w:ind w:firstLine="0" w:firstLineChars="0"/>
        <w:jc w:val="center"/>
        <w:rPr>
          <w:rFonts w:ascii="Times New Roman" w:hAnsi="Times New Roman"/>
          <w:kern w:val="2"/>
          <w:szCs w:val="22"/>
          <w:highlight w:val="none"/>
        </w:rPr>
      </w:pPr>
      <w:r>
        <w:rPr>
          <w:rFonts w:ascii="Times New Roman" w:hAnsi="Times New Roman"/>
          <w:kern w:val="2"/>
          <w:szCs w:val="22"/>
          <w:highlight w:val="none"/>
        </w:rPr>
        <w:t>表4.3-2环境空气质量监测站信息</w:t>
      </w:r>
    </w:p>
    <w:tbl>
      <w:tblPr>
        <w:tblStyle w:val="17"/>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158"/>
        <w:gridCol w:w="1838"/>
        <w:gridCol w:w="1612"/>
        <w:gridCol w:w="1236"/>
        <w:gridCol w:w="1515"/>
      </w:tblGrid>
      <w:tr w14:paraId="7D8A7F6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1291" w:type="pct"/>
            <w:noWrap w:val="0"/>
            <w:vAlign w:val="center"/>
          </w:tcPr>
          <w:p w14:paraId="444EB8B8">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监测站名称</w:t>
            </w:r>
          </w:p>
        </w:tc>
        <w:tc>
          <w:tcPr>
            <w:tcW w:w="2063" w:type="pct"/>
            <w:gridSpan w:val="2"/>
            <w:noWrap w:val="0"/>
            <w:vAlign w:val="center"/>
          </w:tcPr>
          <w:p w14:paraId="6E7A4BE8">
            <w:pPr>
              <w:spacing w:line="240" w:lineRule="auto"/>
              <w:ind w:firstLine="0" w:firstLineChars="0"/>
              <w:contextualSpacing/>
              <w:jc w:val="center"/>
              <w:rPr>
                <w:rFonts w:ascii="Times New Roman" w:hAnsi="Times New Roman"/>
                <w:sz w:val="21"/>
                <w:szCs w:val="24"/>
                <w:highlight w:val="none"/>
              </w:rPr>
            </w:pPr>
            <w:r>
              <w:rPr>
                <w:rFonts w:hint="eastAsia" w:ascii="Times New Roman" w:hAnsi="Times New Roman"/>
                <w:sz w:val="21"/>
                <w:szCs w:val="24"/>
                <w:highlight w:val="none"/>
              </w:rPr>
              <w:t>监测站</w:t>
            </w:r>
            <w:r>
              <w:rPr>
                <w:rFonts w:ascii="Times New Roman" w:hAnsi="Times New Roman"/>
                <w:sz w:val="21"/>
                <w:szCs w:val="24"/>
                <w:highlight w:val="none"/>
              </w:rPr>
              <w:t>坐标</w:t>
            </w:r>
          </w:p>
        </w:tc>
        <w:tc>
          <w:tcPr>
            <w:tcW w:w="739" w:type="pct"/>
            <w:noWrap w:val="0"/>
            <w:vAlign w:val="center"/>
          </w:tcPr>
          <w:p w14:paraId="1CA69FFF">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相对距离</w:t>
            </w:r>
          </w:p>
        </w:tc>
        <w:tc>
          <w:tcPr>
            <w:tcW w:w="906" w:type="pct"/>
            <w:noWrap w:val="0"/>
            <w:vAlign w:val="center"/>
          </w:tcPr>
          <w:p w14:paraId="38B03B8D">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数据年份/年</w:t>
            </w:r>
          </w:p>
        </w:tc>
      </w:tr>
      <w:tr w14:paraId="3052C52A">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1291" w:type="pct"/>
            <w:noWrap w:val="0"/>
            <w:vAlign w:val="center"/>
          </w:tcPr>
          <w:p w14:paraId="0E7A261A">
            <w:pPr>
              <w:spacing w:line="240" w:lineRule="auto"/>
              <w:ind w:firstLine="0" w:firstLineChars="0"/>
              <w:contextualSpacing/>
              <w:jc w:val="center"/>
              <w:rPr>
                <w:rFonts w:ascii="Times New Roman" w:hAnsi="Times New Roman"/>
                <w:sz w:val="21"/>
                <w:szCs w:val="24"/>
                <w:highlight w:val="none"/>
              </w:rPr>
            </w:pPr>
            <w:r>
              <w:rPr>
                <w:rFonts w:hint="eastAsia" w:ascii="Times New Roman" w:hAnsi="Times New Roman"/>
                <w:sz w:val="21"/>
                <w:szCs w:val="24"/>
                <w:highlight w:val="none"/>
                <w:lang w:val="en-US" w:eastAsia="zh-CN"/>
              </w:rPr>
              <w:t>环保局2240</w:t>
            </w:r>
            <w:r>
              <w:rPr>
                <w:rFonts w:ascii="Times New Roman" w:hAnsi="Times New Roman"/>
                <w:sz w:val="21"/>
                <w:szCs w:val="24"/>
                <w:highlight w:val="none"/>
              </w:rPr>
              <w:t>A</w:t>
            </w:r>
          </w:p>
        </w:tc>
        <w:tc>
          <w:tcPr>
            <w:tcW w:w="1099" w:type="pct"/>
            <w:noWrap w:val="0"/>
            <w:vAlign w:val="center"/>
          </w:tcPr>
          <w:p w14:paraId="1561D44D">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130.962</w:t>
            </w:r>
          </w:p>
        </w:tc>
        <w:tc>
          <w:tcPr>
            <w:tcW w:w="963" w:type="pct"/>
            <w:noWrap w:val="0"/>
            <w:vAlign w:val="center"/>
          </w:tcPr>
          <w:p w14:paraId="4A19A5EC">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45.2924</w:t>
            </w:r>
          </w:p>
        </w:tc>
        <w:tc>
          <w:tcPr>
            <w:tcW w:w="739" w:type="pct"/>
            <w:noWrap w:val="0"/>
            <w:vAlign w:val="center"/>
          </w:tcPr>
          <w:p w14:paraId="29814591">
            <w:pPr>
              <w:spacing w:line="240" w:lineRule="auto"/>
              <w:ind w:firstLine="0" w:firstLineChars="0"/>
              <w:contextualSpacing/>
              <w:jc w:val="center"/>
              <w:rPr>
                <w:rFonts w:ascii="Times New Roman" w:hAnsi="Times New Roman"/>
                <w:sz w:val="21"/>
                <w:szCs w:val="24"/>
                <w:highlight w:val="none"/>
              </w:rPr>
            </w:pPr>
            <w:r>
              <w:rPr>
                <w:rFonts w:hint="eastAsia" w:ascii="Times New Roman" w:hAnsi="Times New Roman"/>
                <w:sz w:val="21"/>
                <w:szCs w:val="24"/>
                <w:highlight w:val="none"/>
                <w:lang w:val="en-US" w:eastAsia="zh-CN"/>
              </w:rPr>
              <w:t>99.3</w:t>
            </w:r>
            <w:r>
              <w:rPr>
                <w:rFonts w:ascii="Times New Roman" w:hAnsi="Times New Roman"/>
                <w:sz w:val="21"/>
                <w:szCs w:val="24"/>
                <w:highlight w:val="none"/>
              </w:rPr>
              <w:t>km</w:t>
            </w:r>
          </w:p>
        </w:tc>
        <w:tc>
          <w:tcPr>
            <w:tcW w:w="906" w:type="pct"/>
            <w:noWrap w:val="0"/>
            <w:vAlign w:val="center"/>
          </w:tcPr>
          <w:p w14:paraId="7A6116FF">
            <w:pPr>
              <w:spacing w:line="240" w:lineRule="auto"/>
              <w:ind w:firstLine="0" w:firstLineChars="0"/>
              <w:contextualSpacing/>
              <w:jc w:val="center"/>
              <w:rPr>
                <w:rFonts w:hint="eastAsia" w:ascii="Times New Roman" w:hAnsi="Times New Roman" w:eastAsia="宋体"/>
                <w:sz w:val="21"/>
                <w:szCs w:val="24"/>
                <w:highlight w:val="none"/>
                <w:lang w:eastAsia="zh-CN"/>
              </w:rPr>
            </w:pPr>
            <w:r>
              <w:rPr>
                <w:rFonts w:ascii="Times New Roman" w:hAnsi="Times New Roman"/>
                <w:sz w:val="21"/>
                <w:szCs w:val="24"/>
                <w:highlight w:val="none"/>
              </w:rPr>
              <w:t>202</w:t>
            </w:r>
            <w:r>
              <w:rPr>
                <w:rFonts w:hint="eastAsia" w:ascii="Times New Roman" w:hAnsi="Times New Roman"/>
                <w:sz w:val="21"/>
                <w:szCs w:val="24"/>
                <w:highlight w:val="none"/>
                <w:lang w:val="en-US" w:eastAsia="zh-CN"/>
              </w:rPr>
              <w:t>4</w:t>
            </w:r>
          </w:p>
        </w:tc>
      </w:tr>
    </w:tbl>
    <w:p w14:paraId="21AA990A">
      <w:pPr>
        <w:ind w:firstLine="480"/>
        <w:rPr>
          <w:rFonts w:ascii="Times New Roman" w:hAnsi="Times New Roman"/>
          <w:highlight w:val="none"/>
        </w:rPr>
      </w:pPr>
      <w:r>
        <w:rPr>
          <w:rFonts w:ascii="Times New Roman" w:hAnsi="Times New Roman"/>
          <w:highlight w:val="none"/>
        </w:rPr>
        <w:t>根据《环境影响评价技术导则 大气环境》（HJ2.2-2018）据6.4.2.1长期监测数据的现状评价内容，按HJ663 中的统计方法对各污染物的年评价指标进行环境质量现状评价。对于超标的污染物，计算其超标倍数和超标率。本项目区域基本污染物环境质量现状浓度采用</w:t>
      </w:r>
      <w:r>
        <w:rPr>
          <w:rFonts w:hint="eastAsia" w:ascii="Times New Roman" w:hAnsi="Times New Roman"/>
          <w:highlight w:val="none"/>
          <w:lang w:val="en-US" w:eastAsia="zh-CN"/>
        </w:rPr>
        <w:t>环保局</w:t>
      </w:r>
      <w:r>
        <w:rPr>
          <w:rFonts w:ascii="Times New Roman" w:hAnsi="Times New Roman"/>
          <w:highlight w:val="none"/>
        </w:rPr>
        <w:t>环境监测站202</w:t>
      </w:r>
      <w:r>
        <w:rPr>
          <w:rFonts w:hint="eastAsia" w:ascii="Times New Roman" w:hAnsi="Times New Roman"/>
          <w:highlight w:val="none"/>
          <w:lang w:val="en-US" w:eastAsia="zh-CN"/>
        </w:rPr>
        <w:t>4</w:t>
      </w:r>
      <w:r>
        <w:rPr>
          <w:rFonts w:ascii="Times New Roman" w:hAnsi="Times New Roman"/>
          <w:highlight w:val="none"/>
        </w:rPr>
        <w:t>年1月-12月</w:t>
      </w:r>
      <w:r>
        <w:rPr>
          <w:rFonts w:hint="eastAsia" w:ascii="Times New Roman" w:hAnsi="Times New Roman"/>
          <w:highlight w:val="none"/>
        </w:rPr>
        <w:t>逐日</w:t>
      </w:r>
      <w:r>
        <w:rPr>
          <w:rFonts w:ascii="Times New Roman" w:hAnsi="Times New Roman"/>
          <w:highlight w:val="none"/>
        </w:rPr>
        <w:t>监测数据，监测数据统计结果见表4.3-3。</w:t>
      </w:r>
    </w:p>
    <w:p w14:paraId="5FDC527E">
      <w:pPr>
        <w:pStyle w:val="7"/>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4.3-3</w:t>
      </w:r>
      <w:r>
        <w:rPr>
          <w:rFonts w:hint="eastAsia" w:ascii="黑体" w:hAnsi="黑体" w:eastAsia="黑体" w:cs="黑体"/>
          <w:highlight w:val="none"/>
        </w:rPr>
        <w:t>基本污染物长期监测数据统计表</w:t>
      </w:r>
    </w:p>
    <w:tbl>
      <w:tblPr>
        <w:tblStyle w:val="17"/>
        <w:tblW w:w="512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721"/>
        <w:gridCol w:w="2427"/>
        <w:gridCol w:w="1036"/>
        <w:gridCol w:w="1035"/>
        <w:gridCol w:w="1387"/>
        <w:gridCol w:w="954"/>
        <w:gridCol w:w="957"/>
      </w:tblGrid>
      <w:tr w14:paraId="39D138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6" w:hRule="atLeast"/>
          <w:jc w:val="center"/>
        </w:trPr>
        <w:tc>
          <w:tcPr>
            <w:tcW w:w="423" w:type="pct"/>
            <w:noWrap w:val="0"/>
            <w:vAlign w:val="center"/>
          </w:tcPr>
          <w:p w14:paraId="3F492655">
            <w:pPr>
              <w:spacing w:line="240" w:lineRule="auto"/>
              <w:ind w:firstLine="0" w:firstLineChars="0"/>
              <w:contextualSpacing/>
              <w:jc w:val="center"/>
              <w:rPr>
                <w:rFonts w:ascii="Times New Roman" w:hAnsi="Times New Roman"/>
                <w:sz w:val="21"/>
                <w:szCs w:val="24"/>
                <w:highlight w:val="none"/>
              </w:rPr>
            </w:pPr>
            <w:bookmarkStart w:id="116" w:name="_Hlk83143960"/>
            <w:r>
              <w:rPr>
                <w:rFonts w:ascii="Times New Roman" w:hAnsi="Times New Roman"/>
                <w:sz w:val="21"/>
                <w:szCs w:val="24"/>
                <w:highlight w:val="none"/>
              </w:rPr>
              <w:t>污染物</w:t>
            </w:r>
          </w:p>
        </w:tc>
        <w:tc>
          <w:tcPr>
            <w:tcW w:w="1424" w:type="pct"/>
            <w:noWrap w:val="0"/>
            <w:vAlign w:val="center"/>
          </w:tcPr>
          <w:p w14:paraId="2AA144BD">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年评价指标</w:t>
            </w:r>
          </w:p>
        </w:tc>
        <w:tc>
          <w:tcPr>
            <w:tcW w:w="608" w:type="pct"/>
            <w:noWrap w:val="0"/>
            <w:vAlign w:val="center"/>
          </w:tcPr>
          <w:p w14:paraId="1C3233F8">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评价标准（μg/m</w:t>
            </w:r>
            <w:r>
              <w:rPr>
                <w:rFonts w:ascii="Times New Roman" w:hAnsi="Times New Roman"/>
                <w:sz w:val="21"/>
                <w:szCs w:val="24"/>
                <w:highlight w:val="none"/>
                <w:vertAlign w:val="superscript"/>
              </w:rPr>
              <w:t>3</w:t>
            </w:r>
            <w:r>
              <w:rPr>
                <w:rFonts w:ascii="Times New Roman" w:hAnsi="Times New Roman"/>
                <w:sz w:val="21"/>
                <w:szCs w:val="24"/>
                <w:highlight w:val="none"/>
              </w:rPr>
              <w:t>）</w:t>
            </w:r>
          </w:p>
        </w:tc>
        <w:tc>
          <w:tcPr>
            <w:tcW w:w="607" w:type="pct"/>
            <w:noWrap w:val="0"/>
            <w:vAlign w:val="center"/>
          </w:tcPr>
          <w:p w14:paraId="6F18ACE2">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现状浓度（μg/m</w:t>
            </w:r>
            <w:r>
              <w:rPr>
                <w:rFonts w:ascii="Times New Roman" w:hAnsi="Times New Roman"/>
                <w:sz w:val="21"/>
                <w:szCs w:val="24"/>
                <w:highlight w:val="none"/>
                <w:vertAlign w:val="superscript"/>
              </w:rPr>
              <w:t>3</w:t>
            </w:r>
            <w:r>
              <w:rPr>
                <w:rFonts w:ascii="Times New Roman" w:hAnsi="Times New Roman"/>
                <w:sz w:val="21"/>
                <w:szCs w:val="24"/>
                <w:highlight w:val="none"/>
              </w:rPr>
              <w:t>）</w:t>
            </w:r>
          </w:p>
        </w:tc>
        <w:tc>
          <w:tcPr>
            <w:tcW w:w="814" w:type="pct"/>
            <w:noWrap w:val="0"/>
            <w:vAlign w:val="center"/>
          </w:tcPr>
          <w:p w14:paraId="3B4CF5BF">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最大浓度占标率（%）</w:t>
            </w:r>
          </w:p>
        </w:tc>
        <w:tc>
          <w:tcPr>
            <w:tcW w:w="560" w:type="pct"/>
            <w:noWrap w:val="0"/>
            <w:vAlign w:val="center"/>
          </w:tcPr>
          <w:p w14:paraId="028DA5A7">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超标频率（%）</w:t>
            </w:r>
          </w:p>
        </w:tc>
        <w:tc>
          <w:tcPr>
            <w:tcW w:w="561" w:type="pct"/>
            <w:noWrap w:val="0"/>
            <w:vAlign w:val="center"/>
          </w:tcPr>
          <w:p w14:paraId="24C5C92D">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达标情况</w:t>
            </w:r>
          </w:p>
        </w:tc>
      </w:tr>
      <w:tr w14:paraId="61BD6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23" w:type="pct"/>
            <w:vMerge w:val="restart"/>
            <w:noWrap w:val="0"/>
            <w:vAlign w:val="center"/>
          </w:tcPr>
          <w:p w14:paraId="110625D6">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SO</w:t>
            </w:r>
            <w:r>
              <w:rPr>
                <w:rFonts w:ascii="Times New Roman" w:hAnsi="Times New Roman"/>
                <w:sz w:val="21"/>
                <w:szCs w:val="24"/>
                <w:highlight w:val="none"/>
                <w:vertAlign w:val="subscript"/>
              </w:rPr>
              <w:t>2</w:t>
            </w:r>
          </w:p>
        </w:tc>
        <w:tc>
          <w:tcPr>
            <w:tcW w:w="1424" w:type="pct"/>
            <w:noWrap w:val="0"/>
            <w:vAlign w:val="center"/>
          </w:tcPr>
          <w:p w14:paraId="4B8FA1EF">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年平均质量浓度</w:t>
            </w:r>
          </w:p>
        </w:tc>
        <w:tc>
          <w:tcPr>
            <w:tcW w:w="608" w:type="pct"/>
            <w:noWrap w:val="0"/>
            <w:vAlign w:val="center"/>
          </w:tcPr>
          <w:p w14:paraId="2A862356">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60</w:t>
            </w:r>
          </w:p>
        </w:tc>
        <w:tc>
          <w:tcPr>
            <w:tcW w:w="607" w:type="pct"/>
            <w:noWrap w:val="0"/>
            <w:vAlign w:val="center"/>
          </w:tcPr>
          <w:p w14:paraId="55B3E7A9">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7.16</w:t>
            </w:r>
          </w:p>
        </w:tc>
        <w:tc>
          <w:tcPr>
            <w:tcW w:w="814" w:type="pct"/>
            <w:noWrap w:val="0"/>
            <w:vAlign w:val="center"/>
          </w:tcPr>
          <w:p w14:paraId="06F98446">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11.9</w:t>
            </w:r>
          </w:p>
        </w:tc>
        <w:tc>
          <w:tcPr>
            <w:tcW w:w="560" w:type="pct"/>
            <w:noWrap w:val="0"/>
            <w:vAlign w:val="center"/>
          </w:tcPr>
          <w:p w14:paraId="70A1359E">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0</w:t>
            </w:r>
          </w:p>
        </w:tc>
        <w:tc>
          <w:tcPr>
            <w:tcW w:w="561" w:type="pct"/>
            <w:noWrap w:val="0"/>
            <w:vAlign w:val="center"/>
          </w:tcPr>
          <w:p w14:paraId="7D6DCDB7">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251CD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3" w:hRule="atLeast"/>
          <w:jc w:val="center"/>
        </w:trPr>
        <w:tc>
          <w:tcPr>
            <w:tcW w:w="423" w:type="pct"/>
            <w:vMerge w:val="continue"/>
            <w:noWrap w:val="0"/>
            <w:vAlign w:val="center"/>
          </w:tcPr>
          <w:p w14:paraId="28076392">
            <w:pPr>
              <w:spacing w:line="240" w:lineRule="auto"/>
              <w:ind w:firstLine="0" w:firstLineChars="0"/>
              <w:contextualSpacing/>
              <w:jc w:val="center"/>
              <w:rPr>
                <w:rFonts w:ascii="Times New Roman" w:hAnsi="Times New Roman"/>
                <w:sz w:val="21"/>
                <w:szCs w:val="24"/>
                <w:highlight w:val="none"/>
              </w:rPr>
            </w:pPr>
          </w:p>
        </w:tc>
        <w:tc>
          <w:tcPr>
            <w:tcW w:w="1424" w:type="pct"/>
            <w:noWrap w:val="0"/>
            <w:vAlign w:val="center"/>
          </w:tcPr>
          <w:p w14:paraId="684B09BB">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24小时平均第98百分位数</w:t>
            </w:r>
          </w:p>
        </w:tc>
        <w:tc>
          <w:tcPr>
            <w:tcW w:w="608" w:type="pct"/>
            <w:noWrap w:val="0"/>
            <w:vAlign w:val="center"/>
          </w:tcPr>
          <w:p w14:paraId="452CDBC7">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150</w:t>
            </w:r>
          </w:p>
        </w:tc>
        <w:tc>
          <w:tcPr>
            <w:tcW w:w="607" w:type="pct"/>
            <w:noWrap w:val="0"/>
            <w:vAlign w:val="center"/>
          </w:tcPr>
          <w:p w14:paraId="62172812">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13</w:t>
            </w:r>
          </w:p>
        </w:tc>
        <w:tc>
          <w:tcPr>
            <w:tcW w:w="814" w:type="pct"/>
            <w:noWrap w:val="0"/>
            <w:vAlign w:val="center"/>
          </w:tcPr>
          <w:p w14:paraId="6B812C7B">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8.67</w:t>
            </w:r>
          </w:p>
        </w:tc>
        <w:tc>
          <w:tcPr>
            <w:tcW w:w="560" w:type="pct"/>
            <w:noWrap w:val="0"/>
            <w:vAlign w:val="center"/>
          </w:tcPr>
          <w:p w14:paraId="68EF594E">
            <w:pPr>
              <w:spacing w:line="240" w:lineRule="auto"/>
              <w:ind w:firstLine="0" w:firstLineChars="0"/>
              <w:contextualSpacing/>
              <w:jc w:val="center"/>
              <w:rPr>
                <w:rFonts w:hint="eastAsia"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0</w:t>
            </w:r>
          </w:p>
        </w:tc>
        <w:tc>
          <w:tcPr>
            <w:tcW w:w="561" w:type="pct"/>
            <w:noWrap w:val="0"/>
            <w:vAlign w:val="center"/>
          </w:tcPr>
          <w:p w14:paraId="1B15B5F2">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5D2E24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23" w:type="pct"/>
            <w:vMerge w:val="restart"/>
            <w:noWrap w:val="0"/>
            <w:vAlign w:val="center"/>
          </w:tcPr>
          <w:p w14:paraId="3D316105">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NO</w:t>
            </w:r>
            <w:r>
              <w:rPr>
                <w:rFonts w:ascii="Times New Roman" w:hAnsi="Times New Roman"/>
                <w:sz w:val="21"/>
                <w:szCs w:val="24"/>
                <w:highlight w:val="none"/>
                <w:vertAlign w:val="subscript"/>
              </w:rPr>
              <w:t>2</w:t>
            </w:r>
          </w:p>
        </w:tc>
        <w:tc>
          <w:tcPr>
            <w:tcW w:w="1424" w:type="pct"/>
            <w:noWrap w:val="0"/>
            <w:vAlign w:val="center"/>
          </w:tcPr>
          <w:p w14:paraId="03E3989A">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年平均质量浓度</w:t>
            </w:r>
          </w:p>
        </w:tc>
        <w:tc>
          <w:tcPr>
            <w:tcW w:w="608" w:type="pct"/>
            <w:noWrap w:val="0"/>
            <w:vAlign w:val="center"/>
          </w:tcPr>
          <w:p w14:paraId="7391F960">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40</w:t>
            </w:r>
          </w:p>
        </w:tc>
        <w:tc>
          <w:tcPr>
            <w:tcW w:w="607" w:type="pct"/>
            <w:noWrap w:val="0"/>
            <w:vAlign w:val="center"/>
          </w:tcPr>
          <w:p w14:paraId="30244BA7">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14.11</w:t>
            </w:r>
          </w:p>
        </w:tc>
        <w:tc>
          <w:tcPr>
            <w:tcW w:w="814" w:type="pct"/>
            <w:noWrap w:val="0"/>
            <w:vAlign w:val="center"/>
          </w:tcPr>
          <w:p w14:paraId="5E7209CA">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35.28</w:t>
            </w:r>
          </w:p>
        </w:tc>
        <w:tc>
          <w:tcPr>
            <w:tcW w:w="560" w:type="pct"/>
            <w:noWrap w:val="0"/>
            <w:vAlign w:val="center"/>
          </w:tcPr>
          <w:p w14:paraId="50012FCE">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0</w:t>
            </w:r>
          </w:p>
        </w:tc>
        <w:tc>
          <w:tcPr>
            <w:tcW w:w="561" w:type="pct"/>
            <w:noWrap w:val="0"/>
            <w:vAlign w:val="center"/>
          </w:tcPr>
          <w:p w14:paraId="0B9A26A8">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73198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423" w:type="pct"/>
            <w:vMerge w:val="continue"/>
            <w:noWrap w:val="0"/>
            <w:vAlign w:val="center"/>
          </w:tcPr>
          <w:p w14:paraId="1527AAFA">
            <w:pPr>
              <w:spacing w:line="240" w:lineRule="auto"/>
              <w:ind w:firstLine="0" w:firstLineChars="0"/>
              <w:contextualSpacing/>
              <w:jc w:val="center"/>
              <w:rPr>
                <w:rFonts w:ascii="Times New Roman" w:hAnsi="Times New Roman"/>
                <w:sz w:val="21"/>
                <w:szCs w:val="24"/>
                <w:highlight w:val="none"/>
              </w:rPr>
            </w:pPr>
          </w:p>
        </w:tc>
        <w:tc>
          <w:tcPr>
            <w:tcW w:w="1424" w:type="pct"/>
            <w:noWrap w:val="0"/>
            <w:vAlign w:val="center"/>
          </w:tcPr>
          <w:p w14:paraId="4F44F2EB">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24小时平均第98百分位数</w:t>
            </w:r>
          </w:p>
        </w:tc>
        <w:tc>
          <w:tcPr>
            <w:tcW w:w="608" w:type="pct"/>
            <w:noWrap w:val="0"/>
            <w:vAlign w:val="center"/>
          </w:tcPr>
          <w:p w14:paraId="2AFA9DFC">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80</w:t>
            </w:r>
          </w:p>
        </w:tc>
        <w:tc>
          <w:tcPr>
            <w:tcW w:w="607" w:type="pct"/>
            <w:noWrap w:val="0"/>
            <w:vAlign w:val="center"/>
          </w:tcPr>
          <w:p w14:paraId="6753943B">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45</w:t>
            </w:r>
          </w:p>
        </w:tc>
        <w:tc>
          <w:tcPr>
            <w:tcW w:w="814" w:type="pct"/>
            <w:noWrap w:val="0"/>
            <w:vAlign w:val="center"/>
          </w:tcPr>
          <w:p w14:paraId="0F007690">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56.25</w:t>
            </w:r>
          </w:p>
        </w:tc>
        <w:tc>
          <w:tcPr>
            <w:tcW w:w="560" w:type="pct"/>
            <w:noWrap w:val="0"/>
            <w:vAlign w:val="center"/>
          </w:tcPr>
          <w:p w14:paraId="32F383AC">
            <w:pPr>
              <w:spacing w:line="240" w:lineRule="auto"/>
              <w:ind w:firstLine="0" w:firstLineChars="0"/>
              <w:contextualSpacing/>
              <w:jc w:val="center"/>
              <w:rPr>
                <w:rFonts w:hint="eastAsia"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0</w:t>
            </w:r>
          </w:p>
        </w:tc>
        <w:tc>
          <w:tcPr>
            <w:tcW w:w="561" w:type="pct"/>
            <w:noWrap w:val="0"/>
            <w:vAlign w:val="center"/>
          </w:tcPr>
          <w:p w14:paraId="7BEDE528">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40805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23" w:type="pct"/>
            <w:vMerge w:val="restart"/>
            <w:noWrap w:val="0"/>
            <w:vAlign w:val="center"/>
          </w:tcPr>
          <w:p w14:paraId="1D413197">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PM</w:t>
            </w:r>
            <w:r>
              <w:rPr>
                <w:rFonts w:ascii="Times New Roman" w:hAnsi="Times New Roman"/>
                <w:sz w:val="21"/>
                <w:szCs w:val="24"/>
                <w:highlight w:val="none"/>
                <w:vertAlign w:val="subscript"/>
              </w:rPr>
              <w:t>10</w:t>
            </w:r>
          </w:p>
        </w:tc>
        <w:tc>
          <w:tcPr>
            <w:tcW w:w="1424" w:type="pct"/>
            <w:noWrap w:val="0"/>
            <w:vAlign w:val="center"/>
          </w:tcPr>
          <w:p w14:paraId="025B1F54">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年平均质量浓度</w:t>
            </w:r>
          </w:p>
        </w:tc>
        <w:tc>
          <w:tcPr>
            <w:tcW w:w="608" w:type="pct"/>
            <w:noWrap w:val="0"/>
            <w:vAlign w:val="center"/>
          </w:tcPr>
          <w:p w14:paraId="2610B06E">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70</w:t>
            </w:r>
          </w:p>
        </w:tc>
        <w:tc>
          <w:tcPr>
            <w:tcW w:w="607" w:type="pct"/>
            <w:noWrap w:val="0"/>
            <w:vAlign w:val="center"/>
          </w:tcPr>
          <w:p w14:paraId="43E8EE10">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42.95</w:t>
            </w:r>
          </w:p>
        </w:tc>
        <w:tc>
          <w:tcPr>
            <w:tcW w:w="814" w:type="pct"/>
            <w:noWrap w:val="0"/>
            <w:vAlign w:val="center"/>
          </w:tcPr>
          <w:p w14:paraId="5338B8CA">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61.36</w:t>
            </w:r>
          </w:p>
        </w:tc>
        <w:tc>
          <w:tcPr>
            <w:tcW w:w="560" w:type="pct"/>
            <w:noWrap w:val="0"/>
            <w:vAlign w:val="center"/>
          </w:tcPr>
          <w:p w14:paraId="4D2AA960">
            <w:pPr>
              <w:spacing w:line="240" w:lineRule="auto"/>
              <w:ind w:firstLine="0" w:firstLineChars="0"/>
              <w:contextualSpacing/>
              <w:jc w:val="center"/>
              <w:rPr>
                <w:rFonts w:hint="eastAsia" w:ascii="Times New Roman" w:hAnsi="Times New Roman" w:eastAsia="宋体"/>
                <w:sz w:val="21"/>
                <w:szCs w:val="24"/>
                <w:highlight w:val="none"/>
                <w:lang w:eastAsia="zh-CN"/>
              </w:rPr>
            </w:pPr>
            <w:r>
              <w:rPr>
                <w:rFonts w:hint="eastAsia" w:ascii="Times New Roman" w:hAnsi="Times New Roman"/>
                <w:sz w:val="21"/>
                <w:szCs w:val="24"/>
                <w:highlight w:val="none"/>
                <w:lang w:val="en-US" w:eastAsia="zh-CN"/>
              </w:rPr>
              <w:t>0</w:t>
            </w:r>
          </w:p>
        </w:tc>
        <w:tc>
          <w:tcPr>
            <w:tcW w:w="561" w:type="pct"/>
            <w:noWrap w:val="0"/>
            <w:vAlign w:val="center"/>
          </w:tcPr>
          <w:p w14:paraId="184A7F3C">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3D788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423" w:type="pct"/>
            <w:vMerge w:val="continue"/>
            <w:noWrap w:val="0"/>
            <w:vAlign w:val="center"/>
          </w:tcPr>
          <w:p w14:paraId="028E4091">
            <w:pPr>
              <w:spacing w:line="240" w:lineRule="auto"/>
              <w:ind w:firstLine="0" w:firstLineChars="0"/>
              <w:contextualSpacing/>
              <w:jc w:val="center"/>
              <w:rPr>
                <w:rFonts w:ascii="Times New Roman" w:hAnsi="Times New Roman"/>
                <w:sz w:val="21"/>
                <w:szCs w:val="24"/>
                <w:highlight w:val="none"/>
              </w:rPr>
            </w:pPr>
          </w:p>
        </w:tc>
        <w:tc>
          <w:tcPr>
            <w:tcW w:w="1424" w:type="pct"/>
            <w:noWrap w:val="0"/>
            <w:vAlign w:val="center"/>
          </w:tcPr>
          <w:p w14:paraId="7EDBFA1F">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24小时平均第95百分位数</w:t>
            </w:r>
          </w:p>
        </w:tc>
        <w:tc>
          <w:tcPr>
            <w:tcW w:w="608" w:type="pct"/>
            <w:noWrap w:val="0"/>
            <w:vAlign w:val="center"/>
          </w:tcPr>
          <w:p w14:paraId="332AC2B1">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150</w:t>
            </w:r>
          </w:p>
        </w:tc>
        <w:tc>
          <w:tcPr>
            <w:tcW w:w="607" w:type="pct"/>
            <w:noWrap w:val="0"/>
            <w:vAlign w:val="center"/>
          </w:tcPr>
          <w:p w14:paraId="35958AC2">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94</w:t>
            </w:r>
          </w:p>
        </w:tc>
        <w:tc>
          <w:tcPr>
            <w:tcW w:w="814" w:type="pct"/>
            <w:noWrap w:val="0"/>
            <w:vAlign w:val="center"/>
          </w:tcPr>
          <w:p w14:paraId="4C2354E9">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84.67</w:t>
            </w:r>
          </w:p>
        </w:tc>
        <w:tc>
          <w:tcPr>
            <w:tcW w:w="560" w:type="pct"/>
            <w:noWrap w:val="0"/>
            <w:vAlign w:val="center"/>
          </w:tcPr>
          <w:p w14:paraId="52F06577">
            <w:pPr>
              <w:spacing w:line="240" w:lineRule="auto"/>
              <w:ind w:firstLine="0" w:firstLineChars="0"/>
              <w:contextualSpacing/>
              <w:jc w:val="center"/>
              <w:rPr>
                <w:rFonts w:hint="eastAsia"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0</w:t>
            </w:r>
          </w:p>
        </w:tc>
        <w:tc>
          <w:tcPr>
            <w:tcW w:w="561" w:type="pct"/>
            <w:noWrap w:val="0"/>
            <w:vAlign w:val="center"/>
          </w:tcPr>
          <w:p w14:paraId="5B1EC324">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7D7EA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23" w:type="pct"/>
            <w:vMerge w:val="restart"/>
            <w:noWrap w:val="0"/>
            <w:vAlign w:val="center"/>
          </w:tcPr>
          <w:p w14:paraId="4F741581">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PM</w:t>
            </w:r>
            <w:r>
              <w:rPr>
                <w:rFonts w:ascii="Times New Roman" w:hAnsi="Times New Roman"/>
                <w:sz w:val="21"/>
                <w:szCs w:val="24"/>
                <w:highlight w:val="none"/>
                <w:vertAlign w:val="subscript"/>
              </w:rPr>
              <w:t>2.5</w:t>
            </w:r>
          </w:p>
        </w:tc>
        <w:tc>
          <w:tcPr>
            <w:tcW w:w="1424" w:type="pct"/>
            <w:noWrap w:val="0"/>
            <w:vAlign w:val="center"/>
          </w:tcPr>
          <w:p w14:paraId="5A82DE3D">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年平均质量浓度</w:t>
            </w:r>
          </w:p>
        </w:tc>
        <w:tc>
          <w:tcPr>
            <w:tcW w:w="608" w:type="pct"/>
            <w:noWrap w:val="0"/>
            <w:vAlign w:val="center"/>
          </w:tcPr>
          <w:p w14:paraId="0E3A7B10">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35</w:t>
            </w:r>
          </w:p>
        </w:tc>
        <w:tc>
          <w:tcPr>
            <w:tcW w:w="607" w:type="pct"/>
            <w:noWrap w:val="0"/>
            <w:vAlign w:val="center"/>
          </w:tcPr>
          <w:p w14:paraId="54A11308">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25.33</w:t>
            </w:r>
          </w:p>
        </w:tc>
        <w:tc>
          <w:tcPr>
            <w:tcW w:w="814" w:type="pct"/>
            <w:noWrap w:val="0"/>
            <w:vAlign w:val="center"/>
          </w:tcPr>
          <w:p w14:paraId="46BA75B0">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72.37</w:t>
            </w:r>
          </w:p>
        </w:tc>
        <w:tc>
          <w:tcPr>
            <w:tcW w:w="560" w:type="pct"/>
            <w:noWrap w:val="0"/>
            <w:vAlign w:val="center"/>
          </w:tcPr>
          <w:p w14:paraId="634E82B5">
            <w:pPr>
              <w:spacing w:line="240" w:lineRule="auto"/>
              <w:ind w:firstLine="0" w:firstLineChars="0"/>
              <w:contextualSpacing/>
              <w:jc w:val="center"/>
              <w:rPr>
                <w:rFonts w:hint="eastAsia" w:ascii="Times New Roman" w:hAnsi="Times New Roman" w:eastAsia="宋体"/>
                <w:sz w:val="21"/>
                <w:szCs w:val="24"/>
                <w:highlight w:val="none"/>
                <w:lang w:eastAsia="zh-CN"/>
              </w:rPr>
            </w:pPr>
            <w:r>
              <w:rPr>
                <w:rFonts w:hint="eastAsia" w:ascii="Times New Roman" w:hAnsi="Times New Roman"/>
                <w:sz w:val="21"/>
                <w:szCs w:val="24"/>
                <w:highlight w:val="none"/>
                <w:lang w:val="en-US" w:eastAsia="zh-CN"/>
              </w:rPr>
              <w:t>0</w:t>
            </w:r>
          </w:p>
        </w:tc>
        <w:tc>
          <w:tcPr>
            <w:tcW w:w="957" w:type="dxa"/>
            <w:noWrap w:val="0"/>
            <w:vAlign w:val="center"/>
          </w:tcPr>
          <w:p w14:paraId="6AE7DF98">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tr w14:paraId="09FFB2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0" w:hRule="atLeast"/>
          <w:jc w:val="center"/>
        </w:trPr>
        <w:tc>
          <w:tcPr>
            <w:tcW w:w="423" w:type="pct"/>
            <w:vMerge w:val="continue"/>
            <w:noWrap w:val="0"/>
            <w:vAlign w:val="center"/>
          </w:tcPr>
          <w:p w14:paraId="1FC188C2">
            <w:pPr>
              <w:spacing w:line="240" w:lineRule="auto"/>
              <w:ind w:firstLine="0" w:firstLineChars="0"/>
              <w:contextualSpacing/>
              <w:jc w:val="center"/>
              <w:rPr>
                <w:rFonts w:ascii="Times New Roman" w:hAnsi="Times New Roman"/>
                <w:sz w:val="21"/>
                <w:szCs w:val="24"/>
                <w:highlight w:val="none"/>
              </w:rPr>
            </w:pPr>
          </w:p>
        </w:tc>
        <w:tc>
          <w:tcPr>
            <w:tcW w:w="1424" w:type="pct"/>
            <w:noWrap w:val="0"/>
            <w:vAlign w:val="center"/>
          </w:tcPr>
          <w:p w14:paraId="51A7F7A5">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24小时平均第95百分位数</w:t>
            </w:r>
          </w:p>
        </w:tc>
        <w:tc>
          <w:tcPr>
            <w:tcW w:w="608" w:type="pct"/>
            <w:noWrap w:val="0"/>
            <w:vAlign w:val="center"/>
          </w:tcPr>
          <w:p w14:paraId="75B81B26">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75</w:t>
            </w:r>
          </w:p>
        </w:tc>
        <w:tc>
          <w:tcPr>
            <w:tcW w:w="607" w:type="pct"/>
            <w:noWrap w:val="0"/>
            <w:vAlign w:val="center"/>
          </w:tcPr>
          <w:p w14:paraId="2E163D53">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61</w:t>
            </w:r>
          </w:p>
        </w:tc>
        <w:tc>
          <w:tcPr>
            <w:tcW w:w="814" w:type="pct"/>
            <w:noWrap w:val="0"/>
            <w:vAlign w:val="center"/>
          </w:tcPr>
          <w:p w14:paraId="2F3C3554">
            <w:pPr>
              <w:spacing w:line="240" w:lineRule="auto"/>
              <w:ind w:firstLine="0" w:firstLineChars="0"/>
              <w:contextualSpacing/>
              <w:jc w:val="center"/>
              <w:rPr>
                <w:rFonts w:hint="default"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81.33</w:t>
            </w:r>
          </w:p>
        </w:tc>
        <w:tc>
          <w:tcPr>
            <w:tcW w:w="560" w:type="pct"/>
            <w:noWrap w:val="0"/>
            <w:vAlign w:val="center"/>
          </w:tcPr>
          <w:p w14:paraId="49344CE9">
            <w:pPr>
              <w:spacing w:line="240" w:lineRule="auto"/>
              <w:ind w:firstLine="0" w:firstLineChars="0"/>
              <w:contextualSpacing/>
              <w:jc w:val="center"/>
              <w:rPr>
                <w:rFonts w:hint="eastAsia" w:ascii="Times New Roman" w:hAnsi="Times New Roman" w:eastAsia="宋体"/>
                <w:sz w:val="21"/>
                <w:szCs w:val="24"/>
                <w:highlight w:val="none"/>
                <w:lang w:val="en-US" w:eastAsia="zh-CN"/>
              </w:rPr>
            </w:pPr>
            <w:r>
              <w:rPr>
                <w:rFonts w:hint="eastAsia" w:ascii="Times New Roman" w:hAnsi="Times New Roman"/>
                <w:sz w:val="21"/>
                <w:szCs w:val="24"/>
                <w:highlight w:val="none"/>
                <w:lang w:val="en-US" w:eastAsia="zh-CN"/>
              </w:rPr>
              <w:t>0</w:t>
            </w:r>
          </w:p>
        </w:tc>
        <w:tc>
          <w:tcPr>
            <w:tcW w:w="957" w:type="dxa"/>
            <w:noWrap w:val="0"/>
            <w:vAlign w:val="center"/>
          </w:tcPr>
          <w:p w14:paraId="612DF1C7">
            <w:pPr>
              <w:spacing w:line="240" w:lineRule="auto"/>
              <w:ind w:firstLine="0" w:firstLineChars="0"/>
              <w:contextualSpacing/>
              <w:jc w:val="center"/>
              <w:rPr>
                <w:rFonts w:ascii="Times New Roman" w:hAnsi="Times New Roman"/>
                <w:sz w:val="21"/>
                <w:szCs w:val="24"/>
                <w:highlight w:val="none"/>
              </w:rPr>
            </w:pPr>
            <w:r>
              <w:rPr>
                <w:rFonts w:ascii="Times New Roman" w:hAnsi="Times New Roman"/>
                <w:sz w:val="21"/>
                <w:szCs w:val="24"/>
                <w:highlight w:val="none"/>
              </w:rPr>
              <w:t>达标</w:t>
            </w:r>
          </w:p>
        </w:tc>
      </w:tr>
      <w:bookmarkEnd w:id="116"/>
    </w:tbl>
    <w:p w14:paraId="09E7DE95">
      <w:pPr>
        <w:ind w:firstLine="480"/>
        <w:rPr>
          <w:rFonts w:ascii="Times New Roman" w:hAnsi="Times New Roman"/>
          <w:highlight w:val="none"/>
        </w:rPr>
      </w:pPr>
      <w:r>
        <w:rPr>
          <w:rFonts w:ascii="Times New Roman" w:hAnsi="Times New Roman"/>
          <w:highlight w:val="none"/>
        </w:rPr>
        <w:t>（2）所在区域其他污染物境质量现状</w:t>
      </w:r>
    </w:p>
    <w:p w14:paraId="17E75CD6">
      <w:pPr>
        <w:ind w:firstLine="480"/>
        <w:rPr>
          <w:rFonts w:ascii="Times New Roman" w:hAnsi="Times New Roman"/>
          <w:highlight w:val="none"/>
        </w:rPr>
      </w:pPr>
      <w:r>
        <w:rPr>
          <w:rFonts w:ascii="Times New Roman" w:hAnsi="Times New Roman"/>
          <w:highlight w:val="none"/>
        </w:rPr>
        <w:t>根据《环境影响评价技术导则—大气环境》（HJ2.2-2018）对建设项目排放的其他大气污染物进行补充监测，监测点位以近20年统计的当地主导风向为轴向，在厂址及主导风向下风向5km范围内设置1～2个监测点，补充监测因子为总悬浮颗粒物、氨、氮氧化物、汞。</w:t>
      </w:r>
    </w:p>
    <w:p w14:paraId="306A7875">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4.3-4</w:t>
      </w:r>
      <w:r>
        <w:rPr>
          <w:rFonts w:hint="eastAsia" w:ascii="黑体" w:hAnsi="黑体" w:eastAsia="黑体" w:cs="黑体"/>
          <w:highlight w:val="none"/>
        </w:rPr>
        <w:t>其他污染物补充监测点基本信息</w:t>
      </w:r>
    </w:p>
    <w:tbl>
      <w:tblPr>
        <w:tblStyle w:val="17"/>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34"/>
        <w:gridCol w:w="1264"/>
        <w:gridCol w:w="1176"/>
        <w:gridCol w:w="1026"/>
        <w:gridCol w:w="1093"/>
        <w:gridCol w:w="953"/>
        <w:gridCol w:w="953"/>
        <w:gridCol w:w="1018"/>
      </w:tblGrid>
      <w:tr w14:paraId="2E6A5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jc w:val="center"/>
        </w:trPr>
        <w:tc>
          <w:tcPr>
            <w:tcW w:w="607" w:type="pct"/>
            <w:vMerge w:val="restart"/>
            <w:tcBorders>
              <w:top w:val="single" w:color="000000" w:sz="12" w:space="0"/>
              <w:left w:val="nil"/>
            </w:tcBorders>
            <w:noWrap w:val="0"/>
            <w:vAlign w:val="center"/>
          </w:tcPr>
          <w:p w14:paraId="5615F94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监测点名称</w:t>
            </w:r>
          </w:p>
        </w:tc>
        <w:tc>
          <w:tcPr>
            <w:tcW w:w="1432" w:type="pct"/>
            <w:gridSpan w:val="2"/>
            <w:tcBorders>
              <w:top w:val="single" w:color="000000" w:sz="12" w:space="0"/>
              <w:bottom w:val="single" w:color="auto" w:sz="4" w:space="0"/>
            </w:tcBorders>
            <w:noWrap w:val="0"/>
            <w:vAlign w:val="center"/>
          </w:tcPr>
          <w:p w14:paraId="0EC763ED">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监测点坐标</w:t>
            </w:r>
          </w:p>
        </w:tc>
        <w:tc>
          <w:tcPr>
            <w:tcW w:w="602" w:type="pct"/>
            <w:vMerge w:val="restart"/>
            <w:tcBorders>
              <w:top w:val="single" w:color="000000" w:sz="12" w:space="0"/>
            </w:tcBorders>
            <w:noWrap w:val="0"/>
            <w:vAlign w:val="center"/>
          </w:tcPr>
          <w:p w14:paraId="6F59A9F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监测因子</w:t>
            </w:r>
          </w:p>
        </w:tc>
        <w:tc>
          <w:tcPr>
            <w:tcW w:w="641" w:type="pct"/>
            <w:vMerge w:val="restart"/>
            <w:tcBorders>
              <w:top w:val="single" w:color="000000" w:sz="12" w:space="0"/>
            </w:tcBorders>
            <w:noWrap w:val="0"/>
            <w:vAlign w:val="center"/>
          </w:tcPr>
          <w:p w14:paraId="559A3DE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监测时段</w:t>
            </w:r>
          </w:p>
        </w:tc>
        <w:tc>
          <w:tcPr>
            <w:tcW w:w="559" w:type="pct"/>
            <w:vMerge w:val="restart"/>
            <w:tcBorders>
              <w:top w:val="single" w:color="000000" w:sz="12" w:space="0"/>
            </w:tcBorders>
            <w:noWrap w:val="0"/>
            <w:vAlign w:val="center"/>
          </w:tcPr>
          <w:p w14:paraId="2E5358F5">
            <w:pPr>
              <w:spacing w:line="240" w:lineRule="auto"/>
              <w:ind w:firstLine="0" w:firstLineChars="0"/>
              <w:jc w:val="center"/>
              <w:rPr>
                <w:rFonts w:hint="eastAsia" w:ascii="Times New Roman" w:hAnsi="Times New Roman" w:eastAsia="宋体"/>
                <w:sz w:val="21"/>
                <w:highlight w:val="none"/>
                <w:lang w:val="en-US" w:eastAsia="zh-CN"/>
              </w:rPr>
            </w:pPr>
            <w:r>
              <w:rPr>
                <w:rFonts w:hint="eastAsia" w:ascii="Times New Roman" w:hAnsi="Times New Roman"/>
                <w:sz w:val="21"/>
                <w:highlight w:val="none"/>
                <w:lang w:val="en-US" w:eastAsia="zh-CN"/>
              </w:rPr>
              <w:t>运行工况</w:t>
            </w:r>
          </w:p>
        </w:tc>
        <w:tc>
          <w:tcPr>
            <w:tcW w:w="559" w:type="pct"/>
            <w:vMerge w:val="restart"/>
            <w:tcBorders>
              <w:top w:val="single" w:color="000000" w:sz="12" w:space="0"/>
            </w:tcBorders>
            <w:noWrap w:val="0"/>
            <w:vAlign w:val="center"/>
          </w:tcPr>
          <w:p w14:paraId="2A37E84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相对厂址方位</w:t>
            </w:r>
          </w:p>
        </w:tc>
        <w:tc>
          <w:tcPr>
            <w:tcW w:w="597" w:type="pct"/>
            <w:vMerge w:val="restart"/>
            <w:tcBorders>
              <w:top w:val="single" w:color="000000" w:sz="12" w:space="0"/>
              <w:right w:val="nil"/>
            </w:tcBorders>
            <w:noWrap w:val="0"/>
            <w:vAlign w:val="center"/>
          </w:tcPr>
          <w:p w14:paraId="716BB6EF">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相对厂界距离/m</w:t>
            </w:r>
          </w:p>
        </w:tc>
      </w:tr>
      <w:tr w14:paraId="1C4182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 w:hRule="atLeast"/>
          <w:jc w:val="center"/>
        </w:trPr>
        <w:tc>
          <w:tcPr>
            <w:tcW w:w="607" w:type="pct"/>
            <w:vMerge w:val="continue"/>
            <w:tcBorders>
              <w:left w:val="nil"/>
            </w:tcBorders>
            <w:noWrap w:val="0"/>
            <w:vAlign w:val="center"/>
          </w:tcPr>
          <w:p w14:paraId="3DCD26C7">
            <w:pPr>
              <w:spacing w:line="240" w:lineRule="auto"/>
              <w:ind w:firstLine="0" w:firstLineChars="0"/>
              <w:jc w:val="center"/>
              <w:rPr>
                <w:rFonts w:ascii="Times New Roman" w:hAnsi="Times New Roman"/>
                <w:sz w:val="21"/>
                <w:highlight w:val="none"/>
              </w:rPr>
            </w:pPr>
          </w:p>
        </w:tc>
        <w:tc>
          <w:tcPr>
            <w:tcW w:w="742" w:type="pct"/>
            <w:tcBorders>
              <w:top w:val="single" w:color="auto" w:sz="4" w:space="0"/>
              <w:right w:val="single" w:color="auto" w:sz="4" w:space="0"/>
            </w:tcBorders>
            <w:noWrap w:val="0"/>
            <w:vAlign w:val="center"/>
          </w:tcPr>
          <w:p w14:paraId="0E829AC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东经</w:t>
            </w:r>
          </w:p>
        </w:tc>
        <w:tc>
          <w:tcPr>
            <w:tcW w:w="689" w:type="pct"/>
            <w:tcBorders>
              <w:top w:val="single" w:color="auto" w:sz="4" w:space="0"/>
              <w:left w:val="single" w:color="auto" w:sz="4" w:space="0"/>
            </w:tcBorders>
            <w:noWrap w:val="0"/>
            <w:vAlign w:val="center"/>
          </w:tcPr>
          <w:p w14:paraId="405108D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北纬</w:t>
            </w:r>
          </w:p>
        </w:tc>
        <w:tc>
          <w:tcPr>
            <w:tcW w:w="602" w:type="pct"/>
            <w:vMerge w:val="continue"/>
            <w:tcBorders>
              <w:bottom w:val="single" w:color="auto" w:sz="2" w:space="0"/>
            </w:tcBorders>
            <w:noWrap w:val="0"/>
            <w:vAlign w:val="center"/>
          </w:tcPr>
          <w:p w14:paraId="234B42ED">
            <w:pPr>
              <w:spacing w:line="240" w:lineRule="auto"/>
              <w:ind w:firstLine="0" w:firstLineChars="0"/>
              <w:jc w:val="center"/>
              <w:rPr>
                <w:rFonts w:ascii="Times New Roman" w:hAnsi="Times New Roman"/>
                <w:sz w:val="21"/>
                <w:highlight w:val="none"/>
              </w:rPr>
            </w:pPr>
          </w:p>
        </w:tc>
        <w:tc>
          <w:tcPr>
            <w:tcW w:w="641" w:type="pct"/>
            <w:vMerge w:val="continue"/>
            <w:noWrap w:val="0"/>
            <w:vAlign w:val="center"/>
          </w:tcPr>
          <w:p w14:paraId="2D119084">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261041A4">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7FEAB62B">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516A002F">
            <w:pPr>
              <w:spacing w:line="240" w:lineRule="auto"/>
              <w:ind w:firstLine="0" w:firstLineChars="0"/>
              <w:jc w:val="center"/>
              <w:rPr>
                <w:rFonts w:ascii="Times New Roman" w:hAnsi="Times New Roman"/>
                <w:sz w:val="21"/>
                <w:highlight w:val="none"/>
              </w:rPr>
            </w:pPr>
          </w:p>
        </w:tc>
      </w:tr>
      <w:tr w14:paraId="5B168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 w:hRule="atLeast"/>
          <w:jc w:val="center"/>
        </w:trPr>
        <w:tc>
          <w:tcPr>
            <w:tcW w:w="607" w:type="pct"/>
            <w:vMerge w:val="restart"/>
            <w:tcBorders>
              <w:left w:val="nil"/>
            </w:tcBorders>
            <w:noWrap w:val="0"/>
            <w:vAlign w:val="center"/>
          </w:tcPr>
          <w:p w14:paraId="53B5884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 xml:space="preserve">1# </w:t>
            </w:r>
          </w:p>
        </w:tc>
        <w:tc>
          <w:tcPr>
            <w:tcW w:w="742" w:type="pct"/>
            <w:vMerge w:val="restart"/>
            <w:tcBorders>
              <w:right w:val="single" w:color="auto" w:sz="4" w:space="0"/>
            </w:tcBorders>
            <w:noWrap w:val="0"/>
            <w:vAlign w:val="center"/>
          </w:tcPr>
          <w:p w14:paraId="1F2BAD2A">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131.148498</w:t>
            </w:r>
          </w:p>
        </w:tc>
        <w:tc>
          <w:tcPr>
            <w:tcW w:w="689" w:type="pct"/>
            <w:vMerge w:val="restart"/>
            <w:tcBorders>
              <w:left w:val="single" w:color="auto" w:sz="4" w:space="0"/>
            </w:tcBorders>
            <w:noWrap w:val="0"/>
            <w:vAlign w:val="center"/>
          </w:tcPr>
          <w:p w14:paraId="385D2B8E">
            <w:pPr>
              <w:spacing w:line="240" w:lineRule="auto"/>
              <w:ind w:firstLine="0" w:firstLineChars="0"/>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44.409673</w:t>
            </w:r>
          </w:p>
        </w:tc>
        <w:tc>
          <w:tcPr>
            <w:tcW w:w="602" w:type="pct"/>
            <w:tcBorders>
              <w:top w:val="single" w:color="auto" w:sz="2" w:space="0"/>
              <w:bottom w:val="single" w:color="auto" w:sz="2" w:space="0"/>
            </w:tcBorders>
            <w:noWrap w:val="0"/>
            <w:vAlign w:val="center"/>
          </w:tcPr>
          <w:p w14:paraId="43AF774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总悬浮颗粒物</w:t>
            </w:r>
          </w:p>
        </w:tc>
        <w:tc>
          <w:tcPr>
            <w:tcW w:w="641" w:type="pct"/>
            <w:vMerge w:val="restart"/>
            <w:noWrap w:val="0"/>
            <w:vAlign w:val="center"/>
          </w:tcPr>
          <w:p w14:paraId="79B01E38">
            <w:pPr>
              <w:spacing w:line="240" w:lineRule="auto"/>
              <w:ind w:firstLine="0" w:firstLineChars="0"/>
              <w:jc w:val="center"/>
              <w:rPr>
                <w:rFonts w:hint="eastAsia" w:ascii="Times New Roman" w:hAnsi="Times New Roman"/>
                <w:sz w:val="21"/>
                <w:highlight w:val="none"/>
              </w:rPr>
            </w:pPr>
            <w:r>
              <w:rPr>
                <w:rFonts w:ascii="Times New Roman" w:hAnsi="Times New Roman"/>
                <w:sz w:val="21"/>
                <w:highlight w:val="none"/>
              </w:rPr>
              <w:t>202</w:t>
            </w:r>
            <w:r>
              <w:rPr>
                <w:rFonts w:hint="eastAsia" w:ascii="Times New Roman" w:hAnsi="Times New Roman"/>
                <w:sz w:val="21"/>
                <w:highlight w:val="none"/>
                <w:lang w:val="en-US" w:eastAsia="zh-CN"/>
              </w:rPr>
              <w:t>5</w:t>
            </w:r>
            <w:r>
              <w:rPr>
                <w:rFonts w:hint="eastAsia" w:ascii="Times New Roman" w:hAnsi="Times New Roman"/>
                <w:sz w:val="21"/>
                <w:highlight w:val="none"/>
              </w:rPr>
              <w:t>年1</w:t>
            </w:r>
            <w:r>
              <w:rPr>
                <w:rFonts w:hint="eastAsia" w:ascii="Times New Roman" w:hAnsi="Times New Roman"/>
                <w:sz w:val="21"/>
                <w:highlight w:val="none"/>
                <w:lang w:val="en-US" w:eastAsia="zh-CN"/>
              </w:rPr>
              <w:t>0</w:t>
            </w:r>
            <w:r>
              <w:rPr>
                <w:rFonts w:hint="eastAsia" w:ascii="Times New Roman" w:hAnsi="Times New Roman"/>
                <w:sz w:val="21"/>
                <w:highlight w:val="none"/>
              </w:rPr>
              <w:t>月</w:t>
            </w:r>
            <w:r>
              <w:rPr>
                <w:rFonts w:hint="eastAsia" w:ascii="Times New Roman" w:hAnsi="Times New Roman"/>
                <w:sz w:val="21"/>
                <w:highlight w:val="none"/>
                <w:lang w:val="en-US" w:eastAsia="zh-CN"/>
              </w:rPr>
              <w:t>25</w:t>
            </w:r>
            <w:r>
              <w:rPr>
                <w:rFonts w:hint="eastAsia" w:ascii="Times New Roman" w:hAnsi="Times New Roman"/>
                <w:sz w:val="21"/>
                <w:highlight w:val="none"/>
              </w:rPr>
              <w:t>日</w:t>
            </w:r>
            <w:r>
              <w:rPr>
                <w:rFonts w:ascii="Times New Roman" w:hAnsi="Times New Roman"/>
                <w:sz w:val="21"/>
                <w:highlight w:val="none"/>
              </w:rPr>
              <w:t>-</w:t>
            </w:r>
            <w:r>
              <w:rPr>
                <w:rFonts w:hint="eastAsia" w:ascii="Times New Roman" w:hAnsi="Times New Roman"/>
                <w:sz w:val="21"/>
                <w:highlight w:val="none"/>
                <w:lang w:val="en-US" w:eastAsia="zh-CN"/>
              </w:rPr>
              <w:t>31</w:t>
            </w:r>
            <w:r>
              <w:rPr>
                <w:rFonts w:hint="eastAsia" w:ascii="Times New Roman" w:hAnsi="Times New Roman"/>
                <w:sz w:val="21"/>
                <w:highlight w:val="none"/>
              </w:rPr>
              <w:t>日</w:t>
            </w:r>
          </w:p>
        </w:tc>
        <w:tc>
          <w:tcPr>
            <w:tcW w:w="559" w:type="pct"/>
            <w:vMerge w:val="restart"/>
            <w:noWrap w:val="0"/>
            <w:vAlign w:val="center"/>
          </w:tcPr>
          <w:p w14:paraId="3682CB7D">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116MW锅炉</w:t>
            </w:r>
          </w:p>
        </w:tc>
        <w:tc>
          <w:tcPr>
            <w:tcW w:w="559" w:type="pct"/>
            <w:vMerge w:val="restart"/>
            <w:noWrap w:val="0"/>
            <w:vAlign w:val="center"/>
          </w:tcPr>
          <w:p w14:paraId="7E0DF4E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w:t>
            </w:r>
          </w:p>
        </w:tc>
        <w:tc>
          <w:tcPr>
            <w:tcW w:w="597" w:type="pct"/>
            <w:vMerge w:val="restart"/>
            <w:tcBorders>
              <w:right w:val="nil"/>
            </w:tcBorders>
            <w:noWrap w:val="0"/>
            <w:vAlign w:val="center"/>
          </w:tcPr>
          <w:p w14:paraId="3864342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w:t>
            </w:r>
          </w:p>
        </w:tc>
      </w:tr>
      <w:tr w14:paraId="018D7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 w:hRule="atLeast"/>
          <w:jc w:val="center"/>
        </w:trPr>
        <w:tc>
          <w:tcPr>
            <w:tcW w:w="607" w:type="pct"/>
            <w:vMerge w:val="continue"/>
            <w:tcBorders>
              <w:left w:val="nil"/>
            </w:tcBorders>
            <w:noWrap w:val="0"/>
            <w:vAlign w:val="center"/>
          </w:tcPr>
          <w:p w14:paraId="1FEB4EDE">
            <w:pPr>
              <w:spacing w:line="240" w:lineRule="auto"/>
              <w:ind w:firstLine="0" w:firstLineChars="0"/>
              <w:jc w:val="center"/>
              <w:rPr>
                <w:rFonts w:ascii="Times New Roman" w:hAnsi="Times New Roman"/>
                <w:kern w:val="0"/>
                <w:sz w:val="21"/>
                <w:highlight w:val="none"/>
              </w:rPr>
            </w:pPr>
          </w:p>
        </w:tc>
        <w:tc>
          <w:tcPr>
            <w:tcW w:w="742" w:type="pct"/>
            <w:vMerge w:val="continue"/>
            <w:tcBorders>
              <w:right w:val="single" w:color="auto" w:sz="4" w:space="0"/>
            </w:tcBorders>
            <w:noWrap w:val="0"/>
            <w:vAlign w:val="center"/>
          </w:tcPr>
          <w:p w14:paraId="3867A3E1">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tcBorders>
            <w:noWrap w:val="0"/>
            <w:vAlign w:val="center"/>
          </w:tcPr>
          <w:p w14:paraId="14EF024A">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auto" w:sz="2" w:space="0"/>
            </w:tcBorders>
            <w:noWrap w:val="0"/>
            <w:vAlign w:val="center"/>
          </w:tcPr>
          <w:p w14:paraId="36375DC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w:t>
            </w:r>
          </w:p>
        </w:tc>
        <w:tc>
          <w:tcPr>
            <w:tcW w:w="641" w:type="pct"/>
            <w:vMerge w:val="continue"/>
            <w:noWrap w:val="0"/>
            <w:vAlign w:val="center"/>
          </w:tcPr>
          <w:p w14:paraId="2CF99B41">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5F4D073F">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5D9BBB9D">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39AFFA66">
            <w:pPr>
              <w:spacing w:line="240" w:lineRule="auto"/>
              <w:ind w:firstLine="0" w:firstLineChars="0"/>
              <w:jc w:val="center"/>
              <w:rPr>
                <w:rFonts w:ascii="Times New Roman" w:hAnsi="Times New Roman"/>
                <w:sz w:val="21"/>
                <w:highlight w:val="none"/>
              </w:rPr>
            </w:pPr>
          </w:p>
        </w:tc>
      </w:tr>
      <w:tr w14:paraId="605276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 w:hRule="atLeast"/>
          <w:jc w:val="center"/>
        </w:trPr>
        <w:tc>
          <w:tcPr>
            <w:tcW w:w="607" w:type="pct"/>
            <w:vMerge w:val="continue"/>
            <w:tcBorders>
              <w:left w:val="nil"/>
            </w:tcBorders>
            <w:noWrap w:val="0"/>
            <w:vAlign w:val="center"/>
          </w:tcPr>
          <w:p w14:paraId="64B82CE7">
            <w:pPr>
              <w:spacing w:line="240" w:lineRule="auto"/>
              <w:ind w:firstLine="0" w:firstLineChars="0"/>
              <w:jc w:val="center"/>
              <w:rPr>
                <w:rFonts w:ascii="Times New Roman" w:hAnsi="Times New Roman"/>
                <w:kern w:val="0"/>
                <w:sz w:val="21"/>
                <w:highlight w:val="none"/>
              </w:rPr>
            </w:pPr>
          </w:p>
        </w:tc>
        <w:tc>
          <w:tcPr>
            <w:tcW w:w="742" w:type="pct"/>
            <w:vMerge w:val="continue"/>
            <w:tcBorders>
              <w:right w:val="single" w:color="auto" w:sz="4" w:space="0"/>
            </w:tcBorders>
            <w:noWrap w:val="0"/>
            <w:vAlign w:val="center"/>
          </w:tcPr>
          <w:p w14:paraId="01FD1538">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tcBorders>
            <w:noWrap w:val="0"/>
            <w:vAlign w:val="center"/>
          </w:tcPr>
          <w:p w14:paraId="60B4910F">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auto" w:sz="2" w:space="0"/>
            </w:tcBorders>
            <w:noWrap w:val="0"/>
            <w:vAlign w:val="center"/>
          </w:tcPr>
          <w:p w14:paraId="654EDD7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氮氧化物</w:t>
            </w:r>
          </w:p>
        </w:tc>
        <w:tc>
          <w:tcPr>
            <w:tcW w:w="641" w:type="pct"/>
            <w:vMerge w:val="continue"/>
            <w:noWrap w:val="0"/>
            <w:vAlign w:val="center"/>
          </w:tcPr>
          <w:p w14:paraId="1E82EEC4">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5A0BAC22">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229D0E91">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7675338F">
            <w:pPr>
              <w:spacing w:line="240" w:lineRule="auto"/>
              <w:ind w:firstLine="0" w:firstLineChars="0"/>
              <w:jc w:val="center"/>
              <w:rPr>
                <w:rFonts w:ascii="Times New Roman" w:hAnsi="Times New Roman"/>
                <w:sz w:val="21"/>
                <w:highlight w:val="none"/>
              </w:rPr>
            </w:pPr>
          </w:p>
        </w:tc>
      </w:tr>
      <w:tr w14:paraId="2B0A71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 w:hRule="atLeast"/>
          <w:jc w:val="center"/>
        </w:trPr>
        <w:tc>
          <w:tcPr>
            <w:tcW w:w="607" w:type="pct"/>
            <w:vMerge w:val="continue"/>
            <w:tcBorders>
              <w:left w:val="nil"/>
            </w:tcBorders>
            <w:noWrap w:val="0"/>
            <w:vAlign w:val="center"/>
          </w:tcPr>
          <w:p w14:paraId="54DCB596">
            <w:pPr>
              <w:spacing w:line="240" w:lineRule="auto"/>
              <w:ind w:firstLine="0" w:firstLineChars="0"/>
              <w:jc w:val="center"/>
              <w:rPr>
                <w:rFonts w:ascii="Times New Roman" w:hAnsi="Times New Roman"/>
                <w:kern w:val="0"/>
                <w:sz w:val="21"/>
                <w:highlight w:val="none"/>
              </w:rPr>
            </w:pPr>
          </w:p>
        </w:tc>
        <w:tc>
          <w:tcPr>
            <w:tcW w:w="742" w:type="pct"/>
            <w:vMerge w:val="continue"/>
            <w:tcBorders>
              <w:right w:val="single" w:color="auto" w:sz="4" w:space="0"/>
            </w:tcBorders>
            <w:noWrap w:val="0"/>
            <w:vAlign w:val="center"/>
          </w:tcPr>
          <w:p w14:paraId="1692F66E">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tcBorders>
            <w:noWrap w:val="0"/>
            <w:vAlign w:val="center"/>
          </w:tcPr>
          <w:p w14:paraId="436E5C3E">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auto" w:sz="2" w:space="0"/>
            </w:tcBorders>
            <w:noWrap w:val="0"/>
            <w:vAlign w:val="center"/>
          </w:tcPr>
          <w:p w14:paraId="1EBB424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汞</w:t>
            </w:r>
          </w:p>
        </w:tc>
        <w:tc>
          <w:tcPr>
            <w:tcW w:w="641" w:type="pct"/>
            <w:vMerge w:val="continue"/>
            <w:noWrap w:val="0"/>
            <w:vAlign w:val="center"/>
          </w:tcPr>
          <w:p w14:paraId="0B08889A">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663CDFFF">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29284A95">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6C709C14">
            <w:pPr>
              <w:spacing w:line="240" w:lineRule="auto"/>
              <w:ind w:firstLine="0" w:firstLineChars="0"/>
              <w:jc w:val="center"/>
              <w:rPr>
                <w:rFonts w:ascii="Times New Roman" w:hAnsi="Times New Roman"/>
                <w:sz w:val="21"/>
                <w:highlight w:val="none"/>
              </w:rPr>
            </w:pPr>
          </w:p>
        </w:tc>
      </w:tr>
      <w:tr w14:paraId="5B2EEB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607" w:type="pct"/>
            <w:vMerge w:val="restart"/>
            <w:tcBorders>
              <w:left w:val="nil"/>
            </w:tcBorders>
            <w:noWrap w:val="0"/>
            <w:vAlign w:val="center"/>
          </w:tcPr>
          <w:p w14:paraId="119A0E2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 xml:space="preserve">2# </w:t>
            </w:r>
          </w:p>
        </w:tc>
        <w:tc>
          <w:tcPr>
            <w:tcW w:w="742" w:type="pct"/>
            <w:vMerge w:val="restart"/>
            <w:tcBorders>
              <w:right w:val="single" w:color="auto" w:sz="4" w:space="0"/>
            </w:tcBorders>
            <w:noWrap w:val="0"/>
            <w:vAlign w:val="center"/>
          </w:tcPr>
          <w:p w14:paraId="7E16CB27">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131.148638</w:t>
            </w:r>
          </w:p>
        </w:tc>
        <w:tc>
          <w:tcPr>
            <w:tcW w:w="689" w:type="pct"/>
            <w:vMerge w:val="restart"/>
            <w:tcBorders>
              <w:left w:val="single" w:color="auto" w:sz="4" w:space="0"/>
            </w:tcBorders>
            <w:noWrap w:val="0"/>
            <w:vAlign w:val="center"/>
          </w:tcPr>
          <w:p w14:paraId="37DE41C1">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44.409106</w:t>
            </w:r>
          </w:p>
        </w:tc>
        <w:tc>
          <w:tcPr>
            <w:tcW w:w="602" w:type="pct"/>
            <w:tcBorders>
              <w:top w:val="single" w:color="auto" w:sz="2" w:space="0"/>
              <w:bottom w:val="single" w:color="auto" w:sz="2" w:space="0"/>
            </w:tcBorders>
            <w:noWrap w:val="0"/>
            <w:vAlign w:val="center"/>
          </w:tcPr>
          <w:p w14:paraId="73460632">
            <w:pPr>
              <w:spacing w:line="240" w:lineRule="auto"/>
              <w:ind w:firstLine="0" w:firstLineChars="0"/>
              <w:jc w:val="center"/>
              <w:rPr>
                <w:rFonts w:ascii="Times New Roman" w:hAnsi="Times New Roman"/>
                <w:sz w:val="21"/>
                <w:highlight w:val="none"/>
              </w:rPr>
            </w:pPr>
            <w:r>
              <w:rPr>
                <w:rFonts w:ascii="Times New Roman" w:hAnsi="Times New Roman"/>
                <w:kern w:val="0"/>
                <w:sz w:val="21"/>
                <w:highlight w:val="none"/>
              </w:rPr>
              <w:t>总悬浮颗粒物</w:t>
            </w:r>
          </w:p>
        </w:tc>
        <w:tc>
          <w:tcPr>
            <w:tcW w:w="641" w:type="pct"/>
            <w:vMerge w:val="continue"/>
            <w:noWrap w:val="0"/>
            <w:vAlign w:val="center"/>
          </w:tcPr>
          <w:p w14:paraId="4FC3DF9E">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73F467C4">
            <w:pPr>
              <w:spacing w:line="240" w:lineRule="auto"/>
              <w:ind w:firstLine="0" w:firstLineChars="0"/>
              <w:jc w:val="center"/>
              <w:rPr>
                <w:rFonts w:ascii="Times New Roman" w:hAnsi="Times New Roman"/>
                <w:sz w:val="21"/>
                <w:highlight w:val="none"/>
              </w:rPr>
            </w:pPr>
          </w:p>
        </w:tc>
        <w:tc>
          <w:tcPr>
            <w:tcW w:w="559" w:type="pct"/>
            <w:vMerge w:val="restart"/>
            <w:noWrap w:val="0"/>
            <w:vAlign w:val="center"/>
          </w:tcPr>
          <w:p w14:paraId="58134AD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NE</w:t>
            </w:r>
          </w:p>
        </w:tc>
        <w:tc>
          <w:tcPr>
            <w:tcW w:w="597" w:type="pct"/>
            <w:vMerge w:val="restart"/>
            <w:tcBorders>
              <w:right w:val="nil"/>
            </w:tcBorders>
            <w:noWrap w:val="0"/>
            <w:vAlign w:val="center"/>
          </w:tcPr>
          <w:p w14:paraId="5D184D6F">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kern w:val="0"/>
                <w:szCs w:val="24"/>
                <w:highlight w:val="none"/>
                <w:lang w:val="en-US" w:eastAsia="zh-CN"/>
              </w:rPr>
              <w:t>100</w:t>
            </w:r>
          </w:p>
        </w:tc>
      </w:tr>
      <w:tr w14:paraId="69BB6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jc w:val="center"/>
        </w:trPr>
        <w:tc>
          <w:tcPr>
            <w:tcW w:w="607" w:type="pct"/>
            <w:vMerge w:val="continue"/>
            <w:tcBorders>
              <w:left w:val="nil"/>
            </w:tcBorders>
            <w:noWrap w:val="0"/>
            <w:vAlign w:val="center"/>
          </w:tcPr>
          <w:p w14:paraId="7C4FC7F0">
            <w:pPr>
              <w:spacing w:line="240" w:lineRule="auto"/>
              <w:ind w:firstLine="0" w:firstLineChars="0"/>
              <w:jc w:val="center"/>
              <w:rPr>
                <w:rFonts w:ascii="Times New Roman" w:hAnsi="Times New Roman"/>
                <w:kern w:val="0"/>
                <w:sz w:val="21"/>
                <w:highlight w:val="none"/>
              </w:rPr>
            </w:pPr>
          </w:p>
        </w:tc>
        <w:tc>
          <w:tcPr>
            <w:tcW w:w="742" w:type="pct"/>
            <w:vMerge w:val="continue"/>
            <w:tcBorders>
              <w:right w:val="single" w:color="auto" w:sz="4" w:space="0"/>
            </w:tcBorders>
            <w:noWrap w:val="0"/>
            <w:vAlign w:val="center"/>
          </w:tcPr>
          <w:p w14:paraId="788E361F">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tcBorders>
            <w:noWrap w:val="0"/>
            <w:vAlign w:val="center"/>
          </w:tcPr>
          <w:p w14:paraId="6CC79399">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auto" w:sz="2" w:space="0"/>
            </w:tcBorders>
            <w:noWrap w:val="0"/>
            <w:vAlign w:val="center"/>
          </w:tcPr>
          <w:p w14:paraId="792D6E1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w:t>
            </w:r>
          </w:p>
        </w:tc>
        <w:tc>
          <w:tcPr>
            <w:tcW w:w="641" w:type="pct"/>
            <w:vMerge w:val="continue"/>
            <w:noWrap w:val="0"/>
            <w:vAlign w:val="center"/>
          </w:tcPr>
          <w:p w14:paraId="237AC0F5">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0290EC16">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6997D674">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3CE64133">
            <w:pPr>
              <w:spacing w:line="240" w:lineRule="auto"/>
              <w:ind w:firstLine="0" w:firstLineChars="0"/>
              <w:jc w:val="center"/>
              <w:rPr>
                <w:rFonts w:ascii="Times New Roman" w:hAnsi="Times New Roman"/>
                <w:sz w:val="21"/>
                <w:highlight w:val="none"/>
              </w:rPr>
            </w:pPr>
          </w:p>
        </w:tc>
      </w:tr>
      <w:tr w14:paraId="1F256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jc w:val="center"/>
        </w:trPr>
        <w:tc>
          <w:tcPr>
            <w:tcW w:w="607" w:type="pct"/>
            <w:vMerge w:val="continue"/>
            <w:tcBorders>
              <w:left w:val="nil"/>
            </w:tcBorders>
            <w:noWrap w:val="0"/>
            <w:vAlign w:val="center"/>
          </w:tcPr>
          <w:p w14:paraId="1D1E223A">
            <w:pPr>
              <w:spacing w:line="240" w:lineRule="auto"/>
              <w:ind w:firstLine="0" w:firstLineChars="0"/>
              <w:jc w:val="center"/>
              <w:rPr>
                <w:rFonts w:ascii="Times New Roman" w:hAnsi="Times New Roman"/>
                <w:kern w:val="0"/>
                <w:sz w:val="21"/>
                <w:highlight w:val="none"/>
              </w:rPr>
            </w:pPr>
          </w:p>
        </w:tc>
        <w:tc>
          <w:tcPr>
            <w:tcW w:w="742" w:type="pct"/>
            <w:vMerge w:val="continue"/>
            <w:tcBorders>
              <w:right w:val="single" w:color="auto" w:sz="4" w:space="0"/>
            </w:tcBorders>
            <w:noWrap w:val="0"/>
            <w:vAlign w:val="center"/>
          </w:tcPr>
          <w:p w14:paraId="2D69AB35">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tcBorders>
            <w:noWrap w:val="0"/>
            <w:vAlign w:val="center"/>
          </w:tcPr>
          <w:p w14:paraId="521D10F9">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auto" w:sz="2" w:space="0"/>
            </w:tcBorders>
            <w:noWrap w:val="0"/>
            <w:vAlign w:val="center"/>
          </w:tcPr>
          <w:p w14:paraId="1F7542E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氮氧化物</w:t>
            </w:r>
          </w:p>
        </w:tc>
        <w:tc>
          <w:tcPr>
            <w:tcW w:w="641" w:type="pct"/>
            <w:vMerge w:val="continue"/>
            <w:noWrap w:val="0"/>
            <w:vAlign w:val="center"/>
          </w:tcPr>
          <w:p w14:paraId="08C8ACC7">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05A2AEA7">
            <w:pPr>
              <w:spacing w:line="240" w:lineRule="auto"/>
              <w:ind w:firstLine="0" w:firstLineChars="0"/>
              <w:jc w:val="center"/>
              <w:rPr>
                <w:rFonts w:ascii="Times New Roman" w:hAnsi="Times New Roman"/>
                <w:sz w:val="21"/>
                <w:highlight w:val="none"/>
              </w:rPr>
            </w:pPr>
          </w:p>
        </w:tc>
        <w:tc>
          <w:tcPr>
            <w:tcW w:w="559" w:type="pct"/>
            <w:vMerge w:val="continue"/>
            <w:noWrap w:val="0"/>
            <w:vAlign w:val="center"/>
          </w:tcPr>
          <w:p w14:paraId="2FDE27CE">
            <w:pPr>
              <w:spacing w:line="240" w:lineRule="auto"/>
              <w:ind w:firstLine="0" w:firstLineChars="0"/>
              <w:jc w:val="center"/>
              <w:rPr>
                <w:rFonts w:ascii="Times New Roman" w:hAnsi="Times New Roman"/>
                <w:sz w:val="21"/>
                <w:highlight w:val="none"/>
              </w:rPr>
            </w:pPr>
          </w:p>
        </w:tc>
        <w:tc>
          <w:tcPr>
            <w:tcW w:w="597" w:type="pct"/>
            <w:vMerge w:val="continue"/>
            <w:tcBorders>
              <w:right w:val="nil"/>
            </w:tcBorders>
            <w:noWrap w:val="0"/>
            <w:vAlign w:val="center"/>
          </w:tcPr>
          <w:p w14:paraId="49EB8B23">
            <w:pPr>
              <w:spacing w:line="240" w:lineRule="auto"/>
              <w:ind w:firstLine="0" w:firstLineChars="0"/>
              <w:jc w:val="center"/>
              <w:rPr>
                <w:rFonts w:ascii="Times New Roman" w:hAnsi="Times New Roman"/>
                <w:sz w:val="21"/>
                <w:highlight w:val="none"/>
              </w:rPr>
            </w:pPr>
          </w:p>
        </w:tc>
      </w:tr>
      <w:tr w14:paraId="2A61C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 w:hRule="atLeast"/>
          <w:jc w:val="center"/>
        </w:trPr>
        <w:tc>
          <w:tcPr>
            <w:tcW w:w="607" w:type="pct"/>
            <w:vMerge w:val="continue"/>
            <w:tcBorders>
              <w:left w:val="nil"/>
              <w:bottom w:val="single" w:color="000000" w:sz="12" w:space="0"/>
            </w:tcBorders>
            <w:noWrap w:val="0"/>
            <w:vAlign w:val="center"/>
          </w:tcPr>
          <w:p w14:paraId="2626DCB8">
            <w:pPr>
              <w:spacing w:line="240" w:lineRule="auto"/>
              <w:ind w:firstLine="0" w:firstLineChars="0"/>
              <w:jc w:val="center"/>
              <w:rPr>
                <w:rFonts w:ascii="Times New Roman" w:hAnsi="Times New Roman"/>
                <w:kern w:val="0"/>
                <w:sz w:val="21"/>
                <w:highlight w:val="none"/>
              </w:rPr>
            </w:pPr>
          </w:p>
        </w:tc>
        <w:tc>
          <w:tcPr>
            <w:tcW w:w="742" w:type="pct"/>
            <w:vMerge w:val="continue"/>
            <w:tcBorders>
              <w:bottom w:val="single" w:color="000000" w:sz="12" w:space="0"/>
              <w:right w:val="single" w:color="auto" w:sz="4" w:space="0"/>
            </w:tcBorders>
            <w:noWrap w:val="0"/>
            <w:vAlign w:val="center"/>
          </w:tcPr>
          <w:p w14:paraId="01FB91AB">
            <w:pPr>
              <w:spacing w:line="240" w:lineRule="auto"/>
              <w:ind w:firstLine="0" w:firstLineChars="0"/>
              <w:jc w:val="center"/>
              <w:rPr>
                <w:rFonts w:ascii="Times New Roman" w:hAnsi="Times New Roman"/>
                <w:kern w:val="0"/>
                <w:sz w:val="21"/>
                <w:highlight w:val="none"/>
              </w:rPr>
            </w:pPr>
          </w:p>
        </w:tc>
        <w:tc>
          <w:tcPr>
            <w:tcW w:w="689" w:type="pct"/>
            <w:vMerge w:val="continue"/>
            <w:tcBorders>
              <w:left w:val="single" w:color="auto" w:sz="4" w:space="0"/>
              <w:bottom w:val="single" w:color="000000" w:sz="12" w:space="0"/>
            </w:tcBorders>
            <w:noWrap w:val="0"/>
            <w:vAlign w:val="center"/>
          </w:tcPr>
          <w:p w14:paraId="3525099C">
            <w:pPr>
              <w:spacing w:line="240" w:lineRule="auto"/>
              <w:ind w:firstLine="0" w:firstLineChars="0"/>
              <w:jc w:val="center"/>
              <w:rPr>
                <w:rFonts w:ascii="Times New Roman" w:hAnsi="Times New Roman"/>
                <w:kern w:val="0"/>
                <w:sz w:val="21"/>
                <w:highlight w:val="none"/>
              </w:rPr>
            </w:pPr>
          </w:p>
        </w:tc>
        <w:tc>
          <w:tcPr>
            <w:tcW w:w="602" w:type="pct"/>
            <w:tcBorders>
              <w:top w:val="single" w:color="auto" w:sz="2" w:space="0"/>
              <w:bottom w:val="single" w:color="000000" w:sz="12" w:space="0"/>
            </w:tcBorders>
            <w:noWrap w:val="0"/>
            <w:vAlign w:val="center"/>
          </w:tcPr>
          <w:p w14:paraId="2D4445C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汞</w:t>
            </w:r>
          </w:p>
        </w:tc>
        <w:tc>
          <w:tcPr>
            <w:tcW w:w="641" w:type="pct"/>
            <w:vMerge w:val="continue"/>
            <w:tcBorders>
              <w:bottom w:val="single" w:color="000000" w:sz="12" w:space="0"/>
            </w:tcBorders>
            <w:noWrap w:val="0"/>
            <w:vAlign w:val="center"/>
          </w:tcPr>
          <w:p w14:paraId="2E81351D">
            <w:pPr>
              <w:spacing w:line="240" w:lineRule="auto"/>
              <w:ind w:firstLine="0" w:firstLineChars="0"/>
              <w:jc w:val="center"/>
              <w:rPr>
                <w:rFonts w:ascii="Times New Roman" w:hAnsi="Times New Roman"/>
                <w:sz w:val="21"/>
                <w:highlight w:val="none"/>
              </w:rPr>
            </w:pPr>
          </w:p>
        </w:tc>
        <w:tc>
          <w:tcPr>
            <w:tcW w:w="559" w:type="pct"/>
            <w:vMerge w:val="continue"/>
            <w:tcBorders>
              <w:bottom w:val="single" w:color="000000" w:sz="12" w:space="0"/>
            </w:tcBorders>
            <w:noWrap w:val="0"/>
            <w:vAlign w:val="center"/>
          </w:tcPr>
          <w:p w14:paraId="045E9C69">
            <w:pPr>
              <w:spacing w:line="240" w:lineRule="auto"/>
              <w:ind w:firstLine="0" w:firstLineChars="0"/>
              <w:jc w:val="center"/>
              <w:rPr>
                <w:rFonts w:ascii="Times New Roman" w:hAnsi="Times New Roman"/>
                <w:sz w:val="21"/>
                <w:highlight w:val="none"/>
              </w:rPr>
            </w:pPr>
          </w:p>
        </w:tc>
        <w:tc>
          <w:tcPr>
            <w:tcW w:w="559" w:type="pct"/>
            <w:vMerge w:val="continue"/>
            <w:tcBorders>
              <w:bottom w:val="single" w:color="000000" w:sz="12" w:space="0"/>
            </w:tcBorders>
            <w:noWrap w:val="0"/>
            <w:vAlign w:val="center"/>
          </w:tcPr>
          <w:p w14:paraId="0A4E83BA">
            <w:pPr>
              <w:spacing w:line="240" w:lineRule="auto"/>
              <w:ind w:firstLine="0" w:firstLineChars="0"/>
              <w:jc w:val="center"/>
              <w:rPr>
                <w:rFonts w:ascii="Times New Roman" w:hAnsi="Times New Roman"/>
                <w:sz w:val="21"/>
                <w:highlight w:val="none"/>
              </w:rPr>
            </w:pPr>
          </w:p>
        </w:tc>
        <w:tc>
          <w:tcPr>
            <w:tcW w:w="597" w:type="pct"/>
            <w:vMerge w:val="continue"/>
            <w:tcBorders>
              <w:bottom w:val="single" w:color="000000" w:sz="12" w:space="0"/>
              <w:right w:val="nil"/>
            </w:tcBorders>
            <w:noWrap w:val="0"/>
            <w:vAlign w:val="center"/>
          </w:tcPr>
          <w:p w14:paraId="0E85FA9F">
            <w:pPr>
              <w:spacing w:line="240" w:lineRule="auto"/>
              <w:ind w:firstLine="0" w:firstLineChars="0"/>
              <w:jc w:val="center"/>
              <w:rPr>
                <w:rFonts w:ascii="Times New Roman" w:hAnsi="Times New Roman"/>
                <w:sz w:val="21"/>
                <w:highlight w:val="none"/>
              </w:rPr>
            </w:pPr>
          </w:p>
        </w:tc>
      </w:tr>
    </w:tbl>
    <w:p w14:paraId="3F23439B">
      <w:pPr>
        <w:pStyle w:val="23"/>
        <w:ind w:firstLine="0" w:firstLineChars="0"/>
        <w:rPr>
          <w:rFonts w:ascii="Times New Roman" w:hAnsi="Times New Roman"/>
          <w:color w:val="auto"/>
          <w:highlight w:val="none"/>
        </w:rPr>
      </w:pPr>
      <w:r>
        <w:rPr>
          <w:highlight w:val="none"/>
        </w:rPr>
        <w:drawing>
          <wp:inline distT="0" distB="0" distL="114300" distR="114300">
            <wp:extent cx="5271135" cy="4521835"/>
            <wp:effectExtent l="0" t="0" r="5715" b="12065"/>
            <wp:docPr id="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6"/>
                    <pic:cNvPicPr>
                      <a:picLocks noChangeAspect="1"/>
                    </pic:cNvPicPr>
                  </pic:nvPicPr>
                  <pic:blipFill>
                    <a:blip r:embed="rId36"/>
                    <a:stretch>
                      <a:fillRect/>
                    </a:stretch>
                  </pic:blipFill>
                  <pic:spPr>
                    <a:xfrm>
                      <a:off x="0" y="0"/>
                      <a:ext cx="5271135" cy="4521835"/>
                    </a:xfrm>
                    <a:prstGeom prst="rect">
                      <a:avLst/>
                    </a:prstGeom>
                    <a:noFill/>
                    <a:ln>
                      <a:noFill/>
                    </a:ln>
                  </pic:spPr>
                </pic:pic>
              </a:graphicData>
            </a:graphic>
          </wp:inline>
        </w:drawing>
      </w:r>
    </w:p>
    <w:p w14:paraId="46AFEE3F">
      <w:pPr>
        <w:ind w:firstLine="480"/>
        <w:jc w:val="center"/>
        <w:rPr>
          <w:rFonts w:hint="eastAsia"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4.3-1</w:t>
      </w:r>
      <w:r>
        <w:rPr>
          <w:rFonts w:hint="eastAsia" w:ascii="黑体" w:hAnsi="黑体" w:eastAsia="黑体" w:cs="黑体"/>
          <w:highlight w:val="none"/>
          <w:lang w:val="en-US" w:eastAsia="zh-CN"/>
        </w:rPr>
        <w:t>大气</w:t>
      </w:r>
      <w:r>
        <w:rPr>
          <w:rFonts w:hint="eastAsia" w:ascii="黑体" w:hAnsi="黑体" w:eastAsia="黑体" w:cs="黑体"/>
          <w:highlight w:val="none"/>
        </w:rPr>
        <w:t>其他污染物补充监测点位图</w:t>
      </w:r>
    </w:p>
    <w:p w14:paraId="78CBC246">
      <w:pPr>
        <w:snapToGrid w:val="0"/>
        <w:spacing w:line="480" w:lineRule="exact"/>
        <w:ind w:firstLine="480"/>
        <w:rPr>
          <w:rFonts w:ascii="Times New Roman" w:hAnsi="Times New Roman"/>
          <w:highlight w:val="none"/>
        </w:rPr>
      </w:pPr>
      <w:r>
        <w:rPr>
          <w:rFonts w:ascii="Times New Roman" w:hAnsi="Times New Roman"/>
          <w:highlight w:val="none"/>
        </w:rPr>
        <w:t>（2）监测因子</w:t>
      </w:r>
    </w:p>
    <w:p w14:paraId="203B0D91">
      <w:pPr>
        <w:snapToGrid w:val="0"/>
        <w:spacing w:line="480" w:lineRule="exact"/>
        <w:ind w:firstLine="480"/>
        <w:rPr>
          <w:rFonts w:ascii="Times New Roman" w:hAnsi="Times New Roman"/>
          <w:highlight w:val="none"/>
        </w:rPr>
      </w:pPr>
      <w:r>
        <w:rPr>
          <w:rFonts w:ascii="Times New Roman" w:hAnsi="Times New Roman"/>
          <w:highlight w:val="none"/>
        </w:rPr>
        <w:t>监测因子包括总悬浮颗粒物、氨、氮氧化物、汞</w:t>
      </w:r>
      <w:r>
        <w:rPr>
          <w:rFonts w:hint="eastAsia" w:ascii="Times New Roman" w:hAnsi="Times New Roman"/>
          <w:highlight w:val="none"/>
          <w:lang w:val="en-US" w:eastAsia="zh-CN"/>
        </w:rPr>
        <w:t>及其化合物</w:t>
      </w:r>
      <w:r>
        <w:rPr>
          <w:rFonts w:ascii="Times New Roman" w:hAnsi="Times New Roman"/>
          <w:highlight w:val="none"/>
        </w:rPr>
        <w:t>共</w:t>
      </w:r>
      <w:r>
        <w:rPr>
          <w:rFonts w:hint="eastAsia" w:ascii="Times New Roman" w:hAnsi="Times New Roman"/>
          <w:highlight w:val="none"/>
          <w:lang w:val="en-US" w:eastAsia="zh-CN"/>
        </w:rPr>
        <w:t>4</w:t>
      </w:r>
      <w:r>
        <w:rPr>
          <w:rFonts w:ascii="Times New Roman" w:hAnsi="Times New Roman"/>
          <w:highlight w:val="none"/>
        </w:rPr>
        <w:t>项。</w:t>
      </w:r>
    </w:p>
    <w:p w14:paraId="5F3B87A9">
      <w:pPr>
        <w:snapToGrid w:val="0"/>
        <w:spacing w:line="480" w:lineRule="exact"/>
        <w:ind w:firstLine="480"/>
        <w:rPr>
          <w:rFonts w:ascii="Times New Roman" w:hAnsi="Times New Roman"/>
          <w:highlight w:val="none"/>
        </w:rPr>
      </w:pPr>
      <w:r>
        <w:rPr>
          <w:rFonts w:ascii="Times New Roman" w:hAnsi="Times New Roman"/>
          <w:highlight w:val="none"/>
        </w:rPr>
        <w:t>（3）监测时间和频率</w:t>
      </w:r>
    </w:p>
    <w:p w14:paraId="0BEDDF8E">
      <w:pPr>
        <w:snapToGrid w:val="0"/>
        <w:spacing w:line="480" w:lineRule="exact"/>
        <w:ind w:firstLine="480"/>
        <w:rPr>
          <w:rFonts w:ascii="Times New Roman" w:hAnsi="Times New Roman"/>
          <w:highlight w:val="none"/>
        </w:rPr>
      </w:pPr>
      <w:r>
        <w:rPr>
          <w:rFonts w:ascii="Times New Roman" w:hAnsi="Times New Roman"/>
          <w:highlight w:val="none"/>
        </w:rPr>
        <w:t>监测时间为202</w:t>
      </w:r>
      <w:r>
        <w:rPr>
          <w:rFonts w:hint="eastAsia" w:ascii="Times New Roman" w:hAnsi="Times New Roman"/>
          <w:highlight w:val="none"/>
          <w:lang w:val="en-US" w:eastAsia="zh-CN"/>
        </w:rPr>
        <w:t>5</w:t>
      </w:r>
      <w:r>
        <w:rPr>
          <w:rFonts w:ascii="Times New Roman" w:hAnsi="Times New Roman"/>
          <w:highlight w:val="none"/>
        </w:rPr>
        <w:t>年</w:t>
      </w:r>
      <w:r>
        <w:rPr>
          <w:rFonts w:hint="eastAsia" w:ascii="Times New Roman" w:hAnsi="Times New Roman"/>
          <w:highlight w:val="none"/>
          <w:lang w:val="en-US" w:eastAsia="zh-CN"/>
        </w:rPr>
        <w:t>10</w:t>
      </w:r>
      <w:r>
        <w:rPr>
          <w:rFonts w:ascii="Times New Roman" w:hAnsi="Times New Roman"/>
          <w:highlight w:val="none"/>
        </w:rPr>
        <w:t>月</w:t>
      </w:r>
      <w:r>
        <w:rPr>
          <w:rFonts w:hint="eastAsia" w:ascii="Times New Roman" w:hAnsi="Times New Roman"/>
          <w:highlight w:val="none"/>
          <w:lang w:val="en-US" w:eastAsia="zh-CN"/>
        </w:rPr>
        <w:t>25</w:t>
      </w:r>
      <w:r>
        <w:rPr>
          <w:rFonts w:ascii="Times New Roman" w:hAnsi="Times New Roman"/>
          <w:highlight w:val="none"/>
        </w:rPr>
        <w:t>日至</w:t>
      </w:r>
      <w:r>
        <w:rPr>
          <w:rFonts w:hint="eastAsia" w:ascii="Times New Roman" w:hAnsi="Times New Roman"/>
          <w:highlight w:val="none"/>
          <w:lang w:val="en-US" w:eastAsia="zh-CN"/>
        </w:rPr>
        <w:t>31</w:t>
      </w:r>
      <w:r>
        <w:rPr>
          <w:rFonts w:ascii="Times New Roman" w:hAnsi="Times New Roman"/>
          <w:highlight w:val="none"/>
        </w:rPr>
        <w:t>日，监测频次见表4-</w:t>
      </w:r>
      <w:r>
        <w:rPr>
          <w:rFonts w:hint="eastAsia" w:ascii="Times New Roman" w:hAnsi="Times New Roman"/>
          <w:highlight w:val="none"/>
        </w:rPr>
        <w:t>3</w:t>
      </w:r>
      <w:r>
        <w:rPr>
          <w:rFonts w:ascii="Times New Roman" w:hAnsi="Times New Roman"/>
          <w:highlight w:val="none"/>
        </w:rPr>
        <w:t>-5。</w:t>
      </w:r>
    </w:p>
    <w:p w14:paraId="3882E93F">
      <w:pPr>
        <w:pStyle w:val="38"/>
        <w:ind w:firstLine="480"/>
        <w:rPr>
          <w:rFonts w:ascii="Times New Roman" w:hAnsi="Times New Roman"/>
          <w:szCs w:val="22"/>
          <w:highlight w:val="none"/>
        </w:rPr>
      </w:pPr>
      <w:r>
        <w:rPr>
          <w:rFonts w:ascii="Times New Roman" w:hAnsi="Times New Roman"/>
          <w:szCs w:val="22"/>
          <w:highlight w:val="none"/>
        </w:rPr>
        <w:t>表4.3-5 监测频次一览表</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2427"/>
        <w:gridCol w:w="4335"/>
      </w:tblGrid>
      <w:tr w14:paraId="0D066B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455" w:type="pct"/>
            <w:gridSpan w:val="2"/>
            <w:noWrap w:val="0"/>
            <w:vAlign w:val="center"/>
          </w:tcPr>
          <w:p w14:paraId="0EEF9C3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监测项目</w:t>
            </w:r>
          </w:p>
        </w:tc>
        <w:tc>
          <w:tcPr>
            <w:tcW w:w="2544" w:type="pct"/>
            <w:noWrap w:val="0"/>
            <w:vAlign w:val="center"/>
          </w:tcPr>
          <w:p w14:paraId="6A48806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监测频次</w:t>
            </w:r>
          </w:p>
        </w:tc>
      </w:tr>
      <w:tr w14:paraId="4BCF7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31" w:type="pct"/>
            <w:noWrap w:val="0"/>
            <w:vAlign w:val="center"/>
          </w:tcPr>
          <w:p w14:paraId="0CFBF75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w:t>
            </w:r>
          </w:p>
        </w:tc>
        <w:tc>
          <w:tcPr>
            <w:tcW w:w="1424" w:type="pct"/>
            <w:noWrap w:val="0"/>
            <w:vAlign w:val="center"/>
          </w:tcPr>
          <w:p w14:paraId="5339236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2544" w:type="pct"/>
            <w:noWrap w:val="0"/>
            <w:vAlign w:val="center"/>
          </w:tcPr>
          <w:p w14:paraId="7159ABE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连续监测7天，每小时连续采样45min</w:t>
            </w:r>
          </w:p>
        </w:tc>
      </w:tr>
      <w:tr w14:paraId="3620D2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31" w:type="pct"/>
            <w:noWrap w:val="0"/>
            <w:vAlign w:val="center"/>
          </w:tcPr>
          <w:p w14:paraId="3C5B2BF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氮氧化物</w:t>
            </w:r>
          </w:p>
        </w:tc>
        <w:tc>
          <w:tcPr>
            <w:tcW w:w="1424" w:type="pct"/>
            <w:noWrap w:val="0"/>
            <w:vAlign w:val="center"/>
          </w:tcPr>
          <w:p w14:paraId="68230E0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2544" w:type="pct"/>
            <w:noWrap w:val="0"/>
            <w:vAlign w:val="center"/>
          </w:tcPr>
          <w:p w14:paraId="4FC44A4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连续监测7天，每小时连续采样45min</w:t>
            </w:r>
          </w:p>
        </w:tc>
      </w:tr>
      <w:tr w14:paraId="447D60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31" w:type="pct"/>
            <w:noWrap w:val="0"/>
            <w:vAlign w:val="center"/>
          </w:tcPr>
          <w:p w14:paraId="788B24B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总悬浮颗粒物</w:t>
            </w:r>
          </w:p>
        </w:tc>
        <w:tc>
          <w:tcPr>
            <w:tcW w:w="1424" w:type="pct"/>
            <w:noWrap w:val="0"/>
            <w:vAlign w:val="center"/>
          </w:tcPr>
          <w:p w14:paraId="665944D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2544" w:type="pct"/>
            <w:noWrap w:val="0"/>
            <w:vAlign w:val="center"/>
          </w:tcPr>
          <w:p w14:paraId="6FADE81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连续监测7天，每天24h采样时间</w:t>
            </w:r>
          </w:p>
        </w:tc>
      </w:tr>
      <w:tr w14:paraId="2762FB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31" w:type="pct"/>
            <w:noWrap w:val="0"/>
            <w:vAlign w:val="center"/>
          </w:tcPr>
          <w:p w14:paraId="01498AC5">
            <w:pPr>
              <w:spacing w:line="240" w:lineRule="auto"/>
              <w:ind w:firstLine="0" w:firstLineChars="0"/>
              <w:jc w:val="center"/>
              <w:rPr>
                <w:rFonts w:hint="default" w:ascii="Times New Roman" w:hAnsi="Times New Roman" w:eastAsia="宋体"/>
                <w:kern w:val="0"/>
                <w:sz w:val="21"/>
                <w:highlight w:val="none"/>
                <w:lang w:val="en-US" w:eastAsia="zh-CN"/>
              </w:rPr>
            </w:pPr>
            <w:r>
              <w:rPr>
                <w:rFonts w:ascii="Times New Roman" w:hAnsi="Times New Roman"/>
                <w:kern w:val="0"/>
                <w:sz w:val="21"/>
                <w:highlight w:val="none"/>
              </w:rPr>
              <w:t>汞</w:t>
            </w:r>
            <w:r>
              <w:rPr>
                <w:rFonts w:hint="eastAsia" w:ascii="Times New Roman" w:hAnsi="Times New Roman"/>
                <w:kern w:val="0"/>
                <w:sz w:val="21"/>
                <w:highlight w:val="none"/>
                <w:lang w:val="en-US" w:eastAsia="zh-CN"/>
              </w:rPr>
              <w:t>及其化合物</w:t>
            </w:r>
          </w:p>
        </w:tc>
        <w:tc>
          <w:tcPr>
            <w:tcW w:w="1424" w:type="pct"/>
            <w:noWrap w:val="0"/>
            <w:vAlign w:val="center"/>
          </w:tcPr>
          <w:p w14:paraId="6E406F4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2544" w:type="pct"/>
            <w:noWrap w:val="0"/>
            <w:vAlign w:val="center"/>
          </w:tcPr>
          <w:p w14:paraId="41BBAA7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连续监测7天，每天24h采样时间</w:t>
            </w:r>
          </w:p>
        </w:tc>
      </w:tr>
    </w:tbl>
    <w:p w14:paraId="3109E654">
      <w:pPr>
        <w:snapToGrid w:val="0"/>
        <w:spacing w:line="480" w:lineRule="exact"/>
        <w:ind w:firstLine="480"/>
        <w:rPr>
          <w:rFonts w:ascii="Times New Roman" w:hAnsi="Times New Roman"/>
          <w:highlight w:val="none"/>
        </w:rPr>
      </w:pPr>
      <w:r>
        <w:rPr>
          <w:rFonts w:ascii="Times New Roman" w:hAnsi="Times New Roman"/>
          <w:highlight w:val="none"/>
        </w:rPr>
        <w:t>（4）监测技术方法</w:t>
      </w:r>
    </w:p>
    <w:p w14:paraId="24F861E5">
      <w:pPr>
        <w:snapToGrid w:val="0"/>
        <w:spacing w:line="480" w:lineRule="exact"/>
        <w:ind w:firstLine="480"/>
        <w:rPr>
          <w:rFonts w:ascii="Times New Roman" w:hAnsi="Times New Roman"/>
          <w:highlight w:val="none"/>
        </w:rPr>
      </w:pPr>
      <w:r>
        <w:rPr>
          <w:rFonts w:ascii="Times New Roman" w:hAnsi="Times New Roman"/>
          <w:highlight w:val="none"/>
        </w:rPr>
        <w:t>按照《大气环境监测方法标准》、《环境空气质量标准》（GB3095-2012）等国家相关技术方法要求。</w:t>
      </w:r>
    </w:p>
    <w:p w14:paraId="77B54576">
      <w:pPr>
        <w:snapToGrid w:val="0"/>
        <w:spacing w:line="480" w:lineRule="exact"/>
        <w:ind w:firstLine="480"/>
        <w:rPr>
          <w:rFonts w:ascii="Times New Roman" w:hAnsi="Times New Roman"/>
          <w:highlight w:val="none"/>
        </w:rPr>
      </w:pPr>
      <w:bookmarkStart w:id="117" w:name="_Toc409"/>
      <w:r>
        <w:rPr>
          <w:rFonts w:ascii="Times New Roman" w:hAnsi="Times New Roman"/>
          <w:highlight w:val="none"/>
        </w:rPr>
        <w:t>（5）评价方法</w:t>
      </w:r>
      <w:bookmarkEnd w:id="117"/>
    </w:p>
    <w:p w14:paraId="6571ACC4">
      <w:pPr>
        <w:snapToGrid w:val="0"/>
        <w:spacing w:line="480" w:lineRule="exact"/>
        <w:ind w:firstLine="480"/>
        <w:rPr>
          <w:rFonts w:ascii="Times New Roman" w:hAnsi="Times New Roman"/>
          <w:highlight w:val="none"/>
        </w:rPr>
      </w:pPr>
      <w:r>
        <w:rPr>
          <w:rFonts w:ascii="Times New Roman" w:hAnsi="Times New Roman"/>
          <w:highlight w:val="none"/>
        </w:rPr>
        <w:t>根据《环境影响评价技术导则 大气环境》（HJ2.2-2018），监测结果统计分析要求以列表的方式给出各监测点大气污染物的不同取值时间的变化范围，计算并列表给出各取值时间最大浓度值占相应浓度标准浓度限值的百分比和超标率，并评价达标情况。</w:t>
      </w:r>
    </w:p>
    <w:p w14:paraId="3D717297">
      <w:pPr>
        <w:pStyle w:val="38"/>
        <w:ind w:firstLine="480"/>
        <w:jc w:val="right"/>
        <w:rPr>
          <w:rFonts w:ascii="Times New Roman" w:hAnsi="Times New Roman"/>
          <w:szCs w:val="22"/>
          <w:highlight w:val="none"/>
        </w:rPr>
      </w:pPr>
      <w:r>
        <w:rPr>
          <w:rFonts w:ascii="Times New Roman" w:hAnsi="Times New Roman"/>
          <w:szCs w:val="22"/>
          <w:highlight w:val="none"/>
        </w:rPr>
        <w:t>表 4.3-6 监测数据统计结果             单位：mg/m</w:t>
      </w:r>
      <w:r>
        <w:rPr>
          <w:rFonts w:ascii="Times New Roman" w:hAnsi="Times New Roman"/>
          <w:szCs w:val="22"/>
          <w:highlight w:val="none"/>
          <w:vertAlign w:val="superscript"/>
        </w:rPr>
        <w:t>3</w:t>
      </w:r>
    </w:p>
    <w:tbl>
      <w:tblPr>
        <w:tblStyle w:val="17"/>
        <w:tblW w:w="847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7"/>
        <w:gridCol w:w="888"/>
        <w:gridCol w:w="935"/>
        <w:gridCol w:w="750"/>
        <w:gridCol w:w="1015"/>
        <w:gridCol w:w="716"/>
        <w:gridCol w:w="1298"/>
        <w:gridCol w:w="773"/>
        <w:gridCol w:w="727"/>
        <w:gridCol w:w="727"/>
      </w:tblGrid>
      <w:tr w14:paraId="5E4F24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tblHeader/>
          <w:jc w:val="center"/>
        </w:trPr>
        <w:tc>
          <w:tcPr>
            <w:tcW w:w="647" w:type="dxa"/>
            <w:vMerge w:val="restart"/>
            <w:noWrap w:val="0"/>
            <w:vAlign w:val="center"/>
          </w:tcPr>
          <w:p w14:paraId="4C7597C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监测点位</w:t>
            </w:r>
          </w:p>
        </w:tc>
        <w:tc>
          <w:tcPr>
            <w:tcW w:w="1823" w:type="dxa"/>
            <w:gridSpan w:val="2"/>
            <w:noWrap w:val="0"/>
            <w:vAlign w:val="center"/>
          </w:tcPr>
          <w:p w14:paraId="6D7ED47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监测点坐标</w:t>
            </w:r>
          </w:p>
        </w:tc>
        <w:tc>
          <w:tcPr>
            <w:tcW w:w="750" w:type="dxa"/>
            <w:vMerge w:val="restart"/>
            <w:noWrap w:val="0"/>
            <w:vAlign w:val="center"/>
          </w:tcPr>
          <w:p w14:paraId="27CC642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污染物</w:t>
            </w:r>
          </w:p>
        </w:tc>
        <w:tc>
          <w:tcPr>
            <w:tcW w:w="1015" w:type="dxa"/>
            <w:vMerge w:val="restart"/>
            <w:noWrap w:val="0"/>
            <w:vAlign w:val="center"/>
          </w:tcPr>
          <w:p w14:paraId="049D918B">
            <w:pPr>
              <w:spacing w:line="240" w:lineRule="auto"/>
              <w:ind w:firstLine="0" w:firstLineChars="0"/>
              <w:jc w:val="center"/>
              <w:rPr>
                <w:rFonts w:ascii="Times New Roman" w:hAnsi="Times New Roman"/>
                <w:kern w:val="0"/>
                <w:sz w:val="21"/>
                <w:highlight w:val="none"/>
              </w:rPr>
            </w:pPr>
            <w:r>
              <w:rPr>
                <w:rFonts w:ascii="Times New Roman" w:hAnsi="Times New Roman"/>
                <w:sz w:val="21"/>
                <w:szCs w:val="21"/>
                <w:highlight w:val="none"/>
              </w:rPr>
              <w:t>平均时间</w:t>
            </w:r>
          </w:p>
        </w:tc>
        <w:tc>
          <w:tcPr>
            <w:tcW w:w="716" w:type="dxa"/>
            <w:vMerge w:val="restart"/>
            <w:noWrap w:val="0"/>
            <w:vAlign w:val="center"/>
          </w:tcPr>
          <w:p w14:paraId="1C44792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评价标准</w:t>
            </w:r>
          </w:p>
        </w:tc>
        <w:tc>
          <w:tcPr>
            <w:tcW w:w="1298" w:type="dxa"/>
            <w:vMerge w:val="restart"/>
            <w:noWrap w:val="0"/>
            <w:vAlign w:val="center"/>
          </w:tcPr>
          <w:p w14:paraId="3D77A995">
            <w:pPr>
              <w:spacing w:line="240" w:lineRule="auto"/>
              <w:ind w:firstLine="0" w:firstLineChars="0"/>
              <w:jc w:val="center"/>
              <w:rPr>
                <w:rFonts w:ascii="Times New Roman" w:hAnsi="Times New Roman"/>
                <w:kern w:val="0"/>
                <w:sz w:val="21"/>
                <w:highlight w:val="none"/>
              </w:rPr>
            </w:pPr>
            <w:r>
              <w:rPr>
                <w:rFonts w:ascii="Times New Roman" w:hAnsi="Times New Roman"/>
                <w:sz w:val="21"/>
                <w:szCs w:val="21"/>
                <w:highlight w:val="none"/>
              </w:rPr>
              <w:t>监测浓度范围</w:t>
            </w:r>
          </w:p>
        </w:tc>
        <w:tc>
          <w:tcPr>
            <w:tcW w:w="773" w:type="dxa"/>
            <w:vMerge w:val="restart"/>
            <w:noWrap w:val="0"/>
            <w:vAlign w:val="center"/>
          </w:tcPr>
          <w:p w14:paraId="6A31694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最大占标率%</w:t>
            </w:r>
          </w:p>
        </w:tc>
        <w:tc>
          <w:tcPr>
            <w:tcW w:w="727" w:type="dxa"/>
            <w:vMerge w:val="restart"/>
            <w:noWrap w:val="0"/>
            <w:vAlign w:val="center"/>
          </w:tcPr>
          <w:p w14:paraId="2DE7F5A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超标频率%</w:t>
            </w:r>
          </w:p>
        </w:tc>
        <w:tc>
          <w:tcPr>
            <w:tcW w:w="727" w:type="dxa"/>
            <w:vMerge w:val="restart"/>
            <w:noWrap w:val="0"/>
            <w:vAlign w:val="center"/>
          </w:tcPr>
          <w:p w14:paraId="369D6A4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达标情况</w:t>
            </w:r>
          </w:p>
        </w:tc>
      </w:tr>
      <w:tr w14:paraId="070B53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 w:hRule="atLeast"/>
          <w:tblHeader/>
          <w:jc w:val="center"/>
        </w:trPr>
        <w:tc>
          <w:tcPr>
            <w:tcW w:w="647" w:type="dxa"/>
            <w:vMerge w:val="continue"/>
            <w:noWrap w:val="0"/>
            <w:vAlign w:val="center"/>
          </w:tcPr>
          <w:p w14:paraId="1BEA0927">
            <w:pPr>
              <w:spacing w:line="240" w:lineRule="auto"/>
              <w:ind w:firstLine="0" w:firstLineChars="0"/>
              <w:jc w:val="center"/>
              <w:rPr>
                <w:rFonts w:ascii="Times New Roman" w:hAnsi="Times New Roman"/>
                <w:kern w:val="0"/>
                <w:sz w:val="21"/>
                <w:highlight w:val="none"/>
              </w:rPr>
            </w:pPr>
          </w:p>
        </w:tc>
        <w:tc>
          <w:tcPr>
            <w:tcW w:w="888" w:type="dxa"/>
            <w:noWrap w:val="0"/>
            <w:vAlign w:val="center"/>
          </w:tcPr>
          <w:p w14:paraId="30D2FCD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东经</w:t>
            </w:r>
          </w:p>
        </w:tc>
        <w:tc>
          <w:tcPr>
            <w:tcW w:w="935" w:type="dxa"/>
            <w:noWrap w:val="0"/>
            <w:vAlign w:val="center"/>
          </w:tcPr>
          <w:p w14:paraId="000BBEBD">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北纬</w:t>
            </w:r>
          </w:p>
        </w:tc>
        <w:tc>
          <w:tcPr>
            <w:tcW w:w="750" w:type="dxa"/>
            <w:vMerge w:val="continue"/>
            <w:noWrap w:val="0"/>
            <w:vAlign w:val="center"/>
          </w:tcPr>
          <w:p w14:paraId="40D82C6B">
            <w:pPr>
              <w:spacing w:line="240" w:lineRule="auto"/>
              <w:ind w:firstLine="0" w:firstLineChars="0"/>
              <w:jc w:val="center"/>
              <w:rPr>
                <w:rFonts w:ascii="Times New Roman" w:hAnsi="Times New Roman"/>
                <w:kern w:val="0"/>
                <w:sz w:val="21"/>
                <w:highlight w:val="none"/>
              </w:rPr>
            </w:pPr>
          </w:p>
        </w:tc>
        <w:tc>
          <w:tcPr>
            <w:tcW w:w="1015" w:type="dxa"/>
            <w:vMerge w:val="continue"/>
            <w:noWrap w:val="0"/>
            <w:vAlign w:val="center"/>
          </w:tcPr>
          <w:p w14:paraId="519BF7E5">
            <w:pPr>
              <w:spacing w:line="240" w:lineRule="auto"/>
              <w:ind w:firstLine="0" w:firstLineChars="0"/>
              <w:jc w:val="center"/>
              <w:rPr>
                <w:rFonts w:ascii="Times New Roman" w:hAnsi="Times New Roman"/>
                <w:kern w:val="0"/>
                <w:sz w:val="21"/>
                <w:highlight w:val="none"/>
              </w:rPr>
            </w:pPr>
          </w:p>
        </w:tc>
        <w:tc>
          <w:tcPr>
            <w:tcW w:w="716" w:type="dxa"/>
            <w:vMerge w:val="continue"/>
            <w:noWrap w:val="0"/>
            <w:vAlign w:val="center"/>
          </w:tcPr>
          <w:p w14:paraId="4A9487A3">
            <w:pPr>
              <w:spacing w:line="240" w:lineRule="auto"/>
              <w:ind w:firstLine="0" w:firstLineChars="0"/>
              <w:jc w:val="center"/>
              <w:rPr>
                <w:rFonts w:ascii="Times New Roman" w:hAnsi="Times New Roman"/>
                <w:kern w:val="0"/>
                <w:sz w:val="21"/>
                <w:highlight w:val="none"/>
              </w:rPr>
            </w:pPr>
          </w:p>
        </w:tc>
        <w:tc>
          <w:tcPr>
            <w:tcW w:w="1298" w:type="dxa"/>
            <w:vMerge w:val="continue"/>
            <w:noWrap w:val="0"/>
            <w:vAlign w:val="center"/>
          </w:tcPr>
          <w:p w14:paraId="66FC2C63">
            <w:pPr>
              <w:spacing w:line="240" w:lineRule="auto"/>
              <w:ind w:firstLine="0" w:firstLineChars="0"/>
              <w:jc w:val="center"/>
              <w:rPr>
                <w:rFonts w:ascii="Times New Roman" w:hAnsi="Times New Roman"/>
                <w:kern w:val="0"/>
                <w:sz w:val="21"/>
                <w:highlight w:val="none"/>
              </w:rPr>
            </w:pPr>
          </w:p>
        </w:tc>
        <w:tc>
          <w:tcPr>
            <w:tcW w:w="773" w:type="dxa"/>
            <w:vMerge w:val="continue"/>
            <w:noWrap w:val="0"/>
            <w:vAlign w:val="center"/>
          </w:tcPr>
          <w:p w14:paraId="55B0CB4C">
            <w:pPr>
              <w:spacing w:line="240" w:lineRule="auto"/>
              <w:ind w:firstLine="0" w:firstLineChars="0"/>
              <w:jc w:val="center"/>
              <w:rPr>
                <w:rFonts w:ascii="Times New Roman" w:hAnsi="Times New Roman"/>
                <w:kern w:val="0"/>
                <w:sz w:val="21"/>
                <w:highlight w:val="none"/>
              </w:rPr>
            </w:pPr>
          </w:p>
        </w:tc>
        <w:tc>
          <w:tcPr>
            <w:tcW w:w="727" w:type="dxa"/>
            <w:vMerge w:val="continue"/>
            <w:noWrap w:val="0"/>
            <w:vAlign w:val="center"/>
          </w:tcPr>
          <w:p w14:paraId="4C3BFC6F">
            <w:pPr>
              <w:spacing w:line="240" w:lineRule="auto"/>
              <w:ind w:firstLine="0" w:firstLineChars="0"/>
              <w:jc w:val="center"/>
              <w:rPr>
                <w:rFonts w:ascii="Times New Roman" w:hAnsi="Times New Roman"/>
                <w:kern w:val="0"/>
                <w:sz w:val="21"/>
                <w:highlight w:val="none"/>
              </w:rPr>
            </w:pPr>
          </w:p>
        </w:tc>
        <w:tc>
          <w:tcPr>
            <w:tcW w:w="727" w:type="dxa"/>
            <w:vMerge w:val="continue"/>
            <w:noWrap w:val="0"/>
            <w:vAlign w:val="center"/>
          </w:tcPr>
          <w:p w14:paraId="6963DEB4">
            <w:pPr>
              <w:spacing w:line="240" w:lineRule="auto"/>
              <w:ind w:firstLine="0" w:firstLineChars="0"/>
              <w:jc w:val="center"/>
              <w:rPr>
                <w:rFonts w:ascii="Times New Roman" w:hAnsi="Times New Roman"/>
                <w:kern w:val="0"/>
                <w:sz w:val="21"/>
                <w:highlight w:val="none"/>
              </w:rPr>
            </w:pPr>
          </w:p>
        </w:tc>
      </w:tr>
      <w:tr w14:paraId="5D0E1C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647" w:type="dxa"/>
            <w:vMerge w:val="restart"/>
            <w:noWrap w:val="0"/>
            <w:vAlign w:val="center"/>
          </w:tcPr>
          <w:p w14:paraId="31745EF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 xml:space="preserve">1# </w:t>
            </w:r>
          </w:p>
        </w:tc>
        <w:tc>
          <w:tcPr>
            <w:tcW w:w="888" w:type="dxa"/>
            <w:vMerge w:val="restart"/>
            <w:noWrap w:val="0"/>
            <w:vAlign w:val="center"/>
          </w:tcPr>
          <w:p w14:paraId="2A75B24A">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131.148498</w:t>
            </w:r>
          </w:p>
        </w:tc>
        <w:tc>
          <w:tcPr>
            <w:tcW w:w="935" w:type="dxa"/>
            <w:vMerge w:val="restart"/>
            <w:noWrap w:val="0"/>
            <w:vAlign w:val="center"/>
          </w:tcPr>
          <w:p w14:paraId="74E9F130">
            <w:pPr>
              <w:spacing w:line="240" w:lineRule="auto"/>
              <w:ind w:firstLine="0" w:firstLineChars="0"/>
              <w:rPr>
                <w:rFonts w:ascii="Times New Roman" w:hAnsi="Times New Roman"/>
                <w:kern w:val="0"/>
                <w:sz w:val="21"/>
                <w:highlight w:val="none"/>
              </w:rPr>
            </w:pPr>
            <w:r>
              <w:rPr>
                <w:rFonts w:hint="eastAsia" w:ascii="Times New Roman" w:hAnsi="Times New Roman"/>
                <w:kern w:val="0"/>
                <w:sz w:val="21"/>
                <w:highlight w:val="none"/>
                <w:lang w:val="en-US" w:eastAsia="zh-CN"/>
              </w:rPr>
              <w:t>44.409673</w:t>
            </w:r>
          </w:p>
        </w:tc>
        <w:tc>
          <w:tcPr>
            <w:tcW w:w="750" w:type="dxa"/>
            <w:noWrap w:val="0"/>
            <w:vAlign w:val="center"/>
          </w:tcPr>
          <w:p w14:paraId="7AB13FB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总悬浮颗粒物</w:t>
            </w:r>
          </w:p>
        </w:tc>
        <w:tc>
          <w:tcPr>
            <w:tcW w:w="1015" w:type="dxa"/>
            <w:noWrap w:val="0"/>
            <w:vAlign w:val="center"/>
          </w:tcPr>
          <w:p w14:paraId="32CE55B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716" w:type="dxa"/>
            <w:noWrap w:val="0"/>
            <w:vAlign w:val="center"/>
          </w:tcPr>
          <w:p w14:paraId="4A5C95B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0.3</w:t>
            </w:r>
          </w:p>
        </w:tc>
        <w:tc>
          <w:tcPr>
            <w:tcW w:w="1298" w:type="dxa"/>
            <w:noWrap w:val="0"/>
            <w:vAlign w:val="center"/>
          </w:tcPr>
          <w:p w14:paraId="3131DC21">
            <w:pPr>
              <w:spacing w:line="240" w:lineRule="auto"/>
              <w:ind w:firstLine="0" w:firstLineChars="0"/>
              <w:jc w:val="center"/>
              <w:rPr>
                <w:rFonts w:hint="default" w:ascii="Times New Roman" w:hAnsi="Times New Roman" w:eastAsia="宋体"/>
                <w:kern w:val="0"/>
                <w:sz w:val="21"/>
                <w:highlight w:val="none"/>
                <w:lang w:val="en-US" w:eastAsia="zh-CN"/>
              </w:rPr>
            </w:pPr>
            <w:r>
              <w:rPr>
                <w:rFonts w:ascii="Times New Roman" w:hAnsi="Times New Roman"/>
                <w:kern w:val="0"/>
                <w:sz w:val="21"/>
                <w:highlight w:val="none"/>
              </w:rPr>
              <w:t>0.</w:t>
            </w:r>
            <w:r>
              <w:rPr>
                <w:rFonts w:hint="eastAsia" w:ascii="Times New Roman" w:hAnsi="Times New Roman"/>
                <w:kern w:val="0"/>
                <w:sz w:val="21"/>
                <w:highlight w:val="none"/>
                <w:lang w:val="en-US" w:eastAsia="zh-CN"/>
              </w:rPr>
              <w:t>187</w:t>
            </w:r>
            <w:r>
              <w:rPr>
                <w:rFonts w:ascii="Times New Roman" w:hAnsi="Times New Roman"/>
                <w:kern w:val="0"/>
                <w:sz w:val="21"/>
                <w:highlight w:val="none"/>
              </w:rPr>
              <w:t>-0.</w:t>
            </w:r>
            <w:r>
              <w:rPr>
                <w:rFonts w:hint="eastAsia" w:ascii="Times New Roman" w:hAnsi="Times New Roman"/>
                <w:kern w:val="0"/>
                <w:sz w:val="21"/>
                <w:highlight w:val="none"/>
                <w:lang w:val="en-US" w:eastAsia="zh-CN"/>
              </w:rPr>
              <w:t>224</w:t>
            </w:r>
          </w:p>
        </w:tc>
        <w:tc>
          <w:tcPr>
            <w:tcW w:w="773" w:type="dxa"/>
            <w:noWrap w:val="0"/>
            <w:vAlign w:val="center"/>
          </w:tcPr>
          <w:p w14:paraId="156D8688">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74.7</w:t>
            </w:r>
          </w:p>
        </w:tc>
        <w:tc>
          <w:tcPr>
            <w:tcW w:w="727" w:type="dxa"/>
            <w:noWrap w:val="0"/>
            <w:vAlign w:val="center"/>
          </w:tcPr>
          <w:p w14:paraId="542E78E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6F0FBC1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1FF368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47" w:type="dxa"/>
            <w:vMerge w:val="continue"/>
            <w:noWrap w:val="0"/>
            <w:vAlign w:val="center"/>
          </w:tcPr>
          <w:p w14:paraId="22389998">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392E639C">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0B1035C9">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3DB6D95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w:t>
            </w:r>
          </w:p>
        </w:tc>
        <w:tc>
          <w:tcPr>
            <w:tcW w:w="1015" w:type="dxa"/>
            <w:noWrap w:val="0"/>
            <w:vAlign w:val="center"/>
          </w:tcPr>
          <w:p w14:paraId="7D9CBAE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716" w:type="dxa"/>
            <w:noWrap w:val="0"/>
            <w:vAlign w:val="center"/>
          </w:tcPr>
          <w:p w14:paraId="1D88092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0.2</w:t>
            </w:r>
          </w:p>
        </w:tc>
        <w:tc>
          <w:tcPr>
            <w:tcW w:w="1298" w:type="dxa"/>
            <w:noWrap w:val="0"/>
            <w:vAlign w:val="center"/>
          </w:tcPr>
          <w:p w14:paraId="2350FC6D">
            <w:pPr>
              <w:spacing w:line="240" w:lineRule="auto"/>
              <w:ind w:firstLine="0" w:firstLineChars="0"/>
              <w:jc w:val="center"/>
              <w:rPr>
                <w:rFonts w:hint="default" w:ascii="Times New Roman" w:hAnsi="Times New Roman"/>
                <w:kern w:val="0"/>
                <w:sz w:val="21"/>
                <w:highlight w:val="none"/>
                <w:lang w:val="en-US"/>
              </w:rPr>
            </w:pPr>
            <w:r>
              <w:rPr>
                <w:rFonts w:ascii="Times New Roman" w:hAnsi="Times New Roman"/>
                <w:kern w:val="0"/>
                <w:sz w:val="21"/>
                <w:highlight w:val="none"/>
              </w:rPr>
              <w:t>0.</w:t>
            </w:r>
            <w:r>
              <w:rPr>
                <w:rFonts w:hint="eastAsia" w:ascii="Times New Roman" w:hAnsi="Times New Roman"/>
                <w:kern w:val="0"/>
                <w:sz w:val="21"/>
                <w:highlight w:val="none"/>
                <w:lang w:val="en-US" w:eastAsia="zh-CN"/>
              </w:rPr>
              <w:t>02</w:t>
            </w:r>
            <w:r>
              <w:rPr>
                <w:rFonts w:ascii="Times New Roman" w:hAnsi="Times New Roman"/>
                <w:kern w:val="0"/>
                <w:sz w:val="21"/>
                <w:highlight w:val="none"/>
              </w:rPr>
              <w:t>-0.</w:t>
            </w:r>
            <w:r>
              <w:rPr>
                <w:rFonts w:hint="eastAsia" w:ascii="Times New Roman" w:hAnsi="Times New Roman"/>
                <w:kern w:val="0"/>
                <w:sz w:val="21"/>
                <w:highlight w:val="none"/>
                <w:lang w:val="en-US" w:eastAsia="zh-CN"/>
              </w:rPr>
              <w:t>05</w:t>
            </w:r>
          </w:p>
        </w:tc>
        <w:tc>
          <w:tcPr>
            <w:tcW w:w="773" w:type="dxa"/>
            <w:noWrap w:val="0"/>
            <w:vAlign w:val="center"/>
          </w:tcPr>
          <w:p w14:paraId="234EAB71">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25</w:t>
            </w:r>
          </w:p>
        </w:tc>
        <w:tc>
          <w:tcPr>
            <w:tcW w:w="727" w:type="dxa"/>
            <w:noWrap w:val="0"/>
            <w:vAlign w:val="center"/>
          </w:tcPr>
          <w:p w14:paraId="3C66E58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1D5CF9C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505E9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continue"/>
            <w:noWrap w:val="0"/>
            <w:vAlign w:val="center"/>
          </w:tcPr>
          <w:p w14:paraId="0E6B2A09">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08599AE5">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7A748339">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1C821EDD">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氮氧化物</w:t>
            </w:r>
          </w:p>
        </w:tc>
        <w:tc>
          <w:tcPr>
            <w:tcW w:w="1015" w:type="dxa"/>
            <w:noWrap w:val="0"/>
            <w:vAlign w:val="center"/>
          </w:tcPr>
          <w:p w14:paraId="6F5DF6A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716" w:type="dxa"/>
            <w:noWrap w:val="0"/>
            <w:vAlign w:val="center"/>
          </w:tcPr>
          <w:p w14:paraId="75FAF4D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0.25</w:t>
            </w:r>
          </w:p>
        </w:tc>
        <w:tc>
          <w:tcPr>
            <w:tcW w:w="1298" w:type="dxa"/>
            <w:noWrap w:val="0"/>
            <w:vAlign w:val="center"/>
          </w:tcPr>
          <w:p w14:paraId="5C155A22">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sz w:val="21"/>
                <w:szCs w:val="21"/>
                <w:highlight w:val="none"/>
              </w:rPr>
              <w:t>0.0</w:t>
            </w:r>
            <w:r>
              <w:rPr>
                <w:rFonts w:hint="eastAsia" w:ascii="Times New Roman" w:hAnsi="Times New Roman"/>
                <w:sz w:val="21"/>
                <w:szCs w:val="21"/>
                <w:highlight w:val="none"/>
                <w:lang w:val="en-US" w:eastAsia="zh-CN"/>
              </w:rPr>
              <w:t>18</w:t>
            </w:r>
            <w:r>
              <w:rPr>
                <w:rFonts w:hint="eastAsia" w:ascii="Times New Roman" w:hAnsi="Times New Roman"/>
                <w:sz w:val="21"/>
                <w:szCs w:val="21"/>
                <w:highlight w:val="none"/>
              </w:rPr>
              <w:t>-0.0</w:t>
            </w:r>
            <w:r>
              <w:rPr>
                <w:rFonts w:hint="eastAsia" w:ascii="Times New Roman" w:hAnsi="Times New Roman"/>
                <w:sz w:val="21"/>
                <w:szCs w:val="21"/>
                <w:highlight w:val="none"/>
                <w:lang w:val="en-US" w:eastAsia="zh-CN"/>
              </w:rPr>
              <w:t>36</w:t>
            </w:r>
          </w:p>
        </w:tc>
        <w:tc>
          <w:tcPr>
            <w:tcW w:w="773" w:type="dxa"/>
            <w:noWrap w:val="0"/>
            <w:vAlign w:val="center"/>
          </w:tcPr>
          <w:p w14:paraId="37DDD61F">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14.4</w:t>
            </w:r>
          </w:p>
        </w:tc>
        <w:tc>
          <w:tcPr>
            <w:tcW w:w="727" w:type="dxa"/>
            <w:noWrap w:val="0"/>
            <w:vAlign w:val="center"/>
          </w:tcPr>
          <w:p w14:paraId="2413267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3374A74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5157AA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continue"/>
            <w:noWrap w:val="0"/>
            <w:vAlign w:val="center"/>
          </w:tcPr>
          <w:p w14:paraId="1F055187">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19F76594">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616068B1">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7F4CBC9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汞</w:t>
            </w:r>
          </w:p>
        </w:tc>
        <w:tc>
          <w:tcPr>
            <w:tcW w:w="1015" w:type="dxa"/>
            <w:noWrap w:val="0"/>
            <w:vAlign w:val="center"/>
          </w:tcPr>
          <w:p w14:paraId="47FE7B2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716" w:type="dxa"/>
            <w:noWrap w:val="0"/>
            <w:vAlign w:val="center"/>
          </w:tcPr>
          <w:p w14:paraId="5EC4D52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0.15</w:t>
            </w:r>
          </w:p>
        </w:tc>
        <w:tc>
          <w:tcPr>
            <w:tcW w:w="1298" w:type="dxa"/>
            <w:noWrap w:val="0"/>
            <w:vAlign w:val="center"/>
          </w:tcPr>
          <w:p w14:paraId="2E19F651">
            <w:pPr>
              <w:spacing w:line="240" w:lineRule="auto"/>
              <w:ind w:firstLine="0" w:firstLineChars="0"/>
              <w:jc w:val="center"/>
              <w:rPr>
                <w:rFonts w:ascii="Times New Roman" w:hAnsi="Times New Roman"/>
                <w:b/>
                <w:bCs/>
                <w:kern w:val="0"/>
                <w:sz w:val="21"/>
                <w:highlight w:val="none"/>
              </w:rPr>
            </w:pPr>
            <w:r>
              <w:rPr>
                <w:rFonts w:hint="eastAsia" w:ascii="Times New Roman" w:hAnsi="Times New Roman"/>
                <w:sz w:val="21"/>
                <w:szCs w:val="21"/>
                <w:highlight w:val="none"/>
                <w:lang w:val="en-US" w:eastAsia="zh-CN"/>
              </w:rPr>
              <w:t>0.01</w:t>
            </w:r>
            <w:r>
              <w:rPr>
                <w:rFonts w:ascii="Times New Roman" w:hAnsi="Times New Roman"/>
                <w:sz w:val="21"/>
                <w:szCs w:val="21"/>
                <w:highlight w:val="none"/>
              </w:rPr>
              <w:t>L</w:t>
            </w:r>
          </w:p>
        </w:tc>
        <w:tc>
          <w:tcPr>
            <w:tcW w:w="773" w:type="dxa"/>
            <w:noWrap w:val="0"/>
            <w:vAlign w:val="center"/>
          </w:tcPr>
          <w:p w14:paraId="2FC0A41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w:t>
            </w:r>
          </w:p>
        </w:tc>
        <w:tc>
          <w:tcPr>
            <w:tcW w:w="727" w:type="dxa"/>
            <w:noWrap w:val="0"/>
            <w:vAlign w:val="center"/>
          </w:tcPr>
          <w:p w14:paraId="2784C71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3376A53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6201EC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restart"/>
            <w:noWrap w:val="0"/>
            <w:vAlign w:val="center"/>
          </w:tcPr>
          <w:p w14:paraId="45D0C35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 xml:space="preserve">2# </w:t>
            </w:r>
          </w:p>
        </w:tc>
        <w:tc>
          <w:tcPr>
            <w:tcW w:w="888" w:type="dxa"/>
            <w:vMerge w:val="restart"/>
            <w:noWrap w:val="0"/>
            <w:vAlign w:val="center"/>
          </w:tcPr>
          <w:p w14:paraId="6C98979D">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131.148638</w:t>
            </w:r>
          </w:p>
        </w:tc>
        <w:tc>
          <w:tcPr>
            <w:tcW w:w="935" w:type="dxa"/>
            <w:vMerge w:val="restart"/>
            <w:noWrap w:val="0"/>
            <w:vAlign w:val="center"/>
          </w:tcPr>
          <w:p w14:paraId="0C3C9B47">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44.409106</w:t>
            </w:r>
          </w:p>
        </w:tc>
        <w:tc>
          <w:tcPr>
            <w:tcW w:w="750" w:type="dxa"/>
            <w:noWrap w:val="0"/>
            <w:vAlign w:val="center"/>
          </w:tcPr>
          <w:p w14:paraId="192433F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总悬浮颗粒物</w:t>
            </w:r>
          </w:p>
        </w:tc>
        <w:tc>
          <w:tcPr>
            <w:tcW w:w="1015" w:type="dxa"/>
            <w:noWrap w:val="0"/>
            <w:vAlign w:val="center"/>
          </w:tcPr>
          <w:p w14:paraId="45EE645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716" w:type="dxa"/>
            <w:noWrap w:val="0"/>
            <w:vAlign w:val="center"/>
          </w:tcPr>
          <w:p w14:paraId="5D53415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0.3</w:t>
            </w:r>
          </w:p>
        </w:tc>
        <w:tc>
          <w:tcPr>
            <w:tcW w:w="1298" w:type="dxa"/>
            <w:noWrap w:val="0"/>
            <w:vAlign w:val="center"/>
          </w:tcPr>
          <w:p w14:paraId="609B7BF6">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0.207</w:t>
            </w:r>
            <w:r>
              <w:rPr>
                <w:rFonts w:ascii="Times New Roman" w:hAnsi="Times New Roman"/>
                <w:kern w:val="0"/>
                <w:sz w:val="21"/>
                <w:highlight w:val="none"/>
              </w:rPr>
              <w:t>-</w:t>
            </w:r>
            <w:r>
              <w:rPr>
                <w:rFonts w:hint="eastAsia" w:ascii="Times New Roman" w:hAnsi="Times New Roman"/>
                <w:kern w:val="0"/>
                <w:sz w:val="21"/>
                <w:highlight w:val="none"/>
                <w:lang w:val="en-US" w:eastAsia="zh-CN"/>
              </w:rPr>
              <w:t>0.234</w:t>
            </w:r>
          </w:p>
        </w:tc>
        <w:tc>
          <w:tcPr>
            <w:tcW w:w="773" w:type="dxa"/>
            <w:noWrap w:val="0"/>
            <w:vAlign w:val="center"/>
          </w:tcPr>
          <w:p w14:paraId="0CD8162F">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78</w:t>
            </w:r>
          </w:p>
        </w:tc>
        <w:tc>
          <w:tcPr>
            <w:tcW w:w="727" w:type="dxa"/>
            <w:noWrap w:val="0"/>
            <w:vAlign w:val="center"/>
          </w:tcPr>
          <w:p w14:paraId="214775F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1B046FB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479D62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continue"/>
            <w:noWrap w:val="0"/>
            <w:vAlign w:val="center"/>
          </w:tcPr>
          <w:p w14:paraId="6FE01A92">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256034A2">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133388F0">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2A1015A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w:t>
            </w:r>
          </w:p>
        </w:tc>
        <w:tc>
          <w:tcPr>
            <w:tcW w:w="1015" w:type="dxa"/>
            <w:noWrap w:val="0"/>
            <w:vAlign w:val="center"/>
          </w:tcPr>
          <w:p w14:paraId="30B270B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716" w:type="dxa"/>
            <w:noWrap w:val="0"/>
            <w:vAlign w:val="center"/>
          </w:tcPr>
          <w:p w14:paraId="447C262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0.2</w:t>
            </w:r>
          </w:p>
        </w:tc>
        <w:tc>
          <w:tcPr>
            <w:tcW w:w="1298" w:type="dxa"/>
            <w:noWrap w:val="0"/>
            <w:vAlign w:val="center"/>
          </w:tcPr>
          <w:p w14:paraId="63F6EB6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r>
              <w:rPr>
                <w:rFonts w:hint="eastAsia" w:ascii="Times New Roman" w:hAnsi="Times New Roman"/>
                <w:kern w:val="0"/>
                <w:sz w:val="21"/>
                <w:highlight w:val="none"/>
                <w:lang w:val="en-US" w:eastAsia="zh-CN"/>
              </w:rPr>
              <w:t>02</w:t>
            </w:r>
            <w:r>
              <w:rPr>
                <w:rFonts w:ascii="Times New Roman" w:hAnsi="Times New Roman"/>
                <w:kern w:val="0"/>
                <w:sz w:val="21"/>
                <w:highlight w:val="none"/>
              </w:rPr>
              <w:t>-0.</w:t>
            </w:r>
            <w:r>
              <w:rPr>
                <w:rFonts w:hint="eastAsia" w:ascii="Times New Roman" w:hAnsi="Times New Roman"/>
                <w:kern w:val="0"/>
                <w:sz w:val="21"/>
                <w:highlight w:val="none"/>
                <w:lang w:val="en-US" w:eastAsia="zh-CN"/>
              </w:rPr>
              <w:t>05</w:t>
            </w:r>
          </w:p>
        </w:tc>
        <w:tc>
          <w:tcPr>
            <w:tcW w:w="773" w:type="dxa"/>
            <w:noWrap w:val="0"/>
            <w:vAlign w:val="center"/>
          </w:tcPr>
          <w:p w14:paraId="2EE9C688">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25</w:t>
            </w:r>
          </w:p>
        </w:tc>
        <w:tc>
          <w:tcPr>
            <w:tcW w:w="727" w:type="dxa"/>
            <w:noWrap w:val="0"/>
            <w:vAlign w:val="center"/>
          </w:tcPr>
          <w:p w14:paraId="1D92B9C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232A101D">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37EA6D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continue"/>
            <w:noWrap w:val="0"/>
            <w:vAlign w:val="center"/>
          </w:tcPr>
          <w:p w14:paraId="251D0A51">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35902DC7">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45EC2A72">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79BF9857">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氮氧化物</w:t>
            </w:r>
          </w:p>
        </w:tc>
        <w:tc>
          <w:tcPr>
            <w:tcW w:w="1015" w:type="dxa"/>
            <w:noWrap w:val="0"/>
            <w:vAlign w:val="center"/>
          </w:tcPr>
          <w:p w14:paraId="45AD62A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1小时平均</w:t>
            </w:r>
          </w:p>
        </w:tc>
        <w:tc>
          <w:tcPr>
            <w:tcW w:w="716" w:type="dxa"/>
            <w:noWrap w:val="0"/>
            <w:vAlign w:val="center"/>
          </w:tcPr>
          <w:p w14:paraId="3975904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0.25</w:t>
            </w:r>
          </w:p>
        </w:tc>
        <w:tc>
          <w:tcPr>
            <w:tcW w:w="1298" w:type="dxa"/>
            <w:noWrap w:val="0"/>
            <w:vAlign w:val="center"/>
          </w:tcPr>
          <w:p w14:paraId="2DD920D7">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sz w:val="21"/>
                <w:szCs w:val="21"/>
                <w:highlight w:val="none"/>
              </w:rPr>
              <w:t>0.0</w:t>
            </w:r>
            <w:r>
              <w:rPr>
                <w:rFonts w:hint="eastAsia" w:ascii="Times New Roman" w:hAnsi="Times New Roman"/>
                <w:sz w:val="21"/>
                <w:szCs w:val="21"/>
                <w:highlight w:val="none"/>
                <w:lang w:val="en-US" w:eastAsia="zh-CN"/>
              </w:rPr>
              <w:t>19</w:t>
            </w:r>
            <w:r>
              <w:rPr>
                <w:rFonts w:hint="eastAsia" w:ascii="Times New Roman" w:hAnsi="Times New Roman"/>
                <w:sz w:val="21"/>
                <w:szCs w:val="21"/>
                <w:highlight w:val="none"/>
              </w:rPr>
              <w:t>-0.0</w:t>
            </w:r>
            <w:r>
              <w:rPr>
                <w:rFonts w:hint="eastAsia" w:ascii="Times New Roman" w:hAnsi="Times New Roman"/>
                <w:sz w:val="21"/>
                <w:szCs w:val="21"/>
                <w:highlight w:val="none"/>
                <w:lang w:val="en-US" w:eastAsia="zh-CN"/>
              </w:rPr>
              <w:t>35</w:t>
            </w:r>
          </w:p>
        </w:tc>
        <w:tc>
          <w:tcPr>
            <w:tcW w:w="773" w:type="dxa"/>
            <w:noWrap w:val="0"/>
            <w:vAlign w:val="center"/>
          </w:tcPr>
          <w:p w14:paraId="2A7D3D08">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14</w:t>
            </w:r>
          </w:p>
        </w:tc>
        <w:tc>
          <w:tcPr>
            <w:tcW w:w="727" w:type="dxa"/>
            <w:noWrap w:val="0"/>
            <w:vAlign w:val="center"/>
          </w:tcPr>
          <w:p w14:paraId="03106E8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70D01C1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r w14:paraId="6F88D6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47" w:type="dxa"/>
            <w:vMerge w:val="continue"/>
            <w:noWrap w:val="0"/>
            <w:vAlign w:val="center"/>
          </w:tcPr>
          <w:p w14:paraId="616051D8">
            <w:pPr>
              <w:spacing w:line="240" w:lineRule="auto"/>
              <w:ind w:firstLine="0" w:firstLineChars="0"/>
              <w:jc w:val="center"/>
              <w:rPr>
                <w:rFonts w:ascii="Times New Roman" w:hAnsi="Times New Roman"/>
                <w:kern w:val="0"/>
                <w:sz w:val="21"/>
                <w:highlight w:val="none"/>
              </w:rPr>
            </w:pPr>
          </w:p>
        </w:tc>
        <w:tc>
          <w:tcPr>
            <w:tcW w:w="888" w:type="dxa"/>
            <w:vMerge w:val="continue"/>
            <w:noWrap w:val="0"/>
            <w:vAlign w:val="center"/>
          </w:tcPr>
          <w:p w14:paraId="6960723D">
            <w:pPr>
              <w:spacing w:line="240" w:lineRule="auto"/>
              <w:ind w:firstLine="0" w:firstLineChars="0"/>
              <w:jc w:val="center"/>
              <w:rPr>
                <w:rFonts w:ascii="Times New Roman" w:hAnsi="Times New Roman"/>
                <w:kern w:val="0"/>
                <w:sz w:val="21"/>
                <w:highlight w:val="none"/>
              </w:rPr>
            </w:pPr>
          </w:p>
        </w:tc>
        <w:tc>
          <w:tcPr>
            <w:tcW w:w="935" w:type="dxa"/>
            <w:vMerge w:val="continue"/>
            <w:noWrap w:val="0"/>
            <w:vAlign w:val="center"/>
          </w:tcPr>
          <w:p w14:paraId="15993C5F">
            <w:pPr>
              <w:spacing w:line="240" w:lineRule="auto"/>
              <w:ind w:firstLine="0" w:firstLineChars="0"/>
              <w:jc w:val="center"/>
              <w:rPr>
                <w:rFonts w:ascii="Times New Roman" w:hAnsi="Times New Roman"/>
                <w:kern w:val="0"/>
                <w:sz w:val="21"/>
                <w:highlight w:val="none"/>
              </w:rPr>
            </w:pPr>
          </w:p>
        </w:tc>
        <w:tc>
          <w:tcPr>
            <w:tcW w:w="750" w:type="dxa"/>
            <w:noWrap w:val="0"/>
            <w:vAlign w:val="center"/>
          </w:tcPr>
          <w:p w14:paraId="42EE25B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汞</w:t>
            </w:r>
          </w:p>
        </w:tc>
        <w:tc>
          <w:tcPr>
            <w:tcW w:w="1015" w:type="dxa"/>
            <w:noWrap w:val="0"/>
            <w:vAlign w:val="center"/>
          </w:tcPr>
          <w:p w14:paraId="3FDCECE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24小时平均</w:t>
            </w:r>
          </w:p>
        </w:tc>
        <w:tc>
          <w:tcPr>
            <w:tcW w:w="716" w:type="dxa"/>
            <w:noWrap w:val="0"/>
            <w:vAlign w:val="center"/>
          </w:tcPr>
          <w:p w14:paraId="294B7BD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0.15</w:t>
            </w:r>
          </w:p>
        </w:tc>
        <w:tc>
          <w:tcPr>
            <w:tcW w:w="1298" w:type="dxa"/>
            <w:noWrap w:val="0"/>
            <w:vAlign w:val="center"/>
          </w:tcPr>
          <w:p w14:paraId="167E0F64">
            <w:pPr>
              <w:spacing w:line="240" w:lineRule="auto"/>
              <w:ind w:firstLine="0" w:firstLineChars="0"/>
              <w:jc w:val="center"/>
              <w:rPr>
                <w:rFonts w:ascii="Times New Roman" w:hAnsi="Times New Roman"/>
                <w:b/>
                <w:bCs/>
                <w:kern w:val="0"/>
                <w:sz w:val="21"/>
                <w:highlight w:val="none"/>
              </w:rPr>
            </w:pPr>
            <w:r>
              <w:rPr>
                <w:rFonts w:hint="eastAsia" w:ascii="Times New Roman" w:hAnsi="Times New Roman"/>
                <w:sz w:val="21"/>
                <w:szCs w:val="21"/>
                <w:highlight w:val="none"/>
                <w:lang w:val="en-US" w:eastAsia="zh-CN"/>
              </w:rPr>
              <w:t>0.01</w:t>
            </w:r>
            <w:r>
              <w:rPr>
                <w:rFonts w:ascii="Times New Roman" w:hAnsi="Times New Roman"/>
                <w:sz w:val="21"/>
                <w:szCs w:val="21"/>
                <w:highlight w:val="none"/>
              </w:rPr>
              <w:t>L</w:t>
            </w:r>
          </w:p>
        </w:tc>
        <w:tc>
          <w:tcPr>
            <w:tcW w:w="773" w:type="dxa"/>
            <w:noWrap w:val="0"/>
            <w:vAlign w:val="center"/>
          </w:tcPr>
          <w:p w14:paraId="6D8EFC4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w:t>
            </w:r>
          </w:p>
        </w:tc>
        <w:tc>
          <w:tcPr>
            <w:tcW w:w="727" w:type="dxa"/>
            <w:noWrap w:val="0"/>
            <w:vAlign w:val="center"/>
          </w:tcPr>
          <w:p w14:paraId="3335B02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0</w:t>
            </w:r>
          </w:p>
        </w:tc>
        <w:tc>
          <w:tcPr>
            <w:tcW w:w="727" w:type="dxa"/>
            <w:noWrap w:val="0"/>
            <w:vAlign w:val="center"/>
          </w:tcPr>
          <w:p w14:paraId="40BE6D7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w:t>
            </w:r>
          </w:p>
        </w:tc>
      </w:tr>
    </w:tbl>
    <w:p w14:paraId="20A0849C">
      <w:pPr>
        <w:pStyle w:val="15"/>
        <w:ind w:left="0" w:leftChars="0" w:firstLine="0" w:firstLineChars="0"/>
        <w:rPr>
          <w:rFonts w:ascii="Times New Roman" w:hAnsi="Times New Roman"/>
          <w:highlight w:val="none"/>
        </w:rPr>
      </w:pPr>
      <w:r>
        <w:rPr>
          <w:rFonts w:ascii="Times New Roman" w:hAnsi="Times New Roman"/>
          <w:highlight w:val="none"/>
        </w:rPr>
        <w:t>注：</w:t>
      </w:r>
      <w:r>
        <w:rPr>
          <w:rFonts w:ascii="Times New Roman" w:hAnsi="Times New Roman"/>
          <w:sz w:val="21"/>
          <w:szCs w:val="21"/>
          <w:highlight w:val="none"/>
        </w:rPr>
        <w:t>“L”为未检出</w:t>
      </w:r>
    </w:p>
    <w:p w14:paraId="1A4F9680">
      <w:pPr>
        <w:rPr>
          <w:rFonts w:ascii="Times New Roman" w:hAnsi="Times New Roman"/>
          <w:highlight w:val="none"/>
        </w:rPr>
      </w:pPr>
      <w:r>
        <w:rPr>
          <w:rFonts w:ascii="Times New Roman" w:hAnsi="Times New Roman"/>
          <w:highlight w:val="none"/>
        </w:rPr>
        <w:t>由上表分析可知，项目所在区域的总悬浮颗粒物日均浓度满足《环境空气质量标准》（GB3095-2012）二级标准限值要求，汞日均浓度满足《环境空气质量标准》（GB3095-2012）附录A限值要求，氮氧化物小时值满足《环境空气质量标准》（GB3095-2012）二级标准限值要求，氨小时值满足《环境影响评价技术导则 大气环境》（HJ2.2-2018）附录D中标准限值要求。</w:t>
      </w:r>
    </w:p>
    <w:p w14:paraId="385C5816">
      <w:pPr>
        <w:pStyle w:val="5"/>
        <w:bidi w:val="0"/>
        <w:ind w:left="0" w:leftChars="0" w:firstLine="0" w:firstLineChars="0"/>
        <w:rPr>
          <w:rFonts w:hint="default"/>
          <w:sz w:val="30"/>
          <w:szCs w:val="30"/>
          <w:highlight w:val="none"/>
          <w:lang w:val="en-US" w:eastAsia="zh-CN"/>
        </w:rPr>
      </w:pPr>
      <w:bookmarkStart w:id="118" w:name="_Toc19048"/>
      <w:r>
        <w:rPr>
          <w:rFonts w:hint="default" w:ascii="Times New Roman" w:hAnsi="Times New Roman" w:cs="Times New Roman"/>
          <w:sz w:val="30"/>
          <w:szCs w:val="30"/>
          <w:highlight w:val="none"/>
          <w:lang w:val="en-US" w:eastAsia="zh-CN"/>
        </w:rPr>
        <w:t>4.3.2</w:t>
      </w:r>
      <w:r>
        <w:rPr>
          <w:rFonts w:hint="eastAsia"/>
          <w:sz w:val="30"/>
          <w:szCs w:val="30"/>
          <w:highlight w:val="none"/>
          <w:lang w:val="en-US" w:eastAsia="zh-CN"/>
        </w:rPr>
        <w:t>地表水环境质量现状评价</w:t>
      </w:r>
      <w:bookmarkEnd w:id="118"/>
    </w:p>
    <w:p w14:paraId="68D7C559">
      <w:pPr>
        <w:bidi w:val="0"/>
        <w:rPr>
          <w:rFonts w:hint="default" w:ascii="Times New Roman" w:hAnsi="Times New Roman" w:eastAsia="宋体" w:cs="Times New Roman"/>
          <w:color w:val="auto"/>
          <w:spacing w:val="0"/>
          <w:sz w:val="24"/>
          <w:highlight w:val="none"/>
          <w:lang w:val="en-US" w:eastAsia="zh-CN"/>
        </w:rPr>
      </w:pPr>
      <w:r>
        <w:rPr>
          <w:rFonts w:hint="default" w:ascii="Times New Roman" w:hAnsi="Times New Roman" w:eastAsia="宋体" w:cs="Times New Roman"/>
          <w:color w:val="auto"/>
          <w:spacing w:val="0"/>
          <w:sz w:val="24"/>
          <w:highlight w:val="none"/>
          <w:lang w:val="en-US" w:eastAsia="zh-CN"/>
        </w:rPr>
        <w:t>根据《牡丹江市环境质量公报202</w:t>
      </w:r>
      <w:r>
        <w:rPr>
          <w:rFonts w:hint="eastAsia" w:ascii="Times New Roman" w:hAnsi="Times New Roman" w:eastAsia="宋体" w:cs="Times New Roman"/>
          <w:color w:val="auto"/>
          <w:spacing w:val="0"/>
          <w:sz w:val="24"/>
          <w:highlight w:val="none"/>
          <w:lang w:val="en-US" w:eastAsia="zh-CN"/>
        </w:rPr>
        <w:t>4</w:t>
      </w:r>
      <w:r>
        <w:rPr>
          <w:rFonts w:hint="default" w:ascii="Times New Roman" w:hAnsi="Times New Roman" w:eastAsia="宋体" w:cs="Times New Roman"/>
          <w:color w:val="auto"/>
          <w:spacing w:val="0"/>
          <w:sz w:val="24"/>
          <w:highlight w:val="none"/>
          <w:lang w:val="en-US" w:eastAsia="zh-CN"/>
        </w:rPr>
        <w:t>年度》，202</w:t>
      </w:r>
      <w:r>
        <w:rPr>
          <w:rFonts w:hint="eastAsia" w:ascii="Times New Roman" w:hAnsi="Times New Roman" w:eastAsia="宋体" w:cs="Times New Roman"/>
          <w:color w:val="auto"/>
          <w:spacing w:val="0"/>
          <w:sz w:val="24"/>
          <w:highlight w:val="none"/>
          <w:lang w:val="en-US" w:eastAsia="zh-CN"/>
        </w:rPr>
        <w:t>4</w:t>
      </w:r>
      <w:r>
        <w:rPr>
          <w:rFonts w:hint="default" w:ascii="Times New Roman" w:hAnsi="Times New Roman" w:eastAsia="宋体" w:cs="Times New Roman"/>
          <w:color w:val="auto"/>
          <w:spacing w:val="0"/>
          <w:sz w:val="24"/>
          <w:highlight w:val="none"/>
          <w:lang w:val="en-US" w:eastAsia="zh-CN"/>
        </w:rPr>
        <w:t>年水污染防治考核断面优于Ⅲ类水质比例为</w:t>
      </w:r>
      <w:r>
        <w:rPr>
          <w:rFonts w:hint="eastAsia" w:ascii="Times New Roman" w:hAnsi="Times New Roman" w:eastAsia="宋体" w:cs="Times New Roman"/>
          <w:color w:val="auto"/>
          <w:spacing w:val="0"/>
          <w:sz w:val="24"/>
          <w:highlight w:val="none"/>
          <w:lang w:val="en-US" w:eastAsia="zh-CN"/>
        </w:rPr>
        <w:t>91.7</w:t>
      </w:r>
      <w:r>
        <w:rPr>
          <w:rFonts w:hint="default" w:ascii="Times New Roman" w:hAnsi="Times New Roman" w:eastAsia="宋体" w:cs="Times New Roman"/>
          <w:color w:val="auto"/>
          <w:spacing w:val="0"/>
          <w:sz w:val="24"/>
          <w:highlight w:val="none"/>
          <w:lang w:val="en-US" w:eastAsia="zh-CN"/>
        </w:rPr>
        <w:t>%。</w:t>
      </w:r>
      <w:r>
        <w:rPr>
          <w:rFonts w:hint="eastAsia" w:ascii="Times New Roman" w:hAnsi="Times New Roman" w:eastAsia="宋体" w:cs="Times New Roman"/>
          <w:color w:val="auto"/>
          <w:spacing w:val="0"/>
          <w:sz w:val="24"/>
          <w:highlight w:val="none"/>
          <w:lang w:val="en-US" w:eastAsia="zh-CN"/>
        </w:rPr>
        <w:t>2024年西水源和铁路水源两处饮用水水源地水质均符合集中式饮用水水源地水质要求。与去年同期相比，水源地水质无变化。</w:t>
      </w:r>
    </w:p>
    <w:p w14:paraId="68F68336">
      <w:pPr>
        <w:bidi w:val="0"/>
        <w:rPr>
          <w:rFonts w:hint="default"/>
          <w:highlight w:val="none"/>
          <w:lang w:val="en-US" w:eastAsia="zh-CN"/>
        </w:rPr>
      </w:pPr>
      <w:r>
        <w:rPr>
          <w:rFonts w:hint="default" w:ascii="Times New Roman" w:hAnsi="Times New Roman" w:eastAsia="宋体" w:cs="Times New Roman"/>
          <w:color w:val="auto"/>
          <w:spacing w:val="0"/>
          <w:sz w:val="24"/>
          <w:highlight w:val="none"/>
          <w:lang w:val="en-US" w:eastAsia="zh-CN"/>
        </w:rPr>
        <w:t>本项目所在区域</w:t>
      </w:r>
      <w:r>
        <w:rPr>
          <w:rFonts w:hint="default" w:ascii="Times New Roman" w:hAnsi="Times New Roman" w:cs="Times New Roman"/>
          <w:color w:val="auto"/>
          <w:spacing w:val="0"/>
          <w:sz w:val="24"/>
          <w:highlight w:val="none"/>
          <w:lang w:val="en-US" w:eastAsia="zh-CN"/>
        </w:rPr>
        <w:t>水系为绥芬河，所在河流</w:t>
      </w:r>
      <w:r>
        <w:rPr>
          <w:rFonts w:hint="default" w:ascii="Times New Roman" w:hAnsi="Times New Roman" w:eastAsia="宋体" w:cs="Times New Roman"/>
          <w:color w:val="auto"/>
          <w:spacing w:val="0"/>
          <w:sz w:val="24"/>
          <w:highlight w:val="none"/>
          <w:lang w:val="en-US" w:eastAsia="zh-CN"/>
        </w:rPr>
        <w:t>为</w:t>
      </w:r>
      <w:r>
        <w:rPr>
          <w:rFonts w:hint="eastAsia" w:cs="Times New Roman"/>
          <w:color w:val="auto"/>
          <w:spacing w:val="0"/>
          <w:sz w:val="24"/>
          <w:highlight w:val="none"/>
          <w:lang w:val="en-US" w:eastAsia="zh-CN"/>
        </w:rPr>
        <w:t>北大河、</w:t>
      </w:r>
      <w:r>
        <w:rPr>
          <w:rFonts w:hint="default" w:ascii="Times New Roman" w:hAnsi="Times New Roman" w:cs="Times New Roman"/>
          <w:color w:val="auto"/>
          <w:spacing w:val="0"/>
          <w:sz w:val="24"/>
          <w:highlight w:val="none"/>
          <w:lang w:val="en-US" w:eastAsia="zh-CN"/>
        </w:rPr>
        <w:t>寒葱河和小绥芬</w:t>
      </w:r>
      <w:r>
        <w:rPr>
          <w:rFonts w:hint="default" w:ascii="Times New Roman" w:hAnsi="Times New Roman" w:eastAsia="宋体" w:cs="Times New Roman"/>
          <w:color w:val="auto"/>
          <w:spacing w:val="0"/>
          <w:sz w:val="24"/>
          <w:highlight w:val="none"/>
          <w:lang w:val="en-US" w:eastAsia="zh-CN"/>
        </w:rPr>
        <w:t>河，</w:t>
      </w:r>
      <w:r>
        <w:rPr>
          <w:rFonts w:hint="default" w:ascii="Times New Roman" w:hAnsi="Times New Roman" w:cs="Times New Roman"/>
          <w:color w:val="auto"/>
          <w:spacing w:val="0"/>
          <w:sz w:val="24"/>
          <w:highlight w:val="none"/>
          <w:lang w:val="en-US" w:eastAsia="zh-CN"/>
        </w:rPr>
        <w:t>本项目参照小绥芬河水体功能类别，项目</w:t>
      </w:r>
      <w:r>
        <w:rPr>
          <w:rFonts w:hint="default" w:ascii="Times New Roman" w:hAnsi="Times New Roman" w:eastAsia="宋体" w:cs="Times New Roman"/>
          <w:color w:val="auto"/>
          <w:sz w:val="24"/>
          <w:highlight w:val="none"/>
          <w:lang w:val="en-US" w:eastAsia="zh-CN"/>
        </w:rPr>
        <w:t>位于</w:t>
      </w:r>
      <w:r>
        <w:rPr>
          <w:rFonts w:hint="default" w:ascii="Times New Roman" w:hAnsi="Times New Roman" w:cs="Times New Roman"/>
          <w:color w:val="auto"/>
          <w:sz w:val="24"/>
          <w:highlight w:val="none"/>
          <w:lang w:val="en-US" w:eastAsia="zh-CN"/>
        </w:rPr>
        <w:t>小绥芬河（老莱营村-大、小绥芬河汇合口</w:t>
      </w:r>
      <w:r>
        <w:rPr>
          <w:rFonts w:hint="default" w:ascii="Times New Roman" w:hAnsi="Times New Roman" w:eastAsia="宋体" w:cs="Times New Roman"/>
          <w:color w:val="auto"/>
          <w:sz w:val="24"/>
          <w:highlight w:val="none"/>
          <w:lang w:val="en-US" w:eastAsia="zh-CN"/>
        </w:rPr>
        <w:t>断面</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根据《全国重要江河湖泊水功能区划（2011～2030年）》</w:t>
      </w:r>
      <w:r>
        <w:rPr>
          <w:rFonts w:hint="default" w:ascii="Times New Roman" w:hAnsi="Times New Roman" w:cs="Times New Roman"/>
          <w:color w:val="auto"/>
          <w:kern w:val="0"/>
          <w:sz w:val="24"/>
          <w:szCs w:val="24"/>
          <w:highlight w:val="none"/>
          <w:lang w:val="en-US" w:eastAsia="zh-CN" w:bidi="ar"/>
        </w:rPr>
        <w:t>，水质类别为</w:t>
      </w:r>
      <w:r>
        <w:rPr>
          <w:rFonts w:hint="default" w:ascii="Times New Roman" w:hAnsi="Times New Roman" w:eastAsia="宋体" w:cs="Times New Roman"/>
          <w:color w:val="auto"/>
          <w:sz w:val="24"/>
          <w:highlight w:val="none"/>
        </w:rPr>
        <w:t>Ⅲ</w:t>
      </w:r>
      <w:r>
        <w:rPr>
          <w:rFonts w:hint="default" w:ascii="Times New Roman" w:hAnsi="Times New Roman" w:cs="Times New Roman"/>
          <w:color w:val="auto"/>
          <w:kern w:val="0"/>
          <w:sz w:val="24"/>
          <w:szCs w:val="24"/>
          <w:highlight w:val="none"/>
          <w:lang w:val="en-US" w:eastAsia="zh-CN" w:bidi="ar"/>
        </w:rPr>
        <w:t>类，</w:t>
      </w:r>
      <w:r>
        <w:rPr>
          <w:rFonts w:hint="default" w:ascii="Times New Roman" w:hAnsi="Times New Roman" w:eastAsia="宋体" w:cs="Times New Roman"/>
          <w:color w:val="auto"/>
          <w:sz w:val="24"/>
          <w:highlight w:val="none"/>
          <w:lang w:val="en-US" w:eastAsia="zh-CN"/>
        </w:rPr>
        <w:t>执行</w:t>
      </w:r>
      <w:r>
        <w:rPr>
          <w:rFonts w:hint="default" w:ascii="Times New Roman" w:hAnsi="Times New Roman" w:eastAsia="宋体" w:cs="Times New Roman"/>
          <w:color w:val="auto"/>
          <w:sz w:val="24"/>
          <w:highlight w:val="none"/>
        </w:rPr>
        <w:t>《地表水环境质量标准》（GB3838-2002）中Ⅲ类水体标准</w:t>
      </w:r>
      <w:r>
        <w:rPr>
          <w:rFonts w:hint="default" w:ascii="Times New Roman" w:hAnsi="Times New Roman" w:cs="Times New Roman"/>
          <w:color w:val="auto"/>
          <w:sz w:val="24"/>
          <w:highlight w:val="none"/>
          <w:lang w:eastAsia="zh-CN"/>
        </w:rPr>
        <w:t>。</w:t>
      </w:r>
    </w:p>
    <w:p w14:paraId="18803C2E">
      <w:pPr>
        <w:pStyle w:val="5"/>
        <w:bidi w:val="0"/>
        <w:ind w:left="0" w:leftChars="0" w:firstLine="0" w:firstLineChars="0"/>
        <w:rPr>
          <w:rFonts w:hint="eastAsia"/>
          <w:highlight w:val="none"/>
          <w:lang w:val="en-US" w:eastAsia="zh-CN"/>
        </w:rPr>
      </w:pPr>
      <w:bookmarkStart w:id="119" w:name="_Toc18231"/>
      <w:r>
        <w:rPr>
          <w:rFonts w:hint="eastAsia"/>
          <w:highlight w:val="none"/>
          <w:lang w:val="en-US" w:eastAsia="zh-CN"/>
        </w:rPr>
        <w:t>4.3.3声环境质量现状评价</w:t>
      </w:r>
      <w:bookmarkEnd w:id="119"/>
    </w:p>
    <w:p w14:paraId="6E8F80E1">
      <w:pPr>
        <w:snapToGrid w:val="0"/>
        <w:spacing w:line="480" w:lineRule="exact"/>
        <w:ind w:firstLine="480"/>
        <w:rPr>
          <w:rFonts w:ascii="Times New Roman" w:hAnsi="Times New Roman"/>
          <w:b/>
          <w:bCs/>
          <w:highlight w:val="none"/>
        </w:rPr>
      </w:pPr>
      <w:r>
        <w:rPr>
          <w:rFonts w:ascii="Times New Roman" w:hAnsi="Times New Roman"/>
          <w:highlight w:val="none"/>
        </w:rPr>
        <w:t>一、声环境现状监测</w:t>
      </w:r>
    </w:p>
    <w:p w14:paraId="52CD5C0E">
      <w:pPr>
        <w:snapToGrid w:val="0"/>
        <w:spacing w:line="480" w:lineRule="exact"/>
        <w:ind w:firstLine="480"/>
        <w:rPr>
          <w:rFonts w:ascii="Times New Roman" w:hAnsi="Times New Roman"/>
          <w:highlight w:val="none"/>
        </w:rPr>
      </w:pPr>
      <w:r>
        <w:rPr>
          <w:rFonts w:ascii="Times New Roman" w:hAnsi="Times New Roman"/>
          <w:highlight w:val="none"/>
        </w:rPr>
        <w:t>（1）监测点位</w:t>
      </w:r>
    </w:p>
    <w:p w14:paraId="226C55A6">
      <w:pPr>
        <w:snapToGrid w:val="0"/>
        <w:spacing w:line="480" w:lineRule="exact"/>
        <w:ind w:firstLine="480"/>
        <w:rPr>
          <w:rFonts w:ascii="Times New Roman" w:hAnsi="Times New Roman"/>
          <w:highlight w:val="none"/>
        </w:rPr>
      </w:pPr>
      <w:r>
        <w:rPr>
          <w:rFonts w:ascii="Times New Roman" w:hAnsi="Times New Roman"/>
          <w:snapToGrid w:val="0"/>
          <w:highlight w:val="none"/>
        </w:rPr>
        <w:t>监测点位为厂址北、东、南、西距厂界1m处及</w:t>
      </w:r>
      <w:r>
        <w:rPr>
          <w:rFonts w:hint="eastAsia" w:ascii="Times New Roman" w:hAnsi="Times New Roman"/>
          <w:snapToGrid w:val="0"/>
          <w:highlight w:val="none"/>
          <w:lang w:val="en-US" w:eastAsia="zh-CN"/>
        </w:rPr>
        <w:t>旅游局家属楼</w:t>
      </w:r>
      <w:r>
        <w:rPr>
          <w:rFonts w:hint="eastAsia" w:ascii="Times New Roman" w:hAnsi="Times New Roman"/>
          <w:snapToGrid w:val="0"/>
          <w:highlight w:val="none"/>
        </w:rPr>
        <w:t>、</w:t>
      </w:r>
      <w:r>
        <w:rPr>
          <w:rFonts w:hint="eastAsia" w:ascii="Times New Roman" w:hAnsi="Times New Roman"/>
          <w:snapToGrid w:val="0"/>
          <w:highlight w:val="none"/>
          <w:lang w:val="en-US" w:eastAsia="zh-CN"/>
        </w:rPr>
        <w:t>新安幸福嘉园</w:t>
      </w:r>
      <w:r>
        <w:rPr>
          <w:rFonts w:hint="eastAsia" w:ascii="Times New Roman" w:hAnsi="Times New Roman"/>
          <w:snapToGrid w:val="0"/>
          <w:highlight w:val="none"/>
        </w:rPr>
        <w:t>等</w:t>
      </w:r>
      <w:r>
        <w:rPr>
          <w:rFonts w:ascii="Times New Roman" w:hAnsi="Times New Roman"/>
          <w:snapToGrid w:val="0"/>
          <w:highlight w:val="none"/>
        </w:rPr>
        <w:t>敏感目标。</w:t>
      </w:r>
    </w:p>
    <w:p w14:paraId="62EEC8C8">
      <w:pPr>
        <w:snapToGrid w:val="0"/>
        <w:spacing w:line="480" w:lineRule="exact"/>
        <w:ind w:firstLine="480"/>
        <w:rPr>
          <w:rFonts w:ascii="Times New Roman" w:hAnsi="Times New Roman"/>
          <w:highlight w:val="none"/>
        </w:rPr>
      </w:pPr>
      <w:r>
        <w:rPr>
          <w:rFonts w:ascii="Times New Roman" w:hAnsi="Times New Roman"/>
          <w:highlight w:val="none"/>
        </w:rPr>
        <w:t>（2）监测项目</w:t>
      </w:r>
    </w:p>
    <w:p w14:paraId="2A516E4D">
      <w:pPr>
        <w:snapToGrid w:val="0"/>
        <w:spacing w:line="480" w:lineRule="exact"/>
        <w:ind w:firstLine="480"/>
        <w:rPr>
          <w:rFonts w:ascii="Times New Roman" w:hAnsi="Times New Roman"/>
          <w:highlight w:val="none"/>
        </w:rPr>
      </w:pPr>
      <w:r>
        <w:rPr>
          <w:rFonts w:ascii="Times New Roman" w:hAnsi="Times New Roman"/>
          <w:highlight w:val="none"/>
        </w:rPr>
        <w:t>昼间等效声级L</w:t>
      </w:r>
      <w:r>
        <w:rPr>
          <w:rFonts w:ascii="Times New Roman" w:hAnsi="Times New Roman"/>
          <w:highlight w:val="none"/>
          <w:vertAlign w:val="subscript"/>
        </w:rPr>
        <w:t>d</w:t>
      </w:r>
      <w:r>
        <w:rPr>
          <w:rFonts w:ascii="Times New Roman" w:hAnsi="Times New Roman"/>
          <w:highlight w:val="none"/>
        </w:rPr>
        <w:t>，夜间等效声级L</w:t>
      </w:r>
      <w:r>
        <w:rPr>
          <w:rFonts w:ascii="Times New Roman" w:hAnsi="Times New Roman"/>
          <w:highlight w:val="none"/>
          <w:vertAlign w:val="subscript"/>
        </w:rPr>
        <w:t>n</w:t>
      </w:r>
      <w:r>
        <w:rPr>
          <w:rFonts w:ascii="Times New Roman" w:hAnsi="Times New Roman"/>
          <w:highlight w:val="none"/>
        </w:rPr>
        <w:t>。</w:t>
      </w:r>
    </w:p>
    <w:p w14:paraId="03E55B41">
      <w:pPr>
        <w:snapToGrid w:val="0"/>
        <w:spacing w:line="480" w:lineRule="exact"/>
        <w:ind w:firstLine="480"/>
        <w:rPr>
          <w:rFonts w:ascii="Times New Roman" w:hAnsi="Times New Roman"/>
          <w:highlight w:val="none"/>
        </w:rPr>
      </w:pPr>
      <w:r>
        <w:rPr>
          <w:rFonts w:ascii="Times New Roman" w:hAnsi="Times New Roman"/>
          <w:highlight w:val="none"/>
        </w:rPr>
        <w:t>（3）监测方法</w:t>
      </w:r>
    </w:p>
    <w:p w14:paraId="18B700BF">
      <w:pPr>
        <w:snapToGrid w:val="0"/>
        <w:spacing w:line="480" w:lineRule="exact"/>
        <w:ind w:firstLine="480"/>
        <w:rPr>
          <w:rFonts w:ascii="Times New Roman" w:hAnsi="Times New Roman"/>
          <w:highlight w:val="none"/>
        </w:rPr>
      </w:pPr>
      <w:r>
        <w:rPr>
          <w:rFonts w:ascii="Times New Roman" w:hAnsi="Times New Roman"/>
          <w:highlight w:val="none"/>
        </w:rPr>
        <w:t>按照《工业企业厂界环境噪声排放标准》（GB12348-2008）、《声环境质量标准》（GB3096-2008）和国家环保局颁发的《环境监测技术规范》进行监测。</w:t>
      </w:r>
    </w:p>
    <w:p w14:paraId="58E2050D">
      <w:pPr>
        <w:snapToGrid w:val="0"/>
        <w:spacing w:line="480" w:lineRule="exact"/>
        <w:ind w:firstLine="480"/>
        <w:rPr>
          <w:rFonts w:ascii="Times New Roman" w:hAnsi="Times New Roman"/>
          <w:highlight w:val="none"/>
        </w:rPr>
      </w:pPr>
      <w:r>
        <w:rPr>
          <w:rFonts w:ascii="Times New Roman" w:hAnsi="Times New Roman"/>
          <w:highlight w:val="none"/>
        </w:rPr>
        <w:t>（4）监测时间及频率</w:t>
      </w:r>
    </w:p>
    <w:p w14:paraId="0EE17317">
      <w:pPr>
        <w:snapToGrid w:val="0"/>
        <w:spacing w:line="480" w:lineRule="exact"/>
        <w:ind w:firstLine="480"/>
        <w:rPr>
          <w:rFonts w:ascii="Times New Roman" w:hAnsi="Times New Roman"/>
          <w:highlight w:val="none"/>
        </w:rPr>
      </w:pPr>
      <w:r>
        <w:rPr>
          <w:rFonts w:ascii="Times New Roman" w:hAnsi="Times New Roman"/>
          <w:highlight w:val="none"/>
        </w:rPr>
        <w:t>监测时间为202</w:t>
      </w:r>
      <w:r>
        <w:rPr>
          <w:rFonts w:hint="eastAsia" w:ascii="Times New Roman" w:hAnsi="Times New Roman"/>
          <w:highlight w:val="none"/>
          <w:lang w:val="en-US" w:eastAsia="zh-CN"/>
        </w:rPr>
        <w:t>5</w:t>
      </w:r>
      <w:r>
        <w:rPr>
          <w:rFonts w:ascii="Times New Roman" w:hAnsi="Times New Roman"/>
          <w:highlight w:val="none"/>
        </w:rPr>
        <w:t>年</w:t>
      </w:r>
      <w:r>
        <w:rPr>
          <w:rFonts w:hint="eastAsia" w:ascii="Times New Roman" w:hAnsi="Times New Roman"/>
          <w:highlight w:val="none"/>
        </w:rPr>
        <w:t>1</w:t>
      </w:r>
      <w:r>
        <w:rPr>
          <w:rFonts w:hint="eastAsia" w:ascii="Times New Roman" w:hAnsi="Times New Roman"/>
          <w:highlight w:val="none"/>
          <w:lang w:val="en-US" w:eastAsia="zh-CN"/>
        </w:rPr>
        <w:t>0</w:t>
      </w:r>
      <w:r>
        <w:rPr>
          <w:rFonts w:ascii="Times New Roman" w:hAnsi="Times New Roman"/>
          <w:highlight w:val="none"/>
        </w:rPr>
        <w:t>月</w:t>
      </w:r>
      <w:r>
        <w:rPr>
          <w:rFonts w:hint="eastAsia" w:ascii="Times New Roman" w:hAnsi="Times New Roman"/>
          <w:highlight w:val="none"/>
          <w:lang w:val="en-US" w:eastAsia="zh-CN"/>
        </w:rPr>
        <w:t>17</w:t>
      </w:r>
      <w:r>
        <w:rPr>
          <w:rFonts w:ascii="Times New Roman" w:hAnsi="Times New Roman"/>
          <w:highlight w:val="none"/>
        </w:rPr>
        <w:t>日～</w:t>
      </w:r>
      <w:r>
        <w:rPr>
          <w:rFonts w:hint="eastAsia" w:ascii="Times New Roman" w:hAnsi="Times New Roman"/>
          <w:highlight w:val="none"/>
        </w:rPr>
        <w:t>1</w:t>
      </w:r>
      <w:r>
        <w:rPr>
          <w:rFonts w:hint="eastAsia" w:ascii="Times New Roman" w:hAnsi="Times New Roman"/>
          <w:highlight w:val="none"/>
          <w:lang w:val="en-US" w:eastAsia="zh-CN"/>
        </w:rPr>
        <w:t>0</w:t>
      </w:r>
      <w:r>
        <w:rPr>
          <w:rFonts w:ascii="Times New Roman" w:hAnsi="Times New Roman"/>
          <w:highlight w:val="none"/>
        </w:rPr>
        <w:t>月</w:t>
      </w:r>
      <w:r>
        <w:rPr>
          <w:rFonts w:hint="eastAsia" w:ascii="Times New Roman" w:hAnsi="Times New Roman"/>
          <w:highlight w:val="none"/>
          <w:lang w:val="en-US" w:eastAsia="zh-CN"/>
        </w:rPr>
        <w:t>18</w:t>
      </w:r>
      <w:r>
        <w:rPr>
          <w:rFonts w:ascii="Times New Roman" w:hAnsi="Times New Roman"/>
          <w:highlight w:val="none"/>
        </w:rPr>
        <w:t>日，连续监测2天。选择无雨雪、无雷电天气，风速小于5m/s时的气象条件进行测量。</w:t>
      </w:r>
    </w:p>
    <w:p w14:paraId="646CFDF3">
      <w:pPr>
        <w:snapToGrid w:val="0"/>
        <w:spacing w:line="480" w:lineRule="exact"/>
        <w:ind w:firstLine="480"/>
        <w:rPr>
          <w:rFonts w:ascii="Times New Roman" w:hAnsi="Times New Roman"/>
          <w:highlight w:val="none"/>
        </w:rPr>
      </w:pPr>
      <w:r>
        <w:rPr>
          <w:rFonts w:ascii="Times New Roman" w:hAnsi="Times New Roman"/>
          <w:highlight w:val="none"/>
        </w:rPr>
        <w:t>（5）噪声监测结果</w:t>
      </w:r>
    </w:p>
    <w:p w14:paraId="7CBDC39D">
      <w:pPr>
        <w:snapToGrid w:val="0"/>
        <w:spacing w:line="480" w:lineRule="exact"/>
        <w:ind w:firstLine="480"/>
        <w:rPr>
          <w:rFonts w:ascii="Times New Roman" w:hAnsi="Times New Roman"/>
          <w:highlight w:val="none"/>
        </w:rPr>
      </w:pPr>
      <w:r>
        <w:rPr>
          <w:rFonts w:ascii="Times New Roman" w:hAnsi="Times New Roman"/>
          <w:highlight w:val="none"/>
        </w:rPr>
        <w:t>以连续等效A声级作为评价量。</w:t>
      </w:r>
    </w:p>
    <w:p w14:paraId="12EA4FE7">
      <w:pPr>
        <w:ind w:firstLine="0" w:firstLineChars="0"/>
        <w:rPr>
          <w:rFonts w:ascii="Times New Roman" w:hAnsi="Times New Roman"/>
          <w:sz w:val="21"/>
          <w:highlight w:val="none"/>
        </w:rPr>
      </w:pPr>
      <w:r>
        <w:rPr>
          <w:highlight w:val="none"/>
        </w:rPr>
        <w:drawing>
          <wp:inline distT="0" distB="0" distL="114300" distR="114300">
            <wp:extent cx="5271135" cy="4203065"/>
            <wp:effectExtent l="0" t="0" r="5715" b="6985"/>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7"/>
                    <pic:cNvPicPr>
                      <a:picLocks noChangeAspect="1"/>
                    </pic:cNvPicPr>
                  </pic:nvPicPr>
                  <pic:blipFill>
                    <a:blip r:embed="rId36"/>
                    <a:stretch>
                      <a:fillRect/>
                    </a:stretch>
                  </pic:blipFill>
                  <pic:spPr>
                    <a:xfrm>
                      <a:off x="0" y="0"/>
                      <a:ext cx="5271135" cy="4203065"/>
                    </a:xfrm>
                    <a:prstGeom prst="rect">
                      <a:avLst/>
                    </a:prstGeom>
                    <a:noFill/>
                    <a:ln>
                      <a:noFill/>
                    </a:ln>
                  </pic:spPr>
                </pic:pic>
              </a:graphicData>
            </a:graphic>
          </wp:inline>
        </w:drawing>
      </w:r>
    </w:p>
    <w:p w14:paraId="5A309B5B">
      <w:pPr>
        <w:ind w:firstLine="48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4.3-2</w:t>
      </w:r>
      <w:r>
        <w:rPr>
          <w:rFonts w:hint="eastAsia" w:ascii="黑体" w:hAnsi="黑体" w:eastAsia="黑体" w:cs="黑体"/>
          <w:highlight w:val="none"/>
        </w:rPr>
        <w:t>噪声监测布点图</w:t>
      </w:r>
    </w:p>
    <w:p w14:paraId="30074B12">
      <w:pPr>
        <w:pStyle w:val="38"/>
        <w:ind w:firstLine="480"/>
        <w:rPr>
          <w:rFonts w:ascii="Times New Roman" w:hAnsi="Times New Roman"/>
          <w:szCs w:val="22"/>
          <w:highlight w:val="none"/>
        </w:rPr>
      </w:pPr>
      <w:r>
        <w:rPr>
          <w:rFonts w:ascii="Times New Roman" w:hAnsi="Times New Roman"/>
          <w:szCs w:val="22"/>
          <w:highlight w:val="none"/>
        </w:rPr>
        <w:t>表4.3-7 厂界噪声</w:t>
      </w:r>
      <w:r>
        <w:rPr>
          <w:rFonts w:hint="eastAsia" w:ascii="Times New Roman" w:hAnsi="Times New Roman"/>
          <w:szCs w:val="22"/>
          <w:highlight w:val="none"/>
          <w:lang w:val="en-US" w:eastAsia="zh-CN"/>
        </w:rPr>
        <w:t>与敏感目标</w:t>
      </w:r>
      <w:r>
        <w:rPr>
          <w:rFonts w:ascii="Times New Roman" w:hAnsi="Times New Roman"/>
          <w:szCs w:val="22"/>
          <w:highlight w:val="none"/>
        </w:rPr>
        <w:t>监测情况</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106"/>
        <w:gridCol w:w="1044"/>
        <w:gridCol w:w="1046"/>
        <w:gridCol w:w="1045"/>
        <w:gridCol w:w="1047"/>
        <w:gridCol w:w="1531"/>
      </w:tblGrid>
      <w:tr w14:paraId="63C858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00" w:type="pct"/>
            <w:gridSpan w:val="2"/>
            <w:tcBorders>
              <w:tl2br w:val="nil"/>
              <w:tr2bl w:val="nil"/>
            </w:tcBorders>
            <w:vAlign w:val="center"/>
          </w:tcPr>
          <w:p w14:paraId="2A3CA237">
            <w:pPr>
              <w:keepNext w:val="0"/>
              <w:keepLines w:val="0"/>
              <w:pageBreakBefore w:val="0"/>
              <w:kinsoku/>
              <w:wordWrap/>
              <w:overflowPunct/>
              <w:topLinePunct w:val="0"/>
              <w:bidi w:val="0"/>
              <w:snapToGrid/>
              <w:ind w:firstLine="0" w:firstLineChars="0"/>
              <w:jc w:val="center"/>
              <w:rPr>
                <w:rFonts w:ascii="Times New Roman" w:hAnsi="Times New Roman"/>
                <w:b/>
                <w:bCs/>
                <w:szCs w:val="21"/>
                <w:highlight w:val="none"/>
              </w:rPr>
            </w:pPr>
            <w:r>
              <w:rPr>
                <w:rFonts w:ascii="Times New Roman" w:hAnsi="Times New Roman"/>
                <w:b/>
                <w:bCs/>
                <w:szCs w:val="21"/>
                <w:highlight w:val="none"/>
              </w:rPr>
              <w:t>监测日期</w:t>
            </w:r>
          </w:p>
        </w:tc>
        <w:tc>
          <w:tcPr>
            <w:tcW w:w="1245" w:type="pct"/>
            <w:gridSpan w:val="2"/>
            <w:tcBorders>
              <w:tl2br w:val="nil"/>
              <w:tr2bl w:val="nil"/>
            </w:tcBorders>
            <w:vAlign w:val="center"/>
          </w:tcPr>
          <w:p w14:paraId="1191EF29">
            <w:pPr>
              <w:pStyle w:val="23"/>
              <w:keepNext w:val="0"/>
              <w:keepLines w:val="0"/>
              <w:pageBreakBefore w:val="0"/>
              <w:kinsoku/>
              <w:wordWrap/>
              <w:overflowPunct/>
              <w:topLinePunct w:val="0"/>
              <w:bidi w:val="0"/>
              <w:snapToGrid/>
              <w:ind w:firstLine="0" w:firstLineChars="0"/>
              <w:jc w:val="center"/>
              <w:rPr>
                <w:rFonts w:hint="default" w:ascii="Times New Roman" w:eastAsia="宋体"/>
                <w:b/>
                <w:bCs/>
                <w:color w:val="auto"/>
                <w:sz w:val="21"/>
                <w:szCs w:val="21"/>
                <w:highlight w:val="none"/>
                <w:lang w:val="en-US" w:eastAsia="zh-CN"/>
              </w:rPr>
            </w:pPr>
            <w:r>
              <w:rPr>
                <w:rFonts w:ascii="Times New Roman" w:eastAsia="宋体"/>
                <w:b/>
                <w:bCs/>
                <w:color w:val="auto"/>
                <w:sz w:val="21"/>
                <w:szCs w:val="21"/>
                <w:highlight w:val="none"/>
              </w:rPr>
              <w:t>20</w:t>
            </w:r>
            <w:r>
              <w:rPr>
                <w:rFonts w:hint="eastAsia" w:ascii="Times New Roman" w:eastAsia="宋体"/>
                <w:b/>
                <w:bCs/>
                <w:color w:val="auto"/>
                <w:sz w:val="21"/>
                <w:szCs w:val="21"/>
                <w:highlight w:val="none"/>
              </w:rPr>
              <w:t>2</w:t>
            </w:r>
            <w:r>
              <w:rPr>
                <w:rFonts w:hint="eastAsia" w:ascii="Times New Roman" w:eastAsia="宋体"/>
                <w:b/>
                <w:bCs/>
                <w:color w:val="auto"/>
                <w:sz w:val="21"/>
                <w:szCs w:val="21"/>
                <w:highlight w:val="none"/>
                <w:lang w:val="en-US" w:eastAsia="zh-CN"/>
              </w:rPr>
              <w:t>5.10.27</w:t>
            </w:r>
          </w:p>
        </w:tc>
        <w:tc>
          <w:tcPr>
            <w:tcW w:w="1245" w:type="pct"/>
            <w:gridSpan w:val="2"/>
            <w:tcBorders>
              <w:right w:val="single" w:color="auto" w:sz="8" w:space="0"/>
              <w:tl2br w:val="nil"/>
              <w:tr2bl w:val="nil"/>
            </w:tcBorders>
            <w:vAlign w:val="center"/>
          </w:tcPr>
          <w:p w14:paraId="07120820">
            <w:pPr>
              <w:pStyle w:val="23"/>
              <w:keepNext w:val="0"/>
              <w:keepLines w:val="0"/>
              <w:pageBreakBefore w:val="0"/>
              <w:kinsoku/>
              <w:wordWrap/>
              <w:overflowPunct/>
              <w:topLinePunct w:val="0"/>
              <w:bidi w:val="0"/>
              <w:snapToGrid/>
              <w:ind w:firstLine="0" w:firstLineChars="0"/>
              <w:jc w:val="center"/>
              <w:rPr>
                <w:rFonts w:hint="default" w:ascii="Times New Roman" w:eastAsia="宋体"/>
                <w:b/>
                <w:bCs/>
                <w:color w:val="auto"/>
                <w:sz w:val="21"/>
                <w:szCs w:val="21"/>
                <w:highlight w:val="none"/>
                <w:lang w:val="en-US" w:eastAsia="zh-CN"/>
              </w:rPr>
            </w:pPr>
            <w:r>
              <w:rPr>
                <w:rFonts w:hint="eastAsia" w:ascii="Times New Roman" w:eastAsia="宋体"/>
                <w:b/>
                <w:bCs/>
                <w:color w:val="auto"/>
                <w:sz w:val="21"/>
                <w:szCs w:val="21"/>
                <w:highlight w:val="none"/>
                <w:lang w:val="en-US" w:eastAsia="zh-CN"/>
              </w:rPr>
              <w:t>2025.10.28</w:t>
            </w:r>
          </w:p>
        </w:tc>
        <w:tc>
          <w:tcPr>
            <w:tcW w:w="907" w:type="pct"/>
            <w:vMerge w:val="restart"/>
            <w:tcBorders>
              <w:left w:val="single" w:color="auto" w:sz="8" w:space="0"/>
              <w:tl2br w:val="nil"/>
              <w:tr2bl w:val="nil"/>
            </w:tcBorders>
            <w:vAlign w:val="center"/>
          </w:tcPr>
          <w:p w14:paraId="5A89CC70">
            <w:pPr>
              <w:keepNext w:val="0"/>
              <w:keepLines w:val="0"/>
              <w:pageBreakBefore w:val="0"/>
              <w:kinsoku/>
              <w:wordWrap/>
              <w:overflowPunct/>
              <w:topLinePunct w:val="0"/>
              <w:bidi w:val="0"/>
              <w:snapToGrid/>
              <w:ind w:firstLine="0" w:firstLineChars="0"/>
              <w:jc w:val="center"/>
              <w:rPr>
                <w:rFonts w:ascii="Times New Roman" w:hAnsi="Times New Roman"/>
                <w:szCs w:val="21"/>
                <w:highlight w:val="none"/>
              </w:rPr>
            </w:pPr>
            <w:r>
              <w:rPr>
                <w:rFonts w:ascii="Times New Roman" w:hAnsi="Times New Roman"/>
                <w:b/>
                <w:bCs/>
                <w:szCs w:val="21"/>
                <w:highlight w:val="none"/>
              </w:rPr>
              <w:t>单位</w:t>
            </w:r>
          </w:p>
        </w:tc>
      </w:tr>
      <w:tr w14:paraId="0CA3DE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tcBorders>
              <w:tl2br w:val="nil"/>
              <w:tr2bl w:val="nil"/>
            </w:tcBorders>
            <w:vAlign w:val="center"/>
          </w:tcPr>
          <w:p w14:paraId="0B1077CA">
            <w:pPr>
              <w:pStyle w:val="23"/>
              <w:keepNext w:val="0"/>
              <w:keepLines w:val="0"/>
              <w:pageBreakBefore w:val="0"/>
              <w:kinsoku/>
              <w:wordWrap/>
              <w:overflowPunct/>
              <w:topLinePunct w:val="0"/>
              <w:bidi w:val="0"/>
              <w:snapToGrid/>
              <w:ind w:firstLine="0" w:firstLineChars="0"/>
              <w:jc w:val="center"/>
              <w:rPr>
                <w:rFonts w:ascii="Times New Roman" w:eastAsia="宋体"/>
                <w:b/>
                <w:bCs/>
                <w:color w:val="auto"/>
                <w:sz w:val="21"/>
                <w:szCs w:val="21"/>
                <w:highlight w:val="none"/>
              </w:rPr>
            </w:pPr>
            <w:r>
              <w:rPr>
                <w:rFonts w:ascii="Times New Roman" w:eastAsia="宋体"/>
                <w:b/>
                <w:bCs/>
                <w:color w:val="auto"/>
                <w:sz w:val="21"/>
                <w:szCs w:val="21"/>
                <w:highlight w:val="none"/>
              </w:rPr>
              <w:t>序号</w:t>
            </w:r>
          </w:p>
        </w:tc>
        <w:tc>
          <w:tcPr>
            <w:tcW w:w="1245" w:type="pct"/>
            <w:tcBorders>
              <w:tl2br w:val="nil"/>
              <w:tr2bl w:val="nil"/>
            </w:tcBorders>
            <w:vAlign w:val="center"/>
          </w:tcPr>
          <w:p w14:paraId="1EF42942">
            <w:pPr>
              <w:keepNext w:val="0"/>
              <w:keepLines w:val="0"/>
              <w:pageBreakBefore w:val="0"/>
              <w:kinsoku/>
              <w:wordWrap/>
              <w:overflowPunct/>
              <w:topLinePunct w:val="0"/>
              <w:bidi w:val="0"/>
              <w:snapToGrid/>
              <w:ind w:firstLine="0" w:firstLineChars="0"/>
              <w:jc w:val="center"/>
              <w:rPr>
                <w:rFonts w:ascii="Times New Roman" w:hAnsi="Times New Roman"/>
                <w:b/>
                <w:bCs/>
                <w:szCs w:val="21"/>
                <w:highlight w:val="none"/>
              </w:rPr>
            </w:pPr>
            <w:r>
              <w:rPr>
                <w:rFonts w:ascii="Times New Roman" w:hAnsi="Times New Roman"/>
                <w:b/>
                <w:bCs/>
                <w:szCs w:val="21"/>
                <w:highlight w:val="none"/>
              </w:rPr>
              <w:t>监测点位</w:t>
            </w:r>
          </w:p>
        </w:tc>
        <w:tc>
          <w:tcPr>
            <w:tcW w:w="622" w:type="pct"/>
            <w:tcBorders>
              <w:tl2br w:val="nil"/>
              <w:tr2bl w:val="nil"/>
            </w:tcBorders>
            <w:vAlign w:val="center"/>
          </w:tcPr>
          <w:p w14:paraId="7E12298B">
            <w:pPr>
              <w:pStyle w:val="23"/>
              <w:keepNext w:val="0"/>
              <w:keepLines w:val="0"/>
              <w:pageBreakBefore w:val="0"/>
              <w:kinsoku/>
              <w:wordWrap/>
              <w:overflowPunct/>
              <w:topLinePunct w:val="0"/>
              <w:bidi w:val="0"/>
              <w:snapToGrid/>
              <w:ind w:firstLine="0" w:firstLineChars="0"/>
              <w:jc w:val="center"/>
              <w:rPr>
                <w:rFonts w:ascii="Times New Roman" w:eastAsia="宋体"/>
                <w:b/>
                <w:bCs/>
                <w:color w:val="auto"/>
                <w:sz w:val="21"/>
                <w:szCs w:val="21"/>
                <w:highlight w:val="none"/>
              </w:rPr>
            </w:pPr>
            <w:r>
              <w:rPr>
                <w:rFonts w:ascii="Times New Roman" w:eastAsia="宋体"/>
                <w:b/>
                <w:bCs/>
                <w:color w:val="auto"/>
                <w:sz w:val="21"/>
                <w:szCs w:val="21"/>
                <w:highlight w:val="none"/>
              </w:rPr>
              <w:t>昼间</w:t>
            </w:r>
          </w:p>
        </w:tc>
        <w:tc>
          <w:tcPr>
            <w:tcW w:w="622" w:type="pct"/>
            <w:tcBorders>
              <w:tl2br w:val="nil"/>
              <w:tr2bl w:val="nil"/>
            </w:tcBorders>
            <w:vAlign w:val="center"/>
          </w:tcPr>
          <w:p w14:paraId="39F32FA1">
            <w:pPr>
              <w:pStyle w:val="23"/>
              <w:keepNext w:val="0"/>
              <w:keepLines w:val="0"/>
              <w:pageBreakBefore w:val="0"/>
              <w:kinsoku/>
              <w:wordWrap/>
              <w:overflowPunct/>
              <w:topLinePunct w:val="0"/>
              <w:bidi w:val="0"/>
              <w:snapToGrid/>
              <w:ind w:firstLine="0" w:firstLineChars="0"/>
              <w:jc w:val="center"/>
              <w:rPr>
                <w:rFonts w:ascii="Times New Roman" w:eastAsia="宋体"/>
                <w:b/>
                <w:bCs/>
                <w:color w:val="auto"/>
                <w:sz w:val="21"/>
                <w:szCs w:val="21"/>
                <w:highlight w:val="none"/>
              </w:rPr>
            </w:pPr>
            <w:r>
              <w:rPr>
                <w:rFonts w:ascii="Times New Roman" w:eastAsia="宋体"/>
                <w:b/>
                <w:bCs/>
                <w:color w:val="auto"/>
                <w:sz w:val="21"/>
                <w:szCs w:val="21"/>
                <w:highlight w:val="none"/>
              </w:rPr>
              <w:t>夜间</w:t>
            </w:r>
          </w:p>
        </w:tc>
        <w:tc>
          <w:tcPr>
            <w:tcW w:w="622" w:type="pct"/>
            <w:tcBorders>
              <w:tl2br w:val="nil"/>
              <w:tr2bl w:val="nil"/>
            </w:tcBorders>
            <w:shd w:val="clear" w:color="auto" w:fill="auto"/>
            <w:vAlign w:val="center"/>
          </w:tcPr>
          <w:p w14:paraId="0F174955">
            <w:pPr>
              <w:pStyle w:val="23"/>
              <w:keepNext w:val="0"/>
              <w:keepLines w:val="0"/>
              <w:pageBreakBefore w:val="0"/>
              <w:kinsoku/>
              <w:wordWrap/>
              <w:overflowPunct/>
              <w:topLinePunct w:val="0"/>
              <w:bidi w:val="0"/>
              <w:snapToGrid/>
              <w:ind w:firstLine="0" w:firstLineChars="0"/>
              <w:jc w:val="center"/>
              <w:rPr>
                <w:rFonts w:ascii="Times New Roman" w:hAnsi="Times New Roman" w:eastAsia="宋体" w:cs="Times New Roman"/>
                <w:b/>
                <w:bCs/>
                <w:color w:val="auto"/>
                <w:sz w:val="21"/>
                <w:szCs w:val="21"/>
                <w:highlight w:val="none"/>
                <w:lang w:val="en-US" w:eastAsia="zh-CN" w:bidi="ar-SA"/>
              </w:rPr>
            </w:pPr>
            <w:r>
              <w:rPr>
                <w:rFonts w:ascii="Times New Roman" w:eastAsia="宋体"/>
                <w:b/>
                <w:bCs/>
                <w:color w:val="auto"/>
                <w:sz w:val="21"/>
                <w:szCs w:val="21"/>
                <w:highlight w:val="none"/>
              </w:rPr>
              <w:t>昼间</w:t>
            </w:r>
          </w:p>
        </w:tc>
        <w:tc>
          <w:tcPr>
            <w:tcW w:w="623" w:type="pct"/>
            <w:tcBorders>
              <w:right w:val="single" w:color="auto" w:sz="8" w:space="0"/>
              <w:tl2br w:val="nil"/>
              <w:tr2bl w:val="nil"/>
            </w:tcBorders>
            <w:shd w:val="clear" w:color="auto" w:fill="auto"/>
            <w:vAlign w:val="center"/>
          </w:tcPr>
          <w:p w14:paraId="2386816C">
            <w:pPr>
              <w:pStyle w:val="23"/>
              <w:keepNext w:val="0"/>
              <w:keepLines w:val="0"/>
              <w:pageBreakBefore w:val="0"/>
              <w:kinsoku/>
              <w:wordWrap/>
              <w:overflowPunct/>
              <w:topLinePunct w:val="0"/>
              <w:bidi w:val="0"/>
              <w:snapToGrid/>
              <w:ind w:firstLine="0" w:firstLineChars="0"/>
              <w:jc w:val="center"/>
              <w:rPr>
                <w:rFonts w:ascii="Times New Roman" w:hAnsi="Times New Roman" w:eastAsia="宋体" w:cs="Times New Roman"/>
                <w:b/>
                <w:bCs/>
                <w:color w:val="auto"/>
                <w:sz w:val="21"/>
                <w:szCs w:val="21"/>
                <w:highlight w:val="none"/>
                <w:lang w:val="en-US" w:eastAsia="zh-CN" w:bidi="ar-SA"/>
              </w:rPr>
            </w:pPr>
            <w:r>
              <w:rPr>
                <w:rFonts w:ascii="Times New Roman" w:eastAsia="宋体"/>
                <w:b/>
                <w:bCs/>
                <w:color w:val="auto"/>
                <w:sz w:val="21"/>
                <w:szCs w:val="21"/>
                <w:highlight w:val="none"/>
              </w:rPr>
              <w:t>夜间</w:t>
            </w:r>
          </w:p>
        </w:tc>
        <w:tc>
          <w:tcPr>
            <w:tcW w:w="907" w:type="pct"/>
            <w:vMerge w:val="continue"/>
            <w:tcBorders>
              <w:left w:val="single" w:color="auto" w:sz="8" w:space="0"/>
              <w:tl2br w:val="nil"/>
              <w:tr2bl w:val="nil"/>
            </w:tcBorders>
            <w:vAlign w:val="center"/>
          </w:tcPr>
          <w:p w14:paraId="494A9061">
            <w:pPr>
              <w:pStyle w:val="23"/>
              <w:keepNext w:val="0"/>
              <w:keepLines w:val="0"/>
              <w:pageBreakBefore w:val="0"/>
              <w:kinsoku/>
              <w:wordWrap/>
              <w:overflowPunct/>
              <w:topLinePunct w:val="0"/>
              <w:bidi w:val="0"/>
              <w:snapToGrid/>
              <w:ind w:firstLine="0" w:firstLineChars="0"/>
              <w:jc w:val="center"/>
              <w:rPr>
                <w:rFonts w:ascii="Times New Roman" w:eastAsia="宋体"/>
                <w:b/>
                <w:bCs/>
                <w:color w:val="auto"/>
                <w:sz w:val="21"/>
                <w:szCs w:val="21"/>
                <w:highlight w:val="none"/>
              </w:rPr>
            </w:pPr>
          </w:p>
        </w:tc>
      </w:tr>
      <w:tr w14:paraId="46465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tcBorders>
              <w:tl2br w:val="nil"/>
              <w:tr2bl w:val="nil"/>
            </w:tcBorders>
            <w:vAlign w:val="center"/>
          </w:tcPr>
          <w:p w14:paraId="16B92A31">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r>
              <w:rPr>
                <w:rFonts w:ascii="Times New Roman" w:eastAsia="宋体"/>
                <w:color w:val="auto"/>
                <w:sz w:val="21"/>
                <w:szCs w:val="21"/>
                <w:highlight w:val="none"/>
              </w:rPr>
              <w:t>▲1</w:t>
            </w:r>
          </w:p>
        </w:tc>
        <w:tc>
          <w:tcPr>
            <w:tcW w:w="1245" w:type="pct"/>
            <w:tcBorders>
              <w:tl2br w:val="nil"/>
              <w:tr2bl w:val="nil"/>
            </w:tcBorders>
            <w:shd w:val="clear" w:color="auto" w:fill="auto"/>
            <w:vAlign w:val="center"/>
          </w:tcPr>
          <w:p w14:paraId="04062A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厂界东侧1米处</w:t>
            </w:r>
          </w:p>
        </w:tc>
        <w:tc>
          <w:tcPr>
            <w:tcW w:w="622" w:type="pct"/>
            <w:tcBorders>
              <w:tl2br w:val="nil"/>
              <w:tr2bl w:val="nil"/>
            </w:tcBorders>
            <w:vAlign w:val="center"/>
          </w:tcPr>
          <w:p w14:paraId="7CBA41EF">
            <w:pPr>
              <w:pStyle w:val="23"/>
              <w:keepNext w:val="0"/>
              <w:keepLines w:val="0"/>
              <w:pageBreakBefore w:val="0"/>
              <w:kinsoku/>
              <w:wordWrap/>
              <w:overflowPunct/>
              <w:topLinePunct w:val="0"/>
              <w:bidi w:val="0"/>
              <w:snapToGrid/>
              <w:ind w:firstLine="0" w:firstLineChars="0"/>
              <w:jc w:val="center"/>
              <w:rPr>
                <w:rFonts w:hint="default" w:ascii="Times New Roman" w:hAnsi="Times New Roman" w:eastAsia="宋体"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eastAsia="宋体" w:cs="Times New Roman"/>
                <w:color w:val="000000" w:themeColor="text1"/>
                <w:spacing w:val="20"/>
                <w:kern w:val="2"/>
                <w:sz w:val="21"/>
                <w:szCs w:val="21"/>
                <w:highlight w:val="none"/>
                <w:lang w:val="en-US" w:eastAsia="zh-CN" w:bidi="ar-SA"/>
                <w14:textFill>
                  <w14:solidFill>
                    <w14:schemeClr w14:val="tx1"/>
                  </w14:solidFill>
                </w14:textFill>
              </w:rPr>
              <w:t>66</w:t>
            </w:r>
          </w:p>
        </w:tc>
        <w:tc>
          <w:tcPr>
            <w:tcW w:w="622" w:type="pct"/>
            <w:tcBorders>
              <w:tl2br w:val="nil"/>
              <w:tr2bl w:val="nil"/>
            </w:tcBorders>
            <w:vAlign w:val="center"/>
          </w:tcPr>
          <w:p w14:paraId="52BB8691">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52</w:t>
            </w:r>
          </w:p>
        </w:tc>
        <w:tc>
          <w:tcPr>
            <w:tcW w:w="622" w:type="pct"/>
            <w:tcBorders>
              <w:tl2br w:val="nil"/>
              <w:tr2bl w:val="nil"/>
            </w:tcBorders>
            <w:vAlign w:val="center"/>
          </w:tcPr>
          <w:p w14:paraId="06C58A7C">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67</w:t>
            </w:r>
          </w:p>
        </w:tc>
        <w:tc>
          <w:tcPr>
            <w:tcW w:w="623" w:type="pct"/>
            <w:tcBorders>
              <w:tl2br w:val="nil"/>
              <w:tr2bl w:val="nil"/>
            </w:tcBorders>
            <w:vAlign w:val="center"/>
          </w:tcPr>
          <w:p w14:paraId="5F47924C">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53</w:t>
            </w:r>
          </w:p>
        </w:tc>
        <w:tc>
          <w:tcPr>
            <w:tcW w:w="907" w:type="pct"/>
            <w:vMerge w:val="restart"/>
            <w:tcBorders>
              <w:tl2br w:val="nil"/>
              <w:tr2bl w:val="nil"/>
            </w:tcBorders>
            <w:vAlign w:val="center"/>
          </w:tcPr>
          <w:p w14:paraId="265D70E0">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r>
              <w:rPr>
                <w:rFonts w:ascii="Times New Roman" w:eastAsia="宋体"/>
                <w:b w:val="0"/>
                <w:bCs w:val="0"/>
                <w:color w:val="auto"/>
                <w:sz w:val="21"/>
                <w:szCs w:val="21"/>
                <w:highlight w:val="none"/>
              </w:rPr>
              <w:t>dB（A）</w:t>
            </w:r>
          </w:p>
        </w:tc>
      </w:tr>
      <w:tr w14:paraId="18D0F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tcBorders>
              <w:tl2br w:val="nil"/>
              <w:tr2bl w:val="nil"/>
            </w:tcBorders>
            <w:vAlign w:val="center"/>
          </w:tcPr>
          <w:p w14:paraId="0E74C03D">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ascii="Times New Roman" w:eastAsia="宋体"/>
                <w:color w:val="auto"/>
                <w:sz w:val="21"/>
                <w:szCs w:val="21"/>
                <w:highlight w:val="none"/>
              </w:rPr>
              <w:t>▲</w:t>
            </w:r>
            <w:r>
              <w:rPr>
                <w:rFonts w:hint="eastAsia" w:ascii="Times New Roman"/>
                <w:color w:val="auto"/>
                <w:sz w:val="21"/>
                <w:szCs w:val="21"/>
                <w:highlight w:val="none"/>
                <w:lang w:val="en-US" w:eastAsia="zh-CN"/>
              </w:rPr>
              <w:t>2</w:t>
            </w:r>
          </w:p>
        </w:tc>
        <w:tc>
          <w:tcPr>
            <w:tcW w:w="1245" w:type="pct"/>
            <w:tcBorders>
              <w:tl2br w:val="nil"/>
              <w:tr2bl w:val="nil"/>
            </w:tcBorders>
            <w:shd w:val="clear" w:color="auto" w:fill="auto"/>
            <w:vAlign w:val="center"/>
          </w:tcPr>
          <w:p w14:paraId="5C57C3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厂界</w:t>
            </w:r>
            <w:r>
              <w:rPr>
                <w:rFonts w:hint="eastAsia" w:ascii="Times New Roman" w:hAnsi="Times New Roman" w:cs="Times New Roman"/>
                <w:sz w:val="21"/>
                <w:szCs w:val="21"/>
                <w:highlight w:val="none"/>
                <w:vertAlign w:val="baseline"/>
                <w:lang w:val="en-US" w:eastAsia="zh-CN"/>
              </w:rPr>
              <w:t>北</w:t>
            </w:r>
            <w:r>
              <w:rPr>
                <w:rFonts w:hint="default" w:ascii="Times New Roman" w:hAnsi="Times New Roman" w:cs="Times New Roman"/>
                <w:sz w:val="21"/>
                <w:szCs w:val="21"/>
                <w:highlight w:val="none"/>
                <w:vertAlign w:val="baseline"/>
                <w:lang w:val="en-US" w:eastAsia="zh-CN"/>
              </w:rPr>
              <w:t>侧1米处</w:t>
            </w:r>
          </w:p>
        </w:tc>
        <w:tc>
          <w:tcPr>
            <w:tcW w:w="622" w:type="pct"/>
            <w:tcBorders>
              <w:tl2br w:val="nil"/>
              <w:tr2bl w:val="nil"/>
            </w:tcBorders>
            <w:vAlign w:val="center"/>
          </w:tcPr>
          <w:p w14:paraId="2A33B49E">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56</w:t>
            </w:r>
          </w:p>
        </w:tc>
        <w:tc>
          <w:tcPr>
            <w:tcW w:w="622" w:type="pct"/>
            <w:tcBorders>
              <w:tl2br w:val="nil"/>
              <w:tr2bl w:val="nil"/>
            </w:tcBorders>
            <w:vAlign w:val="center"/>
          </w:tcPr>
          <w:p w14:paraId="57C868B1">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622" w:type="pct"/>
            <w:tcBorders>
              <w:tl2br w:val="nil"/>
              <w:tr2bl w:val="nil"/>
            </w:tcBorders>
            <w:vAlign w:val="center"/>
          </w:tcPr>
          <w:p w14:paraId="31A68291">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57</w:t>
            </w:r>
          </w:p>
        </w:tc>
        <w:tc>
          <w:tcPr>
            <w:tcW w:w="623" w:type="pct"/>
            <w:tcBorders>
              <w:tl2br w:val="nil"/>
              <w:tr2bl w:val="nil"/>
            </w:tcBorders>
            <w:vAlign w:val="center"/>
          </w:tcPr>
          <w:p w14:paraId="240AD28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46</w:t>
            </w:r>
          </w:p>
        </w:tc>
        <w:tc>
          <w:tcPr>
            <w:tcW w:w="907" w:type="pct"/>
            <w:vMerge w:val="continue"/>
            <w:tcBorders>
              <w:tl2br w:val="nil"/>
              <w:tr2bl w:val="nil"/>
            </w:tcBorders>
            <w:vAlign w:val="center"/>
          </w:tcPr>
          <w:p w14:paraId="79997C65">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3D9AFE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tcBorders>
              <w:tl2br w:val="nil"/>
              <w:tr2bl w:val="nil"/>
            </w:tcBorders>
            <w:vAlign w:val="center"/>
          </w:tcPr>
          <w:p w14:paraId="0FAB4EAF">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ascii="Times New Roman" w:eastAsia="宋体"/>
                <w:color w:val="auto"/>
                <w:sz w:val="21"/>
                <w:szCs w:val="21"/>
                <w:highlight w:val="none"/>
              </w:rPr>
              <w:t>▲</w:t>
            </w:r>
            <w:r>
              <w:rPr>
                <w:rFonts w:hint="eastAsia" w:ascii="Times New Roman"/>
                <w:color w:val="auto"/>
                <w:sz w:val="21"/>
                <w:szCs w:val="21"/>
                <w:highlight w:val="none"/>
                <w:lang w:val="en-US" w:eastAsia="zh-CN"/>
              </w:rPr>
              <w:t>3</w:t>
            </w:r>
          </w:p>
        </w:tc>
        <w:tc>
          <w:tcPr>
            <w:tcW w:w="1245" w:type="pct"/>
            <w:tcBorders>
              <w:tl2br w:val="nil"/>
              <w:tr2bl w:val="nil"/>
            </w:tcBorders>
            <w:shd w:val="clear" w:color="auto" w:fill="auto"/>
            <w:vAlign w:val="center"/>
          </w:tcPr>
          <w:p w14:paraId="7B345F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厂界</w:t>
            </w:r>
            <w:r>
              <w:rPr>
                <w:rFonts w:hint="eastAsia" w:ascii="Times New Roman" w:hAnsi="Times New Roman" w:cs="Times New Roman"/>
                <w:sz w:val="21"/>
                <w:szCs w:val="21"/>
                <w:highlight w:val="none"/>
                <w:vertAlign w:val="baseline"/>
                <w:lang w:val="en-US" w:eastAsia="zh-CN"/>
              </w:rPr>
              <w:t>西</w:t>
            </w:r>
            <w:r>
              <w:rPr>
                <w:rFonts w:hint="default" w:ascii="Times New Roman" w:hAnsi="Times New Roman" w:cs="Times New Roman"/>
                <w:sz w:val="21"/>
                <w:szCs w:val="21"/>
                <w:highlight w:val="none"/>
                <w:vertAlign w:val="baseline"/>
                <w:lang w:val="en-US" w:eastAsia="zh-CN"/>
              </w:rPr>
              <w:t>侧1米处</w:t>
            </w:r>
          </w:p>
        </w:tc>
        <w:tc>
          <w:tcPr>
            <w:tcW w:w="622" w:type="pct"/>
            <w:tcBorders>
              <w:tl2br w:val="nil"/>
              <w:tr2bl w:val="nil"/>
            </w:tcBorders>
            <w:vAlign w:val="center"/>
          </w:tcPr>
          <w:p w14:paraId="4DBBF1C9">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55</w:t>
            </w:r>
          </w:p>
        </w:tc>
        <w:tc>
          <w:tcPr>
            <w:tcW w:w="622" w:type="pct"/>
            <w:tcBorders>
              <w:tl2br w:val="nil"/>
              <w:tr2bl w:val="nil"/>
            </w:tcBorders>
            <w:vAlign w:val="center"/>
          </w:tcPr>
          <w:p w14:paraId="360570A3">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45</w:t>
            </w:r>
          </w:p>
        </w:tc>
        <w:tc>
          <w:tcPr>
            <w:tcW w:w="622" w:type="pct"/>
            <w:tcBorders>
              <w:tl2br w:val="nil"/>
              <w:tr2bl w:val="nil"/>
            </w:tcBorders>
            <w:vAlign w:val="center"/>
          </w:tcPr>
          <w:p w14:paraId="118E568B">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57</w:t>
            </w:r>
          </w:p>
        </w:tc>
        <w:tc>
          <w:tcPr>
            <w:tcW w:w="623" w:type="pct"/>
            <w:tcBorders>
              <w:tl2br w:val="nil"/>
              <w:tr2bl w:val="nil"/>
            </w:tcBorders>
            <w:vAlign w:val="center"/>
          </w:tcPr>
          <w:p w14:paraId="29117F6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44</w:t>
            </w:r>
          </w:p>
        </w:tc>
        <w:tc>
          <w:tcPr>
            <w:tcW w:w="907" w:type="pct"/>
            <w:vMerge w:val="continue"/>
            <w:tcBorders>
              <w:tl2br w:val="nil"/>
              <w:tr2bl w:val="nil"/>
            </w:tcBorders>
            <w:vAlign w:val="center"/>
          </w:tcPr>
          <w:p w14:paraId="3301986F">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0E76F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tcBorders>
              <w:tl2br w:val="nil"/>
              <w:tr2bl w:val="nil"/>
            </w:tcBorders>
            <w:vAlign w:val="center"/>
          </w:tcPr>
          <w:p w14:paraId="17CE666D">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ascii="Times New Roman" w:eastAsia="宋体"/>
                <w:color w:val="auto"/>
                <w:sz w:val="21"/>
                <w:szCs w:val="21"/>
                <w:highlight w:val="none"/>
              </w:rPr>
              <w:t>▲</w:t>
            </w:r>
            <w:r>
              <w:rPr>
                <w:rFonts w:hint="eastAsia" w:ascii="Times New Roman"/>
                <w:color w:val="auto"/>
                <w:sz w:val="21"/>
                <w:szCs w:val="21"/>
                <w:highlight w:val="none"/>
                <w:lang w:val="en-US" w:eastAsia="zh-CN"/>
              </w:rPr>
              <w:t>4</w:t>
            </w:r>
          </w:p>
        </w:tc>
        <w:tc>
          <w:tcPr>
            <w:tcW w:w="1245" w:type="pct"/>
            <w:tcBorders>
              <w:tl2br w:val="nil"/>
              <w:tr2bl w:val="nil"/>
            </w:tcBorders>
            <w:shd w:val="clear" w:color="auto" w:fill="auto"/>
            <w:vAlign w:val="center"/>
          </w:tcPr>
          <w:p w14:paraId="1FA4CA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厂界</w:t>
            </w:r>
            <w:r>
              <w:rPr>
                <w:rFonts w:hint="eastAsia" w:ascii="Times New Roman" w:hAnsi="Times New Roman" w:cs="Times New Roman"/>
                <w:sz w:val="21"/>
                <w:szCs w:val="21"/>
                <w:highlight w:val="none"/>
                <w:vertAlign w:val="baseline"/>
                <w:lang w:val="en-US" w:eastAsia="zh-CN"/>
              </w:rPr>
              <w:t>南</w:t>
            </w:r>
            <w:r>
              <w:rPr>
                <w:rFonts w:hint="default" w:ascii="Times New Roman" w:hAnsi="Times New Roman" w:cs="Times New Roman"/>
                <w:sz w:val="21"/>
                <w:szCs w:val="21"/>
                <w:highlight w:val="none"/>
                <w:vertAlign w:val="baseline"/>
                <w:lang w:val="en-US" w:eastAsia="zh-CN"/>
              </w:rPr>
              <w:t>侧1米处</w:t>
            </w:r>
          </w:p>
        </w:tc>
        <w:tc>
          <w:tcPr>
            <w:tcW w:w="622" w:type="pct"/>
            <w:tcBorders>
              <w:tl2br w:val="nil"/>
              <w:tr2bl w:val="nil"/>
            </w:tcBorders>
            <w:vAlign w:val="center"/>
          </w:tcPr>
          <w:p w14:paraId="48CBD803">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68</w:t>
            </w:r>
          </w:p>
        </w:tc>
        <w:tc>
          <w:tcPr>
            <w:tcW w:w="622" w:type="pct"/>
            <w:tcBorders>
              <w:tl2br w:val="nil"/>
              <w:tr2bl w:val="nil"/>
            </w:tcBorders>
            <w:vAlign w:val="center"/>
          </w:tcPr>
          <w:p w14:paraId="768E47F9">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53</w:t>
            </w:r>
          </w:p>
        </w:tc>
        <w:tc>
          <w:tcPr>
            <w:tcW w:w="622" w:type="pct"/>
            <w:tcBorders>
              <w:tl2br w:val="nil"/>
              <w:tr2bl w:val="nil"/>
            </w:tcBorders>
            <w:vAlign w:val="center"/>
          </w:tcPr>
          <w:p w14:paraId="4FC46037">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66</w:t>
            </w:r>
          </w:p>
        </w:tc>
        <w:tc>
          <w:tcPr>
            <w:tcW w:w="623" w:type="pct"/>
            <w:tcBorders>
              <w:tl2br w:val="nil"/>
              <w:tr2bl w:val="nil"/>
            </w:tcBorders>
            <w:vAlign w:val="center"/>
          </w:tcPr>
          <w:p w14:paraId="1D6BAA29">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52</w:t>
            </w:r>
          </w:p>
        </w:tc>
        <w:tc>
          <w:tcPr>
            <w:tcW w:w="907" w:type="pct"/>
            <w:vMerge w:val="continue"/>
            <w:tcBorders>
              <w:tl2br w:val="nil"/>
              <w:tr2bl w:val="nil"/>
            </w:tcBorders>
            <w:vAlign w:val="center"/>
          </w:tcPr>
          <w:p w14:paraId="05282D94">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15CCD3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restart"/>
            <w:vAlign w:val="center"/>
          </w:tcPr>
          <w:p w14:paraId="2D39E8C1">
            <w:pPr>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w:t>
            </w:r>
            <w:r>
              <w:rPr>
                <w:rFonts w:hint="eastAsia" w:ascii="Times New Roman"/>
                <w:color w:val="auto"/>
                <w:sz w:val="21"/>
                <w:szCs w:val="21"/>
                <w:highlight w:val="none"/>
                <w:lang w:val="en-US" w:eastAsia="zh-CN"/>
              </w:rPr>
              <w:t>5</w:t>
            </w:r>
          </w:p>
        </w:tc>
        <w:tc>
          <w:tcPr>
            <w:tcW w:w="1245" w:type="pct"/>
            <w:shd w:val="clear" w:color="auto" w:fill="auto"/>
            <w:vAlign w:val="center"/>
          </w:tcPr>
          <w:p w14:paraId="37D913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旅游局家属楼1楼</w:t>
            </w:r>
          </w:p>
        </w:tc>
        <w:tc>
          <w:tcPr>
            <w:tcW w:w="622" w:type="pct"/>
            <w:vAlign w:val="center"/>
          </w:tcPr>
          <w:p w14:paraId="34513EC6">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52</w:t>
            </w:r>
          </w:p>
        </w:tc>
        <w:tc>
          <w:tcPr>
            <w:tcW w:w="622" w:type="pct"/>
            <w:vAlign w:val="center"/>
          </w:tcPr>
          <w:p w14:paraId="214482BF">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622" w:type="pct"/>
            <w:vAlign w:val="center"/>
          </w:tcPr>
          <w:p w14:paraId="0F32F51F">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53</w:t>
            </w:r>
          </w:p>
        </w:tc>
        <w:tc>
          <w:tcPr>
            <w:tcW w:w="623" w:type="pct"/>
            <w:vAlign w:val="center"/>
          </w:tcPr>
          <w:p w14:paraId="370DC388">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907" w:type="pct"/>
            <w:vMerge w:val="continue"/>
          </w:tcPr>
          <w:p w14:paraId="5F52F6A0">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647AAA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31854727">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2B0511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旅游局家属楼3楼</w:t>
            </w:r>
          </w:p>
        </w:tc>
        <w:tc>
          <w:tcPr>
            <w:tcW w:w="622" w:type="pct"/>
            <w:vAlign w:val="center"/>
          </w:tcPr>
          <w:p w14:paraId="14677FEE">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622" w:type="pct"/>
            <w:vAlign w:val="center"/>
          </w:tcPr>
          <w:p w14:paraId="531798E6">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622" w:type="pct"/>
            <w:vAlign w:val="center"/>
          </w:tcPr>
          <w:p w14:paraId="3F6869F5">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54</w:t>
            </w:r>
          </w:p>
        </w:tc>
        <w:tc>
          <w:tcPr>
            <w:tcW w:w="623" w:type="pct"/>
            <w:vAlign w:val="center"/>
          </w:tcPr>
          <w:p w14:paraId="4CFBBD94">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907" w:type="pct"/>
            <w:vMerge w:val="continue"/>
          </w:tcPr>
          <w:p w14:paraId="1E8AF0FA">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2F48F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77CC9885">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583138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旅游局家属楼5楼</w:t>
            </w:r>
          </w:p>
        </w:tc>
        <w:tc>
          <w:tcPr>
            <w:tcW w:w="622" w:type="pct"/>
            <w:vAlign w:val="center"/>
          </w:tcPr>
          <w:p w14:paraId="7BE73365">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50</w:t>
            </w:r>
          </w:p>
        </w:tc>
        <w:tc>
          <w:tcPr>
            <w:tcW w:w="622" w:type="pct"/>
            <w:vAlign w:val="center"/>
          </w:tcPr>
          <w:p w14:paraId="2DA9E6EB">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622" w:type="pct"/>
            <w:vAlign w:val="center"/>
          </w:tcPr>
          <w:p w14:paraId="6F80CAA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52</w:t>
            </w:r>
          </w:p>
        </w:tc>
        <w:tc>
          <w:tcPr>
            <w:tcW w:w="623" w:type="pct"/>
            <w:vAlign w:val="center"/>
          </w:tcPr>
          <w:p w14:paraId="3E39F18A">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907" w:type="pct"/>
            <w:vMerge w:val="continue"/>
          </w:tcPr>
          <w:p w14:paraId="62529A1E">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555CC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restart"/>
            <w:shd w:val="clear" w:color="auto" w:fill="auto"/>
            <w:vAlign w:val="center"/>
          </w:tcPr>
          <w:p w14:paraId="2C28E842">
            <w:pPr>
              <w:keepNext w:val="0"/>
              <w:keepLines w:val="0"/>
              <w:pageBreakBefore w:val="0"/>
              <w:kinsoku/>
              <w:wordWrap/>
              <w:overflowPunct/>
              <w:topLinePunct w:val="0"/>
              <w:bidi w:val="0"/>
              <w:snapToGrid/>
              <w:ind w:firstLine="0" w:firstLineChars="0"/>
              <w:jc w:val="center"/>
              <w:rPr>
                <w:rFonts w:hint="eastAsia" w:ascii="Times New Roman" w:hAnsi="Calibri" w:eastAsia="宋体" w:cs="Times New Roman"/>
                <w:color w:val="auto"/>
                <w:kern w:val="2"/>
                <w:sz w:val="21"/>
                <w:szCs w:val="21"/>
                <w:highlight w:val="none"/>
                <w:lang w:val="en-US" w:eastAsia="zh-CN" w:bidi="ar-SA"/>
              </w:rPr>
            </w:pPr>
            <w:r>
              <w:rPr>
                <w:rFonts w:hint="eastAsia"/>
                <w:highlight w:val="none"/>
              </w:rPr>
              <w:t>△</w:t>
            </w:r>
            <w:r>
              <w:rPr>
                <w:rFonts w:hint="eastAsia"/>
                <w:highlight w:val="none"/>
                <w:lang w:val="en-US" w:eastAsia="zh-CN"/>
              </w:rPr>
              <w:t>6</w:t>
            </w:r>
          </w:p>
        </w:tc>
        <w:tc>
          <w:tcPr>
            <w:tcW w:w="1245" w:type="pct"/>
            <w:shd w:val="clear" w:color="auto" w:fill="auto"/>
            <w:vAlign w:val="center"/>
          </w:tcPr>
          <w:p w14:paraId="155423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新安幸福嘉园1楼</w:t>
            </w:r>
          </w:p>
        </w:tc>
        <w:tc>
          <w:tcPr>
            <w:tcW w:w="622" w:type="pct"/>
            <w:shd w:val="clear" w:color="auto" w:fill="auto"/>
            <w:vAlign w:val="center"/>
          </w:tcPr>
          <w:p w14:paraId="4148057C">
            <w:pPr>
              <w:pStyle w:val="23"/>
              <w:keepNext w:val="0"/>
              <w:keepLines w:val="0"/>
              <w:pageBreakBefore w:val="0"/>
              <w:kinsoku/>
              <w:wordWrap/>
              <w:overflowPunct/>
              <w:topLinePunct w:val="0"/>
              <w:bidi w:val="0"/>
              <w:snapToGrid/>
              <w:ind w:firstLine="0" w:firstLineChars="0"/>
              <w:jc w:val="center"/>
              <w:rPr>
                <w:rFonts w:hint="eastAsia" w:ascii="Times New Roman" w:hAnsi="Times New Roman" w:eastAsia="仿宋_GB2312"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54</w:t>
            </w:r>
          </w:p>
        </w:tc>
        <w:tc>
          <w:tcPr>
            <w:tcW w:w="622" w:type="pct"/>
            <w:shd w:val="clear" w:color="auto" w:fill="auto"/>
            <w:vAlign w:val="center"/>
          </w:tcPr>
          <w:p w14:paraId="27EBE1D6">
            <w:pPr>
              <w:pStyle w:val="23"/>
              <w:keepNext w:val="0"/>
              <w:keepLines w:val="0"/>
              <w:pageBreakBefore w:val="0"/>
              <w:kinsoku/>
              <w:wordWrap/>
              <w:overflowPunct/>
              <w:topLinePunct w:val="0"/>
              <w:bidi w:val="0"/>
              <w:snapToGrid/>
              <w:ind w:firstLine="0" w:firstLineChars="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eastAsia="宋体"/>
                <w:color w:val="auto"/>
                <w:sz w:val="21"/>
                <w:szCs w:val="21"/>
                <w:highlight w:val="none"/>
                <w:lang w:val="en-US" w:eastAsia="zh-CN"/>
              </w:rPr>
              <w:t>44</w:t>
            </w:r>
          </w:p>
        </w:tc>
        <w:tc>
          <w:tcPr>
            <w:tcW w:w="622" w:type="pct"/>
            <w:shd w:val="clear" w:color="auto" w:fill="auto"/>
            <w:vAlign w:val="center"/>
          </w:tcPr>
          <w:p w14:paraId="0365772A">
            <w:pPr>
              <w:pStyle w:val="23"/>
              <w:keepNext w:val="0"/>
              <w:keepLines w:val="0"/>
              <w:pageBreakBefore w:val="0"/>
              <w:kinsoku/>
              <w:wordWrap/>
              <w:overflowPunct/>
              <w:topLinePunct w:val="0"/>
              <w:bidi w:val="0"/>
              <w:snapToGrid/>
              <w:ind w:firstLine="0" w:firstLineChars="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eastAsia="宋体"/>
                <w:color w:val="auto"/>
                <w:sz w:val="21"/>
                <w:szCs w:val="21"/>
                <w:highlight w:val="none"/>
                <w:lang w:val="en-US" w:eastAsia="zh-CN"/>
              </w:rPr>
              <w:t>55</w:t>
            </w:r>
          </w:p>
        </w:tc>
        <w:tc>
          <w:tcPr>
            <w:tcW w:w="623" w:type="pct"/>
            <w:shd w:val="clear" w:color="auto" w:fill="auto"/>
            <w:vAlign w:val="center"/>
          </w:tcPr>
          <w:p w14:paraId="18C182B8">
            <w:pPr>
              <w:pStyle w:val="23"/>
              <w:keepNext w:val="0"/>
              <w:keepLines w:val="0"/>
              <w:pageBreakBefore w:val="0"/>
              <w:kinsoku/>
              <w:wordWrap/>
              <w:overflowPunct/>
              <w:topLinePunct w:val="0"/>
              <w:bidi w:val="0"/>
              <w:snapToGrid/>
              <w:ind w:firstLine="0" w:firstLineChars="0"/>
              <w:jc w:val="center"/>
              <w:rPr>
                <w:rFonts w:hint="eastAsia" w:ascii="Times New Roman" w:hAnsi="Times New Roman" w:eastAsia="宋体" w:cs="Times New Roman"/>
                <w:color w:val="auto"/>
                <w:sz w:val="21"/>
                <w:szCs w:val="21"/>
                <w:highlight w:val="none"/>
                <w:lang w:val="en-US" w:eastAsia="zh-CN" w:bidi="ar-SA"/>
              </w:rPr>
            </w:pPr>
            <w:r>
              <w:rPr>
                <w:rFonts w:hint="eastAsia" w:ascii="Times New Roman" w:eastAsia="宋体"/>
                <w:color w:val="auto"/>
                <w:sz w:val="21"/>
                <w:szCs w:val="21"/>
                <w:highlight w:val="none"/>
                <w:lang w:val="en-US" w:eastAsia="zh-CN"/>
              </w:rPr>
              <w:t>45</w:t>
            </w:r>
          </w:p>
        </w:tc>
        <w:tc>
          <w:tcPr>
            <w:tcW w:w="907" w:type="pct"/>
            <w:vMerge w:val="continue"/>
          </w:tcPr>
          <w:p w14:paraId="7A9FFB23">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7889DD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5A089513">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5CA2CC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新安幸福嘉园3楼</w:t>
            </w:r>
          </w:p>
        </w:tc>
        <w:tc>
          <w:tcPr>
            <w:tcW w:w="622" w:type="pct"/>
            <w:vAlign w:val="center"/>
          </w:tcPr>
          <w:p w14:paraId="4E446C05">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622" w:type="pct"/>
            <w:vAlign w:val="center"/>
          </w:tcPr>
          <w:p w14:paraId="13F2DD03">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622" w:type="pct"/>
            <w:vAlign w:val="center"/>
          </w:tcPr>
          <w:p w14:paraId="382470EB">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54</w:t>
            </w:r>
          </w:p>
        </w:tc>
        <w:tc>
          <w:tcPr>
            <w:tcW w:w="623" w:type="pct"/>
            <w:vAlign w:val="center"/>
          </w:tcPr>
          <w:p w14:paraId="09EFE93A">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44</w:t>
            </w:r>
          </w:p>
        </w:tc>
        <w:tc>
          <w:tcPr>
            <w:tcW w:w="907" w:type="pct"/>
            <w:vMerge w:val="continue"/>
          </w:tcPr>
          <w:p w14:paraId="35540683">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52287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55D2CF79">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453C2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新安幸福嘉园5楼</w:t>
            </w:r>
          </w:p>
        </w:tc>
        <w:tc>
          <w:tcPr>
            <w:tcW w:w="622" w:type="pct"/>
            <w:vAlign w:val="center"/>
          </w:tcPr>
          <w:p w14:paraId="7B2343AC">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55</w:t>
            </w:r>
          </w:p>
        </w:tc>
        <w:tc>
          <w:tcPr>
            <w:tcW w:w="622" w:type="pct"/>
            <w:vAlign w:val="center"/>
          </w:tcPr>
          <w:p w14:paraId="032954AD">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45</w:t>
            </w:r>
          </w:p>
        </w:tc>
        <w:tc>
          <w:tcPr>
            <w:tcW w:w="622" w:type="pct"/>
            <w:vAlign w:val="center"/>
          </w:tcPr>
          <w:p w14:paraId="2F7DBEBA">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53</w:t>
            </w:r>
          </w:p>
        </w:tc>
        <w:tc>
          <w:tcPr>
            <w:tcW w:w="623" w:type="pct"/>
            <w:vAlign w:val="center"/>
          </w:tcPr>
          <w:p w14:paraId="6E7EE5B5">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907" w:type="pct"/>
            <w:vMerge w:val="continue"/>
          </w:tcPr>
          <w:p w14:paraId="0BD56EB6">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6BE5B2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2E5AA7E3">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1D5528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新安幸福嘉园7楼</w:t>
            </w:r>
          </w:p>
        </w:tc>
        <w:tc>
          <w:tcPr>
            <w:tcW w:w="622" w:type="pct"/>
            <w:vAlign w:val="center"/>
          </w:tcPr>
          <w:p w14:paraId="3C23D4B8">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52</w:t>
            </w:r>
          </w:p>
        </w:tc>
        <w:tc>
          <w:tcPr>
            <w:tcW w:w="622" w:type="pct"/>
            <w:vAlign w:val="center"/>
          </w:tcPr>
          <w:p w14:paraId="16172F1B">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622" w:type="pct"/>
            <w:vAlign w:val="center"/>
          </w:tcPr>
          <w:p w14:paraId="4AC5279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51</w:t>
            </w:r>
          </w:p>
        </w:tc>
        <w:tc>
          <w:tcPr>
            <w:tcW w:w="623" w:type="pct"/>
            <w:vAlign w:val="center"/>
          </w:tcPr>
          <w:p w14:paraId="6461487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41</w:t>
            </w:r>
          </w:p>
        </w:tc>
        <w:tc>
          <w:tcPr>
            <w:tcW w:w="907" w:type="pct"/>
            <w:vMerge w:val="continue"/>
          </w:tcPr>
          <w:p w14:paraId="67BB5131">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204E8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3551118E">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7777A1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新安幸福嘉园9楼</w:t>
            </w:r>
          </w:p>
        </w:tc>
        <w:tc>
          <w:tcPr>
            <w:tcW w:w="622" w:type="pct"/>
            <w:vAlign w:val="center"/>
          </w:tcPr>
          <w:p w14:paraId="2522AEA5">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622" w:type="pct"/>
            <w:vAlign w:val="center"/>
          </w:tcPr>
          <w:p w14:paraId="777B547B">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44</w:t>
            </w:r>
          </w:p>
        </w:tc>
        <w:tc>
          <w:tcPr>
            <w:tcW w:w="622" w:type="pct"/>
            <w:vAlign w:val="center"/>
          </w:tcPr>
          <w:p w14:paraId="3E600E0E">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52</w:t>
            </w:r>
          </w:p>
        </w:tc>
        <w:tc>
          <w:tcPr>
            <w:tcW w:w="623" w:type="pct"/>
            <w:vAlign w:val="center"/>
          </w:tcPr>
          <w:p w14:paraId="2917F845">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907" w:type="pct"/>
            <w:vMerge w:val="continue"/>
          </w:tcPr>
          <w:p w14:paraId="737173F3">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4B872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Merge w:val="continue"/>
            <w:vAlign w:val="center"/>
          </w:tcPr>
          <w:p w14:paraId="3CD576BD">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p>
        </w:tc>
        <w:tc>
          <w:tcPr>
            <w:tcW w:w="1245" w:type="pct"/>
            <w:shd w:val="clear" w:color="auto" w:fill="auto"/>
            <w:vAlign w:val="center"/>
          </w:tcPr>
          <w:p w14:paraId="6A99F9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新安幸福嘉园11楼</w:t>
            </w:r>
          </w:p>
        </w:tc>
        <w:tc>
          <w:tcPr>
            <w:tcW w:w="622" w:type="pct"/>
            <w:vAlign w:val="center"/>
          </w:tcPr>
          <w:p w14:paraId="1DC8B957">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54</w:t>
            </w:r>
          </w:p>
        </w:tc>
        <w:tc>
          <w:tcPr>
            <w:tcW w:w="622" w:type="pct"/>
            <w:vAlign w:val="center"/>
          </w:tcPr>
          <w:p w14:paraId="111DACA2">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622" w:type="pct"/>
            <w:vAlign w:val="center"/>
          </w:tcPr>
          <w:p w14:paraId="014312B5">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54</w:t>
            </w:r>
          </w:p>
        </w:tc>
        <w:tc>
          <w:tcPr>
            <w:tcW w:w="623" w:type="pct"/>
            <w:vAlign w:val="center"/>
          </w:tcPr>
          <w:p w14:paraId="35BE37F9">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907" w:type="pct"/>
            <w:vMerge w:val="continue"/>
          </w:tcPr>
          <w:p w14:paraId="7F56EDF2">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013E07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Align w:val="center"/>
          </w:tcPr>
          <w:p w14:paraId="2B6E2849">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hint="eastAsia"/>
                <w:highlight w:val="none"/>
              </w:rPr>
              <w:t>△</w:t>
            </w:r>
            <w:r>
              <w:rPr>
                <w:rFonts w:hint="eastAsia"/>
                <w:highlight w:val="none"/>
                <w:lang w:val="en-US" w:eastAsia="zh-CN"/>
              </w:rPr>
              <w:t>7</w:t>
            </w:r>
          </w:p>
        </w:tc>
        <w:tc>
          <w:tcPr>
            <w:tcW w:w="1245" w:type="pct"/>
            <w:shd w:val="clear" w:color="auto" w:fill="auto"/>
            <w:vAlign w:val="center"/>
          </w:tcPr>
          <w:p w14:paraId="6CFC54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绥芬河市人大</w:t>
            </w:r>
          </w:p>
        </w:tc>
        <w:tc>
          <w:tcPr>
            <w:tcW w:w="622" w:type="pct"/>
            <w:vAlign w:val="center"/>
          </w:tcPr>
          <w:p w14:paraId="2687AD7F">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622" w:type="pct"/>
            <w:vAlign w:val="center"/>
          </w:tcPr>
          <w:p w14:paraId="12B3F6F4">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45</w:t>
            </w:r>
          </w:p>
        </w:tc>
        <w:tc>
          <w:tcPr>
            <w:tcW w:w="622" w:type="pct"/>
            <w:vAlign w:val="center"/>
          </w:tcPr>
          <w:p w14:paraId="2D9A6B86">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54</w:t>
            </w:r>
          </w:p>
        </w:tc>
        <w:tc>
          <w:tcPr>
            <w:tcW w:w="623" w:type="pct"/>
            <w:vAlign w:val="center"/>
          </w:tcPr>
          <w:p w14:paraId="11FD3DF2">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907" w:type="pct"/>
            <w:vMerge w:val="continue"/>
          </w:tcPr>
          <w:p w14:paraId="56C985F6">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21161D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Align w:val="center"/>
          </w:tcPr>
          <w:p w14:paraId="0B4DFD12">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hint="eastAsia"/>
                <w:highlight w:val="none"/>
              </w:rPr>
              <w:t>△</w:t>
            </w:r>
            <w:r>
              <w:rPr>
                <w:rFonts w:hint="eastAsia"/>
                <w:highlight w:val="none"/>
                <w:lang w:val="en-US" w:eastAsia="zh-CN"/>
              </w:rPr>
              <w:t>8</w:t>
            </w:r>
          </w:p>
        </w:tc>
        <w:tc>
          <w:tcPr>
            <w:tcW w:w="1245" w:type="pct"/>
            <w:shd w:val="clear" w:color="auto" w:fill="auto"/>
            <w:vAlign w:val="center"/>
          </w:tcPr>
          <w:p w14:paraId="3B81D4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中兴小区东侧</w:t>
            </w:r>
          </w:p>
        </w:tc>
        <w:tc>
          <w:tcPr>
            <w:tcW w:w="622" w:type="pct"/>
            <w:vAlign w:val="center"/>
          </w:tcPr>
          <w:p w14:paraId="5562670D">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55</w:t>
            </w:r>
          </w:p>
        </w:tc>
        <w:tc>
          <w:tcPr>
            <w:tcW w:w="622" w:type="pct"/>
            <w:vAlign w:val="center"/>
          </w:tcPr>
          <w:p w14:paraId="7B82B1C6">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622" w:type="pct"/>
            <w:vAlign w:val="center"/>
          </w:tcPr>
          <w:p w14:paraId="41B8E3E4">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56</w:t>
            </w:r>
          </w:p>
        </w:tc>
        <w:tc>
          <w:tcPr>
            <w:tcW w:w="623" w:type="pct"/>
            <w:vAlign w:val="center"/>
          </w:tcPr>
          <w:p w14:paraId="688C33D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44</w:t>
            </w:r>
          </w:p>
        </w:tc>
        <w:tc>
          <w:tcPr>
            <w:tcW w:w="907" w:type="pct"/>
            <w:vMerge w:val="continue"/>
          </w:tcPr>
          <w:p w14:paraId="249BEA1B">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12ACF3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Align w:val="center"/>
          </w:tcPr>
          <w:p w14:paraId="060A456E">
            <w:pPr>
              <w:keepNext w:val="0"/>
              <w:keepLines w:val="0"/>
              <w:pageBreakBefore w:val="0"/>
              <w:kinsoku/>
              <w:wordWrap/>
              <w:overflowPunct/>
              <w:topLinePunct w:val="0"/>
              <w:bidi w:val="0"/>
              <w:snapToGrid/>
              <w:ind w:firstLine="0" w:firstLineChars="0"/>
              <w:jc w:val="center"/>
              <w:rPr>
                <w:rFonts w:hint="eastAsia" w:ascii="Times New Roman" w:eastAsia="宋体"/>
                <w:color w:val="auto"/>
                <w:sz w:val="21"/>
                <w:szCs w:val="21"/>
                <w:highlight w:val="none"/>
                <w:lang w:val="en-US" w:eastAsia="zh-CN"/>
              </w:rPr>
            </w:pPr>
            <w:r>
              <w:rPr>
                <w:rFonts w:hint="eastAsia"/>
                <w:highlight w:val="none"/>
              </w:rPr>
              <w:t>△</w:t>
            </w:r>
            <w:r>
              <w:rPr>
                <w:rFonts w:hint="eastAsia"/>
                <w:highlight w:val="none"/>
                <w:lang w:val="en-US" w:eastAsia="zh-CN"/>
              </w:rPr>
              <w:t>9</w:t>
            </w:r>
          </w:p>
        </w:tc>
        <w:tc>
          <w:tcPr>
            <w:tcW w:w="1245" w:type="pct"/>
            <w:shd w:val="clear" w:color="auto" w:fill="auto"/>
            <w:vAlign w:val="center"/>
          </w:tcPr>
          <w:p w14:paraId="5B2030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中兴小区西侧</w:t>
            </w:r>
          </w:p>
        </w:tc>
        <w:tc>
          <w:tcPr>
            <w:tcW w:w="622" w:type="pct"/>
            <w:vAlign w:val="center"/>
          </w:tcPr>
          <w:p w14:paraId="4C070CE7">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622" w:type="pct"/>
            <w:vAlign w:val="center"/>
          </w:tcPr>
          <w:p w14:paraId="12CC8936">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45</w:t>
            </w:r>
          </w:p>
        </w:tc>
        <w:tc>
          <w:tcPr>
            <w:tcW w:w="622" w:type="pct"/>
            <w:vAlign w:val="center"/>
          </w:tcPr>
          <w:p w14:paraId="15EE63FA">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55</w:t>
            </w:r>
          </w:p>
        </w:tc>
        <w:tc>
          <w:tcPr>
            <w:tcW w:w="623" w:type="pct"/>
            <w:vAlign w:val="center"/>
          </w:tcPr>
          <w:p w14:paraId="7822C993">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43</w:t>
            </w:r>
          </w:p>
        </w:tc>
        <w:tc>
          <w:tcPr>
            <w:tcW w:w="907" w:type="pct"/>
            <w:vMerge w:val="continue"/>
          </w:tcPr>
          <w:p w14:paraId="58AFB4FE">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09EEC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Align w:val="center"/>
          </w:tcPr>
          <w:p w14:paraId="7B20BDE7">
            <w:pPr>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highlight w:val="none"/>
              </w:rPr>
              <w:t>△</w:t>
            </w:r>
            <w:r>
              <w:rPr>
                <w:rFonts w:hint="eastAsia"/>
                <w:highlight w:val="none"/>
                <w:lang w:val="en-US" w:eastAsia="zh-CN"/>
              </w:rPr>
              <w:t>10</w:t>
            </w:r>
          </w:p>
        </w:tc>
        <w:tc>
          <w:tcPr>
            <w:tcW w:w="1245" w:type="pct"/>
            <w:shd w:val="clear" w:color="auto" w:fill="auto"/>
            <w:vAlign w:val="center"/>
          </w:tcPr>
          <w:p w14:paraId="4FDA46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数码港宾馆</w:t>
            </w:r>
          </w:p>
        </w:tc>
        <w:tc>
          <w:tcPr>
            <w:tcW w:w="622" w:type="pct"/>
            <w:vAlign w:val="center"/>
          </w:tcPr>
          <w:p w14:paraId="29400E2D">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622" w:type="pct"/>
            <w:vAlign w:val="center"/>
          </w:tcPr>
          <w:p w14:paraId="17571B3E">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622" w:type="pct"/>
            <w:vAlign w:val="center"/>
          </w:tcPr>
          <w:p w14:paraId="6EA336BC">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52</w:t>
            </w:r>
          </w:p>
        </w:tc>
        <w:tc>
          <w:tcPr>
            <w:tcW w:w="623" w:type="pct"/>
            <w:vAlign w:val="center"/>
          </w:tcPr>
          <w:p w14:paraId="2318590A">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41</w:t>
            </w:r>
          </w:p>
        </w:tc>
        <w:tc>
          <w:tcPr>
            <w:tcW w:w="907" w:type="pct"/>
            <w:vMerge w:val="continue"/>
          </w:tcPr>
          <w:p w14:paraId="4B9A2F9D">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r w14:paraId="76618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5" w:type="pct"/>
            <w:vAlign w:val="center"/>
          </w:tcPr>
          <w:p w14:paraId="31736DEC">
            <w:pPr>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highlight w:val="none"/>
              </w:rPr>
              <w:t>△</w:t>
            </w:r>
            <w:r>
              <w:rPr>
                <w:rFonts w:hint="eastAsia"/>
                <w:highlight w:val="none"/>
                <w:lang w:val="en-US" w:eastAsia="zh-CN"/>
              </w:rPr>
              <w:t>11</w:t>
            </w:r>
          </w:p>
        </w:tc>
        <w:tc>
          <w:tcPr>
            <w:tcW w:w="1245" w:type="pct"/>
            <w:shd w:val="clear" w:color="auto" w:fill="auto"/>
            <w:vAlign w:val="center"/>
          </w:tcPr>
          <w:p w14:paraId="7F099D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颐民敬老院卫生所</w:t>
            </w:r>
          </w:p>
        </w:tc>
        <w:tc>
          <w:tcPr>
            <w:tcW w:w="622" w:type="pct"/>
            <w:vAlign w:val="center"/>
          </w:tcPr>
          <w:p w14:paraId="0CEA5C07">
            <w:pPr>
              <w:pStyle w:val="23"/>
              <w:keepNext w:val="0"/>
              <w:keepLines w:val="0"/>
              <w:pageBreakBefore w:val="0"/>
              <w:kinsoku/>
              <w:wordWrap/>
              <w:overflowPunct/>
              <w:topLinePunct w:val="0"/>
              <w:bidi w:val="0"/>
              <w:snapToGrid/>
              <w:ind w:firstLine="0" w:firstLineChars="0"/>
              <w:jc w:val="center"/>
              <w:rPr>
                <w:rFonts w:hint="default" w:ascii="Times New Roman" w:cs="Times New Roman"/>
                <w:color w:val="000000" w:themeColor="text1"/>
                <w:spacing w:val="20"/>
                <w:kern w:val="2"/>
                <w:sz w:val="21"/>
                <w:szCs w:val="21"/>
                <w:highlight w:val="none"/>
                <w:lang w:val="en-US" w:eastAsia="zh-CN" w:bidi="ar-SA"/>
                <w14:textFill>
                  <w14:solidFill>
                    <w14:schemeClr w14:val="tx1"/>
                  </w14:solidFill>
                </w14:textFill>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49</w:t>
            </w:r>
          </w:p>
        </w:tc>
        <w:tc>
          <w:tcPr>
            <w:tcW w:w="622" w:type="pct"/>
            <w:vAlign w:val="center"/>
          </w:tcPr>
          <w:p w14:paraId="0B884990">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42</w:t>
            </w:r>
          </w:p>
        </w:tc>
        <w:tc>
          <w:tcPr>
            <w:tcW w:w="622" w:type="pct"/>
            <w:vAlign w:val="center"/>
          </w:tcPr>
          <w:p w14:paraId="1D43C4CF">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48</w:t>
            </w:r>
          </w:p>
        </w:tc>
        <w:tc>
          <w:tcPr>
            <w:tcW w:w="623" w:type="pct"/>
            <w:vAlign w:val="center"/>
          </w:tcPr>
          <w:p w14:paraId="34F122DD">
            <w:pPr>
              <w:pStyle w:val="23"/>
              <w:keepNext w:val="0"/>
              <w:keepLines w:val="0"/>
              <w:pageBreakBefore w:val="0"/>
              <w:kinsoku/>
              <w:wordWrap/>
              <w:overflowPunct/>
              <w:topLinePunct w:val="0"/>
              <w:bidi w:val="0"/>
              <w:snapToGrid/>
              <w:ind w:firstLine="0" w:firstLineChars="0"/>
              <w:jc w:val="center"/>
              <w:rPr>
                <w:rFonts w:hint="default" w:ascii="Times New Roman" w:eastAsia="宋体"/>
                <w:color w:val="auto"/>
                <w:sz w:val="21"/>
                <w:szCs w:val="21"/>
                <w:highlight w:val="none"/>
                <w:lang w:val="en-US" w:eastAsia="zh-CN"/>
              </w:rPr>
            </w:pPr>
            <w:r>
              <w:rPr>
                <w:rFonts w:hint="eastAsia" w:ascii="Times New Roman" w:eastAsia="宋体"/>
                <w:color w:val="auto"/>
                <w:sz w:val="21"/>
                <w:szCs w:val="21"/>
                <w:highlight w:val="none"/>
                <w:lang w:val="en-US" w:eastAsia="zh-CN"/>
              </w:rPr>
              <w:t>41</w:t>
            </w:r>
          </w:p>
        </w:tc>
        <w:tc>
          <w:tcPr>
            <w:tcW w:w="907" w:type="pct"/>
            <w:vMerge w:val="continue"/>
          </w:tcPr>
          <w:p w14:paraId="5D5456EF">
            <w:pPr>
              <w:pStyle w:val="23"/>
              <w:keepNext w:val="0"/>
              <w:keepLines w:val="0"/>
              <w:pageBreakBefore w:val="0"/>
              <w:kinsoku/>
              <w:wordWrap/>
              <w:overflowPunct/>
              <w:topLinePunct w:val="0"/>
              <w:bidi w:val="0"/>
              <w:snapToGrid/>
              <w:ind w:firstLine="0" w:firstLineChars="0"/>
              <w:jc w:val="center"/>
              <w:rPr>
                <w:rFonts w:ascii="Times New Roman" w:eastAsia="宋体"/>
                <w:color w:val="auto"/>
                <w:sz w:val="21"/>
                <w:szCs w:val="21"/>
                <w:highlight w:val="none"/>
              </w:rPr>
            </w:pPr>
          </w:p>
        </w:tc>
      </w:tr>
    </w:tbl>
    <w:p w14:paraId="784CA4FC">
      <w:pPr>
        <w:pStyle w:val="7"/>
        <w:numPr>
          <w:ilvl w:val="0"/>
          <w:numId w:val="6"/>
        </w:numPr>
        <w:ind w:firstLine="480"/>
        <w:rPr>
          <w:rFonts w:ascii="Times New Roman" w:hAnsi="Times New Roman"/>
          <w:highlight w:val="none"/>
        </w:rPr>
      </w:pPr>
      <w:r>
        <w:rPr>
          <w:rFonts w:ascii="Times New Roman" w:hAnsi="Times New Roman"/>
          <w:highlight w:val="none"/>
        </w:rPr>
        <w:t>声环境现状评价</w:t>
      </w:r>
    </w:p>
    <w:p w14:paraId="658ABB43">
      <w:pPr>
        <w:snapToGrid w:val="0"/>
        <w:spacing w:line="480" w:lineRule="exact"/>
        <w:ind w:firstLine="480"/>
        <w:rPr>
          <w:rFonts w:ascii="Times New Roman" w:hAnsi="Times New Roman"/>
          <w:highlight w:val="none"/>
        </w:rPr>
      </w:pPr>
      <w:r>
        <w:rPr>
          <w:rFonts w:ascii="Times New Roman" w:hAnsi="Times New Roman"/>
          <w:highlight w:val="none"/>
        </w:rPr>
        <w:t>（1）评价方法</w:t>
      </w:r>
    </w:p>
    <w:p w14:paraId="5548F53D">
      <w:pPr>
        <w:snapToGrid w:val="0"/>
        <w:spacing w:line="480" w:lineRule="exact"/>
        <w:ind w:firstLine="480"/>
        <w:rPr>
          <w:rFonts w:ascii="Times New Roman" w:hAnsi="Times New Roman"/>
          <w:highlight w:val="none"/>
        </w:rPr>
      </w:pPr>
      <w:r>
        <w:rPr>
          <w:rFonts w:ascii="Times New Roman" w:hAnsi="Times New Roman"/>
          <w:highlight w:val="none"/>
        </w:rPr>
        <w:t>以等效连续A声级Leq为评价量，根据噪声现状的监测统计结果，采用与评价标准直接比较的方法（单因子法）对评价范围内的声环境质量现状进行评价。</w:t>
      </w:r>
    </w:p>
    <w:p w14:paraId="5B51BD41">
      <w:pPr>
        <w:snapToGrid w:val="0"/>
        <w:spacing w:line="480" w:lineRule="exact"/>
        <w:ind w:firstLine="480"/>
        <w:rPr>
          <w:rFonts w:ascii="Times New Roman" w:hAnsi="Times New Roman"/>
          <w:highlight w:val="none"/>
        </w:rPr>
      </w:pPr>
      <w:r>
        <w:rPr>
          <w:rFonts w:ascii="Times New Roman" w:hAnsi="Times New Roman"/>
          <w:highlight w:val="none"/>
        </w:rPr>
        <w:t>（2）评价标准</w:t>
      </w:r>
    </w:p>
    <w:p w14:paraId="55260756">
      <w:pPr>
        <w:snapToGrid w:val="0"/>
        <w:spacing w:line="480" w:lineRule="exact"/>
        <w:ind w:firstLine="480"/>
        <w:rPr>
          <w:rFonts w:ascii="Times New Roman" w:hAnsi="Times New Roman"/>
          <w:highlight w:val="none"/>
        </w:rPr>
      </w:pPr>
      <w:r>
        <w:rPr>
          <w:rFonts w:ascii="Times New Roman" w:hAnsi="Times New Roman"/>
          <w:highlight w:val="none"/>
        </w:rPr>
        <w:t>项目厂址环境噪声执行《声环境质量标准》（GB3096—2008）中</w:t>
      </w:r>
      <w:r>
        <w:rPr>
          <w:rFonts w:hint="eastAsia" w:ascii="Times New Roman" w:hAnsi="Times New Roman"/>
          <w:highlight w:val="none"/>
          <w:lang w:val="en-US" w:eastAsia="zh-CN"/>
        </w:rPr>
        <w:t>2</w:t>
      </w:r>
      <w:r>
        <w:rPr>
          <w:rFonts w:ascii="Times New Roman" w:hAnsi="Times New Roman"/>
          <w:highlight w:val="none"/>
        </w:rPr>
        <w:t>类区</w:t>
      </w:r>
      <w:r>
        <w:rPr>
          <w:rFonts w:hint="eastAsia" w:ascii="Times New Roman" w:hAnsi="Times New Roman"/>
          <w:highlight w:val="none"/>
          <w:lang w:val="en-US" w:eastAsia="zh-CN"/>
        </w:rPr>
        <w:t>和4a类</w:t>
      </w:r>
      <w:r>
        <w:rPr>
          <w:rFonts w:ascii="Times New Roman" w:hAnsi="Times New Roman"/>
          <w:highlight w:val="none"/>
        </w:rPr>
        <w:t>标准，即昼间</w:t>
      </w:r>
      <w:r>
        <w:rPr>
          <w:rFonts w:hint="eastAsia" w:ascii="Times New Roman" w:hAnsi="Times New Roman"/>
          <w:highlight w:val="none"/>
          <w:lang w:val="en-US" w:eastAsia="zh-CN"/>
        </w:rPr>
        <w:t>60</w:t>
      </w:r>
      <w:r>
        <w:rPr>
          <w:rFonts w:ascii="Times New Roman" w:hAnsi="Times New Roman"/>
          <w:highlight w:val="none"/>
        </w:rPr>
        <w:t>dB(A)</w:t>
      </w:r>
      <w:r>
        <w:rPr>
          <w:rFonts w:hint="eastAsia" w:ascii="Times New Roman" w:hAnsi="Times New Roman"/>
          <w:highlight w:val="none"/>
          <w:lang w:eastAsia="zh-CN"/>
        </w:rPr>
        <w:t>、</w:t>
      </w:r>
      <w:r>
        <w:rPr>
          <w:rFonts w:hint="eastAsia" w:ascii="Times New Roman" w:hAnsi="Times New Roman"/>
          <w:highlight w:val="none"/>
          <w:lang w:val="en-US" w:eastAsia="zh-CN"/>
        </w:rPr>
        <w:t>70</w:t>
      </w:r>
      <w:r>
        <w:rPr>
          <w:rFonts w:ascii="Times New Roman" w:hAnsi="Times New Roman"/>
          <w:highlight w:val="none"/>
        </w:rPr>
        <w:t>dB(A)，夜间</w:t>
      </w:r>
      <w:r>
        <w:rPr>
          <w:rFonts w:hint="eastAsia" w:ascii="Times New Roman" w:hAnsi="Times New Roman"/>
          <w:highlight w:val="none"/>
          <w:lang w:val="en-US" w:eastAsia="zh-CN"/>
        </w:rPr>
        <w:t>50</w:t>
      </w:r>
      <w:r>
        <w:rPr>
          <w:rFonts w:ascii="Times New Roman" w:hAnsi="Times New Roman"/>
          <w:highlight w:val="none"/>
        </w:rPr>
        <w:t>dB(A)</w:t>
      </w:r>
      <w:r>
        <w:rPr>
          <w:rFonts w:hint="eastAsia" w:ascii="Times New Roman" w:hAnsi="Times New Roman"/>
          <w:highlight w:val="none"/>
          <w:lang w:eastAsia="zh-CN"/>
        </w:rPr>
        <w:t>、</w:t>
      </w:r>
      <w:r>
        <w:rPr>
          <w:rFonts w:hint="eastAsia" w:ascii="Times New Roman" w:hAnsi="Times New Roman"/>
          <w:highlight w:val="none"/>
          <w:lang w:val="en-US" w:eastAsia="zh-CN"/>
        </w:rPr>
        <w:t>55</w:t>
      </w:r>
      <w:r>
        <w:rPr>
          <w:rFonts w:ascii="Times New Roman" w:hAnsi="Times New Roman"/>
          <w:highlight w:val="none"/>
        </w:rPr>
        <w:t>dB(A)。</w:t>
      </w:r>
      <w:r>
        <w:rPr>
          <w:rFonts w:hint="eastAsia" w:ascii="Times New Roman" w:hAnsi="Times New Roman"/>
          <w:highlight w:val="none"/>
          <w:lang w:val="en-US" w:eastAsia="zh-CN"/>
        </w:rPr>
        <w:t>敏感点</w:t>
      </w:r>
      <w:r>
        <w:rPr>
          <w:rFonts w:ascii="Times New Roman" w:hAnsi="Times New Roman"/>
          <w:highlight w:val="none"/>
        </w:rPr>
        <w:t>环境噪声执行《声环境质量标准》（GB3096—2008）中2类区标准，即昼间60dB(A)，夜间50dB(A)。</w:t>
      </w:r>
    </w:p>
    <w:p w14:paraId="364EC22E">
      <w:pPr>
        <w:snapToGrid w:val="0"/>
        <w:spacing w:line="480" w:lineRule="exact"/>
        <w:ind w:firstLine="480"/>
        <w:rPr>
          <w:rFonts w:ascii="Times New Roman" w:hAnsi="Times New Roman"/>
          <w:highlight w:val="none"/>
        </w:rPr>
      </w:pPr>
      <w:r>
        <w:rPr>
          <w:rFonts w:ascii="Times New Roman" w:hAnsi="Times New Roman"/>
          <w:highlight w:val="none"/>
        </w:rPr>
        <w:t>（3）现状评价结果</w:t>
      </w:r>
    </w:p>
    <w:p w14:paraId="4668D616">
      <w:pPr>
        <w:snapToGrid w:val="0"/>
        <w:spacing w:line="480" w:lineRule="exact"/>
        <w:ind w:firstLine="480"/>
        <w:rPr>
          <w:rFonts w:ascii="Times New Roman" w:hAnsi="Times New Roman"/>
          <w:highlight w:val="none"/>
        </w:rPr>
      </w:pPr>
      <w:r>
        <w:rPr>
          <w:rFonts w:ascii="Times New Roman" w:hAnsi="Times New Roman"/>
          <w:highlight w:val="none"/>
        </w:rPr>
        <w:t>本项目厂址区域噪声昼间</w:t>
      </w:r>
      <w:r>
        <w:rPr>
          <w:rFonts w:hint="eastAsia" w:ascii="Times New Roman" w:hAnsi="Times New Roman"/>
          <w:highlight w:val="none"/>
          <w:lang w:val="en-US" w:eastAsia="zh-CN"/>
        </w:rPr>
        <w:t>55</w:t>
      </w:r>
      <w:r>
        <w:rPr>
          <w:rFonts w:hint="eastAsia" w:ascii="Times New Roman" w:hAnsi="Times New Roman"/>
          <w:highlight w:val="none"/>
        </w:rPr>
        <w:t>~</w:t>
      </w:r>
      <w:r>
        <w:rPr>
          <w:rFonts w:hint="eastAsia" w:ascii="Times New Roman" w:hAnsi="Times New Roman"/>
          <w:highlight w:val="none"/>
          <w:lang w:val="en-US" w:eastAsia="zh-CN"/>
        </w:rPr>
        <w:t>68</w:t>
      </w:r>
      <w:r>
        <w:rPr>
          <w:rFonts w:ascii="Times New Roman" w:hAnsi="Times New Roman"/>
          <w:highlight w:val="none"/>
        </w:rPr>
        <w:t>dB(A）之间，夜间在</w:t>
      </w:r>
      <w:r>
        <w:rPr>
          <w:rFonts w:hint="eastAsia" w:ascii="Times New Roman" w:hAnsi="Times New Roman"/>
          <w:highlight w:val="none"/>
          <w:lang w:val="en-US" w:eastAsia="zh-CN"/>
        </w:rPr>
        <w:t>43</w:t>
      </w:r>
      <w:r>
        <w:rPr>
          <w:rFonts w:ascii="Times New Roman" w:hAnsi="Times New Roman"/>
          <w:highlight w:val="none"/>
        </w:rPr>
        <w:t>~</w:t>
      </w:r>
      <w:r>
        <w:rPr>
          <w:rFonts w:hint="eastAsia" w:ascii="Times New Roman" w:hAnsi="Times New Roman"/>
          <w:highlight w:val="none"/>
          <w:lang w:val="en-US" w:eastAsia="zh-CN"/>
        </w:rPr>
        <w:t>53</w:t>
      </w:r>
      <w:r>
        <w:rPr>
          <w:rFonts w:ascii="Times New Roman" w:hAnsi="Times New Roman"/>
          <w:highlight w:val="none"/>
        </w:rPr>
        <w:t>dB(A）之间，昼间、夜间噪声满足《声环境质量标准》（GB3096—2008）中</w:t>
      </w:r>
      <w:r>
        <w:rPr>
          <w:rFonts w:hint="eastAsia" w:ascii="Times New Roman" w:hAnsi="Times New Roman"/>
          <w:highlight w:val="none"/>
          <w:lang w:val="en-US" w:eastAsia="zh-CN"/>
        </w:rPr>
        <w:t>2</w:t>
      </w:r>
      <w:r>
        <w:rPr>
          <w:rFonts w:ascii="Times New Roman" w:hAnsi="Times New Roman"/>
          <w:highlight w:val="none"/>
        </w:rPr>
        <w:t>类区</w:t>
      </w:r>
      <w:r>
        <w:rPr>
          <w:rFonts w:hint="eastAsia" w:ascii="Times New Roman" w:hAnsi="Times New Roman"/>
          <w:highlight w:val="none"/>
          <w:lang w:val="en-US" w:eastAsia="zh-CN"/>
        </w:rPr>
        <w:t>和4a类</w:t>
      </w:r>
      <w:r>
        <w:rPr>
          <w:rFonts w:ascii="Times New Roman" w:hAnsi="Times New Roman"/>
          <w:highlight w:val="none"/>
        </w:rPr>
        <w:t>标准限值要求。</w:t>
      </w:r>
      <w:r>
        <w:rPr>
          <w:rFonts w:hint="eastAsia" w:ascii="Times New Roman" w:hAnsi="Times New Roman"/>
          <w:highlight w:val="none"/>
        </w:rPr>
        <w:t>周边</w:t>
      </w:r>
      <w:r>
        <w:rPr>
          <w:rFonts w:hint="eastAsia" w:ascii="Times New Roman" w:hAnsi="Times New Roman"/>
          <w:highlight w:val="none"/>
          <w:lang w:val="en-US" w:eastAsia="zh-CN"/>
        </w:rPr>
        <w:t>敏感点</w:t>
      </w:r>
      <w:r>
        <w:rPr>
          <w:rFonts w:ascii="Times New Roman" w:hAnsi="Times New Roman"/>
          <w:highlight w:val="none"/>
        </w:rPr>
        <w:t>昼间</w:t>
      </w:r>
      <w:r>
        <w:rPr>
          <w:rFonts w:hint="eastAsia" w:ascii="Times New Roman" w:hAnsi="Times New Roman"/>
          <w:highlight w:val="none"/>
          <w:lang w:val="en-US" w:eastAsia="zh-CN"/>
        </w:rPr>
        <w:t>49</w:t>
      </w:r>
      <w:r>
        <w:rPr>
          <w:rFonts w:ascii="Times New Roman" w:hAnsi="Times New Roman"/>
          <w:highlight w:val="none"/>
        </w:rPr>
        <w:t>~</w:t>
      </w:r>
      <w:r>
        <w:rPr>
          <w:rFonts w:hint="eastAsia" w:ascii="Times New Roman" w:hAnsi="Times New Roman"/>
          <w:highlight w:val="none"/>
          <w:lang w:val="en-US" w:eastAsia="zh-CN"/>
        </w:rPr>
        <w:t>56</w:t>
      </w:r>
      <w:r>
        <w:rPr>
          <w:rFonts w:ascii="Times New Roman" w:hAnsi="Times New Roman"/>
          <w:highlight w:val="none"/>
        </w:rPr>
        <w:t>dB(A）之间，夜间在</w:t>
      </w:r>
      <w:r>
        <w:rPr>
          <w:rFonts w:hint="eastAsia" w:ascii="Times New Roman" w:hAnsi="Times New Roman"/>
          <w:highlight w:val="none"/>
          <w:lang w:val="en-US" w:eastAsia="zh-CN"/>
        </w:rPr>
        <w:t>41</w:t>
      </w:r>
      <w:r>
        <w:rPr>
          <w:rFonts w:ascii="Times New Roman" w:hAnsi="Times New Roman"/>
          <w:highlight w:val="none"/>
        </w:rPr>
        <w:t>~</w:t>
      </w:r>
      <w:r>
        <w:rPr>
          <w:rFonts w:hint="eastAsia" w:ascii="Times New Roman" w:hAnsi="Times New Roman"/>
          <w:highlight w:val="none"/>
          <w:lang w:val="en-US" w:eastAsia="zh-CN"/>
        </w:rPr>
        <w:t>44</w:t>
      </w:r>
      <w:r>
        <w:rPr>
          <w:rFonts w:ascii="Times New Roman" w:hAnsi="Times New Roman"/>
          <w:highlight w:val="none"/>
        </w:rPr>
        <w:t>dB(A）之间，昼间、夜间噪声满足《声环境质量标准》（GB3096—2008）中2类区标准限值要求。</w:t>
      </w:r>
    </w:p>
    <w:p w14:paraId="3A35FC58">
      <w:pPr>
        <w:pStyle w:val="15"/>
        <w:ind w:left="0" w:leftChars="0" w:firstLine="480"/>
        <w:rPr>
          <w:rFonts w:ascii="Times New Roman" w:hAnsi="Times New Roman"/>
          <w:highlight w:val="none"/>
        </w:rPr>
      </w:pPr>
      <w:r>
        <w:rPr>
          <w:rFonts w:ascii="Times New Roman" w:hAnsi="Times New Roman"/>
          <w:highlight w:val="none"/>
        </w:rPr>
        <w:t>三、声环境现状评价结论</w:t>
      </w:r>
    </w:p>
    <w:p w14:paraId="12290503">
      <w:pPr>
        <w:pStyle w:val="15"/>
        <w:ind w:left="0" w:leftChars="0" w:firstLine="480"/>
        <w:rPr>
          <w:rFonts w:ascii="Times New Roman" w:hAnsi="Times New Roman"/>
          <w:highlight w:val="none"/>
        </w:rPr>
      </w:pPr>
      <w:r>
        <w:rPr>
          <w:rFonts w:ascii="Times New Roman" w:hAnsi="Times New Roman"/>
          <w:highlight w:val="none"/>
        </w:rPr>
        <w:t>本项目所在区域噪声满足《声环境质量标准》（GB3096—2008）中</w:t>
      </w:r>
      <w:r>
        <w:rPr>
          <w:rFonts w:hint="eastAsia" w:ascii="Times New Roman" w:hAnsi="Times New Roman"/>
          <w:highlight w:val="none"/>
          <w:lang w:val="en-US" w:eastAsia="zh-CN"/>
        </w:rPr>
        <w:t>2</w:t>
      </w:r>
      <w:r>
        <w:rPr>
          <w:rFonts w:ascii="Times New Roman" w:hAnsi="Times New Roman"/>
          <w:highlight w:val="none"/>
        </w:rPr>
        <w:t>类区</w:t>
      </w:r>
      <w:r>
        <w:rPr>
          <w:rFonts w:hint="eastAsia" w:ascii="Times New Roman" w:hAnsi="Times New Roman"/>
          <w:highlight w:val="none"/>
          <w:lang w:val="en-US" w:eastAsia="zh-CN"/>
        </w:rPr>
        <w:t>和4a类区</w:t>
      </w:r>
      <w:r>
        <w:rPr>
          <w:rFonts w:ascii="Times New Roman" w:hAnsi="Times New Roman"/>
          <w:highlight w:val="none"/>
        </w:rPr>
        <w:t>标准。附近</w:t>
      </w:r>
      <w:r>
        <w:rPr>
          <w:rFonts w:hint="eastAsia" w:ascii="Times New Roman" w:hAnsi="Times New Roman"/>
          <w:highlight w:val="none"/>
          <w:lang w:val="en-US" w:eastAsia="zh-CN"/>
        </w:rPr>
        <w:t>敏感点</w:t>
      </w:r>
      <w:r>
        <w:rPr>
          <w:rFonts w:ascii="Times New Roman" w:hAnsi="Times New Roman"/>
          <w:highlight w:val="none"/>
        </w:rPr>
        <w:t>满足《声环境质量标准》（GB3096—2008）中2类区标准。</w:t>
      </w:r>
    </w:p>
    <w:p w14:paraId="3F653536">
      <w:pPr>
        <w:pStyle w:val="5"/>
        <w:bidi w:val="0"/>
        <w:ind w:left="0" w:leftChars="0" w:firstLine="0" w:firstLineChars="0"/>
        <w:rPr>
          <w:rFonts w:hint="eastAsia"/>
          <w:sz w:val="30"/>
          <w:szCs w:val="30"/>
          <w:highlight w:val="none"/>
          <w:lang w:val="en-US" w:eastAsia="zh-CN"/>
        </w:rPr>
      </w:pPr>
      <w:bookmarkStart w:id="120" w:name="_Toc32265"/>
      <w:r>
        <w:rPr>
          <w:rFonts w:hint="default" w:ascii="Times New Roman" w:hAnsi="Times New Roman" w:cs="Times New Roman"/>
          <w:sz w:val="30"/>
          <w:szCs w:val="30"/>
          <w:highlight w:val="none"/>
          <w:lang w:val="en-US" w:eastAsia="zh-CN"/>
        </w:rPr>
        <w:t>4.3.4</w:t>
      </w:r>
      <w:r>
        <w:rPr>
          <w:rFonts w:hint="eastAsia"/>
          <w:sz w:val="30"/>
          <w:szCs w:val="30"/>
          <w:highlight w:val="none"/>
          <w:lang w:val="en-US" w:eastAsia="zh-CN"/>
        </w:rPr>
        <w:t>土壤环境质量现状评价</w:t>
      </w:r>
      <w:bookmarkEnd w:id="120"/>
    </w:p>
    <w:p w14:paraId="2F416939">
      <w:pPr>
        <w:ind w:firstLine="480"/>
        <w:rPr>
          <w:rFonts w:ascii="Times New Roman" w:hAnsi="Times New Roman"/>
          <w:highlight w:val="none"/>
        </w:rPr>
      </w:pPr>
      <w:r>
        <w:rPr>
          <w:rFonts w:ascii="Times New Roman" w:hAnsi="Times New Roman"/>
          <w:highlight w:val="none"/>
        </w:rPr>
        <w:t>一、土壤环境现状监测</w:t>
      </w:r>
    </w:p>
    <w:p w14:paraId="799594D6">
      <w:pPr>
        <w:ind w:firstLine="480"/>
        <w:rPr>
          <w:rFonts w:ascii="Times New Roman" w:hAnsi="Times New Roman"/>
          <w:highlight w:val="none"/>
        </w:rPr>
      </w:pPr>
      <w:r>
        <w:rPr>
          <w:rFonts w:ascii="Times New Roman" w:hAnsi="Times New Roman"/>
          <w:highlight w:val="none"/>
        </w:rPr>
        <w:t>（1）监测点位</w:t>
      </w:r>
    </w:p>
    <w:p w14:paraId="0DF8B3F4">
      <w:pPr>
        <w:ind w:firstLine="480"/>
        <w:rPr>
          <w:rFonts w:ascii="Times New Roman" w:hAnsi="Times New Roman"/>
          <w:highlight w:val="none"/>
        </w:rPr>
      </w:pPr>
      <w:r>
        <w:rPr>
          <w:rFonts w:ascii="Times New Roman" w:hAnsi="Times New Roman"/>
          <w:highlight w:val="none"/>
        </w:rPr>
        <w:t>依据《环境影响评价技术导则 土壤环境（试行）》本项目属于污染影响型项目，评价等级为三级。根据土壤导则现状监测点数量要求，在厂区内共设3个表层样检测点。</w:t>
      </w:r>
    </w:p>
    <w:p w14:paraId="0DC3A070">
      <w:pPr>
        <w:ind w:firstLine="480"/>
        <w:rPr>
          <w:rFonts w:ascii="Times New Roman" w:hAnsi="Times New Roman"/>
          <w:highlight w:val="none"/>
        </w:rPr>
      </w:pPr>
      <w:r>
        <w:rPr>
          <w:rFonts w:hint="eastAsia" w:ascii="Times New Roman" w:hAnsi="Times New Roman"/>
          <w:highlight w:val="none"/>
        </w:rPr>
        <w:t>（2）</w:t>
      </w:r>
      <w:r>
        <w:rPr>
          <w:rFonts w:ascii="Times New Roman" w:hAnsi="Times New Roman"/>
          <w:highlight w:val="none"/>
        </w:rPr>
        <w:t>监测因子</w:t>
      </w:r>
    </w:p>
    <w:p w14:paraId="025B694F">
      <w:pPr>
        <w:ind w:firstLine="480"/>
        <w:rPr>
          <w:rFonts w:ascii="Times New Roman" w:hAnsi="Times New Roman"/>
          <w:highlight w:val="none"/>
        </w:rPr>
      </w:pPr>
      <w:r>
        <w:rPr>
          <w:rFonts w:ascii="Times New Roman" w:hAnsi="Times New Roman"/>
          <w:highlight w:val="none"/>
        </w:rPr>
        <w:t>1#监测点位：pH</w:t>
      </w:r>
    </w:p>
    <w:p w14:paraId="1BE9732A">
      <w:pPr>
        <w:ind w:firstLine="480"/>
        <w:rPr>
          <w:rFonts w:ascii="Times New Roman" w:hAnsi="Times New Roman"/>
          <w:highlight w:val="none"/>
        </w:rPr>
      </w:pPr>
      <w:r>
        <w:rPr>
          <w:rFonts w:ascii="Times New Roman" w:hAnsi="Times New Roman"/>
          <w:highlight w:val="none"/>
        </w:rPr>
        <w:t xml:space="preserve">重金属和无机物：砷、镉、铬（六价）、铜、铅、汞、镍； </w:t>
      </w:r>
    </w:p>
    <w:p w14:paraId="1E6712CF">
      <w:pPr>
        <w:ind w:firstLine="480"/>
        <w:rPr>
          <w:rFonts w:ascii="Times New Roman" w:hAnsi="Times New Roman"/>
          <w:highlight w:val="none"/>
        </w:rPr>
      </w:pPr>
      <w:r>
        <w:rPr>
          <w:rFonts w:ascii="Times New Roman" w:hAnsi="Times New Roman"/>
          <w:highlight w:val="none"/>
        </w:rPr>
        <w:t xml:space="preserve">挥发性有机物：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 </w:t>
      </w:r>
    </w:p>
    <w:p w14:paraId="103AB76A">
      <w:pPr>
        <w:ind w:firstLine="480"/>
        <w:rPr>
          <w:rFonts w:ascii="Times New Roman" w:hAnsi="Times New Roman"/>
          <w:highlight w:val="none"/>
        </w:rPr>
      </w:pPr>
      <w:r>
        <w:rPr>
          <w:rFonts w:ascii="Times New Roman" w:hAnsi="Times New Roman"/>
          <w:highlight w:val="none"/>
        </w:rPr>
        <w:t>半挥发性有机物：硝基苯、苯胺、2-氯酚、苯并[a]蒽、苯并[a]芘、苯并[b]荧蒽、苯并[k]荧蒽、䓛、二苯并[a,h]蒽、茚并[1,2,3-cd]芘、萘。</w:t>
      </w:r>
    </w:p>
    <w:p w14:paraId="559CC086">
      <w:pPr>
        <w:ind w:firstLine="480"/>
        <w:rPr>
          <w:rFonts w:ascii="Times New Roman" w:hAnsi="Times New Roman"/>
          <w:highlight w:val="none"/>
        </w:rPr>
      </w:pPr>
      <w:r>
        <w:rPr>
          <w:rFonts w:ascii="Times New Roman" w:hAnsi="Times New Roman"/>
          <w:highlight w:val="none"/>
        </w:rPr>
        <w:t>2#、3#监测点位：pH、汞、砷、铜、铅、镉、镍、铬（六价）。</w:t>
      </w:r>
    </w:p>
    <w:p w14:paraId="6772AE4B">
      <w:pPr>
        <w:ind w:firstLine="480"/>
        <w:rPr>
          <w:rFonts w:ascii="Times New Roman" w:hAnsi="Times New Roman"/>
          <w:highlight w:val="none"/>
        </w:rPr>
      </w:pPr>
      <w:r>
        <w:rPr>
          <w:rFonts w:hint="eastAsia" w:ascii="Times New Roman" w:hAnsi="Times New Roman"/>
          <w:highlight w:val="none"/>
        </w:rPr>
        <w:t>（3）</w:t>
      </w:r>
      <w:r>
        <w:rPr>
          <w:rFonts w:ascii="Times New Roman" w:hAnsi="Times New Roman"/>
          <w:highlight w:val="none"/>
        </w:rPr>
        <w:t>监测方法</w:t>
      </w:r>
    </w:p>
    <w:p w14:paraId="04934428">
      <w:pPr>
        <w:pStyle w:val="28"/>
        <w:rPr>
          <w:highlight w:val="none"/>
        </w:rPr>
      </w:pPr>
      <w:r>
        <w:rPr>
          <w:highlight w:val="none"/>
        </w:rPr>
        <w:t>监测点表层样监测方法按照《土壤环境监测技术规范》（HJ/T 166-2004）表1执行。</w:t>
      </w:r>
    </w:p>
    <w:p w14:paraId="7632E5B3">
      <w:pPr>
        <w:ind w:firstLine="480"/>
        <w:rPr>
          <w:rFonts w:ascii="Times New Roman" w:hAnsi="Times New Roman"/>
          <w:highlight w:val="none"/>
        </w:rPr>
      </w:pPr>
      <w:r>
        <w:rPr>
          <w:rFonts w:hint="eastAsia" w:ascii="Times New Roman" w:hAnsi="Times New Roman"/>
          <w:highlight w:val="none"/>
        </w:rPr>
        <w:t>（4）</w:t>
      </w:r>
      <w:r>
        <w:rPr>
          <w:rFonts w:ascii="Times New Roman" w:hAnsi="Times New Roman"/>
          <w:highlight w:val="none"/>
        </w:rPr>
        <w:t>监测结果</w:t>
      </w:r>
    </w:p>
    <w:p w14:paraId="0304EEB5">
      <w:pPr>
        <w:pStyle w:val="38"/>
        <w:ind w:firstLine="480"/>
        <w:rPr>
          <w:rFonts w:ascii="Times New Roman" w:hAnsi="Times New Roman"/>
          <w:highlight w:val="none"/>
        </w:rPr>
      </w:pPr>
      <w:r>
        <w:rPr>
          <w:rFonts w:ascii="Times New Roman" w:hAnsi="Times New Roman"/>
          <w:szCs w:val="22"/>
          <w:highlight w:val="none"/>
        </w:rPr>
        <w:t>表4.3-8 土壤环境质量检测结果表</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1307"/>
        <w:gridCol w:w="797"/>
        <w:gridCol w:w="1962"/>
        <w:gridCol w:w="1970"/>
        <w:gridCol w:w="1970"/>
      </w:tblGrid>
      <w:tr w14:paraId="3EBFD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trPr>
        <w:tc>
          <w:tcPr>
            <w:tcW w:w="5000" w:type="pct"/>
            <w:gridSpan w:val="6"/>
            <w:noWrap w:val="0"/>
            <w:vAlign w:val="center"/>
          </w:tcPr>
          <w:p w14:paraId="742C4AA0">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ascii="Times New Roman" w:hAnsi="Times New Roman"/>
                <w:sz w:val="21"/>
                <w:szCs w:val="21"/>
                <w:highlight w:val="none"/>
              </w:rPr>
              <w:t>采样时间：202</w:t>
            </w:r>
            <w:r>
              <w:rPr>
                <w:rFonts w:hint="eastAsia" w:ascii="Times New Roman" w:hAnsi="Times New Roman"/>
                <w:sz w:val="21"/>
                <w:szCs w:val="21"/>
                <w:highlight w:val="none"/>
                <w:lang w:val="en-US" w:eastAsia="zh-CN"/>
              </w:rPr>
              <w:t>5.10.09</w:t>
            </w:r>
          </w:p>
        </w:tc>
      </w:tr>
      <w:tr w14:paraId="27CD4A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trPr>
        <w:tc>
          <w:tcPr>
            <w:tcW w:w="1778" w:type="pct"/>
            <w:gridSpan w:val="3"/>
            <w:noWrap w:val="0"/>
            <w:vAlign w:val="center"/>
          </w:tcPr>
          <w:p w14:paraId="3A09DAA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采样地点</w:t>
            </w:r>
          </w:p>
        </w:tc>
        <w:tc>
          <w:tcPr>
            <w:tcW w:w="1073" w:type="pct"/>
            <w:noWrap w:val="0"/>
            <w:vAlign w:val="center"/>
          </w:tcPr>
          <w:p w14:paraId="5A19DC2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1#厂界内煤场</w:t>
            </w:r>
          </w:p>
        </w:tc>
        <w:tc>
          <w:tcPr>
            <w:tcW w:w="1073" w:type="pct"/>
            <w:noWrap w:val="0"/>
            <w:vAlign w:val="center"/>
          </w:tcPr>
          <w:p w14:paraId="510D80B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2#厂界内脱硫设备间</w:t>
            </w:r>
          </w:p>
        </w:tc>
        <w:tc>
          <w:tcPr>
            <w:tcW w:w="1073" w:type="pct"/>
            <w:noWrap w:val="0"/>
            <w:vAlign w:val="center"/>
          </w:tcPr>
          <w:p w14:paraId="116F29A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3#厂界内锅炉房</w:t>
            </w:r>
          </w:p>
        </w:tc>
      </w:tr>
      <w:tr w14:paraId="0C5D1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trPr>
        <w:tc>
          <w:tcPr>
            <w:tcW w:w="383" w:type="pct"/>
            <w:noWrap w:val="0"/>
            <w:vAlign w:val="center"/>
          </w:tcPr>
          <w:p w14:paraId="61C3A02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序号</w:t>
            </w:r>
          </w:p>
        </w:tc>
        <w:tc>
          <w:tcPr>
            <w:tcW w:w="847" w:type="pct"/>
            <w:noWrap w:val="0"/>
            <w:vAlign w:val="center"/>
          </w:tcPr>
          <w:p w14:paraId="78CBA25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检测项目</w:t>
            </w:r>
          </w:p>
        </w:tc>
        <w:tc>
          <w:tcPr>
            <w:tcW w:w="547" w:type="pct"/>
            <w:noWrap w:val="0"/>
            <w:vAlign w:val="center"/>
          </w:tcPr>
          <w:p w14:paraId="7D88C9C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单位</w:t>
            </w:r>
          </w:p>
        </w:tc>
        <w:tc>
          <w:tcPr>
            <w:tcW w:w="1073" w:type="pct"/>
            <w:noWrap w:val="0"/>
            <w:vAlign w:val="center"/>
          </w:tcPr>
          <w:p w14:paraId="5595E4A2">
            <w:pPr>
              <w:widowControl/>
              <w:spacing w:line="320" w:lineRule="exact"/>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W25101504-TR-111</w:t>
            </w:r>
          </w:p>
        </w:tc>
        <w:tc>
          <w:tcPr>
            <w:tcW w:w="1073" w:type="pct"/>
            <w:noWrap w:val="0"/>
            <w:vAlign w:val="center"/>
          </w:tcPr>
          <w:p w14:paraId="7D9BC609">
            <w:pPr>
              <w:widowControl/>
              <w:spacing w:line="320" w:lineRule="exact"/>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W25101504-TR-211</w:t>
            </w:r>
          </w:p>
        </w:tc>
        <w:tc>
          <w:tcPr>
            <w:tcW w:w="1073" w:type="pct"/>
            <w:noWrap w:val="0"/>
            <w:vAlign w:val="center"/>
          </w:tcPr>
          <w:p w14:paraId="1A819733">
            <w:pPr>
              <w:widowControl/>
              <w:spacing w:line="320" w:lineRule="exact"/>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W25101504-TR-311</w:t>
            </w:r>
          </w:p>
        </w:tc>
      </w:tr>
      <w:tr w14:paraId="401E1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F6FEF0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w:t>
            </w:r>
          </w:p>
        </w:tc>
        <w:tc>
          <w:tcPr>
            <w:tcW w:w="847" w:type="pct"/>
            <w:noWrap w:val="0"/>
            <w:vAlign w:val="center"/>
          </w:tcPr>
          <w:p w14:paraId="6F085B8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pH值</w:t>
            </w:r>
          </w:p>
        </w:tc>
        <w:tc>
          <w:tcPr>
            <w:tcW w:w="547" w:type="pct"/>
            <w:noWrap w:val="0"/>
            <w:vAlign w:val="center"/>
          </w:tcPr>
          <w:p w14:paraId="1190A30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无量纲</w:t>
            </w:r>
          </w:p>
        </w:tc>
        <w:tc>
          <w:tcPr>
            <w:tcW w:w="1073" w:type="pct"/>
            <w:noWrap w:val="0"/>
            <w:vAlign w:val="center"/>
          </w:tcPr>
          <w:p w14:paraId="41A97F2D">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7.48</w:t>
            </w:r>
          </w:p>
        </w:tc>
        <w:tc>
          <w:tcPr>
            <w:tcW w:w="1073" w:type="pct"/>
            <w:noWrap w:val="0"/>
            <w:vAlign w:val="center"/>
          </w:tcPr>
          <w:p w14:paraId="181A53C8">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7.45</w:t>
            </w:r>
          </w:p>
        </w:tc>
        <w:tc>
          <w:tcPr>
            <w:tcW w:w="1073" w:type="pct"/>
            <w:noWrap w:val="0"/>
            <w:vAlign w:val="center"/>
          </w:tcPr>
          <w:p w14:paraId="25CDAF07">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7.42</w:t>
            </w:r>
          </w:p>
        </w:tc>
      </w:tr>
      <w:tr w14:paraId="25917D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50C0C2E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w:t>
            </w:r>
          </w:p>
        </w:tc>
        <w:tc>
          <w:tcPr>
            <w:tcW w:w="847" w:type="pct"/>
            <w:noWrap w:val="0"/>
            <w:vAlign w:val="center"/>
          </w:tcPr>
          <w:p w14:paraId="4FC2298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砷</w:t>
            </w:r>
          </w:p>
        </w:tc>
        <w:tc>
          <w:tcPr>
            <w:tcW w:w="547" w:type="pct"/>
            <w:noWrap w:val="0"/>
            <w:vAlign w:val="center"/>
          </w:tcPr>
          <w:p w14:paraId="74145DA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12E73173">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8.44</w:t>
            </w:r>
          </w:p>
        </w:tc>
        <w:tc>
          <w:tcPr>
            <w:tcW w:w="1073" w:type="pct"/>
            <w:noWrap w:val="0"/>
            <w:vAlign w:val="center"/>
          </w:tcPr>
          <w:p w14:paraId="71CE3ACA">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8.34</w:t>
            </w:r>
          </w:p>
        </w:tc>
        <w:tc>
          <w:tcPr>
            <w:tcW w:w="1073" w:type="pct"/>
            <w:noWrap w:val="0"/>
            <w:vAlign w:val="center"/>
          </w:tcPr>
          <w:p w14:paraId="35715810">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8.17</w:t>
            </w:r>
          </w:p>
        </w:tc>
      </w:tr>
      <w:tr w14:paraId="57B1C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105412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w:t>
            </w:r>
          </w:p>
        </w:tc>
        <w:tc>
          <w:tcPr>
            <w:tcW w:w="847" w:type="pct"/>
            <w:noWrap w:val="0"/>
            <w:vAlign w:val="center"/>
          </w:tcPr>
          <w:p w14:paraId="5F0C1B6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汞</w:t>
            </w:r>
          </w:p>
        </w:tc>
        <w:tc>
          <w:tcPr>
            <w:tcW w:w="547" w:type="pct"/>
            <w:noWrap w:val="0"/>
            <w:vAlign w:val="center"/>
          </w:tcPr>
          <w:p w14:paraId="06D3E92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568A5DB9">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0.125</w:t>
            </w:r>
          </w:p>
        </w:tc>
        <w:tc>
          <w:tcPr>
            <w:tcW w:w="1073" w:type="pct"/>
            <w:noWrap w:val="0"/>
            <w:vAlign w:val="center"/>
          </w:tcPr>
          <w:p w14:paraId="27E11C7D">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0.132</w:t>
            </w:r>
          </w:p>
        </w:tc>
        <w:tc>
          <w:tcPr>
            <w:tcW w:w="1073" w:type="pct"/>
            <w:noWrap w:val="0"/>
            <w:vAlign w:val="center"/>
          </w:tcPr>
          <w:p w14:paraId="08B8479A">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0.125</w:t>
            </w:r>
          </w:p>
        </w:tc>
      </w:tr>
      <w:tr w14:paraId="483A0C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66DD5D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w:t>
            </w:r>
          </w:p>
        </w:tc>
        <w:tc>
          <w:tcPr>
            <w:tcW w:w="847" w:type="pct"/>
            <w:noWrap w:val="0"/>
            <w:vAlign w:val="center"/>
          </w:tcPr>
          <w:p w14:paraId="093F64D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镉</w:t>
            </w:r>
          </w:p>
        </w:tc>
        <w:tc>
          <w:tcPr>
            <w:tcW w:w="547" w:type="pct"/>
            <w:noWrap w:val="0"/>
            <w:vAlign w:val="center"/>
          </w:tcPr>
          <w:p w14:paraId="54229B6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0ECB9950">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0.21</w:t>
            </w:r>
          </w:p>
        </w:tc>
        <w:tc>
          <w:tcPr>
            <w:tcW w:w="1073" w:type="pct"/>
            <w:noWrap w:val="0"/>
            <w:vAlign w:val="center"/>
          </w:tcPr>
          <w:p w14:paraId="4F50E95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0.28</w:t>
            </w:r>
          </w:p>
        </w:tc>
        <w:tc>
          <w:tcPr>
            <w:tcW w:w="1073" w:type="pct"/>
            <w:noWrap w:val="0"/>
            <w:vAlign w:val="center"/>
          </w:tcPr>
          <w:p w14:paraId="39F1F0C2">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0.27</w:t>
            </w:r>
          </w:p>
        </w:tc>
      </w:tr>
      <w:tr w14:paraId="1C71E7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48222F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5</w:t>
            </w:r>
          </w:p>
        </w:tc>
        <w:tc>
          <w:tcPr>
            <w:tcW w:w="847" w:type="pct"/>
            <w:noWrap w:val="0"/>
            <w:vAlign w:val="center"/>
          </w:tcPr>
          <w:p w14:paraId="1E7E127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铜</w:t>
            </w:r>
          </w:p>
        </w:tc>
        <w:tc>
          <w:tcPr>
            <w:tcW w:w="547" w:type="pct"/>
            <w:noWrap w:val="0"/>
            <w:vAlign w:val="center"/>
          </w:tcPr>
          <w:p w14:paraId="5169FC8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5FB5D4C8">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40</w:t>
            </w:r>
          </w:p>
        </w:tc>
        <w:tc>
          <w:tcPr>
            <w:tcW w:w="1073" w:type="pct"/>
            <w:noWrap w:val="0"/>
            <w:vAlign w:val="center"/>
          </w:tcPr>
          <w:p w14:paraId="34C2BDF3">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42</w:t>
            </w:r>
          </w:p>
        </w:tc>
        <w:tc>
          <w:tcPr>
            <w:tcW w:w="1073" w:type="pct"/>
            <w:noWrap w:val="0"/>
            <w:vAlign w:val="center"/>
          </w:tcPr>
          <w:p w14:paraId="1398B51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36</w:t>
            </w:r>
          </w:p>
        </w:tc>
      </w:tr>
      <w:tr w14:paraId="33E20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50DEE1B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6</w:t>
            </w:r>
          </w:p>
        </w:tc>
        <w:tc>
          <w:tcPr>
            <w:tcW w:w="847" w:type="pct"/>
            <w:noWrap w:val="0"/>
            <w:vAlign w:val="center"/>
          </w:tcPr>
          <w:p w14:paraId="145C4A5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铅</w:t>
            </w:r>
          </w:p>
        </w:tc>
        <w:tc>
          <w:tcPr>
            <w:tcW w:w="547" w:type="pct"/>
            <w:noWrap w:val="0"/>
            <w:vAlign w:val="center"/>
          </w:tcPr>
          <w:p w14:paraId="406683B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5564F8E4">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38</w:t>
            </w:r>
          </w:p>
        </w:tc>
        <w:tc>
          <w:tcPr>
            <w:tcW w:w="1073" w:type="pct"/>
            <w:noWrap w:val="0"/>
            <w:vAlign w:val="center"/>
          </w:tcPr>
          <w:p w14:paraId="7DEEAD1E">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37</w:t>
            </w:r>
          </w:p>
        </w:tc>
        <w:tc>
          <w:tcPr>
            <w:tcW w:w="1073" w:type="pct"/>
            <w:noWrap w:val="0"/>
            <w:vAlign w:val="center"/>
          </w:tcPr>
          <w:p w14:paraId="22BFB33F">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34</w:t>
            </w:r>
          </w:p>
        </w:tc>
      </w:tr>
      <w:tr w14:paraId="4700FC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ABB871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7</w:t>
            </w:r>
          </w:p>
        </w:tc>
        <w:tc>
          <w:tcPr>
            <w:tcW w:w="847" w:type="pct"/>
            <w:noWrap w:val="0"/>
            <w:vAlign w:val="center"/>
          </w:tcPr>
          <w:p w14:paraId="6F8B5F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镍</w:t>
            </w:r>
          </w:p>
        </w:tc>
        <w:tc>
          <w:tcPr>
            <w:tcW w:w="547" w:type="pct"/>
            <w:noWrap w:val="0"/>
            <w:vAlign w:val="center"/>
          </w:tcPr>
          <w:p w14:paraId="09C1D93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41F46333">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40</w:t>
            </w:r>
          </w:p>
        </w:tc>
        <w:tc>
          <w:tcPr>
            <w:tcW w:w="1073" w:type="pct"/>
            <w:noWrap w:val="0"/>
            <w:vAlign w:val="center"/>
          </w:tcPr>
          <w:p w14:paraId="62FA0D9E">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40</w:t>
            </w:r>
          </w:p>
        </w:tc>
        <w:tc>
          <w:tcPr>
            <w:tcW w:w="1073" w:type="pct"/>
            <w:noWrap w:val="0"/>
            <w:vAlign w:val="center"/>
          </w:tcPr>
          <w:p w14:paraId="1E6AB561">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38</w:t>
            </w:r>
          </w:p>
        </w:tc>
      </w:tr>
      <w:tr w14:paraId="7EFCB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9F437D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8</w:t>
            </w:r>
          </w:p>
        </w:tc>
        <w:tc>
          <w:tcPr>
            <w:tcW w:w="847" w:type="pct"/>
            <w:noWrap w:val="0"/>
            <w:vAlign w:val="center"/>
          </w:tcPr>
          <w:p w14:paraId="4F78FA9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铬（六价）</w:t>
            </w:r>
          </w:p>
        </w:tc>
        <w:tc>
          <w:tcPr>
            <w:tcW w:w="547" w:type="pct"/>
            <w:noWrap w:val="0"/>
            <w:vAlign w:val="center"/>
          </w:tcPr>
          <w:p w14:paraId="3C2C435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57D2FA4F">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ND</w:t>
            </w:r>
          </w:p>
        </w:tc>
        <w:tc>
          <w:tcPr>
            <w:tcW w:w="1073" w:type="pct"/>
            <w:noWrap w:val="0"/>
            <w:vAlign w:val="center"/>
          </w:tcPr>
          <w:p w14:paraId="7B62CEE1">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ND</w:t>
            </w:r>
          </w:p>
        </w:tc>
        <w:tc>
          <w:tcPr>
            <w:tcW w:w="1073" w:type="pct"/>
            <w:noWrap w:val="0"/>
            <w:vAlign w:val="center"/>
          </w:tcPr>
          <w:p w14:paraId="2024BAF8">
            <w:pPr>
              <w:widowControl/>
              <w:spacing w:line="320" w:lineRule="exact"/>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ND</w:t>
            </w:r>
          </w:p>
        </w:tc>
      </w:tr>
      <w:tr w14:paraId="07BDB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D66C38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9</w:t>
            </w:r>
          </w:p>
        </w:tc>
        <w:tc>
          <w:tcPr>
            <w:tcW w:w="847" w:type="pct"/>
            <w:noWrap w:val="0"/>
            <w:vAlign w:val="center"/>
          </w:tcPr>
          <w:p w14:paraId="7864361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四氯化碳</w:t>
            </w:r>
          </w:p>
        </w:tc>
        <w:tc>
          <w:tcPr>
            <w:tcW w:w="547" w:type="pct"/>
            <w:noWrap w:val="0"/>
            <w:vAlign w:val="center"/>
          </w:tcPr>
          <w:p w14:paraId="046736C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6DEF79E5">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5314DB7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F7304F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C2BC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EB31DF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10</w:t>
            </w:r>
          </w:p>
        </w:tc>
        <w:tc>
          <w:tcPr>
            <w:tcW w:w="847" w:type="pct"/>
            <w:noWrap w:val="0"/>
            <w:vAlign w:val="center"/>
          </w:tcPr>
          <w:p w14:paraId="21443FC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氯仿</w:t>
            </w:r>
          </w:p>
        </w:tc>
        <w:tc>
          <w:tcPr>
            <w:tcW w:w="547" w:type="pct"/>
            <w:noWrap w:val="0"/>
            <w:vAlign w:val="center"/>
          </w:tcPr>
          <w:p w14:paraId="69E8810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F64D232">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27BB1FC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0144BAE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3CBDD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BFD07D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w:t>
            </w:r>
          </w:p>
        </w:tc>
        <w:tc>
          <w:tcPr>
            <w:tcW w:w="847" w:type="pct"/>
            <w:noWrap w:val="0"/>
            <w:vAlign w:val="center"/>
          </w:tcPr>
          <w:p w14:paraId="2E70B5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氯甲烷</w:t>
            </w:r>
          </w:p>
        </w:tc>
        <w:tc>
          <w:tcPr>
            <w:tcW w:w="547" w:type="pct"/>
            <w:noWrap w:val="0"/>
            <w:vAlign w:val="center"/>
          </w:tcPr>
          <w:p w14:paraId="627415D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2026610">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622BC37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F4E0FE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406EEF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160A20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12</w:t>
            </w:r>
          </w:p>
        </w:tc>
        <w:tc>
          <w:tcPr>
            <w:tcW w:w="847" w:type="pct"/>
            <w:noWrap w:val="0"/>
            <w:vAlign w:val="center"/>
          </w:tcPr>
          <w:p w14:paraId="5E718D9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1,1-二氯乙烷</w:t>
            </w:r>
          </w:p>
        </w:tc>
        <w:tc>
          <w:tcPr>
            <w:tcW w:w="547" w:type="pct"/>
            <w:noWrap w:val="0"/>
            <w:vAlign w:val="center"/>
          </w:tcPr>
          <w:p w14:paraId="111D86D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B1C49FA">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77086B9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52FEE93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504519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20EFA3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13</w:t>
            </w:r>
          </w:p>
        </w:tc>
        <w:tc>
          <w:tcPr>
            <w:tcW w:w="847" w:type="pct"/>
            <w:noWrap w:val="0"/>
            <w:vAlign w:val="center"/>
          </w:tcPr>
          <w:p w14:paraId="566A414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1,2-二氯乙烷</w:t>
            </w:r>
          </w:p>
        </w:tc>
        <w:tc>
          <w:tcPr>
            <w:tcW w:w="547" w:type="pct"/>
            <w:noWrap w:val="0"/>
            <w:vAlign w:val="center"/>
          </w:tcPr>
          <w:p w14:paraId="40AD993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7336AA1">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48A8AD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0F12748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07B0C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531C69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14</w:t>
            </w:r>
          </w:p>
        </w:tc>
        <w:tc>
          <w:tcPr>
            <w:tcW w:w="847" w:type="pct"/>
            <w:noWrap w:val="0"/>
            <w:vAlign w:val="center"/>
          </w:tcPr>
          <w:p w14:paraId="684C700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1,1-二氯乙烯</w:t>
            </w:r>
          </w:p>
        </w:tc>
        <w:tc>
          <w:tcPr>
            <w:tcW w:w="547" w:type="pct"/>
            <w:noWrap w:val="0"/>
            <w:vAlign w:val="center"/>
          </w:tcPr>
          <w:p w14:paraId="6D72D97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0086639">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5221845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974818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44C219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32F07E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15</w:t>
            </w:r>
          </w:p>
        </w:tc>
        <w:tc>
          <w:tcPr>
            <w:tcW w:w="847" w:type="pct"/>
            <w:noWrap w:val="0"/>
            <w:vAlign w:val="center"/>
          </w:tcPr>
          <w:p w14:paraId="4EA7E97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顺-1,2-二氯乙烯</w:t>
            </w:r>
          </w:p>
        </w:tc>
        <w:tc>
          <w:tcPr>
            <w:tcW w:w="547" w:type="pct"/>
            <w:noWrap w:val="0"/>
            <w:vAlign w:val="center"/>
          </w:tcPr>
          <w:p w14:paraId="146EDC2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18AFAB4">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1CE861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D19833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6DDF7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239597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16</w:t>
            </w:r>
          </w:p>
        </w:tc>
        <w:tc>
          <w:tcPr>
            <w:tcW w:w="847" w:type="pct"/>
            <w:noWrap w:val="0"/>
            <w:vAlign w:val="center"/>
          </w:tcPr>
          <w:p w14:paraId="58915D3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反-1,2-二氯乙烯</w:t>
            </w:r>
          </w:p>
        </w:tc>
        <w:tc>
          <w:tcPr>
            <w:tcW w:w="547" w:type="pct"/>
            <w:noWrap w:val="0"/>
            <w:vAlign w:val="center"/>
          </w:tcPr>
          <w:p w14:paraId="1E67263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13EDCE5">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51AFAE1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6974095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371B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747ADD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17</w:t>
            </w:r>
          </w:p>
        </w:tc>
        <w:tc>
          <w:tcPr>
            <w:tcW w:w="847" w:type="pct"/>
            <w:noWrap w:val="0"/>
            <w:vAlign w:val="center"/>
          </w:tcPr>
          <w:p w14:paraId="53AC1FA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二氯甲烷</w:t>
            </w:r>
          </w:p>
        </w:tc>
        <w:tc>
          <w:tcPr>
            <w:tcW w:w="547" w:type="pct"/>
            <w:noWrap w:val="0"/>
            <w:vAlign w:val="center"/>
          </w:tcPr>
          <w:p w14:paraId="3D7B3FF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EA8EB12">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09346C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5843869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A0010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7CB5FA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18</w:t>
            </w:r>
          </w:p>
        </w:tc>
        <w:tc>
          <w:tcPr>
            <w:tcW w:w="847" w:type="pct"/>
            <w:noWrap w:val="0"/>
            <w:vAlign w:val="center"/>
          </w:tcPr>
          <w:p w14:paraId="41785A3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1,2-二氯丙烷</w:t>
            </w:r>
          </w:p>
        </w:tc>
        <w:tc>
          <w:tcPr>
            <w:tcW w:w="547" w:type="pct"/>
            <w:noWrap w:val="0"/>
            <w:vAlign w:val="center"/>
          </w:tcPr>
          <w:p w14:paraId="77FFF65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08A9EACC">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1BEB07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5E33DA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1B97FF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062D85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19</w:t>
            </w:r>
          </w:p>
        </w:tc>
        <w:tc>
          <w:tcPr>
            <w:tcW w:w="847" w:type="pct"/>
            <w:noWrap w:val="0"/>
            <w:vAlign w:val="center"/>
          </w:tcPr>
          <w:p w14:paraId="07ABC1A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1,1,1,2-四氯乙烷</w:t>
            </w:r>
          </w:p>
        </w:tc>
        <w:tc>
          <w:tcPr>
            <w:tcW w:w="547" w:type="pct"/>
            <w:noWrap w:val="0"/>
            <w:vAlign w:val="center"/>
          </w:tcPr>
          <w:p w14:paraId="0C55352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C98CE0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5837CA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4942455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850D4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498166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20</w:t>
            </w:r>
          </w:p>
        </w:tc>
        <w:tc>
          <w:tcPr>
            <w:tcW w:w="847" w:type="pct"/>
            <w:noWrap w:val="0"/>
            <w:vAlign w:val="center"/>
          </w:tcPr>
          <w:p w14:paraId="773CD34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1,1,2,2-四氯乙烷</w:t>
            </w:r>
          </w:p>
        </w:tc>
        <w:tc>
          <w:tcPr>
            <w:tcW w:w="547" w:type="pct"/>
            <w:noWrap w:val="0"/>
            <w:vAlign w:val="center"/>
          </w:tcPr>
          <w:p w14:paraId="48C3B66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5A792B3C">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5498D6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03C14D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45E84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1501BF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21</w:t>
            </w:r>
          </w:p>
        </w:tc>
        <w:tc>
          <w:tcPr>
            <w:tcW w:w="847" w:type="pct"/>
            <w:noWrap w:val="0"/>
            <w:vAlign w:val="center"/>
          </w:tcPr>
          <w:p w14:paraId="5A220E7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四氯乙烯</w:t>
            </w:r>
          </w:p>
        </w:tc>
        <w:tc>
          <w:tcPr>
            <w:tcW w:w="547" w:type="pct"/>
            <w:noWrap w:val="0"/>
            <w:vAlign w:val="center"/>
          </w:tcPr>
          <w:p w14:paraId="597C024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6DD3F64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F08A19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0F7D654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6C6A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27F5932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22</w:t>
            </w:r>
          </w:p>
        </w:tc>
        <w:tc>
          <w:tcPr>
            <w:tcW w:w="847" w:type="pct"/>
            <w:noWrap w:val="0"/>
            <w:vAlign w:val="center"/>
          </w:tcPr>
          <w:p w14:paraId="021A081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1,1,1-三氯乙烷</w:t>
            </w:r>
          </w:p>
        </w:tc>
        <w:tc>
          <w:tcPr>
            <w:tcW w:w="547" w:type="pct"/>
            <w:noWrap w:val="0"/>
            <w:vAlign w:val="center"/>
          </w:tcPr>
          <w:p w14:paraId="4E5BCC4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D6DB33F">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1EC80A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B681D4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FC4BC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9B7BF8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23</w:t>
            </w:r>
          </w:p>
        </w:tc>
        <w:tc>
          <w:tcPr>
            <w:tcW w:w="847" w:type="pct"/>
            <w:noWrap w:val="0"/>
            <w:vAlign w:val="center"/>
          </w:tcPr>
          <w:p w14:paraId="1AA50DF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1,1,2-三氯乙烷</w:t>
            </w:r>
          </w:p>
        </w:tc>
        <w:tc>
          <w:tcPr>
            <w:tcW w:w="547" w:type="pct"/>
            <w:noWrap w:val="0"/>
            <w:vAlign w:val="center"/>
          </w:tcPr>
          <w:p w14:paraId="7358D2E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5A15925F">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5D198C2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021A82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53F57C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4149B7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24</w:t>
            </w:r>
          </w:p>
        </w:tc>
        <w:tc>
          <w:tcPr>
            <w:tcW w:w="847" w:type="pct"/>
            <w:noWrap w:val="0"/>
            <w:vAlign w:val="center"/>
          </w:tcPr>
          <w:p w14:paraId="0260DA3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三氯乙烯</w:t>
            </w:r>
          </w:p>
        </w:tc>
        <w:tc>
          <w:tcPr>
            <w:tcW w:w="547" w:type="pct"/>
            <w:noWrap w:val="0"/>
            <w:vAlign w:val="center"/>
          </w:tcPr>
          <w:p w14:paraId="7F61228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5D74087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414901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E64D02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34221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00805B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25</w:t>
            </w:r>
          </w:p>
        </w:tc>
        <w:tc>
          <w:tcPr>
            <w:tcW w:w="847" w:type="pct"/>
            <w:noWrap w:val="0"/>
            <w:vAlign w:val="center"/>
          </w:tcPr>
          <w:p w14:paraId="3CDA146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1,2,3-三氯丙烷</w:t>
            </w:r>
          </w:p>
        </w:tc>
        <w:tc>
          <w:tcPr>
            <w:tcW w:w="547" w:type="pct"/>
            <w:noWrap w:val="0"/>
            <w:vAlign w:val="center"/>
          </w:tcPr>
          <w:p w14:paraId="141CDC8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D6771E1">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2C4430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D6E04E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453FF9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094FC93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26</w:t>
            </w:r>
          </w:p>
        </w:tc>
        <w:tc>
          <w:tcPr>
            <w:tcW w:w="847" w:type="pct"/>
            <w:noWrap w:val="0"/>
            <w:vAlign w:val="center"/>
          </w:tcPr>
          <w:p w14:paraId="4CC2090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氯乙烯</w:t>
            </w:r>
          </w:p>
        </w:tc>
        <w:tc>
          <w:tcPr>
            <w:tcW w:w="547" w:type="pct"/>
            <w:noWrap w:val="0"/>
            <w:vAlign w:val="center"/>
          </w:tcPr>
          <w:p w14:paraId="34FFB5B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65BCEBE1">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8F0B39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DB671F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020F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2AB8B0E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27</w:t>
            </w:r>
          </w:p>
        </w:tc>
        <w:tc>
          <w:tcPr>
            <w:tcW w:w="847" w:type="pct"/>
            <w:noWrap w:val="0"/>
            <w:vAlign w:val="center"/>
          </w:tcPr>
          <w:p w14:paraId="2673841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w:t>
            </w:r>
          </w:p>
        </w:tc>
        <w:tc>
          <w:tcPr>
            <w:tcW w:w="547" w:type="pct"/>
            <w:noWrap w:val="0"/>
            <w:vAlign w:val="center"/>
          </w:tcPr>
          <w:p w14:paraId="3A217E3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1FA88FB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DF924D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58089D5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73540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89FB4E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28</w:t>
            </w:r>
          </w:p>
        </w:tc>
        <w:tc>
          <w:tcPr>
            <w:tcW w:w="847" w:type="pct"/>
            <w:noWrap w:val="0"/>
            <w:vAlign w:val="center"/>
          </w:tcPr>
          <w:p w14:paraId="7DF7552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氯苯</w:t>
            </w:r>
          </w:p>
        </w:tc>
        <w:tc>
          <w:tcPr>
            <w:tcW w:w="547" w:type="pct"/>
            <w:noWrap w:val="0"/>
            <w:vAlign w:val="center"/>
          </w:tcPr>
          <w:p w14:paraId="2FF629A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48EAB563">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0C38222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9F5380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502AC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0762F28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29</w:t>
            </w:r>
          </w:p>
        </w:tc>
        <w:tc>
          <w:tcPr>
            <w:tcW w:w="847" w:type="pct"/>
            <w:noWrap w:val="0"/>
            <w:vAlign w:val="center"/>
          </w:tcPr>
          <w:p w14:paraId="2D0DB43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1,2-二氯苯</w:t>
            </w:r>
          </w:p>
        </w:tc>
        <w:tc>
          <w:tcPr>
            <w:tcW w:w="547" w:type="pct"/>
            <w:noWrap w:val="0"/>
            <w:vAlign w:val="center"/>
          </w:tcPr>
          <w:p w14:paraId="3B3874B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512C201F">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B02866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4C71CA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6971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0DA4F10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30</w:t>
            </w:r>
          </w:p>
        </w:tc>
        <w:tc>
          <w:tcPr>
            <w:tcW w:w="847" w:type="pct"/>
            <w:noWrap w:val="0"/>
            <w:vAlign w:val="center"/>
          </w:tcPr>
          <w:p w14:paraId="4C7C4FF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1,4-二氯苯</w:t>
            </w:r>
          </w:p>
        </w:tc>
        <w:tc>
          <w:tcPr>
            <w:tcW w:w="547" w:type="pct"/>
            <w:noWrap w:val="0"/>
            <w:vAlign w:val="center"/>
          </w:tcPr>
          <w:p w14:paraId="7DF42CE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172CD27A">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DA3C4D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8EB428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5F64B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8F0D25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31</w:t>
            </w:r>
          </w:p>
        </w:tc>
        <w:tc>
          <w:tcPr>
            <w:tcW w:w="847" w:type="pct"/>
            <w:noWrap w:val="0"/>
            <w:vAlign w:val="center"/>
          </w:tcPr>
          <w:p w14:paraId="70E17FD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乙苯</w:t>
            </w:r>
          </w:p>
        </w:tc>
        <w:tc>
          <w:tcPr>
            <w:tcW w:w="547" w:type="pct"/>
            <w:noWrap w:val="0"/>
            <w:vAlign w:val="center"/>
          </w:tcPr>
          <w:p w14:paraId="36A55E6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76D5E7B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76EEDD4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E3C5ECC">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43CE5E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785DF57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32</w:t>
            </w:r>
          </w:p>
        </w:tc>
        <w:tc>
          <w:tcPr>
            <w:tcW w:w="847" w:type="pct"/>
            <w:noWrap w:val="0"/>
            <w:vAlign w:val="center"/>
          </w:tcPr>
          <w:p w14:paraId="0720062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苯乙烯</w:t>
            </w:r>
          </w:p>
        </w:tc>
        <w:tc>
          <w:tcPr>
            <w:tcW w:w="547" w:type="pct"/>
            <w:noWrap w:val="0"/>
            <w:vAlign w:val="center"/>
          </w:tcPr>
          <w:p w14:paraId="279B1E4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44881D62">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3CCF64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52E687A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67170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536925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33</w:t>
            </w:r>
          </w:p>
        </w:tc>
        <w:tc>
          <w:tcPr>
            <w:tcW w:w="847" w:type="pct"/>
            <w:noWrap w:val="0"/>
            <w:vAlign w:val="center"/>
          </w:tcPr>
          <w:p w14:paraId="4185A45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甲苯</w:t>
            </w:r>
          </w:p>
        </w:tc>
        <w:tc>
          <w:tcPr>
            <w:tcW w:w="547" w:type="pct"/>
            <w:noWrap w:val="0"/>
            <w:vAlign w:val="center"/>
          </w:tcPr>
          <w:p w14:paraId="420675D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EEB750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12BFF1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1ACD98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5EC6F8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46C9AB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34</w:t>
            </w:r>
          </w:p>
        </w:tc>
        <w:tc>
          <w:tcPr>
            <w:tcW w:w="847" w:type="pct"/>
            <w:noWrap w:val="0"/>
            <w:vAlign w:val="center"/>
          </w:tcPr>
          <w:p w14:paraId="7564EF5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间二甲苯</w:t>
            </w:r>
          </w:p>
          <w:p w14:paraId="31B19A7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+对二甲苯</w:t>
            </w:r>
          </w:p>
        </w:tc>
        <w:tc>
          <w:tcPr>
            <w:tcW w:w="547" w:type="pct"/>
            <w:noWrap w:val="0"/>
            <w:vAlign w:val="center"/>
          </w:tcPr>
          <w:p w14:paraId="38E44EC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29BF3C0D">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2B9A62A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E6651F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38347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FF970D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35</w:t>
            </w:r>
          </w:p>
        </w:tc>
        <w:tc>
          <w:tcPr>
            <w:tcW w:w="847" w:type="pct"/>
            <w:noWrap w:val="0"/>
            <w:vAlign w:val="center"/>
          </w:tcPr>
          <w:p w14:paraId="7A2B178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邻二甲苯</w:t>
            </w:r>
          </w:p>
        </w:tc>
        <w:tc>
          <w:tcPr>
            <w:tcW w:w="547" w:type="pct"/>
            <w:noWrap w:val="0"/>
            <w:vAlign w:val="center"/>
          </w:tcPr>
          <w:p w14:paraId="76EEFC33">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40AF0155">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2FC8F0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4617586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62B6A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B45AF9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36</w:t>
            </w:r>
          </w:p>
        </w:tc>
        <w:tc>
          <w:tcPr>
            <w:tcW w:w="847" w:type="pct"/>
            <w:noWrap w:val="0"/>
            <w:vAlign w:val="center"/>
          </w:tcPr>
          <w:p w14:paraId="0A70D87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硝基苯</w:t>
            </w:r>
          </w:p>
        </w:tc>
        <w:tc>
          <w:tcPr>
            <w:tcW w:w="547" w:type="pct"/>
            <w:noWrap w:val="0"/>
            <w:vAlign w:val="center"/>
          </w:tcPr>
          <w:p w14:paraId="5B4536C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3E8010CD">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44E2E58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3A6BA3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2F1B4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0D5DAAE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37</w:t>
            </w:r>
          </w:p>
        </w:tc>
        <w:tc>
          <w:tcPr>
            <w:tcW w:w="847" w:type="pct"/>
            <w:noWrap w:val="0"/>
            <w:vAlign w:val="center"/>
          </w:tcPr>
          <w:p w14:paraId="13EF19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苯胺</w:t>
            </w:r>
          </w:p>
        </w:tc>
        <w:tc>
          <w:tcPr>
            <w:tcW w:w="547" w:type="pct"/>
            <w:noWrap w:val="0"/>
            <w:vAlign w:val="center"/>
          </w:tcPr>
          <w:p w14:paraId="1486918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149EC44D">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2EFA7CB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D05012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3828B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1378B6D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38</w:t>
            </w:r>
          </w:p>
        </w:tc>
        <w:tc>
          <w:tcPr>
            <w:tcW w:w="847" w:type="pct"/>
            <w:noWrap w:val="0"/>
            <w:vAlign w:val="center"/>
          </w:tcPr>
          <w:p w14:paraId="3C452C4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2-氯酚</w:t>
            </w:r>
          </w:p>
        </w:tc>
        <w:tc>
          <w:tcPr>
            <w:tcW w:w="547" w:type="pct"/>
            <w:noWrap w:val="0"/>
            <w:vAlign w:val="center"/>
          </w:tcPr>
          <w:p w14:paraId="668F233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5DE564F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5A7CA0D">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F4270F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1DFBCE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5B5ACE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39</w:t>
            </w:r>
          </w:p>
        </w:tc>
        <w:tc>
          <w:tcPr>
            <w:tcW w:w="847" w:type="pct"/>
            <w:noWrap w:val="0"/>
            <w:vAlign w:val="center"/>
          </w:tcPr>
          <w:p w14:paraId="010C7E4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苯并[a]蒽</w:t>
            </w:r>
          </w:p>
        </w:tc>
        <w:tc>
          <w:tcPr>
            <w:tcW w:w="547" w:type="pct"/>
            <w:noWrap w:val="0"/>
            <w:vAlign w:val="center"/>
          </w:tcPr>
          <w:p w14:paraId="45EE43D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0CE66856">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180259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5F9BD72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7019F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ECCB3B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40</w:t>
            </w:r>
          </w:p>
        </w:tc>
        <w:tc>
          <w:tcPr>
            <w:tcW w:w="847" w:type="pct"/>
            <w:noWrap w:val="0"/>
            <w:vAlign w:val="center"/>
          </w:tcPr>
          <w:p w14:paraId="1D67090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苯并[a]芘</w:t>
            </w:r>
          </w:p>
        </w:tc>
        <w:tc>
          <w:tcPr>
            <w:tcW w:w="547" w:type="pct"/>
            <w:noWrap w:val="0"/>
            <w:vAlign w:val="center"/>
          </w:tcPr>
          <w:p w14:paraId="5C2665D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38E3CFEB">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446751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FCFC48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5CB0A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403A2D6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41</w:t>
            </w:r>
          </w:p>
        </w:tc>
        <w:tc>
          <w:tcPr>
            <w:tcW w:w="847" w:type="pct"/>
            <w:noWrap w:val="0"/>
            <w:vAlign w:val="center"/>
          </w:tcPr>
          <w:p w14:paraId="0668FCA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苯并[b]荧蒽</w:t>
            </w:r>
          </w:p>
        </w:tc>
        <w:tc>
          <w:tcPr>
            <w:tcW w:w="547" w:type="pct"/>
            <w:noWrap w:val="0"/>
            <w:vAlign w:val="center"/>
          </w:tcPr>
          <w:p w14:paraId="225C055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7F308CA8">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41F064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70907621">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167367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65FCB55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42</w:t>
            </w:r>
          </w:p>
        </w:tc>
        <w:tc>
          <w:tcPr>
            <w:tcW w:w="847" w:type="pct"/>
            <w:noWrap w:val="0"/>
            <w:vAlign w:val="center"/>
          </w:tcPr>
          <w:p w14:paraId="3F617BA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苯并[k]荧蒽</w:t>
            </w:r>
          </w:p>
        </w:tc>
        <w:tc>
          <w:tcPr>
            <w:tcW w:w="547" w:type="pct"/>
            <w:noWrap w:val="0"/>
            <w:vAlign w:val="center"/>
          </w:tcPr>
          <w:p w14:paraId="2892214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09BBDD24">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C6569E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1D918D5A">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07B78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26D4E6B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43</w:t>
            </w:r>
          </w:p>
        </w:tc>
        <w:tc>
          <w:tcPr>
            <w:tcW w:w="847" w:type="pct"/>
            <w:noWrap w:val="0"/>
            <w:vAlign w:val="center"/>
          </w:tcPr>
          <w:p w14:paraId="03C36C4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䓛</w:t>
            </w:r>
          </w:p>
        </w:tc>
        <w:tc>
          <w:tcPr>
            <w:tcW w:w="547" w:type="pct"/>
            <w:noWrap w:val="0"/>
            <w:vAlign w:val="center"/>
          </w:tcPr>
          <w:p w14:paraId="48C1151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6AC03185">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6CE5D5F">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8886D2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30DF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396E069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44</w:t>
            </w:r>
          </w:p>
        </w:tc>
        <w:tc>
          <w:tcPr>
            <w:tcW w:w="847" w:type="pct"/>
            <w:noWrap w:val="0"/>
            <w:vAlign w:val="center"/>
          </w:tcPr>
          <w:p w14:paraId="337E71B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二苯并[a, h]蒽</w:t>
            </w:r>
          </w:p>
        </w:tc>
        <w:tc>
          <w:tcPr>
            <w:tcW w:w="547" w:type="pct"/>
            <w:noWrap w:val="0"/>
            <w:vAlign w:val="center"/>
          </w:tcPr>
          <w:p w14:paraId="2C6B94C2">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0A531C41">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3ABF1927">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2BA2074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3BA0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7555F1D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45</w:t>
            </w:r>
          </w:p>
        </w:tc>
        <w:tc>
          <w:tcPr>
            <w:tcW w:w="847" w:type="pct"/>
            <w:noWrap w:val="0"/>
            <w:vAlign w:val="center"/>
          </w:tcPr>
          <w:p w14:paraId="390D1FE5">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茚并[1,2,3-cd]芘</w:t>
            </w:r>
          </w:p>
        </w:tc>
        <w:tc>
          <w:tcPr>
            <w:tcW w:w="547" w:type="pct"/>
            <w:noWrap w:val="0"/>
            <w:vAlign w:val="center"/>
          </w:tcPr>
          <w:p w14:paraId="0D2C72A8">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mg/kg</w:t>
            </w:r>
          </w:p>
        </w:tc>
        <w:tc>
          <w:tcPr>
            <w:tcW w:w="1073" w:type="pct"/>
            <w:noWrap w:val="0"/>
            <w:vAlign w:val="center"/>
          </w:tcPr>
          <w:p w14:paraId="30CC577F">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161A995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09C37330">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2FA03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3" w:type="pct"/>
            <w:noWrap w:val="0"/>
            <w:vAlign w:val="center"/>
          </w:tcPr>
          <w:p w14:paraId="76E3998B">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46</w:t>
            </w:r>
          </w:p>
        </w:tc>
        <w:tc>
          <w:tcPr>
            <w:tcW w:w="847" w:type="pct"/>
            <w:noWrap w:val="0"/>
            <w:vAlign w:val="center"/>
          </w:tcPr>
          <w:p w14:paraId="678E79B9">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萘</w:t>
            </w:r>
          </w:p>
        </w:tc>
        <w:tc>
          <w:tcPr>
            <w:tcW w:w="547" w:type="pct"/>
            <w:noWrap w:val="0"/>
            <w:vAlign w:val="center"/>
          </w:tcPr>
          <w:p w14:paraId="2ED2C9F6">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μg/kg</w:t>
            </w:r>
          </w:p>
        </w:tc>
        <w:tc>
          <w:tcPr>
            <w:tcW w:w="1073" w:type="pct"/>
            <w:noWrap w:val="0"/>
            <w:vAlign w:val="center"/>
          </w:tcPr>
          <w:p w14:paraId="42E86433">
            <w:pPr>
              <w:keepNext w:val="0"/>
              <w:keepLines w:val="0"/>
              <w:pageBreakBefore w:val="0"/>
              <w:widowControl/>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sz w:val="21"/>
                <w:szCs w:val="21"/>
                <w:highlight w:val="none"/>
              </w:rPr>
            </w:pPr>
            <w:r>
              <w:rPr>
                <w:rFonts w:hint="eastAsia" w:ascii="Times New Roman" w:hAnsi="Times New Roman"/>
                <w:sz w:val="21"/>
                <w:szCs w:val="21"/>
                <w:highlight w:val="none"/>
                <w:lang w:val="en-US" w:eastAsia="zh-CN"/>
              </w:rPr>
              <w:t>ND</w:t>
            </w:r>
          </w:p>
        </w:tc>
        <w:tc>
          <w:tcPr>
            <w:tcW w:w="1073" w:type="pct"/>
            <w:noWrap w:val="0"/>
            <w:vAlign w:val="center"/>
          </w:tcPr>
          <w:p w14:paraId="2C025A0E">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073" w:type="pct"/>
            <w:noWrap w:val="0"/>
            <w:vAlign w:val="center"/>
          </w:tcPr>
          <w:p w14:paraId="3929B774">
            <w:pPr>
              <w:widowControl/>
              <w:spacing w:line="320" w:lineRule="exact"/>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bl>
    <w:p w14:paraId="217DC8E9">
      <w:pPr>
        <w:pStyle w:val="22"/>
        <w:ind w:left="0" w:leftChars="0" w:firstLine="0" w:firstLineChars="0"/>
        <w:rPr>
          <w:rFonts w:ascii="Times New Roman" w:hAnsi="Times New Roman"/>
          <w:highlight w:val="none"/>
        </w:rPr>
      </w:pPr>
      <w:r>
        <w:rPr>
          <w:rFonts w:ascii="Times New Roman" w:hAnsi="Times New Roman"/>
          <w:sz w:val="21"/>
          <w:szCs w:val="21"/>
          <w:highlight w:val="none"/>
        </w:rPr>
        <w:t>注：“L”为未检出</w:t>
      </w:r>
    </w:p>
    <w:p w14:paraId="2DE3E695">
      <w:pPr>
        <w:pStyle w:val="22"/>
        <w:ind w:left="0" w:leftChars="0" w:firstLine="0" w:firstLineChars="0"/>
        <w:rPr>
          <w:rFonts w:ascii="Times New Roman" w:hAnsi="Times New Roman"/>
          <w:highlight w:val="none"/>
        </w:rPr>
      </w:pPr>
      <w:r>
        <w:rPr>
          <w:highlight w:val="none"/>
        </w:rPr>
        <w:drawing>
          <wp:inline distT="0" distB="0" distL="114300" distR="114300">
            <wp:extent cx="5268595" cy="4476750"/>
            <wp:effectExtent l="0" t="0" r="8255" b="0"/>
            <wp:docPr id="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8"/>
                    <pic:cNvPicPr>
                      <a:picLocks noChangeAspect="1"/>
                    </pic:cNvPicPr>
                  </pic:nvPicPr>
                  <pic:blipFill>
                    <a:blip r:embed="rId37"/>
                    <a:stretch>
                      <a:fillRect/>
                    </a:stretch>
                  </pic:blipFill>
                  <pic:spPr>
                    <a:xfrm>
                      <a:off x="0" y="0"/>
                      <a:ext cx="5268595" cy="4476750"/>
                    </a:xfrm>
                    <a:prstGeom prst="rect">
                      <a:avLst/>
                    </a:prstGeom>
                    <a:noFill/>
                    <a:ln>
                      <a:noFill/>
                    </a:ln>
                  </pic:spPr>
                </pic:pic>
              </a:graphicData>
            </a:graphic>
          </wp:inline>
        </w:drawing>
      </w:r>
    </w:p>
    <w:p w14:paraId="5A41B6A6">
      <w:pPr>
        <w:pStyle w:val="21"/>
        <w:ind w:left="480" w:leftChars="200" w:firstLine="0" w:firstLineChars="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4.3-3</w:t>
      </w:r>
      <w:r>
        <w:rPr>
          <w:rFonts w:hint="eastAsia" w:ascii="黑体" w:hAnsi="黑体" w:eastAsia="黑体" w:cs="黑体"/>
          <w:highlight w:val="none"/>
        </w:rPr>
        <w:t>土壤监测点位布置图</w:t>
      </w:r>
    </w:p>
    <w:p w14:paraId="38769B55">
      <w:pPr>
        <w:ind w:firstLine="480"/>
        <w:rPr>
          <w:rFonts w:ascii="Times New Roman" w:hAnsi="Times New Roman"/>
          <w:highlight w:val="none"/>
        </w:rPr>
      </w:pPr>
      <w:r>
        <w:rPr>
          <w:rFonts w:hint="eastAsia" w:ascii="Times New Roman" w:hAnsi="Times New Roman"/>
          <w:highlight w:val="none"/>
        </w:rPr>
        <w:t>（5）</w:t>
      </w:r>
      <w:r>
        <w:rPr>
          <w:rFonts w:ascii="Times New Roman" w:hAnsi="Times New Roman"/>
          <w:highlight w:val="none"/>
        </w:rPr>
        <w:t>评价方法</w:t>
      </w:r>
    </w:p>
    <w:p w14:paraId="1665C9B9">
      <w:pPr>
        <w:spacing w:line="360" w:lineRule="auto"/>
        <w:ind w:firstLine="480" w:firstLineChars="200"/>
        <w:rPr>
          <w:sz w:val="24"/>
          <w:highlight w:val="none"/>
        </w:rPr>
      </w:pPr>
      <w:r>
        <w:rPr>
          <w:rFonts w:hint="eastAsia"/>
          <w:sz w:val="24"/>
          <w:highlight w:val="none"/>
        </w:rPr>
        <w:t>本次土壤环境质量评价采用单因子标准指数法。单项土壤监测因子i在第j点的污染指数。</w:t>
      </w:r>
    </w:p>
    <w:p w14:paraId="707D4657">
      <w:pPr>
        <w:spacing w:line="360" w:lineRule="auto"/>
        <w:ind w:firstLine="480" w:firstLineChars="200"/>
        <w:jc w:val="center"/>
        <w:rPr>
          <w:sz w:val="24"/>
          <w:highlight w:val="none"/>
        </w:rPr>
      </w:pPr>
      <w:r>
        <w:rPr>
          <w:rFonts w:hint="eastAsia"/>
          <w:sz w:val="24"/>
          <w:highlight w:val="none"/>
        </w:rPr>
        <w:t>Si=Ci/C0 </w:t>
      </w:r>
    </w:p>
    <w:p w14:paraId="16524687">
      <w:pPr>
        <w:spacing w:line="360" w:lineRule="auto"/>
        <w:ind w:firstLine="480" w:firstLineChars="200"/>
        <w:rPr>
          <w:sz w:val="24"/>
          <w:highlight w:val="none"/>
        </w:rPr>
      </w:pPr>
      <w:r>
        <w:rPr>
          <w:rFonts w:hint="eastAsia"/>
          <w:sz w:val="24"/>
          <w:highlight w:val="none"/>
        </w:rPr>
        <w:t>式中：Si—土壤中i污染物的污染指数；</w:t>
      </w:r>
    </w:p>
    <w:p w14:paraId="78FE624E">
      <w:pPr>
        <w:spacing w:line="360" w:lineRule="auto"/>
        <w:ind w:firstLine="480" w:firstLineChars="200"/>
        <w:rPr>
          <w:sz w:val="24"/>
          <w:highlight w:val="none"/>
        </w:rPr>
      </w:pPr>
      <w:r>
        <w:rPr>
          <w:rFonts w:hint="eastAsia"/>
          <w:sz w:val="24"/>
          <w:highlight w:val="none"/>
        </w:rPr>
        <w:t>Ci—第i 种污染物的实测浓度，（mg/L）；</w:t>
      </w:r>
    </w:p>
    <w:p w14:paraId="37A6F3D9">
      <w:pPr>
        <w:spacing w:line="360" w:lineRule="auto"/>
        <w:ind w:firstLine="480" w:firstLineChars="200"/>
        <w:rPr>
          <w:sz w:val="24"/>
          <w:highlight w:val="none"/>
        </w:rPr>
      </w:pPr>
      <w:r>
        <w:rPr>
          <w:rFonts w:hint="eastAsia"/>
          <w:sz w:val="24"/>
          <w:highlight w:val="none"/>
        </w:rPr>
        <w:t>C0—第i种污染物的评价标准，（mg/L）。</w:t>
      </w:r>
    </w:p>
    <w:p w14:paraId="7A613288">
      <w:pPr>
        <w:spacing w:line="360" w:lineRule="auto"/>
        <w:ind w:firstLine="480" w:firstLineChars="200"/>
        <w:rPr>
          <w:sz w:val="24"/>
          <w:highlight w:val="none"/>
        </w:rPr>
      </w:pPr>
      <w:r>
        <w:rPr>
          <w:rFonts w:hint="eastAsia"/>
          <w:sz w:val="24"/>
          <w:highlight w:val="none"/>
        </w:rPr>
        <w:t>土壤污染因子的标准指数大于1，表明该污染物超过了规定的标准限值，标准指数越大，说明超标越严重。</w:t>
      </w:r>
    </w:p>
    <w:p w14:paraId="427F7F25">
      <w:pPr>
        <w:rPr>
          <w:rFonts w:hint="eastAsia"/>
          <w:highlight w:val="none"/>
          <w:lang w:val="en-US" w:eastAsia="zh-CN"/>
        </w:rPr>
      </w:pPr>
      <w:r>
        <w:rPr>
          <w:rFonts w:hint="eastAsia"/>
          <w:highlight w:val="none"/>
          <w:lang w:val="en-US" w:eastAsia="zh-CN"/>
        </w:rPr>
        <w:t>（</w:t>
      </w:r>
      <w:r>
        <w:rPr>
          <w:rFonts w:hint="eastAsia" w:ascii="Times New Roman" w:hAnsi="Times New Roman" w:eastAsia="宋体" w:cs="Times New Roman"/>
          <w:highlight w:val="none"/>
          <w:lang w:val="en-US" w:eastAsia="zh-CN"/>
        </w:rPr>
        <w:t>6</w:t>
      </w:r>
      <w:r>
        <w:rPr>
          <w:rFonts w:hint="eastAsia"/>
          <w:highlight w:val="none"/>
          <w:lang w:val="en-US" w:eastAsia="zh-CN"/>
        </w:rPr>
        <w:t>）评价标准</w:t>
      </w:r>
    </w:p>
    <w:p w14:paraId="6EC1DA8A">
      <w:pPr>
        <w:pStyle w:val="7"/>
        <w:rPr>
          <w:rFonts w:hint="eastAsia"/>
          <w:sz w:val="24"/>
          <w:highlight w:val="none"/>
        </w:rPr>
      </w:pPr>
      <w:r>
        <w:rPr>
          <w:rFonts w:hint="eastAsia"/>
          <w:sz w:val="24"/>
          <w:highlight w:val="none"/>
        </w:rPr>
        <w:t>本项目所在区域土壤环境执行《土壤环境质量 建设用地土壤污染风险管控标准（试行）》（GB36600-2018）第二类用地筛选值中的标准限值。</w:t>
      </w:r>
    </w:p>
    <w:p w14:paraId="5F6779ED">
      <w:pPr>
        <w:bidi w:val="0"/>
        <w:rPr>
          <w:rFonts w:hint="eastAsia"/>
          <w:highlight w:val="none"/>
          <w:lang w:val="en-US" w:eastAsia="zh-CN"/>
        </w:rPr>
      </w:pPr>
      <w:r>
        <w:rPr>
          <w:rFonts w:hint="eastAsia"/>
          <w:highlight w:val="none"/>
          <w:lang w:val="en-US" w:eastAsia="zh-CN"/>
        </w:rPr>
        <w:t>（7）评价结果</w:t>
      </w:r>
    </w:p>
    <w:p w14:paraId="094D64F0">
      <w:pPr>
        <w:spacing w:line="360" w:lineRule="auto"/>
        <w:ind w:firstLine="480" w:firstLineChars="200"/>
        <w:rPr>
          <w:sz w:val="24"/>
          <w:highlight w:val="none"/>
        </w:rPr>
      </w:pPr>
      <w:r>
        <w:rPr>
          <w:rFonts w:hint="eastAsia"/>
          <w:sz w:val="24"/>
          <w:highlight w:val="none"/>
        </w:rPr>
        <w:t>土壤现状评价结果见表4.3-</w:t>
      </w:r>
      <w:r>
        <w:rPr>
          <w:rFonts w:hint="eastAsia"/>
          <w:sz w:val="24"/>
          <w:highlight w:val="none"/>
          <w:lang w:val="en-US" w:eastAsia="zh-CN"/>
        </w:rPr>
        <w:t>9</w:t>
      </w:r>
      <w:r>
        <w:rPr>
          <w:rFonts w:hint="eastAsia"/>
          <w:sz w:val="24"/>
          <w:highlight w:val="none"/>
        </w:rPr>
        <w:t>。</w:t>
      </w:r>
    </w:p>
    <w:p w14:paraId="06B9B591">
      <w:pPr>
        <w:widowControl/>
        <w:spacing w:line="360" w:lineRule="auto"/>
        <w:jc w:val="center"/>
        <w:rPr>
          <w:rFonts w:cs="宋体"/>
          <w:b/>
          <w:sz w:val="24"/>
          <w:highlight w:val="none"/>
        </w:rPr>
      </w:pPr>
      <w:r>
        <w:rPr>
          <w:rFonts w:cs="宋体"/>
          <w:b/>
          <w:sz w:val="24"/>
          <w:highlight w:val="none"/>
        </w:rPr>
        <w:t>表</w:t>
      </w:r>
      <w:r>
        <w:rPr>
          <w:rFonts w:hint="eastAsia" w:ascii="Times New Roman" w:hAnsi="Times New Roman" w:eastAsia="宋体" w:cs="Times New Roman"/>
          <w:kern w:val="0"/>
          <w:sz w:val="24"/>
          <w:szCs w:val="21"/>
          <w:highlight w:val="none"/>
          <w:lang w:val="en-US" w:eastAsia="zh-CN" w:bidi="ar-SA"/>
        </w:rPr>
        <w:t>4.3-9</w:t>
      </w:r>
      <w:r>
        <w:rPr>
          <w:rFonts w:hint="eastAsia" w:cs="宋体"/>
          <w:b/>
          <w:sz w:val="24"/>
          <w:highlight w:val="none"/>
        </w:rPr>
        <w:t xml:space="preserve">  </w:t>
      </w:r>
      <w:r>
        <w:rPr>
          <w:rFonts w:cs="宋体"/>
          <w:b/>
          <w:sz w:val="24"/>
          <w:highlight w:val="none"/>
        </w:rPr>
        <w:t>土壤标准指数结果一览表</w:t>
      </w:r>
    </w:p>
    <w:tbl>
      <w:tblPr>
        <w:tblStyle w:val="17"/>
        <w:tblW w:w="4998"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1807"/>
        <w:gridCol w:w="1807"/>
        <w:gridCol w:w="1807"/>
        <w:gridCol w:w="1807"/>
      </w:tblGrid>
      <w:tr w14:paraId="5498D16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4EAA39A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sz w:val="21"/>
                <w:szCs w:val="21"/>
                <w:highlight w:val="none"/>
              </w:rPr>
              <w:t>项目名称</w:t>
            </w:r>
          </w:p>
        </w:tc>
        <w:tc>
          <w:tcPr>
            <w:tcW w:w="1060" w:type="pct"/>
            <w:vAlign w:val="center"/>
          </w:tcPr>
          <w:p w14:paraId="0550D05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sz w:val="21"/>
                <w:szCs w:val="21"/>
                <w:highlight w:val="none"/>
              </w:rPr>
            </w:pPr>
            <w:r>
              <w:rPr>
                <w:rFonts w:hint="eastAsia"/>
                <w:sz w:val="21"/>
                <w:szCs w:val="21"/>
                <w:highlight w:val="none"/>
                <w:lang w:val="en-US" w:eastAsia="zh-CN"/>
              </w:rPr>
              <w:t>1</w:t>
            </w:r>
            <w:r>
              <w:rPr>
                <w:sz w:val="21"/>
                <w:szCs w:val="21"/>
                <w:highlight w:val="none"/>
              </w:rPr>
              <w:t>#（表层点）</w:t>
            </w:r>
          </w:p>
        </w:tc>
        <w:tc>
          <w:tcPr>
            <w:tcW w:w="1060" w:type="pct"/>
            <w:vAlign w:val="center"/>
          </w:tcPr>
          <w:p w14:paraId="3702202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2#（表层点）</w:t>
            </w:r>
          </w:p>
        </w:tc>
        <w:tc>
          <w:tcPr>
            <w:tcW w:w="1060" w:type="pct"/>
            <w:vAlign w:val="center"/>
          </w:tcPr>
          <w:p w14:paraId="721B80E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3#（表层点）</w:t>
            </w:r>
          </w:p>
        </w:tc>
        <w:tc>
          <w:tcPr>
            <w:tcW w:w="1060" w:type="pct"/>
            <w:vAlign w:val="center"/>
          </w:tcPr>
          <w:p w14:paraId="23BD6E8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sz w:val="21"/>
                <w:szCs w:val="21"/>
                <w:highlight w:val="none"/>
                <w:lang w:val="en-US" w:eastAsia="zh-CN"/>
              </w:rPr>
            </w:pPr>
            <w:r>
              <w:rPr>
                <w:rFonts w:hint="eastAsia"/>
                <w:sz w:val="21"/>
                <w:szCs w:val="21"/>
                <w:highlight w:val="none"/>
                <w:lang w:val="en-US" w:eastAsia="zh-CN"/>
              </w:rPr>
              <w:t>标准值（mg/kg）</w:t>
            </w:r>
          </w:p>
        </w:tc>
      </w:tr>
      <w:tr w14:paraId="6DF4BA0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605A8960">
            <w:pPr>
              <w:widowControl/>
              <w:spacing w:line="320" w:lineRule="exact"/>
              <w:ind w:firstLine="0" w:firstLineChars="0"/>
              <w:jc w:val="center"/>
              <w:rPr>
                <w:sz w:val="21"/>
                <w:szCs w:val="21"/>
                <w:highlight w:val="none"/>
              </w:rPr>
            </w:pPr>
            <w:r>
              <w:rPr>
                <w:rFonts w:ascii="Times New Roman" w:hAnsi="Times New Roman"/>
                <w:sz w:val="21"/>
                <w:szCs w:val="21"/>
                <w:highlight w:val="none"/>
              </w:rPr>
              <w:t>砷</w:t>
            </w:r>
          </w:p>
        </w:tc>
        <w:tc>
          <w:tcPr>
            <w:tcW w:w="1060" w:type="pct"/>
            <w:vAlign w:val="center"/>
          </w:tcPr>
          <w:p w14:paraId="6E372BC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0.1407</w:t>
            </w:r>
          </w:p>
        </w:tc>
        <w:tc>
          <w:tcPr>
            <w:tcW w:w="1060" w:type="pct"/>
            <w:vAlign w:val="center"/>
          </w:tcPr>
          <w:p w14:paraId="6D66A5E5">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0.139</w:t>
            </w:r>
          </w:p>
        </w:tc>
        <w:tc>
          <w:tcPr>
            <w:tcW w:w="1060" w:type="pct"/>
            <w:vAlign w:val="center"/>
          </w:tcPr>
          <w:p w14:paraId="182295E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0.1362</w:t>
            </w:r>
          </w:p>
        </w:tc>
        <w:tc>
          <w:tcPr>
            <w:tcW w:w="1060" w:type="pct"/>
            <w:vAlign w:val="center"/>
          </w:tcPr>
          <w:p w14:paraId="21BA325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60</w:t>
            </w:r>
          </w:p>
        </w:tc>
      </w:tr>
      <w:tr w14:paraId="30BC7A3B">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6D0BDC46">
            <w:pPr>
              <w:widowControl/>
              <w:spacing w:line="320" w:lineRule="exact"/>
              <w:ind w:firstLine="0" w:firstLineChars="0"/>
              <w:jc w:val="center"/>
              <w:rPr>
                <w:sz w:val="21"/>
                <w:szCs w:val="21"/>
                <w:highlight w:val="none"/>
              </w:rPr>
            </w:pPr>
            <w:r>
              <w:rPr>
                <w:rFonts w:ascii="Times New Roman" w:hAnsi="Times New Roman"/>
                <w:sz w:val="21"/>
                <w:szCs w:val="21"/>
                <w:highlight w:val="none"/>
              </w:rPr>
              <w:t>汞</w:t>
            </w:r>
          </w:p>
        </w:tc>
        <w:tc>
          <w:tcPr>
            <w:tcW w:w="1060" w:type="pct"/>
            <w:vAlign w:val="center"/>
          </w:tcPr>
          <w:p w14:paraId="13FA2F4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0.0033</w:t>
            </w:r>
          </w:p>
        </w:tc>
        <w:tc>
          <w:tcPr>
            <w:tcW w:w="1060" w:type="pct"/>
            <w:vAlign w:val="center"/>
          </w:tcPr>
          <w:p w14:paraId="4FCB872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0.0035</w:t>
            </w:r>
          </w:p>
        </w:tc>
        <w:tc>
          <w:tcPr>
            <w:tcW w:w="1060" w:type="pct"/>
            <w:vAlign w:val="center"/>
          </w:tcPr>
          <w:p w14:paraId="2048A4A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0.0033</w:t>
            </w:r>
          </w:p>
        </w:tc>
        <w:tc>
          <w:tcPr>
            <w:tcW w:w="1060" w:type="pct"/>
            <w:vAlign w:val="center"/>
          </w:tcPr>
          <w:p w14:paraId="6B08544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38</w:t>
            </w:r>
          </w:p>
        </w:tc>
      </w:tr>
      <w:tr w14:paraId="3986DA1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40A04A87">
            <w:pPr>
              <w:widowControl/>
              <w:spacing w:line="320" w:lineRule="exact"/>
              <w:ind w:firstLine="0" w:firstLineChars="0"/>
              <w:jc w:val="center"/>
              <w:rPr>
                <w:sz w:val="21"/>
                <w:szCs w:val="21"/>
                <w:highlight w:val="none"/>
              </w:rPr>
            </w:pPr>
            <w:r>
              <w:rPr>
                <w:rFonts w:ascii="Times New Roman" w:hAnsi="Times New Roman"/>
                <w:sz w:val="21"/>
                <w:szCs w:val="21"/>
                <w:highlight w:val="none"/>
              </w:rPr>
              <w:t>镉</w:t>
            </w:r>
          </w:p>
        </w:tc>
        <w:tc>
          <w:tcPr>
            <w:tcW w:w="1060" w:type="pct"/>
            <w:vAlign w:val="center"/>
          </w:tcPr>
          <w:p w14:paraId="69619E2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0.0032</w:t>
            </w:r>
          </w:p>
        </w:tc>
        <w:tc>
          <w:tcPr>
            <w:tcW w:w="1060" w:type="pct"/>
            <w:vAlign w:val="center"/>
          </w:tcPr>
          <w:p w14:paraId="5BBD162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0.0043</w:t>
            </w:r>
          </w:p>
        </w:tc>
        <w:tc>
          <w:tcPr>
            <w:tcW w:w="1060" w:type="pct"/>
            <w:vAlign w:val="center"/>
          </w:tcPr>
          <w:p w14:paraId="00F4820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0.0042</w:t>
            </w:r>
          </w:p>
        </w:tc>
        <w:tc>
          <w:tcPr>
            <w:tcW w:w="1060" w:type="pct"/>
            <w:vAlign w:val="center"/>
          </w:tcPr>
          <w:p w14:paraId="3F17B2B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65</w:t>
            </w:r>
          </w:p>
        </w:tc>
      </w:tr>
      <w:tr w14:paraId="5F382904">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102F99B6">
            <w:pPr>
              <w:widowControl/>
              <w:spacing w:line="320" w:lineRule="exact"/>
              <w:ind w:firstLine="0" w:firstLineChars="0"/>
              <w:jc w:val="center"/>
              <w:rPr>
                <w:sz w:val="21"/>
                <w:szCs w:val="21"/>
                <w:highlight w:val="none"/>
              </w:rPr>
            </w:pPr>
            <w:r>
              <w:rPr>
                <w:rFonts w:ascii="Times New Roman" w:hAnsi="Times New Roman"/>
                <w:sz w:val="21"/>
                <w:szCs w:val="21"/>
                <w:highlight w:val="none"/>
              </w:rPr>
              <w:t>铜</w:t>
            </w:r>
          </w:p>
        </w:tc>
        <w:tc>
          <w:tcPr>
            <w:tcW w:w="1060" w:type="pct"/>
            <w:vAlign w:val="center"/>
          </w:tcPr>
          <w:p w14:paraId="7514CEB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0.0022</w:t>
            </w:r>
          </w:p>
        </w:tc>
        <w:tc>
          <w:tcPr>
            <w:tcW w:w="1060" w:type="pct"/>
            <w:vAlign w:val="center"/>
          </w:tcPr>
          <w:p w14:paraId="03FA7D0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0.0023</w:t>
            </w:r>
          </w:p>
        </w:tc>
        <w:tc>
          <w:tcPr>
            <w:tcW w:w="1060" w:type="pct"/>
            <w:vAlign w:val="center"/>
          </w:tcPr>
          <w:p w14:paraId="62EE250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0.002</w:t>
            </w:r>
          </w:p>
        </w:tc>
        <w:tc>
          <w:tcPr>
            <w:tcW w:w="1060" w:type="pct"/>
            <w:vAlign w:val="center"/>
          </w:tcPr>
          <w:p w14:paraId="7103AF0C">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18000</w:t>
            </w:r>
          </w:p>
        </w:tc>
      </w:tr>
      <w:tr w14:paraId="4A80926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595F4F80">
            <w:pPr>
              <w:widowControl/>
              <w:spacing w:line="320" w:lineRule="exact"/>
              <w:ind w:firstLine="0" w:firstLineChars="0"/>
              <w:jc w:val="center"/>
              <w:rPr>
                <w:sz w:val="21"/>
                <w:szCs w:val="21"/>
                <w:highlight w:val="none"/>
              </w:rPr>
            </w:pPr>
            <w:r>
              <w:rPr>
                <w:rFonts w:ascii="Times New Roman" w:hAnsi="Times New Roman"/>
                <w:sz w:val="21"/>
                <w:szCs w:val="21"/>
                <w:highlight w:val="none"/>
              </w:rPr>
              <w:t>铅</w:t>
            </w:r>
          </w:p>
        </w:tc>
        <w:tc>
          <w:tcPr>
            <w:tcW w:w="1060" w:type="pct"/>
            <w:vAlign w:val="center"/>
          </w:tcPr>
          <w:p w14:paraId="7CF3A9E0">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0.0475</w:t>
            </w:r>
          </w:p>
        </w:tc>
        <w:tc>
          <w:tcPr>
            <w:tcW w:w="1060" w:type="pct"/>
            <w:vAlign w:val="center"/>
          </w:tcPr>
          <w:p w14:paraId="2558416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0.0463</w:t>
            </w:r>
          </w:p>
        </w:tc>
        <w:tc>
          <w:tcPr>
            <w:tcW w:w="1060" w:type="pct"/>
            <w:vAlign w:val="center"/>
          </w:tcPr>
          <w:p w14:paraId="4154670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0.0425</w:t>
            </w:r>
          </w:p>
        </w:tc>
        <w:tc>
          <w:tcPr>
            <w:tcW w:w="1060" w:type="pct"/>
            <w:vAlign w:val="center"/>
          </w:tcPr>
          <w:p w14:paraId="7019257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800</w:t>
            </w:r>
          </w:p>
        </w:tc>
      </w:tr>
      <w:tr w14:paraId="0713289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291B7EE3">
            <w:pPr>
              <w:widowControl/>
              <w:spacing w:line="320" w:lineRule="exact"/>
              <w:ind w:firstLine="0" w:firstLineChars="0"/>
              <w:jc w:val="center"/>
              <w:rPr>
                <w:sz w:val="21"/>
                <w:szCs w:val="21"/>
                <w:highlight w:val="none"/>
              </w:rPr>
            </w:pPr>
            <w:r>
              <w:rPr>
                <w:rFonts w:ascii="Times New Roman" w:hAnsi="Times New Roman"/>
                <w:sz w:val="21"/>
                <w:szCs w:val="21"/>
                <w:highlight w:val="none"/>
              </w:rPr>
              <w:t>镍</w:t>
            </w:r>
          </w:p>
        </w:tc>
        <w:tc>
          <w:tcPr>
            <w:tcW w:w="1060" w:type="pct"/>
            <w:vAlign w:val="center"/>
          </w:tcPr>
          <w:p w14:paraId="38A16D1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0.0444</w:t>
            </w:r>
          </w:p>
        </w:tc>
        <w:tc>
          <w:tcPr>
            <w:tcW w:w="1060" w:type="pct"/>
            <w:vAlign w:val="center"/>
          </w:tcPr>
          <w:p w14:paraId="3D6C2C2D">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0.0444</w:t>
            </w:r>
          </w:p>
        </w:tc>
        <w:tc>
          <w:tcPr>
            <w:tcW w:w="1060" w:type="pct"/>
            <w:vAlign w:val="center"/>
          </w:tcPr>
          <w:p w14:paraId="646C6E8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0.0422</w:t>
            </w:r>
          </w:p>
        </w:tc>
        <w:tc>
          <w:tcPr>
            <w:tcW w:w="1060" w:type="pct"/>
            <w:vAlign w:val="center"/>
          </w:tcPr>
          <w:p w14:paraId="6F176251">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900</w:t>
            </w:r>
          </w:p>
        </w:tc>
      </w:tr>
      <w:tr w14:paraId="3E4C430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58" w:type="pct"/>
            <w:vAlign w:val="center"/>
          </w:tcPr>
          <w:p w14:paraId="03D822B3">
            <w:pPr>
              <w:widowControl/>
              <w:spacing w:line="320" w:lineRule="exact"/>
              <w:ind w:firstLine="0" w:firstLineChars="0"/>
              <w:jc w:val="center"/>
              <w:rPr>
                <w:sz w:val="21"/>
                <w:szCs w:val="21"/>
                <w:highlight w:val="none"/>
              </w:rPr>
            </w:pPr>
            <w:r>
              <w:rPr>
                <w:rFonts w:ascii="Times New Roman" w:hAnsi="Times New Roman"/>
                <w:sz w:val="21"/>
                <w:szCs w:val="21"/>
                <w:highlight w:val="none"/>
              </w:rPr>
              <w:t>铬（六价）</w:t>
            </w:r>
          </w:p>
        </w:tc>
        <w:tc>
          <w:tcPr>
            <w:tcW w:w="1060" w:type="pct"/>
            <w:vAlign w:val="center"/>
          </w:tcPr>
          <w:p w14:paraId="6D6068E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sz w:val="21"/>
                <w:szCs w:val="21"/>
                <w:highlight w:val="none"/>
                <w:lang w:eastAsia="zh-CN"/>
              </w:rPr>
            </w:pPr>
            <w:r>
              <w:rPr>
                <w:rFonts w:hint="eastAsia"/>
                <w:sz w:val="21"/>
                <w:szCs w:val="21"/>
                <w:highlight w:val="none"/>
                <w:lang w:val="en-US" w:eastAsia="zh-CN"/>
              </w:rPr>
              <w:t>/</w:t>
            </w:r>
          </w:p>
        </w:tc>
        <w:tc>
          <w:tcPr>
            <w:tcW w:w="1060" w:type="pct"/>
            <w:vAlign w:val="center"/>
          </w:tcPr>
          <w:p w14:paraId="4C0F56F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sz w:val="21"/>
                <w:szCs w:val="21"/>
                <w:highlight w:val="none"/>
                <w:lang w:val="en-US" w:eastAsia="zh-CN"/>
              </w:rPr>
            </w:pPr>
            <w:r>
              <w:rPr>
                <w:rFonts w:hint="eastAsia"/>
                <w:sz w:val="21"/>
                <w:szCs w:val="21"/>
                <w:highlight w:val="none"/>
                <w:lang w:val="en-US" w:eastAsia="zh-CN"/>
              </w:rPr>
              <w:t>/</w:t>
            </w:r>
          </w:p>
        </w:tc>
        <w:tc>
          <w:tcPr>
            <w:tcW w:w="1060" w:type="pct"/>
            <w:vAlign w:val="center"/>
          </w:tcPr>
          <w:p w14:paraId="4CEFC6D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sz w:val="21"/>
                <w:szCs w:val="21"/>
                <w:highlight w:val="none"/>
                <w:lang w:val="en-US" w:eastAsia="zh-CN"/>
              </w:rPr>
            </w:pPr>
            <w:r>
              <w:rPr>
                <w:rFonts w:hint="eastAsia"/>
                <w:sz w:val="21"/>
                <w:szCs w:val="21"/>
                <w:highlight w:val="none"/>
                <w:lang w:val="en-US" w:eastAsia="zh-CN"/>
              </w:rPr>
              <w:t>/</w:t>
            </w:r>
          </w:p>
        </w:tc>
        <w:tc>
          <w:tcPr>
            <w:tcW w:w="1060" w:type="pct"/>
            <w:vAlign w:val="center"/>
          </w:tcPr>
          <w:p w14:paraId="04E0666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eastAsia="宋体"/>
                <w:sz w:val="21"/>
                <w:szCs w:val="21"/>
                <w:highlight w:val="none"/>
                <w:lang w:val="en-US" w:eastAsia="zh-CN"/>
              </w:rPr>
            </w:pPr>
            <w:r>
              <w:rPr>
                <w:rFonts w:hint="eastAsia"/>
                <w:sz w:val="21"/>
                <w:szCs w:val="21"/>
                <w:highlight w:val="none"/>
                <w:lang w:val="en-US" w:eastAsia="zh-CN"/>
              </w:rPr>
              <w:t>5.7</w:t>
            </w:r>
          </w:p>
        </w:tc>
      </w:tr>
    </w:tbl>
    <w:p w14:paraId="780CA9EB">
      <w:pPr>
        <w:rPr>
          <w:rFonts w:hint="eastAsia" w:eastAsia="宋体"/>
          <w:highlight w:val="none"/>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highlight w:val="none"/>
        </w:rPr>
        <w:t>本项目建设用地土壤中砷、镉、铬（六价）、铜、铅、汞、镍、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甲苯、硝基苯、苯胺、2-氯酚、苯并[a]蒽、苯并[a]芘、苯并[b]荧蒽、苯并</w:t>
      </w:r>
      <w:r>
        <w:rPr>
          <w:highlight w:val="none"/>
        </w:rPr>
        <w:t>[k]</w:t>
      </w:r>
      <w:r>
        <w:rPr>
          <w:rFonts w:hint="eastAsia"/>
          <w:highlight w:val="none"/>
        </w:rPr>
        <w:t>荧蒽、䓛、二苯并</w:t>
      </w:r>
      <w:r>
        <w:rPr>
          <w:highlight w:val="none"/>
        </w:rPr>
        <w:t>[a,h]</w:t>
      </w:r>
      <w:r>
        <w:rPr>
          <w:rFonts w:hint="eastAsia"/>
          <w:highlight w:val="none"/>
        </w:rPr>
        <w:t>蒽、茚并</w:t>
      </w:r>
      <w:r>
        <w:rPr>
          <w:highlight w:val="none"/>
        </w:rPr>
        <w:t>[1,2,3-cd]</w:t>
      </w:r>
      <w:r>
        <w:rPr>
          <w:rFonts w:hint="eastAsia"/>
          <w:highlight w:val="none"/>
        </w:rPr>
        <w:t>芘、萘含量低于《土壤环境质量</w:t>
      </w:r>
      <w:r>
        <w:rPr>
          <w:highlight w:val="none"/>
        </w:rPr>
        <w:t xml:space="preserve"> </w:t>
      </w:r>
      <w:r>
        <w:rPr>
          <w:rFonts w:hint="eastAsia"/>
          <w:highlight w:val="none"/>
        </w:rPr>
        <w:t>建设用地土壤污染风险管控标准（试行）》（</w:t>
      </w:r>
      <w:r>
        <w:rPr>
          <w:highlight w:val="none"/>
        </w:rPr>
        <w:t>GB36600-2018</w:t>
      </w:r>
      <w:r>
        <w:rPr>
          <w:rFonts w:hint="eastAsia"/>
          <w:highlight w:val="none"/>
        </w:rPr>
        <w:t>）中二类用地筛选值限值</w:t>
      </w:r>
      <w:r>
        <w:rPr>
          <w:rFonts w:hint="eastAsia"/>
          <w:highlight w:val="none"/>
          <w:lang w:eastAsia="zh-CN"/>
        </w:rPr>
        <w:t>。</w:t>
      </w:r>
      <w:bookmarkStart w:id="242" w:name="_GoBack"/>
      <w:bookmarkEnd w:id="242"/>
    </w:p>
    <w:p w14:paraId="240AD0A5">
      <w:pPr>
        <w:pStyle w:val="5"/>
        <w:bidi w:val="0"/>
        <w:ind w:left="0" w:leftChars="0" w:firstLine="0" w:firstLineChars="0"/>
        <w:rPr>
          <w:color w:val="auto"/>
          <w:sz w:val="24"/>
          <w:highlight w:val="none"/>
          <w:lang w:val="zh-CN"/>
        </w:rPr>
      </w:pPr>
      <w:bookmarkStart w:id="121" w:name="_Toc23619"/>
      <w:r>
        <w:rPr>
          <w:rFonts w:hint="eastAsia"/>
          <w:highlight w:val="none"/>
          <w:lang w:val="en-US" w:eastAsia="zh-CN"/>
        </w:rPr>
        <w:t>4.3.5生态环境</w:t>
      </w:r>
      <w:bookmarkEnd w:id="121"/>
    </w:p>
    <w:p w14:paraId="68CB6BB8">
      <w:pPr>
        <w:rPr>
          <w:rFonts w:ascii="Times New Roman" w:hAnsi="Times New Roman"/>
          <w:color w:val="auto"/>
          <w:highlight w:val="none"/>
        </w:rPr>
      </w:pPr>
      <w:r>
        <w:rPr>
          <w:rFonts w:ascii="Times New Roman" w:hAnsi="Times New Roman"/>
          <w:color w:val="auto"/>
          <w:highlight w:val="none"/>
        </w:rPr>
        <w:t>本项目位于城市建成区，</w:t>
      </w:r>
      <w:r>
        <w:rPr>
          <w:color w:val="auto"/>
          <w:sz w:val="24"/>
          <w:highlight w:val="none"/>
          <w:lang w:val="zh-CN"/>
        </w:rPr>
        <w:t>根据本项目建设内容、环境污染物排放特征及建设地点等具体情况，对项目</w:t>
      </w:r>
      <w:r>
        <w:rPr>
          <w:rFonts w:hint="eastAsia"/>
          <w:color w:val="auto"/>
          <w:sz w:val="24"/>
          <w:highlight w:val="none"/>
          <w:lang w:val="zh-CN"/>
        </w:rPr>
        <w:t>周围</w:t>
      </w:r>
      <w:r>
        <w:rPr>
          <w:color w:val="auto"/>
          <w:sz w:val="24"/>
          <w:highlight w:val="none"/>
          <w:lang w:val="zh-CN"/>
        </w:rPr>
        <w:t>的生态环境现状进行了调查，调查主要以收集区域相关生态条件资料和现场踏勘相结合的方法。</w:t>
      </w:r>
      <w:r>
        <w:rPr>
          <w:rFonts w:hint="eastAsia"/>
          <w:color w:val="auto"/>
          <w:sz w:val="24"/>
          <w:highlight w:val="none"/>
          <w:lang w:val="zh-CN"/>
        </w:rPr>
        <w:t>根据</w:t>
      </w:r>
      <w:r>
        <w:rPr>
          <w:color w:val="auto"/>
          <w:sz w:val="24"/>
          <w:highlight w:val="none"/>
          <w:lang w:val="zh-CN"/>
        </w:rPr>
        <w:t>实地调查，</w:t>
      </w:r>
      <w:r>
        <w:rPr>
          <w:rFonts w:hint="eastAsia"/>
          <w:color w:val="auto"/>
          <w:sz w:val="24"/>
          <w:highlight w:val="none"/>
          <w:lang w:val="zh-CN"/>
        </w:rPr>
        <w:t>周围</w:t>
      </w:r>
      <w:r>
        <w:rPr>
          <w:color w:val="auto"/>
          <w:sz w:val="24"/>
          <w:highlight w:val="none"/>
          <w:lang w:val="zh-CN"/>
        </w:rPr>
        <w:t>植被为</w:t>
      </w:r>
      <w:r>
        <w:rPr>
          <w:rFonts w:hint="eastAsia"/>
          <w:color w:val="auto"/>
          <w:sz w:val="24"/>
          <w:highlight w:val="none"/>
          <w:lang w:val="en-US" w:eastAsia="zh-CN"/>
        </w:rPr>
        <w:t>林地，</w:t>
      </w:r>
      <w:r>
        <w:rPr>
          <w:rFonts w:ascii="Times New Roman" w:hAnsi="Times New Roman"/>
          <w:color w:val="auto"/>
          <w:highlight w:val="none"/>
        </w:rPr>
        <w:t>评价范围内，仅有少量的鸟、鼠、蛙、昆虫等，已无大型野生哺乳动物。本区共调查到居民区鸟类1 目1 科2 种，占本区鸟类种数的4%，为鴷形目鸟类，为燕雀（Fringilla montifringilla）等。半地下生活型（穴居型，主要在地面活动觅食、栖息、避敌于洞穴中，有的也在地下寻找食物）：黑线姬鼠（Apodemusagrarius）、普通田鼠（Microtusarvalis）、小家鼠（Mus musculus）、褐家鼠（Rattusnorvegicus）、等4 种，主要分布在林地中。</w:t>
      </w:r>
      <w:r>
        <w:rPr>
          <w:rFonts w:hint="eastAsia"/>
          <w:color w:val="auto"/>
          <w:sz w:val="24"/>
          <w:highlight w:val="none"/>
          <w:lang w:val="zh-CN"/>
        </w:rPr>
        <w:t>自然生态系统极少，生态系统抗逆性和稳定性较差，植物种类较少，且无珍稀保护物种</w:t>
      </w:r>
      <w:r>
        <w:rPr>
          <w:color w:val="auto"/>
          <w:sz w:val="24"/>
          <w:highlight w:val="none"/>
          <w:lang w:val="zh-CN"/>
        </w:rPr>
        <w:t>。</w:t>
      </w:r>
      <w:r>
        <w:rPr>
          <w:rFonts w:hint="eastAsia"/>
          <w:color w:val="auto"/>
          <w:sz w:val="24"/>
          <w:highlight w:val="none"/>
          <w:lang w:val="zh-CN"/>
        </w:rPr>
        <w:t>由于人类的长期干扰和生态环境的改变。</w:t>
      </w:r>
      <w:r>
        <w:rPr>
          <w:color w:val="auto"/>
          <w:sz w:val="24"/>
          <w:highlight w:val="none"/>
          <w:lang w:val="zh-CN"/>
        </w:rPr>
        <w:t>本</w:t>
      </w:r>
      <w:r>
        <w:rPr>
          <w:rFonts w:hint="eastAsia"/>
          <w:color w:val="auto"/>
          <w:sz w:val="24"/>
          <w:highlight w:val="none"/>
          <w:lang w:val="zh-CN"/>
        </w:rPr>
        <w:t>项目</w:t>
      </w:r>
      <w:r>
        <w:rPr>
          <w:color w:val="auto"/>
          <w:sz w:val="24"/>
          <w:highlight w:val="none"/>
          <w:lang w:val="zh-CN"/>
        </w:rPr>
        <w:t>区域内无重点保护野生动植物。</w:t>
      </w:r>
    </w:p>
    <w:p w14:paraId="7157AEC1">
      <w:pPr>
        <w:pStyle w:val="4"/>
        <w:bidi w:val="0"/>
        <w:ind w:left="0" w:leftChars="0" w:firstLine="0" w:firstLineChars="0"/>
        <w:rPr>
          <w:rFonts w:hint="eastAsia"/>
          <w:highlight w:val="none"/>
          <w:lang w:val="en-US" w:eastAsia="zh-CN"/>
        </w:rPr>
      </w:pPr>
      <w:bookmarkStart w:id="122" w:name="_Toc23092"/>
      <w:r>
        <w:rPr>
          <w:rFonts w:hint="default" w:ascii="Times New Roman" w:hAnsi="Times New Roman" w:cs="Times New Roman"/>
          <w:highlight w:val="none"/>
          <w:lang w:val="en-US" w:eastAsia="zh-CN"/>
        </w:rPr>
        <w:t>4.4</w:t>
      </w:r>
      <w:r>
        <w:rPr>
          <w:rFonts w:hint="eastAsia"/>
          <w:highlight w:val="none"/>
          <w:lang w:val="en-US" w:eastAsia="zh-CN"/>
        </w:rPr>
        <w:t>区域污染源调查</w:t>
      </w:r>
      <w:bookmarkEnd w:id="122"/>
    </w:p>
    <w:p w14:paraId="66048FD7">
      <w:pPr>
        <w:bidi w:val="0"/>
        <w:rPr>
          <w:rFonts w:hint="eastAsia"/>
          <w:color w:val="auto"/>
          <w:highlight w:val="none"/>
          <w:lang w:val="en-US" w:eastAsia="zh-CN"/>
        </w:rPr>
      </w:pPr>
      <w:r>
        <w:rPr>
          <w:rFonts w:ascii="Times New Roman" w:hAnsi="Times New Roman"/>
          <w:highlight w:val="none"/>
        </w:rPr>
        <w:t>根据《建设项目环境影响评价技术导则总纲》（HJ2.1-2016），选择建设项目常规污染因子和特征污染因子、影响评价区环境质量的主要污染因子和特殊污染因子作为主要调查对象，注意不同污染源的分类调查。</w:t>
      </w:r>
    </w:p>
    <w:p w14:paraId="5E3D28E7">
      <w:pPr>
        <w:rPr>
          <w:rFonts w:hint="eastAsia"/>
          <w:color w:val="auto"/>
          <w:highlight w:val="none"/>
          <w:lang w:val="en-US" w:eastAsia="zh-CN"/>
        </w:rPr>
      </w:pPr>
      <w:r>
        <w:rPr>
          <w:rFonts w:hint="eastAsia"/>
          <w:color w:val="auto"/>
          <w:highlight w:val="none"/>
          <w:lang w:val="en-US" w:eastAsia="zh-CN"/>
        </w:rPr>
        <w:t>一、现有污染源</w:t>
      </w:r>
    </w:p>
    <w:p w14:paraId="1ACA49B0">
      <w:pPr>
        <w:bidi w:val="0"/>
        <w:rPr>
          <w:rFonts w:hint="eastAsia"/>
          <w:color w:val="auto"/>
          <w:highlight w:val="none"/>
          <w:lang w:val="en-US" w:eastAsia="zh-CN"/>
        </w:rPr>
      </w:pPr>
      <w:r>
        <w:rPr>
          <w:rFonts w:hint="eastAsia"/>
          <w:color w:val="auto"/>
          <w:highlight w:val="none"/>
          <w:lang w:val="en-US" w:eastAsia="zh-CN"/>
        </w:rPr>
        <w:t>（1）废气污染源分析</w:t>
      </w:r>
    </w:p>
    <w:p w14:paraId="0BD055CD">
      <w:pPr>
        <w:bidi w:val="0"/>
        <w:rPr>
          <w:rFonts w:hint="eastAsia"/>
          <w:color w:val="auto"/>
          <w:highlight w:val="none"/>
          <w:lang w:val="en-US" w:eastAsia="zh-CN"/>
        </w:rPr>
      </w:pPr>
      <w:r>
        <w:rPr>
          <w:rFonts w:hint="eastAsia"/>
          <w:color w:val="auto"/>
          <w:highlight w:val="none"/>
          <w:lang w:val="en-US" w:eastAsia="zh-CN"/>
        </w:rPr>
        <w:t>区域主要大气排放因子为部分生产企业工艺废气等。</w:t>
      </w:r>
    </w:p>
    <w:p w14:paraId="7ED5582E">
      <w:pPr>
        <w:bidi w:val="0"/>
        <w:rPr>
          <w:rFonts w:hint="eastAsia"/>
          <w:color w:val="auto"/>
          <w:highlight w:val="none"/>
          <w:lang w:val="en-US" w:eastAsia="zh-CN"/>
        </w:rPr>
      </w:pPr>
      <w:r>
        <w:rPr>
          <w:rFonts w:hint="eastAsia"/>
          <w:color w:val="auto"/>
          <w:highlight w:val="none"/>
          <w:lang w:val="en-US" w:eastAsia="zh-CN"/>
        </w:rPr>
        <w:t>废气主要包括TSP等工艺废气中的特征污染物，采取相应措施后达到行业污染物或综合污染物排放标准排放。</w:t>
      </w:r>
    </w:p>
    <w:p w14:paraId="0A0F287F">
      <w:pPr>
        <w:bidi w:val="0"/>
        <w:rPr>
          <w:rFonts w:hint="eastAsia"/>
          <w:color w:val="auto"/>
          <w:highlight w:val="none"/>
          <w:lang w:val="en-US" w:eastAsia="zh-CN"/>
        </w:rPr>
      </w:pPr>
      <w:r>
        <w:rPr>
          <w:rFonts w:hint="eastAsia"/>
          <w:color w:val="auto"/>
          <w:highlight w:val="none"/>
          <w:lang w:val="en-US" w:eastAsia="zh-CN"/>
        </w:rPr>
        <w:t>（2）地表水污染源分析</w:t>
      </w:r>
    </w:p>
    <w:p w14:paraId="4A3DF721">
      <w:pPr>
        <w:bidi w:val="0"/>
        <w:rPr>
          <w:rFonts w:hint="eastAsia"/>
          <w:color w:val="auto"/>
          <w:highlight w:val="none"/>
          <w:lang w:val="en-US" w:eastAsia="zh-CN"/>
        </w:rPr>
      </w:pPr>
      <w:r>
        <w:rPr>
          <w:rFonts w:hint="eastAsia"/>
          <w:color w:val="auto"/>
          <w:highlight w:val="none"/>
          <w:lang w:val="en-US" w:eastAsia="zh-CN"/>
        </w:rPr>
        <w:t>区域废水主要为周边企业生产废水，污染物包括 COD、BOD、SS、氨氮、动植物油、总磷等。</w:t>
      </w:r>
    </w:p>
    <w:p w14:paraId="212C9052">
      <w:pPr>
        <w:bidi w:val="0"/>
        <w:rPr>
          <w:rFonts w:hint="eastAsia"/>
          <w:color w:val="auto"/>
          <w:highlight w:val="none"/>
          <w:lang w:val="en-US" w:eastAsia="zh-CN"/>
        </w:rPr>
      </w:pPr>
      <w:r>
        <w:rPr>
          <w:rFonts w:hint="eastAsia"/>
          <w:color w:val="auto"/>
          <w:highlight w:val="none"/>
          <w:lang w:val="en-US" w:eastAsia="zh-CN"/>
        </w:rPr>
        <w:t>（3）噪声影响源分析</w:t>
      </w:r>
    </w:p>
    <w:p w14:paraId="3C54120D">
      <w:pPr>
        <w:bidi w:val="0"/>
        <w:rPr>
          <w:rFonts w:hint="eastAsia"/>
          <w:color w:val="auto"/>
          <w:highlight w:val="none"/>
          <w:lang w:val="en-US" w:eastAsia="zh-CN"/>
        </w:rPr>
      </w:pPr>
      <w:r>
        <w:rPr>
          <w:rFonts w:hint="eastAsia"/>
          <w:color w:val="auto"/>
          <w:highlight w:val="none"/>
          <w:lang w:val="en-US" w:eastAsia="zh-CN"/>
        </w:rPr>
        <w:t>工业噪声源主要分为二类。第一类是工业企业噪声：主要为设备噪声，声级值75-95dB（A）；第二类是交通噪声：主要是区域内几条交通干线上的运输车辆产生的噪声，声级值75dB（A）。</w:t>
      </w:r>
    </w:p>
    <w:p w14:paraId="73FE2FAC">
      <w:pPr>
        <w:rPr>
          <w:rFonts w:hint="eastAsia"/>
          <w:color w:val="auto"/>
          <w:highlight w:val="none"/>
          <w:lang w:val="en-US" w:eastAsia="zh-CN"/>
        </w:rPr>
      </w:pPr>
      <w:r>
        <w:rPr>
          <w:rFonts w:hint="eastAsia"/>
          <w:color w:val="auto"/>
          <w:highlight w:val="none"/>
          <w:lang w:val="en-US" w:eastAsia="zh-CN"/>
        </w:rPr>
        <w:t>二、区域削减污染源调查</w:t>
      </w:r>
    </w:p>
    <w:p w14:paraId="0C0E3618">
      <w:pPr>
        <w:rPr>
          <w:rFonts w:hint="eastAsia"/>
          <w:color w:val="auto"/>
          <w:highlight w:val="none"/>
          <w:lang w:val="en-US" w:eastAsia="zh-CN"/>
        </w:rPr>
      </w:pPr>
      <w:r>
        <w:rPr>
          <w:rFonts w:hint="eastAsia"/>
          <w:color w:val="auto"/>
          <w:highlight w:val="none"/>
          <w:lang w:val="en-US" w:eastAsia="zh-CN"/>
        </w:rPr>
        <w:t>根据企业实际运行可知，绥芬河市新区供热有限责任公司于2025年已完成超低排放改造。</w:t>
      </w:r>
    </w:p>
    <w:p w14:paraId="4763285D">
      <w:pPr>
        <w:ind w:left="0" w:leftChars="0" w:firstLine="0" w:firstLineChars="0"/>
        <w:jc w:val="center"/>
        <w:rPr>
          <w:rFonts w:hint="eastAsia"/>
          <w:color w:val="auto"/>
          <w:highlight w:val="none"/>
          <w:lang w:val="en-US" w:eastAsia="zh-CN"/>
        </w:rPr>
      </w:pPr>
      <w:r>
        <w:rPr>
          <w:rFonts w:hint="eastAsia"/>
          <w:color w:val="auto"/>
          <w:highlight w:val="none"/>
          <w:lang w:val="en-US" w:eastAsia="zh-CN"/>
        </w:rPr>
        <w:t>表4.4-1 拟被替代源基本情况表</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649"/>
        <w:gridCol w:w="269"/>
        <w:gridCol w:w="419"/>
        <w:gridCol w:w="385"/>
        <w:gridCol w:w="592"/>
        <w:gridCol w:w="367"/>
        <w:gridCol w:w="477"/>
        <w:gridCol w:w="828"/>
        <w:gridCol w:w="574"/>
        <w:gridCol w:w="472"/>
        <w:gridCol w:w="382"/>
        <w:gridCol w:w="936"/>
        <w:gridCol w:w="968"/>
        <w:gridCol w:w="1018"/>
      </w:tblGrid>
      <w:tr w14:paraId="21CDF03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649" w:type="dxa"/>
            <w:vMerge w:val="restart"/>
            <w:tcBorders>
              <w:right w:val="single" w:color="000000" w:sz="4" w:space="0"/>
            </w:tcBorders>
            <w:shd w:val="clear" w:color="auto" w:fill="FFFFFF"/>
            <w:noWrap w:val="0"/>
            <w:vAlign w:val="center"/>
          </w:tcPr>
          <w:p w14:paraId="259883A2">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编号</w:t>
            </w:r>
          </w:p>
        </w:tc>
        <w:tc>
          <w:tcPr>
            <w:tcW w:w="269" w:type="dxa"/>
            <w:vMerge w:val="restart"/>
            <w:tcBorders>
              <w:left w:val="single" w:color="000000" w:sz="4" w:space="0"/>
              <w:right w:val="single" w:color="000000" w:sz="4" w:space="0"/>
            </w:tcBorders>
            <w:shd w:val="clear" w:color="auto" w:fill="FFFFFF"/>
            <w:noWrap w:val="0"/>
            <w:vAlign w:val="center"/>
          </w:tcPr>
          <w:p w14:paraId="3FDF0C04">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名称</w:t>
            </w:r>
          </w:p>
        </w:tc>
        <w:tc>
          <w:tcPr>
            <w:tcW w:w="804" w:type="dxa"/>
            <w:gridSpan w:val="2"/>
            <w:tcBorders>
              <w:left w:val="single" w:color="000000" w:sz="4" w:space="0"/>
              <w:right w:val="single" w:color="000000" w:sz="4" w:space="0"/>
            </w:tcBorders>
            <w:shd w:val="clear" w:color="auto" w:fill="FFFFFF"/>
            <w:noWrap w:val="0"/>
            <w:vAlign w:val="center"/>
          </w:tcPr>
          <w:p w14:paraId="292C918E">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排气筒底部中心坐标</w:t>
            </w:r>
            <w:r>
              <w:rPr>
                <w:rFonts w:hint="eastAsia" w:ascii="Times New Roman" w:hAnsi="Times New Roman"/>
                <w:color w:val="auto"/>
                <w:kern w:val="0"/>
                <w:sz w:val="21"/>
                <w:highlight w:val="none"/>
                <w:lang w:val="en-US" w:eastAsia="zh-CN" w:bidi="ar"/>
              </w:rPr>
              <w:t>/m</w:t>
            </w:r>
          </w:p>
        </w:tc>
        <w:tc>
          <w:tcPr>
            <w:tcW w:w="592" w:type="dxa"/>
            <w:vMerge w:val="restart"/>
            <w:tcBorders>
              <w:left w:val="single" w:color="000000" w:sz="4" w:space="0"/>
              <w:right w:val="single" w:color="000000" w:sz="4" w:space="0"/>
            </w:tcBorders>
            <w:shd w:val="clear" w:color="auto" w:fill="FFFFFF"/>
            <w:noWrap w:val="0"/>
            <w:vAlign w:val="center"/>
          </w:tcPr>
          <w:p w14:paraId="17DB5D41">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排气筒底部海拔高度/m</w:t>
            </w:r>
          </w:p>
        </w:tc>
        <w:tc>
          <w:tcPr>
            <w:tcW w:w="367" w:type="dxa"/>
            <w:vMerge w:val="restart"/>
            <w:tcBorders>
              <w:left w:val="single" w:color="000000" w:sz="4" w:space="0"/>
              <w:right w:val="single" w:color="000000" w:sz="4" w:space="0"/>
            </w:tcBorders>
            <w:shd w:val="clear" w:color="auto" w:fill="FFFFFF"/>
            <w:noWrap w:val="0"/>
            <w:vAlign w:val="center"/>
          </w:tcPr>
          <w:p w14:paraId="5DD9420D">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排气筒高度/m</w:t>
            </w:r>
          </w:p>
        </w:tc>
        <w:tc>
          <w:tcPr>
            <w:tcW w:w="477" w:type="dxa"/>
            <w:vMerge w:val="restart"/>
            <w:tcBorders>
              <w:left w:val="single" w:color="000000" w:sz="4" w:space="0"/>
              <w:right w:val="single" w:color="000000" w:sz="4" w:space="0"/>
            </w:tcBorders>
            <w:shd w:val="clear" w:color="auto" w:fill="FFFFFF"/>
            <w:noWrap w:val="0"/>
            <w:vAlign w:val="center"/>
          </w:tcPr>
          <w:p w14:paraId="1FA07F13">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排气筒出口内径/m</w:t>
            </w:r>
          </w:p>
        </w:tc>
        <w:tc>
          <w:tcPr>
            <w:tcW w:w="828" w:type="dxa"/>
            <w:vMerge w:val="restart"/>
            <w:tcBorders>
              <w:left w:val="single" w:color="000000" w:sz="4" w:space="0"/>
              <w:right w:val="single" w:color="000000" w:sz="4" w:space="0"/>
            </w:tcBorders>
            <w:shd w:val="clear" w:color="auto" w:fill="FFFFFF"/>
            <w:noWrap w:val="0"/>
            <w:vAlign w:val="center"/>
          </w:tcPr>
          <w:p w14:paraId="28C382FC">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烟气流速/（m</w:t>
            </w:r>
            <w:r>
              <w:rPr>
                <w:rFonts w:ascii="Times New Roman" w:hAnsi="Times New Roman"/>
                <w:color w:val="auto"/>
                <w:kern w:val="0"/>
                <w:sz w:val="21"/>
                <w:highlight w:val="none"/>
                <w:vertAlign w:val="superscript"/>
                <w:lang w:bidi="ar"/>
              </w:rPr>
              <w:t>3</w:t>
            </w:r>
            <w:r>
              <w:rPr>
                <w:rFonts w:ascii="Times New Roman" w:hAnsi="Times New Roman"/>
                <w:color w:val="auto"/>
                <w:kern w:val="0"/>
                <w:sz w:val="21"/>
                <w:highlight w:val="none"/>
                <w:lang w:bidi="ar"/>
              </w:rPr>
              <w:t>/h）</w:t>
            </w:r>
          </w:p>
        </w:tc>
        <w:tc>
          <w:tcPr>
            <w:tcW w:w="574" w:type="dxa"/>
            <w:vMerge w:val="restart"/>
            <w:tcBorders>
              <w:left w:val="single" w:color="000000" w:sz="4" w:space="0"/>
              <w:right w:val="single" w:color="000000" w:sz="4" w:space="0"/>
            </w:tcBorders>
            <w:shd w:val="clear" w:color="auto" w:fill="FFFFFF"/>
            <w:noWrap w:val="0"/>
            <w:vAlign w:val="center"/>
          </w:tcPr>
          <w:p w14:paraId="0E3A356E">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烟气温度/</w:t>
            </w:r>
            <w:r>
              <w:rPr>
                <w:rFonts w:hint="eastAsia" w:ascii="宋体" w:hAnsi="宋体" w:cs="宋体"/>
                <w:color w:val="auto"/>
                <w:kern w:val="0"/>
                <w:sz w:val="21"/>
                <w:highlight w:val="none"/>
                <w:lang w:bidi="ar"/>
              </w:rPr>
              <w:t>℃</w:t>
            </w:r>
          </w:p>
        </w:tc>
        <w:tc>
          <w:tcPr>
            <w:tcW w:w="472" w:type="dxa"/>
            <w:vMerge w:val="restart"/>
            <w:tcBorders>
              <w:left w:val="single" w:color="000000" w:sz="4" w:space="0"/>
              <w:right w:val="single" w:color="000000" w:sz="4" w:space="0"/>
            </w:tcBorders>
            <w:shd w:val="clear" w:color="auto" w:fill="FFFFFF"/>
            <w:noWrap w:val="0"/>
            <w:vAlign w:val="center"/>
          </w:tcPr>
          <w:p w14:paraId="571C7A10">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年排放小时数/h</w:t>
            </w:r>
          </w:p>
        </w:tc>
        <w:tc>
          <w:tcPr>
            <w:tcW w:w="382" w:type="dxa"/>
            <w:vMerge w:val="restart"/>
            <w:tcBorders>
              <w:left w:val="single" w:color="000000" w:sz="4" w:space="0"/>
              <w:right w:val="single" w:color="000000" w:sz="4" w:space="0"/>
            </w:tcBorders>
            <w:shd w:val="clear" w:color="auto" w:fill="FFFFFF"/>
            <w:noWrap w:val="0"/>
            <w:vAlign w:val="center"/>
          </w:tcPr>
          <w:p w14:paraId="4D7E5ACA">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排放工况</w:t>
            </w:r>
          </w:p>
        </w:tc>
        <w:tc>
          <w:tcPr>
            <w:tcW w:w="2922" w:type="dxa"/>
            <w:gridSpan w:val="3"/>
            <w:tcBorders>
              <w:left w:val="single" w:color="000000" w:sz="4" w:space="0"/>
              <w:right w:val="nil"/>
            </w:tcBorders>
            <w:shd w:val="clear" w:color="auto" w:fill="FFFFFF"/>
            <w:noWrap w:val="0"/>
            <w:vAlign w:val="center"/>
          </w:tcPr>
          <w:p w14:paraId="6E0D1940">
            <w:pPr>
              <w:widowControl/>
              <w:spacing w:line="240" w:lineRule="auto"/>
              <w:ind w:firstLine="0" w:firstLineChars="0"/>
              <w:jc w:val="center"/>
              <w:textAlignment w:val="center"/>
              <w:rPr>
                <w:rFonts w:ascii="Times New Roman" w:hAnsi="Times New Roman"/>
                <w:color w:val="auto"/>
                <w:kern w:val="0"/>
                <w:sz w:val="21"/>
                <w:highlight w:val="none"/>
                <w:lang w:bidi="ar"/>
              </w:rPr>
            </w:pPr>
            <w:r>
              <w:rPr>
                <w:rFonts w:ascii="Times New Roman" w:hAnsi="Times New Roman"/>
                <w:color w:val="auto"/>
                <w:kern w:val="0"/>
                <w:sz w:val="21"/>
                <w:highlight w:val="none"/>
                <w:lang w:bidi="ar"/>
              </w:rPr>
              <w:t>污染物排放速率/kg/h</w:t>
            </w:r>
          </w:p>
        </w:tc>
      </w:tr>
      <w:tr w14:paraId="6775DA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649" w:type="dxa"/>
            <w:vMerge w:val="continue"/>
            <w:tcBorders>
              <w:right w:val="single" w:color="000000" w:sz="4" w:space="0"/>
            </w:tcBorders>
            <w:shd w:val="clear" w:color="auto" w:fill="FFFFFF"/>
            <w:noWrap w:val="0"/>
            <w:vAlign w:val="center"/>
          </w:tcPr>
          <w:p w14:paraId="457BBC7B">
            <w:pPr>
              <w:spacing w:line="240" w:lineRule="auto"/>
              <w:ind w:firstLine="0" w:firstLineChars="0"/>
              <w:jc w:val="center"/>
              <w:rPr>
                <w:rFonts w:ascii="Times New Roman" w:hAnsi="Times New Roman"/>
                <w:color w:val="auto"/>
                <w:kern w:val="0"/>
                <w:sz w:val="21"/>
                <w:highlight w:val="none"/>
              </w:rPr>
            </w:pPr>
          </w:p>
        </w:tc>
        <w:tc>
          <w:tcPr>
            <w:tcW w:w="269" w:type="dxa"/>
            <w:vMerge w:val="continue"/>
            <w:tcBorders>
              <w:left w:val="single" w:color="000000" w:sz="4" w:space="0"/>
              <w:right w:val="single" w:color="000000" w:sz="4" w:space="0"/>
            </w:tcBorders>
            <w:shd w:val="clear" w:color="auto" w:fill="FFFFFF"/>
            <w:noWrap w:val="0"/>
            <w:vAlign w:val="center"/>
          </w:tcPr>
          <w:p w14:paraId="21CB7763">
            <w:pPr>
              <w:spacing w:line="240" w:lineRule="auto"/>
              <w:ind w:firstLine="0" w:firstLineChars="0"/>
              <w:jc w:val="center"/>
              <w:rPr>
                <w:rFonts w:ascii="Times New Roman" w:hAnsi="Times New Roman"/>
                <w:color w:val="auto"/>
                <w:kern w:val="0"/>
                <w:sz w:val="21"/>
                <w:highlight w:val="none"/>
              </w:rPr>
            </w:pPr>
          </w:p>
        </w:tc>
        <w:tc>
          <w:tcPr>
            <w:tcW w:w="419" w:type="dxa"/>
            <w:tcBorders>
              <w:left w:val="single" w:color="000000" w:sz="4" w:space="0"/>
              <w:right w:val="single" w:color="000000" w:sz="4" w:space="0"/>
            </w:tcBorders>
            <w:shd w:val="clear" w:color="auto" w:fill="FFFFFF"/>
            <w:noWrap w:val="0"/>
            <w:vAlign w:val="center"/>
          </w:tcPr>
          <w:p w14:paraId="35300184">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color w:val="auto"/>
                <w:kern w:val="0"/>
                <w:sz w:val="21"/>
                <w:highlight w:val="none"/>
                <w:lang w:val="en-US" w:eastAsia="zh-CN" w:bidi="ar"/>
              </w:rPr>
              <w:t>X</w:t>
            </w:r>
          </w:p>
        </w:tc>
        <w:tc>
          <w:tcPr>
            <w:tcW w:w="385" w:type="dxa"/>
            <w:tcBorders>
              <w:left w:val="single" w:color="000000" w:sz="4" w:space="0"/>
              <w:right w:val="single" w:color="000000" w:sz="4" w:space="0"/>
            </w:tcBorders>
            <w:shd w:val="clear" w:color="auto" w:fill="FFFFFF"/>
            <w:noWrap w:val="0"/>
            <w:vAlign w:val="center"/>
          </w:tcPr>
          <w:p w14:paraId="16999F65">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color w:val="auto"/>
                <w:kern w:val="0"/>
                <w:sz w:val="21"/>
                <w:highlight w:val="none"/>
                <w:lang w:val="en-US" w:eastAsia="zh-CN" w:bidi="ar"/>
              </w:rPr>
              <w:t>Y</w:t>
            </w:r>
          </w:p>
        </w:tc>
        <w:tc>
          <w:tcPr>
            <w:tcW w:w="592" w:type="dxa"/>
            <w:vMerge w:val="continue"/>
            <w:tcBorders>
              <w:left w:val="single" w:color="000000" w:sz="4" w:space="0"/>
              <w:right w:val="single" w:color="000000" w:sz="4" w:space="0"/>
            </w:tcBorders>
            <w:shd w:val="clear" w:color="auto" w:fill="FFFFFF"/>
            <w:noWrap w:val="0"/>
            <w:vAlign w:val="center"/>
          </w:tcPr>
          <w:p w14:paraId="34401C98">
            <w:pPr>
              <w:spacing w:line="240" w:lineRule="auto"/>
              <w:ind w:firstLine="0" w:firstLineChars="0"/>
              <w:jc w:val="center"/>
              <w:rPr>
                <w:rFonts w:ascii="Times New Roman" w:hAnsi="Times New Roman"/>
                <w:color w:val="auto"/>
                <w:kern w:val="0"/>
                <w:sz w:val="21"/>
                <w:highlight w:val="none"/>
              </w:rPr>
            </w:pPr>
          </w:p>
        </w:tc>
        <w:tc>
          <w:tcPr>
            <w:tcW w:w="367" w:type="dxa"/>
            <w:vMerge w:val="continue"/>
            <w:tcBorders>
              <w:left w:val="single" w:color="000000" w:sz="4" w:space="0"/>
              <w:right w:val="single" w:color="000000" w:sz="4" w:space="0"/>
            </w:tcBorders>
            <w:shd w:val="clear" w:color="auto" w:fill="FFFFFF"/>
            <w:noWrap w:val="0"/>
            <w:vAlign w:val="center"/>
          </w:tcPr>
          <w:p w14:paraId="70FD218F">
            <w:pPr>
              <w:spacing w:line="240" w:lineRule="auto"/>
              <w:ind w:firstLine="0" w:firstLineChars="0"/>
              <w:jc w:val="center"/>
              <w:rPr>
                <w:rFonts w:ascii="Times New Roman" w:hAnsi="Times New Roman"/>
                <w:color w:val="auto"/>
                <w:kern w:val="0"/>
                <w:sz w:val="21"/>
                <w:highlight w:val="none"/>
              </w:rPr>
            </w:pPr>
          </w:p>
        </w:tc>
        <w:tc>
          <w:tcPr>
            <w:tcW w:w="477" w:type="dxa"/>
            <w:vMerge w:val="continue"/>
            <w:tcBorders>
              <w:left w:val="single" w:color="000000" w:sz="4" w:space="0"/>
              <w:right w:val="single" w:color="000000" w:sz="4" w:space="0"/>
            </w:tcBorders>
            <w:shd w:val="clear" w:color="auto" w:fill="FFFFFF"/>
            <w:noWrap w:val="0"/>
            <w:vAlign w:val="center"/>
          </w:tcPr>
          <w:p w14:paraId="7DA34410">
            <w:pPr>
              <w:spacing w:line="240" w:lineRule="auto"/>
              <w:ind w:firstLine="0" w:firstLineChars="0"/>
              <w:jc w:val="center"/>
              <w:rPr>
                <w:rFonts w:ascii="Times New Roman" w:hAnsi="Times New Roman"/>
                <w:color w:val="auto"/>
                <w:kern w:val="0"/>
                <w:sz w:val="21"/>
                <w:highlight w:val="none"/>
              </w:rPr>
            </w:pPr>
          </w:p>
        </w:tc>
        <w:tc>
          <w:tcPr>
            <w:tcW w:w="828" w:type="dxa"/>
            <w:vMerge w:val="continue"/>
            <w:tcBorders>
              <w:left w:val="single" w:color="000000" w:sz="4" w:space="0"/>
              <w:right w:val="single" w:color="000000" w:sz="4" w:space="0"/>
            </w:tcBorders>
            <w:shd w:val="clear" w:color="auto" w:fill="FFFFFF"/>
            <w:noWrap w:val="0"/>
            <w:vAlign w:val="center"/>
          </w:tcPr>
          <w:p w14:paraId="563800F0">
            <w:pPr>
              <w:spacing w:line="240" w:lineRule="auto"/>
              <w:ind w:firstLine="0" w:firstLineChars="0"/>
              <w:jc w:val="center"/>
              <w:rPr>
                <w:rFonts w:ascii="Times New Roman" w:hAnsi="Times New Roman"/>
                <w:color w:val="auto"/>
                <w:kern w:val="0"/>
                <w:sz w:val="21"/>
                <w:highlight w:val="none"/>
              </w:rPr>
            </w:pPr>
          </w:p>
        </w:tc>
        <w:tc>
          <w:tcPr>
            <w:tcW w:w="574" w:type="dxa"/>
            <w:vMerge w:val="continue"/>
            <w:tcBorders>
              <w:left w:val="single" w:color="000000" w:sz="4" w:space="0"/>
              <w:right w:val="single" w:color="000000" w:sz="4" w:space="0"/>
            </w:tcBorders>
            <w:shd w:val="clear" w:color="auto" w:fill="FFFFFF"/>
            <w:noWrap w:val="0"/>
            <w:vAlign w:val="center"/>
          </w:tcPr>
          <w:p w14:paraId="09240595">
            <w:pPr>
              <w:spacing w:line="240" w:lineRule="auto"/>
              <w:ind w:firstLine="0" w:firstLineChars="0"/>
              <w:jc w:val="center"/>
              <w:rPr>
                <w:rFonts w:ascii="Times New Roman" w:hAnsi="Times New Roman"/>
                <w:color w:val="auto"/>
                <w:kern w:val="0"/>
                <w:sz w:val="21"/>
                <w:highlight w:val="none"/>
              </w:rPr>
            </w:pPr>
          </w:p>
        </w:tc>
        <w:tc>
          <w:tcPr>
            <w:tcW w:w="472" w:type="dxa"/>
            <w:vMerge w:val="continue"/>
            <w:tcBorders>
              <w:left w:val="single" w:color="000000" w:sz="4" w:space="0"/>
              <w:right w:val="single" w:color="000000" w:sz="4" w:space="0"/>
            </w:tcBorders>
            <w:shd w:val="clear" w:color="auto" w:fill="FFFFFF"/>
            <w:noWrap w:val="0"/>
            <w:vAlign w:val="center"/>
          </w:tcPr>
          <w:p w14:paraId="628DA9E9">
            <w:pPr>
              <w:spacing w:line="240" w:lineRule="auto"/>
              <w:ind w:firstLine="0" w:firstLineChars="0"/>
              <w:jc w:val="center"/>
              <w:rPr>
                <w:rFonts w:ascii="Times New Roman" w:hAnsi="Times New Roman"/>
                <w:color w:val="auto"/>
                <w:kern w:val="0"/>
                <w:sz w:val="21"/>
                <w:highlight w:val="none"/>
              </w:rPr>
            </w:pPr>
          </w:p>
        </w:tc>
        <w:tc>
          <w:tcPr>
            <w:tcW w:w="382" w:type="dxa"/>
            <w:vMerge w:val="continue"/>
            <w:tcBorders>
              <w:left w:val="single" w:color="000000" w:sz="4" w:space="0"/>
              <w:right w:val="single" w:color="000000" w:sz="4" w:space="0"/>
            </w:tcBorders>
            <w:shd w:val="clear" w:color="auto" w:fill="FFFFFF"/>
            <w:noWrap w:val="0"/>
            <w:vAlign w:val="center"/>
          </w:tcPr>
          <w:p w14:paraId="620942F0">
            <w:pPr>
              <w:spacing w:line="240" w:lineRule="auto"/>
              <w:ind w:firstLine="0" w:firstLineChars="0"/>
              <w:jc w:val="center"/>
              <w:rPr>
                <w:rFonts w:ascii="Times New Roman" w:hAnsi="Times New Roman"/>
                <w:color w:val="auto"/>
                <w:kern w:val="0"/>
                <w:sz w:val="21"/>
                <w:highlight w:val="none"/>
              </w:rPr>
            </w:pPr>
          </w:p>
        </w:tc>
        <w:tc>
          <w:tcPr>
            <w:tcW w:w="936" w:type="dxa"/>
            <w:tcBorders>
              <w:left w:val="single" w:color="000000" w:sz="4" w:space="0"/>
              <w:right w:val="single" w:color="000000" w:sz="4" w:space="0"/>
            </w:tcBorders>
            <w:shd w:val="clear" w:color="auto" w:fill="FFFFFF"/>
            <w:noWrap w:val="0"/>
            <w:vAlign w:val="center"/>
          </w:tcPr>
          <w:p w14:paraId="50A35937">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sz w:val="21"/>
                <w:highlight w:val="none"/>
              </w:rPr>
              <w:t>PM</w:t>
            </w:r>
            <w:r>
              <w:rPr>
                <w:rFonts w:ascii="Times New Roman" w:hAnsi="Times New Roman"/>
                <w:color w:val="auto"/>
                <w:sz w:val="21"/>
                <w:highlight w:val="none"/>
                <w:vertAlign w:val="subscript"/>
              </w:rPr>
              <w:t>10</w:t>
            </w:r>
          </w:p>
        </w:tc>
        <w:tc>
          <w:tcPr>
            <w:tcW w:w="968" w:type="dxa"/>
            <w:tcBorders>
              <w:left w:val="single" w:color="000000" w:sz="4" w:space="0"/>
              <w:right w:val="single" w:color="000000" w:sz="4" w:space="0"/>
            </w:tcBorders>
            <w:shd w:val="clear" w:color="auto" w:fill="FFFFFF"/>
            <w:noWrap w:val="0"/>
            <w:vAlign w:val="center"/>
          </w:tcPr>
          <w:p w14:paraId="779C282A">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sz w:val="21"/>
                <w:highlight w:val="none"/>
              </w:rPr>
              <w:t>SO</w:t>
            </w:r>
            <w:r>
              <w:rPr>
                <w:rFonts w:ascii="Times New Roman" w:hAnsi="Times New Roman"/>
                <w:color w:val="auto"/>
                <w:sz w:val="21"/>
                <w:highlight w:val="none"/>
                <w:vertAlign w:val="subscript"/>
              </w:rPr>
              <w:t>2</w:t>
            </w:r>
          </w:p>
        </w:tc>
        <w:tc>
          <w:tcPr>
            <w:tcW w:w="1018" w:type="dxa"/>
            <w:tcBorders>
              <w:left w:val="single" w:color="000000" w:sz="4" w:space="0"/>
              <w:right w:val="nil"/>
            </w:tcBorders>
            <w:noWrap w:val="0"/>
            <w:vAlign w:val="center"/>
          </w:tcPr>
          <w:p w14:paraId="46E56E64">
            <w:pPr>
              <w:widowControl/>
              <w:spacing w:line="240" w:lineRule="auto"/>
              <w:ind w:firstLine="0" w:firstLineChars="0"/>
              <w:jc w:val="center"/>
              <w:textAlignment w:val="center"/>
              <w:rPr>
                <w:rFonts w:ascii="Times New Roman" w:hAnsi="Times New Roman"/>
                <w:color w:val="auto"/>
                <w:sz w:val="21"/>
                <w:highlight w:val="none"/>
              </w:rPr>
            </w:pPr>
            <w:r>
              <w:rPr>
                <w:rFonts w:ascii="Times New Roman" w:hAnsi="Times New Roman"/>
                <w:color w:val="auto"/>
                <w:sz w:val="21"/>
                <w:highlight w:val="none"/>
              </w:rPr>
              <w:t>NO</w:t>
            </w:r>
            <w:r>
              <w:rPr>
                <w:rFonts w:ascii="Times New Roman" w:hAnsi="Times New Roman"/>
                <w:color w:val="auto"/>
                <w:sz w:val="21"/>
                <w:highlight w:val="none"/>
                <w:vertAlign w:val="subscript"/>
              </w:rPr>
              <w:t>2</w:t>
            </w:r>
          </w:p>
        </w:tc>
      </w:tr>
      <w:tr w14:paraId="327198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649" w:type="dxa"/>
            <w:tcBorders>
              <w:right w:val="single" w:color="000000" w:sz="4" w:space="0"/>
            </w:tcBorders>
            <w:noWrap w:val="0"/>
            <w:vAlign w:val="center"/>
          </w:tcPr>
          <w:p w14:paraId="46CE9FBC">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ascii="Times New Roman" w:hAnsi="Times New Roman"/>
                <w:kern w:val="0"/>
                <w:sz w:val="21"/>
                <w:highlight w:val="none"/>
                <w:lang w:bidi="ar"/>
              </w:rPr>
              <w:t>DA00</w:t>
            </w:r>
            <w:r>
              <w:rPr>
                <w:rFonts w:hint="eastAsia" w:ascii="Times New Roman" w:hAnsi="Times New Roman"/>
                <w:kern w:val="0"/>
                <w:sz w:val="21"/>
                <w:highlight w:val="none"/>
                <w:lang w:val="en-US" w:eastAsia="zh-CN" w:bidi="ar"/>
              </w:rPr>
              <w:t>1</w:t>
            </w:r>
          </w:p>
        </w:tc>
        <w:tc>
          <w:tcPr>
            <w:tcW w:w="269" w:type="dxa"/>
            <w:tcBorders>
              <w:left w:val="single" w:color="000000" w:sz="4" w:space="0"/>
              <w:right w:val="single" w:color="000000" w:sz="4" w:space="0"/>
            </w:tcBorders>
            <w:noWrap w:val="0"/>
            <w:vAlign w:val="center"/>
          </w:tcPr>
          <w:p w14:paraId="631B218A">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kern w:val="0"/>
                <w:sz w:val="21"/>
                <w:highlight w:val="none"/>
                <w:lang w:val="en-US" w:eastAsia="zh-CN"/>
              </w:rPr>
              <w:t>锅炉排气筒</w:t>
            </w:r>
          </w:p>
        </w:tc>
        <w:tc>
          <w:tcPr>
            <w:tcW w:w="419" w:type="dxa"/>
            <w:tcBorders>
              <w:left w:val="single" w:color="000000" w:sz="4" w:space="0"/>
              <w:right w:val="single" w:color="000000" w:sz="4" w:space="0"/>
            </w:tcBorders>
            <w:noWrap w:val="0"/>
            <w:vAlign w:val="center"/>
          </w:tcPr>
          <w:p w14:paraId="05D10CBB">
            <w:pPr>
              <w:tabs>
                <w:tab w:val="left" w:pos="1517"/>
              </w:tabs>
              <w:spacing w:line="240" w:lineRule="auto"/>
              <w:ind w:firstLine="0" w:firstLineChars="0"/>
              <w:jc w:val="center"/>
              <w:rPr>
                <w:rFonts w:ascii="Times New Roman" w:hAnsi="Times New Roman"/>
                <w:color w:val="auto"/>
                <w:kern w:val="0"/>
                <w:sz w:val="21"/>
                <w:highlight w:val="none"/>
              </w:rPr>
            </w:pPr>
            <w:r>
              <w:rPr>
                <w:rFonts w:hint="eastAsia" w:ascii="Times New Roman" w:hAnsi="Times New Roman"/>
                <w:kern w:val="0"/>
                <w:sz w:val="21"/>
                <w:szCs w:val="21"/>
                <w:highlight w:val="none"/>
                <w:lang w:val="en-US" w:eastAsia="zh-CN"/>
              </w:rPr>
              <w:t>21</w:t>
            </w:r>
          </w:p>
        </w:tc>
        <w:tc>
          <w:tcPr>
            <w:tcW w:w="385" w:type="dxa"/>
            <w:tcBorders>
              <w:left w:val="single" w:color="000000" w:sz="4" w:space="0"/>
              <w:right w:val="single" w:color="000000" w:sz="4" w:space="0"/>
            </w:tcBorders>
            <w:noWrap w:val="0"/>
            <w:vAlign w:val="center"/>
          </w:tcPr>
          <w:p w14:paraId="142053E2">
            <w:pPr>
              <w:tabs>
                <w:tab w:val="left" w:pos="1517"/>
              </w:tabs>
              <w:spacing w:line="240" w:lineRule="auto"/>
              <w:ind w:firstLine="0" w:firstLineChars="0"/>
              <w:jc w:val="center"/>
              <w:rPr>
                <w:rFonts w:ascii="Times New Roman" w:hAnsi="Times New Roman"/>
                <w:color w:val="auto"/>
                <w:kern w:val="0"/>
                <w:sz w:val="21"/>
                <w:highlight w:val="none"/>
              </w:rPr>
            </w:pPr>
            <w:r>
              <w:rPr>
                <w:rFonts w:hint="eastAsia" w:ascii="Times New Roman" w:hAnsi="Times New Roman"/>
                <w:kern w:val="0"/>
                <w:sz w:val="21"/>
                <w:szCs w:val="21"/>
                <w:highlight w:val="none"/>
                <w:lang w:val="en-US" w:eastAsia="zh-CN"/>
              </w:rPr>
              <w:t>14</w:t>
            </w:r>
          </w:p>
        </w:tc>
        <w:tc>
          <w:tcPr>
            <w:tcW w:w="592" w:type="dxa"/>
            <w:tcBorders>
              <w:left w:val="single" w:color="000000" w:sz="4" w:space="0"/>
              <w:right w:val="single" w:color="000000" w:sz="4" w:space="0"/>
            </w:tcBorders>
            <w:noWrap w:val="0"/>
            <w:vAlign w:val="center"/>
          </w:tcPr>
          <w:p w14:paraId="2C7B494C">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kern w:val="0"/>
                <w:sz w:val="21"/>
                <w:highlight w:val="none"/>
                <w:lang w:val="en-US" w:eastAsia="zh-CN"/>
              </w:rPr>
              <w:t>458</w:t>
            </w:r>
          </w:p>
        </w:tc>
        <w:tc>
          <w:tcPr>
            <w:tcW w:w="367" w:type="dxa"/>
            <w:tcBorders>
              <w:left w:val="single" w:color="000000" w:sz="4" w:space="0"/>
              <w:right w:val="single" w:color="000000" w:sz="4" w:space="0"/>
            </w:tcBorders>
            <w:noWrap w:val="0"/>
            <w:vAlign w:val="center"/>
          </w:tcPr>
          <w:p w14:paraId="08A39667">
            <w:pPr>
              <w:widowControl/>
              <w:spacing w:line="240" w:lineRule="auto"/>
              <w:ind w:firstLine="0" w:firstLineChars="0"/>
              <w:jc w:val="center"/>
              <w:textAlignment w:val="center"/>
              <w:rPr>
                <w:rFonts w:ascii="Times New Roman" w:hAnsi="Times New Roman"/>
                <w:color w:val="auto"/>
                <w:kern w:val="0"/>
                <w:sz w:val="21"/>
                <w:highlight w:val="none"/>
              </w:rPr>
            </w:pPr>
            <w:r>
              <w:rPr>
                <w:rFonts w:hint="eastAsia" w:ascii="Times New Roman" w:hAnsi="Times New Roman"/>
                <w:kern w:val="0"/>
                <w:sz w:val="21"/>
                <w:highlight w:val="none"/>
                <w:lang w:val="en-US" w:eastAsia="zh-CN"/>
              </w:rPr>
              <w:t>60</w:t>
            </w:r>
          </w:p>
        </w:tc>
        <w:tc>
          <w:tcPr>
            <w:tcW w:w="477" w:type="dxa"/>
            <w:tcBorders>
              <w:left w:val="single" w:color="000000" w:sz="4" w:space="0"/>
              <w:right w:val="single" w:color="000000" w:sz="4" w:space="0"/>
            </w:tcBorders>
            <w:noWrap w:val="0"/>
            <w:vAlign w:val="center"/>
          </w:tcPr>
          <w:p w14:paraId="28FC305E">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kern w:val="0"/>
                <w:sz w:val="21"/>
                <w:highlight w:val="none"/>
                <w:lang w:val="en-US" w:eastAsia="zh-CN"/>
              </w:rPr>
              <w:t>4</w:t>
            </w:r>
          </w:p>
        </w:tc>
        <w:tc>
          <w:tcPr>
            <w:tcW w:w="828" w:type="dxa"/>
            <w:tcBorders>
              <w:left w:val="single" w:color="000000" w:sz="4" w:space="0"/>
              <w:right w:val="single" w:color="000000" w:sz="4" w:space="0"/>
            </w:tcBorders>
            <w:noWrap w:val="0"/>
            <w:vAlign w:val="center"/>
          </w:tcPr>
          <w:p w14:paraId="438573D2">
            <w:pPr>
              <w:widowControl/>
              <w:spacing w:line="240" w:lineRule="auto"/>
              <w:ind w:firstLine="0" w:firstLineChars="0"/>
              <w:jc w:val="center"/>
              <w:textAlignment w:val="center"/>
              <w:rPr>
                <w:rFonts w:hint="default" w:ascii="Times New Roman" w:hAnsi="Times New Roman"/>
                <w:color w:val="auto"/>
                <w:kern w:val="0"/>
                <w:sz w:val="21"/>
                <w:highlight w:val="none"/>
                <w:lang w:val="en-US"/>
              </w:rPr>
            </w:pPr>
            <w:r>
              <w:rPr>
                <w:rFonts w:hint="eastAsia" w:ascii="Times New Roman" w:hAnsi="Times New Roman"/>
                <w:kern w:val="0"/>
                <w:sz w:val="21"/>
                <w:highlight w:val="none"/>
                <w:lang w:val="en-US" w:eastAsia="zh-CN"/>
              </w:rPr>
              <w:t>137417.48</w:t>
            </w:r>
          </w:p>
        </w:tc>
        <w:tc>
          <w:tcPr>
            <w:tcW w:w="574" w:type="dxa"/>
            <w:tcBorders>
              <w:left w:val="single" w:color="000000" w:sz="4" w:space="0"/>
              <w:right w:val="single" w:color="000000" w:sz="4" w:space="0"/>
            </w:tcBorders>
            <w:noWrap w:val="0"/>
            <w:vAlign w:val="center"/>
          </w:tcPr>
          <w:p w14:paraId="577F0843">
            <w:pPr>
              <w:widowControl/>
              <w:spacing w:line="240" w:lineRule="auto"/>
              <w:ind w:firstLine="0" w:firstLineChars="0"/>
              <w:jc w:val="center"/>
              <w:textAlignment w:val="center"/>
              <w:rPr>
                <w:rFonts w:ascii="Times New Roman" w:hAnsi="Times New Roman"/>
                <w:color w:val="auto"/>
                <w:kern w:val="0"/>
                <w:sz w:val="21"/>
                <w:highlight w:val="none"/>
              </w:rPr>
            </w:pPr>
            <w:r>
              <w:rPr>
                <w:rFonts w:hint="eastAsia" w:ascii="Times New Roman" w:hAnsi="Times New Roman"/>
                <w:kern w:val="0"/>
                <w:sz w:val="21"/>
                <w:highlight w:val="none"/>
                <w:lang w:val="en-US" w:eastAsia="zh-CN"/>
              </w:rPr>
              <w:t>100</w:t>
            </w:r>
          </w:p>
        </w:tc>
        <w:tc>
          <w:tcPr>
            <w:tcW w:w="472" w:type="dxa"/>
            <w:tcBorders>
              <w:left w:val="single" w:color="000000" w:sz="4" w:space="0"/>
              <w:right w:val="single" w:color="000000" w:sz="4" w:space="0"/>
            </w:tcBorders>
            <w:noWrap w:val="0"/>
            <w:vAlign w:val="center"/>
          </w:tcPr>
          <w:p w14:paraId="52609D01">
            <w:pPr>
              <w:widowControl/>
              <w:spacing w:line="240" w:lineRule="auto"/>
              <w:ind w:firstLine="0" w:firstLineChars="0"/>
              <w:jc w:val="center"/>
              <w:textAlignment w:val="center"/>
              <w:rPr>
                <w:rFonts w:hint="default" w:ascii="Times New Roman" w:hAnsi="Times New Roman"/>
                <w:color w:val="auto"/>
                <w:kern w:val="0"/>
                <w:sz w:val="21"/>
                <w:highlight w:val="none"/>
                <w:lang w:val="en-US"/>
              </w:rPr>
            </w:pPr>
            <w:r>
              <w:rPr>
                <w:rFonts w:hint="eastAsia" w:ascii="Times New Roman" w:hAnsi="Times New Roman"/>
                <w:kern w:val="0"/>
                <w:sz w:val="21"/>
                <w:highlight w:val="none"/>
                <w:lang w:val="en-US" w:eastAsia="zh-CN" w:bidi="ar"/>
              </w:rPr>
              <w:t>5040</w:t>
            </w:r>
          </w:p>
        </w:tc>
        <w:tc>
          <w:tcPr>
            <w:tcW w:w="382" w:type="dxa"/>
            <w:tcBorders>
              <w:left w:val="single" w:color="000000" w:sz="4" w:space="0"/>
              <w:right w:val="single" w:color="000000" w:sz="4" w:space="0"/>
            </w:tcBorders>
            <w:noWrap w:val="0"/>
            <w:vAlign w:val="center"/>
          </w:tcPr>
          <w:p w14:paraId="4E1A7019">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kern w:val="0"/>
                <w:sz w:val="21"/>
                <w:highlight w:val="none"/>
                <w:lang w:bidi="ar"/>
              </w:rPr>
              <w:t>正常</w:t>
            </w:r>
          </w:p>
        </w:tc>
        <w:tc>
          <w:tcPr>
            <w:tcW w:w="936" w:type="dxa"/>
            <w:tcBorders>
              <w:left w:val="single" w:color="000000" w:sz="4" w:space="0"/>
              <w:right w:val="single" w:color="000000" w:sz="4" w:space="0"/>
            </w:tcBorders>
            <w:noWrap w:val="0"/>
            <w:vAlign w:val="center"/>
          </w:tcPr>
          <w:p w14:paraId="5F6E64BD">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4.116</w:t>
            </w:r>
          </w:p>
        </w:tc>
        <w:tc>
          <w:tcPr>
            <w:tcW w:w="968" w:type="dxa"/>
            <w:tcBorders>
              <w:left w:val="single" w:color="000000" w:sz="4" w:space="0"/>
              <w:right w:val="single" w:color="000000" w:sz="4" w:space="0"/>
            </w:tcBorders>
            <w:noWrap w:val="0"/>
            <w:vAlign w:val="center"/>
          </w:tcPr>
          <w:p w14:paraId="646D3E9E">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11.033</w:t>
            </w:r>
          </w:p>
        </w:tc>
        <w:tc>
          <w:tcPr>
            <w:tcW w:w="1018" w:type="dxa"/>
            <w:tcBorders>
              <w:left w:val="single" w:color="000000" w:sz="4" w:space="0"/>
              <w:right w:val="nil"/>
            </w:tcBorders>
            <w:noWrap w:val="0"/>
            <w:vAlign w:val="center"/>
          </w:tcPr>
          <w:p w14:paraId="7093815D">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30.94</w:t>
            </w:r>
          </w:p>
        </w:tc>
      </w:tr>
    </w:tbl>
    <w:p w14:paraId="636A61B3">
      <w:pPr>
        <w:bidi w:val="0"/>
        <w:rPr>
          <w:rFonts w:hint="eastAsia"/>
          <w:color w:val="auto"/>
          <w:highlight w:val="none"/>
          <w:lang w:val="en-US" w:eastAsia="zh-CN"/>
        </w:rPr>
      </w:pPr>
      <w:r>
        <w:rPr>
          <w:rFonts w:hint="eastAsia"/>
          <w:color w:val="auto"/>
          <w:highlight w:val="none"/>
          <w:lang w:val="en-US" w:eastAsia="zh-CN"/>
        </w:rPr>
        <w:t>根据现场调查，本项目将为进行超低排放改造后绥芬河市新区供热有限责任公司锅炉作为本项目削减替代源。</w:t>
      </w:r>
    </w:p>
    <w:p w14:paraId="539C1249">
      <w:pPr>
        <w:rPr>
          <w:rFonts w:hint="default"/>
          <w:color w:val="auto"/>
          <w:highlight w:val="none"/>
          <w:lang w:val="en-US" w:eastAsia="zh-CN"/>
        </w:rPr>
      </w:pPr>
      <w:r>
        <w:rPr>
          <w:rFonts w:hint="eastAsia"/>
          <w:color w:val="auto"/>
          <w:highlight w:val="none"/>
          <w:lang w:val="en-US" w:eastAsia="zh-CN"/>
        </w:rPr>
        <w:t>三、区域拟建、在建污染源调查</w:t>
      </w:r>
    </w:p>
    <w:p w14:paraId="10B93868">
      <w:pPr>
        <w:bidi w:val="0"/>
        <w:rPr>
          <w:rFonts w:hint="default"/>
          <w:highlight w:val="none"/>
          <w:lang w:val="en-US" w:eastAsia="zh-CN"/>
        </w:rPr>
      </w:pPr>
      <w:r>
        <w:rPr>
          <w:rFonts w:hint="eastAsia"/>
          <w:color w:val="auto"/>
          <w:highlight w:val="none"/>
          <w:lang w:val="en-US" w:eastAsia="zh-CN"/>
        </w:rPr>
        <w:t>根据《建设项目环境影响评价技术导则总纲》（HJ2.1-2016），选择建设项目常规污染因子和特征污染因子、影响评价区环境质量的主要污染因子和特殊污染因子作为主要调查对象，注意不同污染源的分类调查。本项目周边无已批复的拟建、在建项目。</w:t>
      </w:r>
    </w:p>
    <w:p w14:paraId="0821B861">
      <w:pPr>
        <w:bidi w:val="0"/>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3AE321B">
      <w:pPr>
        <w:pStyle w:val="3"/>
        <w:bidi w:val="0"/>
        <w:rPr>
          <w:rFonts w:hint="default"/>
          <w:highlight w:val="none"/>
          <w:lang w:val="en-US" w:eastAsia="zh-CN"/>
        </w:rPr>
      </w:pPr>
      <w:bookmarkStart w:id="123" w:name="_Toc29812"/>
      <w:r>
        <w:rPr>
          <w:rFonts w:hint="eastAsia"/>
          <w:highlight w:val="none"/>
          <w:lang w:val="en-US" w:eastAsia="zh-CN"/>
        </w:rPr>
        <w:t>5环境影响预测与评价</w:t>
      </w:r>
      <w:bookmarkEnd w:id="123"/>
    </w:p>
    <w:p w14:paraId="396CD6BE">
      <w:pPr>
        <w:pStyle w:val="4"/>
        <w:bidi w:val="0"/>
        <w:ind w:left="0" w:leftChars="0" w:firstLine="0" w:firstLineChars="0"/>
        <w:rPr>
          <w:rFonts w:hint="default"/>
          <w:highlight w:val="none"/>
          <w:lang w:val="en-US" w:eastAsia="zh-CN"/>
        </w:rPr>
      </w:pPr>
      <w:bookmarkStart w:id="124" w:name="_Toc4010"/>
      <w:r>
        <w:rPr>
          <w:rFonts w:hint="default" w:ascii="Times New Roman" w:hAnsi="Times New Roman" w:cs="Times New Roman"/>
          <w:highlight w:val="none"/>
          <w:lang w:val="en-US" w:eastAsia="zh-CN"/>
        </w:rPr>
        <w:t>5.1</w:t>
      </w:r>
      <w:r>
        <w:rPr>
          <w:rFonts w:hint="eastAsia"/>
          <w:highlight w:val="none"/>
          <w:lang w:val="en-US" w:eastAsia="zh-CN"/>
        </w:rPr>
        <w:t>施工期环境影响分析</w:t>
      </w:r>
      <w:bookmarkEnd w:id="124"/>
    </w:p>
    <w:p w14:paraId="5909FBA1">
      <w:pPr>
        <w:pStyle w:val="5"/>
        <w:bidi w:val="0"/>
        <w:ind w:left="0" w:leftChars="0" w:firstLine="0" w:firstLineChars="0"/>
        <w:rPr>
          <w:rFonts w:hint="default" w:ascii="Times New Roman" w:hAnsi="Times New Roman" w:cs="Times New Roman"/>
          <w:sz w:val="30"/>
          <w:szCs w:val="30"/>
          <w:highlight w:val="none"/>
          <w:lang w:val="en-US" w:eastAsia="zh-CN"/>
        </w:rPr>
      </w:pPr>
      <w:bookmarkStart w:id="125" w:name="_Toc19865"/>
      <w:r>
        <w:rPr>
          <w:rFonts w:hint="default" w:ascii="Times New Roman" w:hAnsi="Times New Roman" w:cs="Times New Roman"/>
          <w:sz w:val="30"/>
          <w:szCs w:val="30"/>
          <w:highlight w:val="none"/>
          <w:lang w:val="en-US" w:eastAsia="zh-CN"/>
        </w:rPr>
        <w:t>5.1.1</w:t>
      </w:r>
      <w:r>
        <w:rPr>
          <w:rFonts w:hint="eastAsia" w:ascii="Times New Roman" w:hAnsi="Times New Roman" w:cs="Times New Roman"/>
          <w:sz w:val="30"/>
          <w:szCs w:val="30"/>
          <w:highlight w:val="none"/>
          <w:lang w:val="en-US" w:eastAsia="zh-CN"/>
        </w:rPr>
        <w:t>水环境影响分析</w:t>
      </w:r>
      <w:bookmarkEnd w:id="125"/>
    </w:p>
    <w:p w14:paraId="48F20D17">
      <w:pPr>
        <w:ind w:firstLine="480"/>
        <w:rPr>
          <w:rFonts w:hint="eastAsia" w:ascii="Times New Roman" w:hAnsi="Times New Roman" w:eastAsia="宋体" w:cs="Times New Roman"/>
          <w:highlight w:val="none"/>
          <w:lang w:val="en-US" w:eastAsia="zh-CN"/>
        </w:rPr>
      </w:pPr>
      <w:r>
        <w:rPr>
          <w:rFonts w:ascii="Times New Roman" w:hAnsi="Times New Roman" w:eastAsia="宋体" w:cs="Times New Roman"/>
          <w:highlight w:val="none"/>
        </w:rPr>
        <w:t>施工期废水主要是施工人员生活污水，如果不进行收集无组织排放将对地表径流及土壤环境产生不利影响。生活污水需集中收集。</w:t>
      </w:r>
    </w:p>
    <w:p w14:paraId="7BF5B4BA">
      <w:pPr>
        <w:ind w:firstLine="480"/>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highlight w:val="none"/>
          <w:lang w:val="en-US" w:eastAsia="zh-CN"/>
        </w:rPr>
        <w:t>生活污水依托厂区现有排入市政管网，经污水管网排入绥芬河中环污水处理有限公司，处理达到《城镇污水处理厂污染物排放标准》(GB18918—2002)一级B标准后最终汇入小绥芬河。</w:t>
      </w:r>
    </w:p>
    <w:p w14:paraId="098C5ED6">
      <w:pPr>
        <w:pStyle w:val="5"/>
        <w:bidi w:val="0"/>
        <w:ind w:left="0" w:leftChars="0" w:firstLine="0" w:firstLineChars="0"/>
        <w:rPr>
          <w:rFonts w:hint="eastAsia"/>
          <w:sz w:val="30"/>
          <w:szCs w:val="30"/>
          <w:highlight w:val="none"/>
          <w:lang w:val="en-US" w:eastAsia="zh-CN"/>
        </w:rPr>
      </w:pPr>
      <w:bookmarkStart w:id="126" w:name="_Toc15559"/>
      <w:r>
        <w:rPr>
          <w:rFonts w:hint="default" w:ascii="Times New Roman" w:hAnsi="Times New Roman" w:cs="Times New Roman"/>
          <w:sz w:val="30"/>
          <w:szCs w:val="30"/>
          <w:highlight w:val="none"/>
          <w:lang w:val="en-US" w:eastAsia="zh-CN"/>
        </w:rPr>
        <w:t>5.1.2</w:t>
      </w:r>
      <w:r>
        <w:rPr>
          <w:rFonts w:hint="eastAsia"/>
          <w:sz w:val="30"/>
          <w:szCs w:val="30"/>
          <w:highlight w:val="none"/>
          <w:lang w:val="en-US" w:eastAsia="zh-CN"/>
        </w:rPr>
        <w:t>环境空气影响分析</w:t>
      </w:r>
      <w:bookmarkEnd w:id="126"/>
    </w:p>
    <w:p w14:paraId="78442977">
      <w:pPr>
        <w:ind w:firstLine="480"/>
        <w:rPr>
          <w:rFonts w:ascii="Times New Roman" w:hAnsi="Times New Roman"/>
          <w:highlight w:val="none"/>
        </w:rPr>
      </w:pPr>
      <w:r>
        <w:rPr>
          <w:rFonts w:ascii="Times New Roman" w:hAnsi="Times New Roman"/>
          <w:highlight w:val="none"/>
        </w:rPr>
        <w:t>本项目施工期扬尘主要来自厂区土方挖掘扬尘及现场堆放扬尘；建筑材料（白灰、水泥、沙子、石子、砖等）的现场搬运及堆放扬尘；施工现场道路扬尘。其扬尘量的大小与施工现场条件、管理水平、机械化程度及施工季节、土质及天气等诸多因素有关。本次评价采用类比法对施工期扬尘进行分析，类比资料见表5</w:t>
      </w:r>
      <w:r>
        <w:rPr>
          <w:rFonts w:hint="eastAsia" w:ascii="Times New Roman" w:hAnsi="Times New Roman"/>
          <w:highlight w:val="none"/>
          <w:lang w:val="en-US" w:eastAsia="zh-CN"/>
        </w:rPr>
        <w:t>.</w:t>
      </w:r>
      <w:r>
        <w:rPr>
          <w:rFonts w:ascii="Times New Roman" w:hAnsi="Times New Roman"/>
          <w:highlight w:val="none"/>
        </w:rPr>
        <w:t>1-1。</w:t>
      </w:r>
    </w:p>
    <w:p w14:paraId="583AF74C">
      <w:pPr>
        <w:pStyle w:val="21"/>
        <w:ind w:left="480" w:leftChars="200" w:firstLine="0" w:firstLineChars="0"/>
        <w:jc w:val="center"/>
        <w:rPr>
          <w:rFonts w:ascii="Times New Roman" w:hAnsi="Times New Roman"/>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5.1-1</w:t>
      </w:r>
      <w:r>
        <w:rPr>
          <w:rFonts w:hint="eastAsia" w:ascii="黑体" w:hAnsi="黑体" w:eastAsia="黑体" w:cs="黑体"/>
          <w:highlight w:val="none"/>
        </w:rPr>
        <w:t xml:space="preserve">  建筑施工现场扬尘（TSP）对环境的污染状况（mg/m</w:t>
      </w:r>
      <w:r>
        <w:rPr>
          <w:rFonts w:hint="eastAsia" w:ascii="黑体" w:hAnsi="黑体" w:eastAsia="黑体" w:cs="黑体"/>
          <w:highlight w:val="none"/>
          <w:vertAlign w:val="superscript"/>
        </w:rPr>
        <w:t>3</w:t>
      </w:r>
      <w:r>
        <w:rPr>
          <w:rFonts w:hint="eastAsia" w:ascii="黑体" w:hAnsi="黑体" w:eastAsia="黑体" w:cs="黑体"/>
          <w:highlight w:val="none"/>
        </w:rPr>
        <w:t>）</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436"/>
        <w:gridCol w:w="792"/>
        <w:gridCol w:w="792"/>
        <w:gridCol w:w="793"/>
        <w:gridCol w:w="793"/>
        <w:gridCol w:w="793"/>
        <w:gridCol w:w="801"/>
        <w:gridCol w:w="1185"/>
        <w:gridCol w:w="1137"/>
      </w:tblGrid>
      <w:tr w14:paraId="52EC62E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843" w:type="pct"/>
            <w:vMerge w:val="restart"/>
            <w:tcBorders>
              <w:tl2br w:val="nil"/>
              <w:tr2bl w:val="nil"/>
            </w:tcBorders>
            <w:noWrap w:val="0"/>
            <w:vAlign w:val="center"/>
          </w:tcPr>
          <w:p w14:paraId="62ECBCD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防尘措施</w:t>
            </w:r>
          </w:p>
        </w:tc>
        <w:tc>
          <w:tcPr>
            <w:tcW w:w="2795" w:type="pct"/>
            <w:gridSpan w:val="6"/>
            <w:tcBorders>
              <w:tl2br w:val="nil"/>
              <w:tr2bl w:val="nil"/>
            </w:tcBorders>
            <w:noWrap w:val="0"/>
            <w:vAlign w:val="center"/>
          </w:tcPr>
          <w:p w14:paraId="4A0895F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工地下风向距离</w:t>
            </w:r>
          </w:p>
        </w:tc>
        <w:tc>
          <w:tcPr>
            <w:tcW w:w="695" w:type="pct"/>
            <w:vMerge w:val="restart"/>
            <w:tcBorders>
              <w:tl2br w:val="nil"/>
              <w:tr2bl w:val="nil"/>
            </w:tcBorders>
            <w:noWrap w:val="0"/>
            <w:vAlign w:val="center"/>
          </w:tcPr>
          <w:p w14:paraId="6C53D1A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工地</w:t>
            </w:r>
          </w:p>
          <w:p w14:paraId="508541A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上风向</w:t>
            </w:r>
          </w:p>
          <w:p w14:paraId="1713574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（对照点）</w:t>
            </w:r>
          </w:p>
        </w:tc>
        <w:tc>
          <w:tcPr>
            <w:tcW w:w="667" w:type="pct"/>
            <w:vMerge w:val="restart"/>
            <w:tcBorders>
              <w:tl2br w:val="nil"/>
              <w:tr2bl w:val="nil"/>
            </w:tcBorders>
            <w:noWrap w:val="0"/>
            <w:vAlign w:val="center"/>
          </w:tcPr>
          <w:p w14:paraId="5EE4CBC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无组织排放监控浓度限值</w:t>
            </w:r>
          </w:p>
        </w:tc>
      </w:tr>
      <w:tr w14:paraId="5A8C24F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843" w:type="pct"/>
            <w:vMerge w:val="continue"/>
            <w:tcBorders>
              <w:tl2br w:val="nil"/>
              <w:tr2bl w:val="nil"/>
            </w:tcBorders>
            <w:noWrap w:val="0"/>
            <w:vAlign w:val="center"/>
          </w:tcPr>
          <w:p w14:paraId="68179328">
            <w:pPr>
              <w:spacing w:line="240" w:lineRule="auto"/>
              <w:ind w:firstLine="0" w:firstLineChars="0"/>
              <w:rPr>
                <w:rFonts w:ascii="Times New Roman" w:hAnsi="Times New Roman"/>
                <w:sz w:val="21"/>
                <w:highlight w:val="none"/>
              </w:rPr>
            </w:pPr>
          </w:p>
        </w:tc>
        <w:tc>
          <w:tcPr>
            <w:tcW w:w="465" w:type="pct"/>
            <w:tcBorders>
              <w:tl2br w:val="nil"/>
              <w:tr2bl w:val="nil"/>
            </w:tcBorders>
            <w:noWrap w:val="0"/>
            <w:vAlign w:val="center"/>
          </w:tcPr>
          <w:p w14:paraId="05CBB2E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20m</w:t>
            </w:r>
          </w:p>
        </w:tc>
        <w:tc>
          <w:tcPr>
            <w:tcW w:w="465" w:type="pct"/>
            <w:tcBorders>
              <w:tl2br w:val="nil"/>
              <w:tr2bl w:val="nil"/>
            </w:tcBorders>
            <w:noWrap w:val="0"/>
            <w:vAlign w:val="center"/>
          </w:tcPr>
          <w:p w14:paraId="7B87873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50m</w:t>
            </w:r>
          </w:p>
        </w:tc>
        <w:tc>
          <w:tcPr>
            <w:tcW w:w="465" w:type="pct"/>
            <w:tcBorders>
              <w:tl2br w:val="nil"/>
              <w:tr2bl w:val="nil"/>
            </w:tcBorders>
            <w:noWrap w:val="0"/>
            <w:vAlign w:val="center"/>
          </w:tcPr>
          <w:p w14:paraId="364D8C8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100m</w:t>
            </w:r>
          </w:p>
        </w:tc>
        <w:tc>
          <w:tcPr>
            <w:tcW w:w="465" w:type="pct"/>
            <w:tcBorders>
              <w:tl2br w:val="nil"/>
              <w:tr2bl w:val="nil"/>
            </w:tcBorders>
            <w:noWrap w:val="0"/>
            <w:vAlign w:val="center"/>
          </w:tcPr>
          <w:p w14:paraId="6076697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150m</w:t>
            </w:r>
          </w:p>
        </w:tc>
        <w:tc>
          <w:tcPr>
            <w:tcW w:w="465" w:type="pct"/>
            <w:tcBorders>
              <w:tl2br w:val="nil"/>
              <w:tr2bl w:val="nil"/>
            </w:tcBorders>
            <w:noWrap w:val="0"/>
            <w:vAlign w:val="center"/>
          </w:tcPr>
          <w:p w14:paraId="68487CA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200m</w:t>
            </w:r>
          </w:p>
        </w:tc>
        <w:tc>
          <w:tcPr>
            <w:tcW w:w="470" w:type="pct"/>
            <w:tcBorders>
              <w:tl2br w:val="nil"/>
              <w:tr2bl w:val="nil"/>
            </w:tcBorders>
            <w:noWrap w:val="0"/>
            <w:vAlign w:val="center"/>
          </w:tcPr>
          <w:p w14:paraId="5294372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250m</w:t>
            </w:r>
          </w:p>
        </w:tc>
        <w:tc>
          <w:tcPr>
            <w:tcW w:w="695" w:type="pct"/>
            <w:vMerge w:val="continue"/>
            <w:tcBorders>
              <w:tl2br w:val="nil"/>
              <w:tr2bl w:val="nil"/>
            </w:tcBorders>
            <w:noWrap w:val="0"/>
            <w:vAlign w:val="center"/>
          </w:tcPr>
          <w:p w14:paraId="6E8FFEA8">
            <w:pPr>
              <w:spacing w:line="240" w:lineRule="auto"/>
              <w:ind w:firstLine="0" w:firstLineChars="0"/>
              <w:rPr>
                <w:rFonts w:ascii="Times New Roman" w:hAnsi="Times New Roman"/>
                <w:sz w:val="21"/>
                <w:highlight w:val="none"/>
              </w:rPr>
            </w:pPr>
          </w:p>
        </w:tc>
        <w:tc>
          <w:tcPr>
            <w:tcW w:w="667" w:type="pct"/>
            <w:vMerge w:val="continue"/>
            <w:tcBorders>
              <w:tl2br w:val="nil"/>
              <w:tr2bl w:val="nil"/>
            </w:tcBorders>
            <w:noWrap w:val="0"/>
            <w:vAlign w:val="center"/>
          </w:tcPr>
          <w:p w14:paraId="7DD1D1B6">
            <w:pPr>
              <w:spacing w:line="240" w:lineRule="auto"/>
              <w:ind w:firstLine="0" w:firstLineChars="0"/>
              <w:rPr>
                <w:rFonts w:ascii="Times New Roman" w:hAnsi="Times New Roman"/>
                <w:sz w:val="21"/>
                <w:highlight w:val="none"/>
              </w:rPr>
            </w:pPr>
          </w:p>
        </w:tc>
      </w:tr>
      <w:tr w14:paraId="35F7986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843" w:type="pct"/>
            <w:tcBorders>
              <w:tl2br w:val="nil"/>
              <w:tr2bl w:val="nil"/>
            </w:tcBorders>
            <w:noWrap w:val="0"/>
            <w:vAlign w:val="center"/>
          </w:tcPr>
          <w:p w14:paraId="5E49AC5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无防护措施</w:t>
            </w:r>
          </w:p>
        </w:tc>
        <w:tc>
          <w:tcPr>
            <w:tcW w:w="465" w:type="pct"/>
            <w:tcBorders>
              <w:tl2br w:val="nil"/>
              <w:tr2bl w:val="nil"/>
            </w:tcBorders>
            <w:noWrap w:val="0"/>
            <w:vAlign w:val="center"/>
          </w:tcPr>
          <w:p w14:paraId="6A92426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1.303</w:t>
            </w:r>
          </w:p>
        </w:tc>
        <w:tc>
          <w:tcPr>
            <w:tcW w:w="465" w:type="pct"/>
            <w:tcBorders>
              <w:tl2br w:val="nil"/>
              <w:tr2bl w:val="nil"/>
            </w:tcBorders>
            <w:noWrap w:val="0"/>
            <w:vAlign w:val="center"/>
          </w:tcPr>
          <w:p w14:paraId="5BE39D90">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0.722</w:t>
            </w:r>
          </w:p>
        </w:tc>
        <w:tc>
          <w:tcPr>
            <w:tcW w:w="465" w:type="pct"/>
            <w:tcBorders>
              <w:tl2br w:val="nil"/>
              <w:tr2bl w:val="nil"/>
            </w:tcBorders>
            <w:noWrap w:val="0"/>
            <w:vAlign w:val="center"/>
          </w:tcPr>
          <w:p w14:paraId="02D3B07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0.402</w:t>
            </w:r>
          </w:p>
        </w:tc>
        <w:tc>
          <w:tcPr>
            <w:tcW w:w="465" w:type="pct"/>
            <w:tcBorders>
              <w:tl2br w:val="nil"/>
              <w:tr2bl w:val="nil"/>
            </w:tcBorders>
            <w:noWrap w:val="0"/>
            <w:vAlign w:val="center"/>
          </w:tcPr>
          <w:p w14:paraId="31E9C48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0.311</w:t>
            </w:r>
          </w:p>
        </w:tc>
        <w:tc>
          <w:tcPr>
            <w:tcW w:w="465" w:type="pct"/>
            <w:tcBorders>
              <w:tl2br w:val="nil"/>
              <w:tr2bl w:val="nil"/>
            </w:tcBorders>
            <w:noWrap w:val="0"/>
            <w:vAlign w:val="center"/>
          </w:tcPr>
          <w:p w14:paraId="3C6F3AF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0.270</w:t>
            </w:r>
          </w:p>
        </w:tc>
        <w:tc>
          <w:tcPr>
            <w:tcW w:w="470" w:type="pct"/>
            <w:tcBorders>
              <w:tl2br w:val="nil"/>
              <w:tr2bl w:val="nil"/>
            </w:tcBorders>
            <w:noWrap w:val="0"/>
            <w:vAlign w:val="center"/>
          </w:tcPr>
          <w:p w14:paraId="7C850F0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0.210</w:t>
            </w:r>
          </w:p>
        </w:tc>
        <w:tc>
          <w:tcPr>
            <w:tcW w:w="695" w:type="pct"/>
            <w:vMerge w:val="restart"/>
            <w:tcBorders>
              <w:tl2br w:val="nil"/>
              <w:tr2bl w:val="nil"/>
            </w:tcBorders>
            <w:noWrap w:val="0"/>
            <w:vAlign w:val="center"/>
          </w:tcPr>
          <w:p w14:paraId="2C10CDAF">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0.204</w:t>
            </w:r>
          </w:p>
        </w:tc>
        <w:tc>
          <w:tcPr>
            <w:tcW w:w="667" w:type="pct"/>
            <w:vMerge w:val="restart"/>
            <w:tcBorders>
              <w:tl2br w:val="nil"/>
              <w:tr2bl w:val="nil"/>
            </w:tcBorders>
            <w:noWrap w:val="0"/>
            <w:vAlign w:val="center"/>
          </w:tcPr>
          <w:p w14:paraId="14FA272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1.0</w:t>
            </w:r>
          </w:p>
        </w:tc>
      </w:tr>
      <w:tr w14:paraId="29C1434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843" w:type="pct"/>
            <w:tcBorders>
              <w:tl2br w:val="nil"/>
              <w:tr2bl w:val="nil"/>
            </w:tcBorders>
            <w:noWrap w:val="0"/>
            <w:vAlign w:val="center"/>
          </w:tcPr>
          <w:p w14:paraId="27DA12C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有（围金属板）</w:t>
            </w:r>
          </w:p>
        </w:tc>
        <w:tc>
          <w:tcPr>
            <w:tcW w:w="465" w:type="pct"/>
            <w:tcBorders>
              <w:tl2br w:val="nil"/>
              <w:tr2bl w:val="nil"/>
            </w:tcBorders>
            <w:noWrap w:val="0"/>
            <w:vAlign w:val="center"/>
          </w:tcPr>
          <w:p w14:paraId="00746AF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0.824</w:t>
            </w:r>
          </w:p>
        </w:tc>
        <w:tc>
          <w:tcPr>
            <w:tcW w:w="465" w:type="pct"/>
            <w:tcBorders>
              <w:tl2br w:val="nil"/>
              <w:tr2bl w:val="nil"/>
            </w:tcBorders>
            <w:noWrap w:val="0"/>
            <w:vAlign w:val="center"/>
          </w:tcPr>
          <w:p w14:paraId="31140FF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0.426</w:t>
            </w:r>
          </w:p>
        </w:tc>
        <w:tc>
          <w:tcPr>
            <w:tcW w:w="465" w:type="pct"/>
            <w:tcBorders>
              <w:tl2br w:val="nil"/>
              <w:tr2bl w:val="nil"/>
            </w:tcBorders>
            <w:noWrap w:val="0"/>
            <w:vAlign w:val="center"/>
          </w:tcPr>
          <w:p w14:paraId="2B1892D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0.235</w:t>
            </w:r>
          </w:p>
        </w:tc>
        <w:tc>
          <w:tcPr>
            <w:tcW w:w="465" w:type="pct"/>
            <w:tcBorders>
              <w:tl2br w:val="nil"/>
              <w:tr2bl w:val="nil"/>
            </w:tcBorders>
            <w:noWrap w:val="0"/>
            <w:vAlign w:val="center"/>
          </w:tcPr>
          <w:p w14:paraId="3DBAA47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0.221</w:t>
            </w:r>
          </w:p>
        </w:tc>
        <w:tc>
          <w:tcPr>
            <w:tcW w:w="465" w:type="pct"/>
            <w:tcBorders>
              <w:tl2br w:val="nil"/>
              <w:tr2bl w:val="nil"/>
            </w:tcBorders>
            <w:noWrap w:val="0"/>
            <w:vAlign w:val="center"/>
          </w:tcPr>
          <w:p w14:paraId="2D947F9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0.215</w:t>
            </w:r>
          </w:p>
        </w:tc>
        <w:tc>
          <w:tcPr>
            <w:tcW w:w="470" w:type="pct"/>
            <w:tcBorders>
              <w:tl2br w:val="nil"/>
              <w:tr2bl w:val="nil"/>
            </w:tcBorders>
            <w:noWrap w:val="0"/>
            <w:vAlign w:val="center"/>
          </w:tcPr>
          <w:p w14:paraId="44081D5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0.206</w:t>
            </w:r>
          </w:p>
        </w:tc>
        <w:tc>
          <w:tcPr>
            <w:tcW w:w="695" w:type="pct"/>
            <w:vMerge w:val="continue"/>
            <w:tcBorders>
              <w:tl2br w:val="nil"/>
              <w:tr2bl w:val="nil"/>
            </w:tcBorders>
            <w:noWrap w:val="0"/>
            <w:vAlign w:val="center"/>
          </w:tcPr>
          <w:p w14:paraId="3FFDFF90">
            <w:pPr>
              <w:spacing w:line="240" w:lineRule="auto"/>
              <w:ind w:firstLine="0" w:firstLineChars="0"/>
              <w:rPr>
                <w:rFonts w:ascii="Times New Roman" w:hAnsi="Times New Roman"/>
                <w:sz w:val="21"/>
                <w:highlight w:val="none"/>
              </w:rPr>
            </w:pPr>
          </w:p>
        </w:tc>
        <w:tc>
          <w:tcPr>
            <w:tcW w:w="667" w:type="pct"/>
            <w:vMerge w:val="continue"/>
            <w:tcBorders>
              <w:tl2br w:val="nil"/>
              <w:tr2bl w:val="nil"/>
            </w:tcBorders>
            <w:noWrap w:val="0"/>
            <w:vAlign w:val="center"/>
          </w:tcPr>
          <w:p w14:paraId="15A0D1D4">
            <w:pPr>
              <w:spacing w:line="240" w:lineRule="auto"/>
              <w:ind w:firstLine="0" w:firstLineChars="0"/>
              <w:rPr>
                <w:rFonts w:ascii="Times New Roman" w:hAnsi="Times New Roman"/>
                <w:sz w:val="21"/>
                <w:highlight w:val="none"/>
              </w:rPr>
            </w:pPr>
          </w:p>
        </w:tc>
      </w:tr>
    </w:tbl>
    <w:p w14:paraId="70C33A55">
      <w:pPr>
        <w:ind w:firstLine="480"/>
        <w:rPr>
          <w:rFonts w:ascii="Times New Roman" w:hAnsi="Times New Roman"/>
          <w:highlight w:val="none"/>
        </w:rPr>
      </w:pPr>
      <w:r>
        <w:rPr>
          <w:rFonts w:ascii="Times New Roman" w:hAnsi="Times New Roman"/>
          <w:highlight w:val="none"/>
        </w:rPr>
        <w:t>由表5</w:t>
      </w:r>
      <w:r>
        <w:rPr>
          <w:rFonts w:hint="eastAsia" w:ascii="Times New Roman" w:hAnsi="Times New Roman"/>
          <w:highlight w:val="none"/>
        </w:rPr>
        <w:t>.</w:t>
      </w:r>
      <w:r>
        <w:rPr>
          <w:rFonts w:ascii="Times New Roman" w:hAnsi="Times New Roman"/>
          <w:highlight w:val="none"/>
        </w:rPr>
        <w:t>1-1可以看出，在无任何防尘措施的情况下，施工现场对周围环境的影响较严重，污染范围在200m范围内，TSP最大污染物浓度是对照点TSP浓度值的6.39倍；而在有防尘措施的情况下，污染范围降至20m范围内，最高污染浓度是对照点的4.04倍，最大污染浓度较无防尘措施降低了0.479mg/m</w:t>
      </w:r>
      <w:r>
        <w:rPr>
          <w:rFonts w:ascii="Times New Roman" w:hAnsi="Times New Roman"/>
          <w:highlight w:val="none"/>
          <w:vertAlign w:val="superscript"/>
        </w:rPr>
        <w:t>3</w:t>
      </w:r>
      <w:r>
        <w:rPr>
          <w:rFonts w:ascii="Times New Roman" w:hAnsi="Times New Roman"/>
          <w:highlight w:val="none"/>
        </w:rPr>
        <w:t>。</w:t>
      </w:r>
    </w:p>
    <w:p w14:paraId="7C88782F">
      <w:pPr>
        <w:ind w:firstLine="480"/>
        <w:rPr>
          <w:rFonts w:ascii="Times New Roman" w:hAnsi="Times New Roman"/>
          <w:highlight w:val="none"/>
        </w:rPr>
      </w:pPr>
      <w:r>
        <w:rPr>
          <w:rFonts w:ascii="Times New Roman" w:hAnsi="Times New Roman"/>
          <w:highlight w:val="none"/>
        </w:rPr>
        <w:t>施工扬尘对环境有一定影响，其影响将在1.0mg/m</w:t>
      </w:r>
      <w:r>
        <w:rPr>
          <w:rFonts w:ascii="Times New Roman" w:hAnsi="Times New Roman"/>
          <w:highlight w:val="none"/>
          <w:vertAlign w:val="superscript"/>
        </w:rPr>
        <w:t>3</w:t>
      </w:r>
      <w:r>
        <w:rPr>
          <w:rFonts w:ascii="Times New Roman" w:hAnsi="Times New Roman"/>
          <w:highlight w:val="none"/>
        </w:rPr>
        <w:t>以上，通过在厂界周围设置挡板后，扬尘（TSP）浓度低于0.824mg/m</w:t>
      </w:r>
      <w:r>
        <w:rPr>
          <w:rFonts w:ascii="Times New Roman" w:hAnsi="Times New Roman"/>
          <w:highlight w:val="none"/>
          <w:vertAlign w:val="superscript"/>
        </w:rPr>
        <w:t>3</w:t>
      </w:r>
      <w:r>
        <w:rPr>
          <w:rFonts w:ascii="Times New Roman" w:hAnsi="Times New Roman"/>
          <w:highlight w:val="none"/>
        </w:rPr>
        <w:t>，低于《大气污染物综合排放标准》（GB16297—1996）中规定的颗粒物无组织排放监控浓度限值的要求。</w:t>
      </w:r>
    </w:p>
    <w:p w14:paraId="6D84CB46">
      <w:pPr>
        <w:rPr>
          <w:rFonts w:ascii="Times New Roman" w:hAnsi="Times New Roman"/>
          <w:highlight w:val="none"/>
        </w:rPr>
      </w:pPr>
      <w:r>
        <w:rPr>
          <w:rFonts w:ascii="Times New Roman" w:hAnsi="Times New Roman"/>
          <w:highlight w:val="none"/>
        </w:rPr>
        <w:t>施工现场采用湿法作业并设围挡，运输时车辆加盖蓬布，建筑材料用苫布遮盖或建封闭库房存放，施工现场场界修建围挡板，封闭施工现场，并采取洒水抑尘措施，施工期产生的扬尘满足《大气污染物综合排放标准》（GB16297-1996）中表2无组织排放监控浓度限值，本项目施工期间产生的扬尘对周围环境影响是可以接受的。</w:t>
      </w:r>
    </w:p>
    <w:p w14:paraId="21627F48">
      <w:pPr>
        <w:pStyle w:val="5"/>
        <w:bidi w:val="0"/>
        <w:ind w:left="0" w:leftChars="0" w:firstLine="0" w:firstLineChars="0"/>
        <w:rPr>
          <w:rFonts w:hint="eastAsia"/>
          <w:sz w:val="30"/>
          <w:szCs w:val="30"/>
          <w:highlight w:val="none"/>
          <w:lang w:val="en-US" w:eastAsia="zh-CN"/>
        </w:rPr>
      </w:pPr>
      <w:bookmarkStart w:id="127" w:name="_Toc11585"/>
      <w:r>
        <w:rPr>
          <w:rFonts w:hint="default" w:ascii="Times New Roman" w:hAnsi="Times New Roman" w:cs="Times New Roman"/>
          <w:sz w:val="30"/>
          <w:szCs w:val="30"/>
          <w:highlight w:val="none"/>
          <w:lang w:val="en-US" w:eastAsia="zh-CN"/>
        </w:rPr>
        <w:t>5.1.3</w:t>
      </w:r>
      <w:r>
        <w:rPr>
          <w:rFonts w:hint="eastAsia"/>
          <w:sz w:val="30"/>
          <w:szCs w:val="30"/>
          <w:highlight w:val="none"/>
          <w:lang w:val="en-US" w:eastAsia="zh-CN"/>
        </w:rPr>
        <w:t>噪声影响分析</w:t>
      </w:r>
      <w:bookmarkEnd w:id="127"/>
    </w:p>
    <w:p w14:paraId="39DA8DB1">
      <w:pPr>
        <w:ind w:firstLine="480"/>
        <w:rPr>
          <w:rFonts w:ascii="Times New Roman" w:hAnsi="Times New Roman"/>
          <w:highlight w:val="none"/>
        </w:rPr>
      </w:pPr>
      <w:r>
        <w:rPr>
          <w:rFonts w:ascii="Times New Roman" w:hAnsi="Times New Roman"/>
          <w:highlight w:val="none"/>
        </w:rPr>
        <w:t>施工期噪声来源于施工机械和运输车辆的噪声，具有高噪声、无规律的特点，它对外环境的影响是暂时的，随着施工结束而消失。</w:t>
      </w:r>
    </w:p>
    <w:p w14:paraId="09CD8F96">
      <w:pPr>
        <w:ind w:firstLine="480"/>
        <w:rPr>
          <w:rFonts w:ascii="Times New Roman" w:hAnsi="Times New Roman"/>
          <w:highlight w:val="none"/>
        </w:rPr>
      </w:pPr>
      <w:r>
        <w:rPr>
          <w:rFonts w:ascii="Times New Roman" w:hAnsi="Times New Roman"/>
          <w:highlight w:val="none"/>
        </w:rPr>
        <w:t>根据有关资料将主要施工机械产生的噪声状况列于表5.1-3中。</w:t>
      </w:r>
    </w:p>
    <w:p w14:paraId="0C9B0D1F">
      <w:pPr>
        <w:pStyle w:val="21"/>
        <w:ind w:left="480" w:leftChars="200" w:firstLine="0" w:firstLineChars="0"/>
        <w:jc w:val="center"/>
        <w:rPr>
          <w:rFonts w:hint="eastAsia" w:ascii="黑体" w:hAnsi="黑体" w:eastAsia="黑体" w:cs="黑体"/>
          <w:highlight w:val="none"/>
        </w:rPr>
      </w:pPr>
      <w:r>
        <w:rPr>
          <w:rFonts w:hint="eastAsia" w:ascii="黑体" w:hAnsi="黑体" w:eastAsia="黑体" w:cs="黑体"/>
          <w:highlight w:val="none"/>
        </w:rPr>
        <w:t>表</w:t>
      </w:r>
      <w:r>
        <w:rPr>
          <w:rFonts w:hint="default" w:ascii="Times New Roman" w:hAnsi="Times New Roman" w:eastAsia="黑体" w:cs="Times New Roman"/>
          <w:highlight w:val="none"/>
        </w:rPr>
        <w:t>5.1-3</w:t>
      </w:r>
      <w:r>
        <w:rPr>
          <w:rFonts w:hint="eastAsia" w:ascii="黑体" w:hAnsi="黑体" w:eastAsia="黑体" w:cs="黑体"/>
          <w:highlight w:val="none"/>
        </w:rPr>
        <w:t xml:space="preserve">  施工机械噪声源源强</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37"/>
        <w:gridCol w:w="3730"/>
        <w:gridCol w:w="3455"/>
      </w:tblGrid>
      <w:tr w14:paraId="5F172F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37" w:type="dxa"/>
            <w:noWrap w:val="0"/>
            <w:vAlign w:val="top"/>
          </w:tcPr>
          <w:p w14:paraId="3319CAC3">
            <w:pPr>
              <w:pStyle w:val="2"/>
              <w:rPr>
                <w:highlight w:val="none"/>
              </w:rPr>
            </w:pPr>
            <w:r>
              <w:rPr>
                <w:highlight w:val="none"/>
              </w:rPr>
              <w:t>序号</w:t>
            </w:r>
          </w:p>
        </w:tc>
        <w:tc>
          <w:tcPr>
            <w:tcW w:w="3730" w:type="dxa"/>
            <w:noWrap w:val="0"/>
            <w:vAlign w:val="center"/>
          </w:tcPr>
          <w:p w14:paraId="7BF4A31B">
            <w:pPr>
              <w:pStyle w:val="2"/>
              <w:rPr>
                <w:highlight w:val="none"/>
              </w:rPr>
            </w:pPr>
            <w:r>
              <w:rPr>
                <w:highlight w:val="none"/>
              </w:rPr>
              <w:t>施工设备名称</w:t>
            </w:r>
          </w:p>
        </w:tc>
        <w:tc>
          <w:tcPr>
            <w:tcW w:w="3455" w:type="dxa"/>
            <w:noWrap w:val="0"/>
            <w:vAlign w:val="center"/>
          </w:tcPr>
          <w:p w14:paraId="0D99887D">
            <w:pPr>
              <w:pStyle w:val="2"/>
              <w:rPr>
                <w:highlight w:val="none"/>
              </w:rPr>
            </w:pPr>
            <w:r>
              <w:rPr>
                <w:highlight w:val="none"/>
              </w:rPr>
              <w:t>距设备5m处平均A声级</w:t>
            </w:r>
          </w:p>
        </w:tc>
      </w:tr>
      <w:tr w14:paraId="3EB172C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37" w:type="dxa"/>
            <w:noWrap w:val="0"/>
            <w:vAlign w:val="top"/>
          </w:tcPr>
          <w:p w14:paraId="3A08F4C5">
            <w:pPr>
              <w:pStyle w:val="2"/>
              <w:rPr>
                <w:highlight w:val="none"/>
              </w:rPr>
            </w:pPr>
            <w:r>
              <w:rPr>
                <w:highlight w:val="none"/>
              </w:rPr>
              <w:t>1</w:t>
            </w:r>
          </w:p>
        </w:tc>
        <w:tc>
          <w:tcPr>
            <w:tcW w:w="3730" w:type="dxa"/>
            <w:noWrap w:val="0"/>
            <w:vAlign w:val="center"/>
          </w:tcPr>
          <w:p w14:paraId="62F32590">
            <w:pPr>
              <w:pStyle w:val="2"/>
              <w:rPr>
                <w:highlight w:val="none"/>
              </w:rPr>
            </w:pPr>
            <w:r>
              <w:rPr>
                <w:highlight w:val="none"/>
              </w:rPr>
              <w:t>挖掘机</w:t>
            </w:r>
          </w:p>
        </w:tc>
        <w:tc>
          <w:tcPr>
            <w:tcW w:w="3455" w:type="dxa"/>
            <w:noWrap w:val="0"/>
            <w:vAlign w:val="center"/>
          </w:tcPr>
          <w:p w14:paraId="6F0A8214">
            <w:pPr>
              <w:pStyle w:val="2"/>
              <w:rPr>
                <w:highlight w:val="none"/>
              </w:rPr>
            </w:pPr>
            <w:r>
              <w:rPr>
                <w:highlight w:val="none"/>
              </w:rPr>
              <w:t>85</w:t>
            </w:r>
          </w:p>
        </w:tc>
      </w:tr>
      <w:tr w14:paraId="77F8BD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37" w:type="dxa"/>
            <w:noWrap w:val="0"/>
            <w:vAlign w:val="top"/>
          </w:tcPr>
          <w:p w14:paraId="19F8F1FD">
            <w:pPr>
              <w:pStyle w:val="2"/>
              <w:rPr>
                <w:highlight w:val="none"/>
              </w:rPr>
            </w:pPr>
            <w:r>
              <w:rPr>
                <w:highlight w:val="none"/>
              </w:rPr>
              <w:t>2</w:t>
            </w:r>
          </w:p>
        </w:tc>
        <w:tc>
          <w:tcPr>
            <w:tcW w:w="3730" w:type="dxa"/>
            <w:noWrap w:val="0"/>
            <w:vAlign w:val="center"/>
          </w:tcPr>
          <w:p w14:paraId="7B0BB288">
            <w:pPr>
              <w:pStyle w:val="2"/>
              <w:rPr>
                <w:highlight w:val="none"/>
              </w:rPr>
            </w:pPr>
            <w:r>
              <w:rPr>
                <w:highlight w:val="none"/>
              </w:rPr>
              <w:t>推土机</w:t>
            </w:r>
          </w:p>
        </w:tc>
        <w:tc>
          <w:tcPr>
            <w:tcW w:w="3455" w:type="dxa"/>
            <w:noWrap w:val="0"/>
            <w:vAlign w:val="center"/>
          </w:tcPr>
          <w:p w14:paraId="1DD887EE">
            <w:pPr>
              <w:pStyle w:val="2"/>
              <w:rPr>
                <w:highlight w:val="none"/>
              </w:rPr>
            </w:pPr>
            <w:r>
              <w:rPr>
                <w:highlight w:val="none"/>
              </w:rPr>
              <w:t>80</w:t>
            </w:r>
          </w:p>
        </w:tc>
      </w:tr>
      <w:tr w14:paraId="78D10CF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37" w:type="dxa"/>
            <w:noWrap w:val="0"/>
            <w:vAlign w:val="top"/>
          </w:tcPr>
          <w:p w14:paraId="4E670FB0">
            <w:pPr>
              <w:pStyle w:val="2"/>
              <w:rPr>
                <w:highlight w:val="none"/>
              </w:rPr>
            </w:pPr>
            <w:r>
              <w:rPr>
                <w:highlight w:val="none"/>
              </w:rPr>
              <w:t>3</w:t>
            </w:r>
          </w:p>
        </w:tc>
        <w:tc>
          <w:tcPr>
            <w:tcW w:w="3730" w:type="dxa"/>
            <w:noWrap w:val="0"/>
            <w:vAlign w:val="center"/>
          </w:tcPr>
          <w:p w14:paraId="50B33536">
            <w:pPr>
              <w:pStyle w:val="2"/>
              <w:rPr>
                <w:highlight w:val="none"/>
              </w:rPr>
            </w:pPr>
            <w:r>
              <w:rPr>
                <w:highlight w:val="none"/>
              </w:rPr>
              <w:t>打桩机</w:t>
            </w:r>
          </w:p>
        </w:tc>
        <w:tc>
          <w:tcPr>
            <w:tcW w:w="3455" w:type="dxa"/>
            <w:noWrap w:val="0"/>
            <w:vAlign w:val="top"/>
          </w:tcPr>
          <w:p w14:paraId="38C2F2F6">
            <w:pPr>
              <w:pStyle w:val="2"/>
              <w:rPr>
                <w:highlight w:val="none"/>
              </w:rPr>
            </w:pPr>
            <w:r>
              <w:rPr>
                <w:highlight w:val="none"/>
              </w:rPr>
              <w:t>80</w:t>
            </w:r>
          </w:p>
        </w:tc>
      </w:tr>
      <w:tr w14:paraId="2342B4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1337" w:type="dxa"/>
            <w:noWrap w:val="0"/>
            <w:vAlign w:val="top"/>
          </w:tcPr>
          <w:p w14:paraId="5EFA8C28">
            <w:pPr>
              <w:pStyle w:val="2"/>
              <w:rPr>
                <w:highlight w:val="none"/>
              </w:rPr>
            </w:pPr>
            <w:r>
              <w:rPr>
                <w:highlight w:val="none"/>
              </w:rPr>
              <w:t>4</w:t>
            </w:r>
          </w:p>
        </w:tc>
        <w:tc>
          <w:tcPr>
            <w:tcW w:w="3730" w:type="dxa"/>
            <w:noWrap w:val="0"/>
            <w:vAlign w:val="center"/>
          </w:tcPr>
          <w:p w14:paraId="79F1FFDE">
            <w:pPr>
              <w:pStyle w:val="2"/>
              <w:rPr>
                <w:highlight w:val="none"/>
              </w:rPr>
            </w:pPr>
            <w:r>
              <w:rPr>
                <w:highlight w:val="none"/>
              </w:rPr>
              <w:t>装载机</w:t>
            </w:r>
          </w:p>
        </w:tc>
        <w:tc>
          <w:tcPr>
            <w:tcW w:w="3455" w:type="dxa"/>
            <w:noWrap w:val="0"/>
            <w:vAlign w:val="top"/>
          </w:tcPr>
          <w:p w14:paraId="1B33B40B">
            <w:pPr>
              <w:pStyle w:val="2"/>
              <w:rPr>
                <w:highlight w:val="none"/>
              </w:rPr>
            </w:pPr>
            <w:r>
              <w:rPr>
                <w:highlight w:val="none"/>
              </w:rPr>
              <w:t>80</w:t>
            </w:r>
          </w:p>
        </w:tc>
      </w:tr>
    </w:tbl>
    <w:p w14:paraId="7DBA8209">
      <w:pPr>
        <w:ind w:firstLine="480"/>
        <w:rPr>
          <w:rFonts w:ascii="Times New Roman" w:hAnsi="Times New Roman"/>
          <w:highlight w:val="none"/>
        </w:rPr>
      </w:pPr>
      <w:r>
        <w:rPr>
          <w:rFonts w:ascii="Times New Roman" w:hAnsi="Times New Roman"/>
          <w:highlight w:val="none"/>
        </w:rPr>
        <w:t>由5</w:t>
      </w:r>
      <w:r>
        <w:rPr>
          <w:rFonts w:hint="eastAsia" w:ascii="Times New Roman" w:hAnsi="Times New Roman"/>
          <w:highlight w:val="none"/>
        </w:rPr>
        <w:t>.1-3</w:t>
      </w:r>
      <w:r>
        <w:rPr>
          <w:rFonts w:ascii="Times New Roman" w:hAnsi="Times New Roman"/>
          <w:highlight w:val="none"/>
        </w:rPr>
        <w:t>中可以看出，现场施工机械设备噪声很高，而且实际施工过程中，往往是多种机械同时工作，各种噪声源辐射的相互叠加，噪声级将更高，辐射范围亦更大。施工噪声对周围区域声环境的影响，采用《建筑施工场界环境噪声排放标准》 (GB12523-2011)表1中限值(昼间70dB(A)、夜间55dB(A))进行评价。项目施工过程中使用的施工机械所产生的噪声主要属于中低频噪声，只考虑其扩散衰减，即预测模型可选用：</w:t>
      </w:r>
    </w:p>
    <w:p w14:paraId="4D96DD60">
      <w:pPr>
        <w:ind w:firstLine="0" w:firstLineChars="0"/>
        <w:jc w:val="center"/>
        <w:rPr>
          <w:rFonts w:ascii="Times New Roman" w:hAnsi="Times New Roman"/>
          <w:sz w:val="28"/>
          <w:highlight w:val="none"/>
        </w:rPr>
      </w:pPr>
      <w:r>
        <w:rPr>
          <w:rFonts w:ascii="Times New Roman" w:hAnsi="Times New Roman"/>
          <w:sz w:val="28"/>
          <w:highlight w:val="none"/>
        </w:rPr>
        <w:t>L</w:t>
      </w:r>
      <w:r>
        <w:rPr>
          <w:rFonts w:ascii="Times New Roman" w:hAnsi="Times New Roman"/>
          <w:sz w:val="28"/>
          <w:highlight w:val="none"/>
          <w:vertAlign w:val="subscript"/>
        </w:rPr>
        <w:t>2</w:t>
      </w:r>
      <w:r>
        <w:rPr>
          <w:rFonts w:ascii="Times New Roman" w:hAnsi="Times New Roman"/>
          <w:sz w:val="28"/>
          <w:highlight w:val="none"/>
        </w:rPr>
        <w:t>=L</w:t>
      </w:r>
      <w:r>
        <w:rPr>
          <w:rFonts w:ascii="Times New Roman" w:hAnsi="Times New Roman"/>
          <w:sz w:val="28"/>
          <w:highlight w:val="none"/>
          <w:vertAlign w:val="subscript"/>
        </w:rPr>
        <w:t>1</w:t>
      </w:r>
      <w:r>
        <w:rPr>
          <w:rFonts w:ascii="Times New Roman" w:hAnsi="Times New Roman"/>
          <w:sz w:val="28"/>
          <w:highlight w:val="none"/>
        </w:rPr>
        <w:t>-20lgr</w:t>
      </w:r>
      <w:r>
        <w:rPr>
          <w:rFonts w:ascii="Times New Roman" w:hAnsi="Times New Roman"/>
          <w:sz w:val="28"/>
          <w:highlight w:val="none"/>
          <w:vertAlign w:val="subscript"/>
        </w:rPr>
        <w:t>2</w:t>
      </w:r>
      <w:r>
        <w:rPr>
          <w:rFonts w:ascii="Times New Roman" w:hAnsi="Times New Roman"/>
          <w:sz w:val="28"/>
          <w:highlight w:val="none"/>
        </w:rPr>
        <w:t>/r1(r</w:t>
      </w:r>
      <w:r>
        <w:rPr>
          <w:rFonts w:ascii="Times New Roman" w:hAnsi="Times New Roman"/>
          <w:sz w:val="28"/>
          <w:highlight w:val="none"/>
          <w:vertAlign w:val="subscript"/>
        </w:rPr>
        <w:t>2</w:t>
      </w:r>
      <w:r>
        <w:rPr>
          <w:rFonts w:ascii="Times New Roman" w:hAnsi="Times New Roman"/>
          <w:sz w:val="28"/>
          <w:highlight w:val="none"/>
        </w:rPr>
        <w:t>&gt;r</w:t>
      </w:r>
      <w:r>
        <w:rPr>
          <w:rFonts w:ascii="Times New Roman" w:hAnsi="Times New Roman"/>
          <w:sz w:val="28"/>
          <w:highlight w:val="none"/>
          <w:vertAlign w:val="subscript"/>
        </w:rPr>
        <w:t>1</w:t>
      </w:r>
      <w:r>
        <w:rPr>
          <w:rFonts w:ascii="Times New Roman" w:hAnsi="Times New Roman"/>
          <w:sz w:val="28"/>
          <w:highlight w:val="none"/>
        </w:rPr>
        <w:t>)</w:t>
      </w:r>
    </w:p>
    <w:p w14:paraId="025C3D91">
      <w:pPr>
        <w:ind w:firstLine="480"/>
        <w:rPr>
          <w:rFonts w:ascii="Times New Roman" w:hAnsi="Times New Roman"/>
          <w:highlight w:val="none"/>
        </w:rPr>
      </w:pPr>
      <w:r>
        <w:rPr>
          <w:rFonts w:ascii="Times New Roman" w:hAnsi="Times New Roman"/>
          <w:highlight w:val="none"/>
        </w:rPr>
        <w:t>式中：L</w:t>
      </w:r>
      <w:r>
        <w:rPr>
          <w:rFonts w:ascii="Times New Roman" w:hAnsi="Times New Roman"/>
          <w:highlight w:val="none"/>
          <w:vertAlign w:val="subscript"/>
        </w:rPr>
        <w:t>1</w:t>
      </w:r>
      <w:r>
        <w:rPr>
          <w:rFonts w:ascii="Times New Roman" w:hAnsi="Times New Roman"/>
          <w:highlight w:val="none"/>
        </w:rPr>
        <w:t>、L</w:t>
      </w:r>
      <w:r>
        <w:rPr>
          <w:rFonts w:ascii="Times New Roman" w:hAnsi="Times New Roman"/>
          <w:highlight w:val="none"/>
          <w:vertAlign w:val="subscript"/>
        </w:rPr>
        <w:t>2</w:t>
      </w:r>
      <w:r>
        <w:rPr>
          <w:rFonts w:ascii="Times New Roman" w:hAnsi="Times New Roman"/>
          <w:highlight w:val="none"/>
        </w:rPr>
        <w:t>-距声源r</w:t>
      </w:r>
      <w:r>
        <w:rPr>
          <w:rFonts w:ascii="Times New Roman" w:hAnsi="Times New Roman"/>
          <w:highlight w:val="none"/>
          <w:vertAlign w:val="subscript"/>
        </w:rPr>
        <w:t>1</w:t>
      </w:r>
      <w:r>
        <w:rPr>
          <w:rFonts w:ascii="Times New Roman" w:hAnsi="Times New Roman"/>
          <w:highlight w:val="none"/>
        </w:rPr>
        <w:t>、r</w:t>
      </w:r>
      <w:r>
        <w:rPr>
          <w:rFonts w:ascii="Times New Roman" w:hAnsi="Times New Roman"/>
          <w:highlight w:val="none"/>
          <w:vertAlign w:val="subscript"/>
        </w:rPr>
        <w:t>2</w:t>
      </w:r>
      <w:r>
        <w:rPr>
          <w:rFonts w:ascii="Times New Roman" w:hAnsi="Times New Roman"/>
          <w:highlight w:val="none"/>
        </w:rPr>
        <w:t>处的等效A声级，dB(A)；</w:t>
      </w:r>
    </w:p>
    <w:p w14:paraId="26316D15">
      <w:pPr>
        <w:ind w:firstLine="1200" w:firstLineChars="500"/>
        <w:rPr>
          <w:rFonts w:ascii="Times New Roman" w:hAnsi="Times New Roman"/>
          <w:highlight w:val="none"/>
        </w:rPr>
      </w:pPr>
      <w:r>
        <w:rPr>
          <w:rFonts w:ascii="Times New Roman" w:hAnsi="Times New Roman"/>
          <w:highlight w:val="none"/>
        </w:rPr>
        <w:t>r</w:t>
      </w:r>
      <w:r>
        <w:rPr>
          <w:rFonts w:ascii="Times New Roman" w:hAnsi="Times New Roman"/>
          <w:highlight w:val="none"/>
          <w:vertAlign w:val="subscript"/>
        </w:rPr>
        <w:t>1</w:t>
      </w:r>
      <w:r>
        <w:rPr>
          <w:rFonts w:ascii="Times New Roman" w:hAnsi="Times New Roman"/>
          <w:highlight w:val="none"/>
        </w:rPr>
        <w:t>、r</w:t>
      </w:r>
      <w:r>
        <w:rPr>
          <w:rFonts w:ascii="Times New Roman" w:hAnsi="Times New Roman"/>
          <w:highlight w:val="none"/>
          <w:vertAlign w:val="subscript"/>
        </w:rPr>
        <w:t>2</w:t>
      </w:r>
      <w:r>
        <w:rPr>
          <w:rFonts w:ascii="Times New Roman" w:hAnsi="Times New Roman"/>
          <w:highlight w:val="none"/>
        </w:rPr>
        <w:t>---接受点距源的距离，m。</w:t>
      </w:r>
    </w:p>
    <w:p w14:paraId="2A0F2D5B">
      <w:pPr>
        <w:ind w:firstLine="480"/>
        <w:rPr>
          <w:rFonts w:ascii="Times New Roman" w:hAnsi="Times New Roman"/>
          <w:highlight w:val="none"/>
        </w:rPr>
      </w:pPr>
      <w:r>
        <w:rPr>
          <w:rFonts w:ascii="Times New Roman" w:hAnsi="Times New Roman"/>
          <w:highlight w:val="none"/>
        </w:rPr>
        <w:t>由上式可推出噪声随距离增加而衰减的量ΔL；</w:t>
      </w:r>
    </w:p>
    <w:p w14:paraId="79AD937A">
      <w:pPr>
        <w:ind w:firstLine="199" w:firstLineChars="83"/>
        <w:jc w:val="center"/>
        <w:rPr>
          <w:rFonts w:ascii="Times New Roman" w:hAnsi="Times New Roman"/>
          <w:highlight w:val="none"/>
        </w:rPr>
      </w:pPr>
      <w:r>
        <w:rPr>
          <w:rFonts w:ascii="Times New Roman" w:hAnsi="Times New Roman"/>
          <w:highlight w:val="none"/>
        </w:rPr>
        <w:t>ΔL=L</w:t>
      </w:r>
      <w:r>
        <w:rPr>
          <w:rFonts w:ascii="Times New Roman" w:hAnsi="Times New Roman"/>
          <w:highlight w:val="none"/>
          <w:vertAlign w:val="subscript"/>
        </w:rPr>
        <w:t>1</w:t>
      </w:r>
      <w:r>
        <w:rPr>
          <w:rFonts w:ascii="Times New Roman" w:hAnsi="Times New Roman"/>
          <w:highlight w:val="none"/>
        </w:rPr>
        <w:t>-L</w:t>
      </w:r>
      <w:r>
        <w:rPr>
          <w:rFonts w:ascii="Times New Roman" w:hAnsi="Times New Roman"/>
          <w:highlight w:val="none"/>
          <w:vertAlign w:val="subscript"/>
        </w:rPr>
        <w:t>2</w:t>
      </w:r>
      <w:r>
        <w:rPr>
          <w:rFonts w:ascii="Times New Roman" w:hAnsi="Times New Roman"/>
          <w:highlight w:val="none"/>
        </w:rPr>
        <w:t>=20lgr</w:t>
      </w:r>
      <w:r>
        <w:rPr>
          <w:rFonts w:ascii="Times New Roman" w:hAnsi="Times New Roman"/>
          <w:highlight w:val="none"/>
          <w:vertAlign w:val="subscript"/>
        </w:rPr>
        <w:t>2</w:t>
      </w:r>
      <w:r>
        <w:rPr>
          <w:rFonts w:ascii="Times New Roman" w:hAnsi="Times New Roman"/>
          <w:highlight w:val="none"/>
        </w:rPr>
        <w:t>/r</w:t>
      </w:r>
      <w:r>
        <w:rPr>
          <w:rFonts w:ascii="Times New Roman" w:hAnsi="Times New Roman"/>
          <w:highlight w:val="none"/>
          <w:vertAlign w:val="subscript"/>
        </w:rPr>
        <w:t>1</w:t>
      </w:r>
    </w:p>
    <w:p w14:paraId="48694381">
      <w:pPr>
        <w:ind w:firstLine="480"/>
        <w:rPr>
          <w:rFonts w:ascii="Times New Roman" w:hAnsi="Times New Roman"/>
          <w:highlight w:val="none"/>
        </w:rPr>
      </w:pPr>
      <w:r>
        <w:rPr>
          <w:rFonts w:ascii="Times New Roman" w:hAnsi="Times New Roman"/>
          <w:highlight w:val="none"/>
        </w:rPr>
        <w:t>由此式可计算出各噪声源噪声值随距离衰减的情况，见表5.1-4。</w:t>
      </w:r>
    </w:p>
    <w:p w14:paraId="26BD790B">
      <w:pPr>
        <w:pStyle w:val="7"/>
        <w:ind w:firstLine="0" w:firstLineChars="0"/>
        <w:jc w:val="center"/>
        <w:rPr>
          <w:rFonts w:ascii="Times New Roman" w:hAnsi="Times New Roman"/>
          <w:b/>
          <w:bCs/>
          <w:highlight w:val="none"/>
        </w:rPr>
      </w:pPr>
    </w:p>
    <w:p w14:paraId="76376E79">
      <w:pPr>
        <w:pStyle w:val="21"/>
        <w:ind w:left="480" w:leftChars="200" w:firstLine="0" w:firstLineChars="0"/>
        <w:jc w:val="center"/>
        <w:rPr>
          <w:rFonts w:ascii="Times New Roman" w:hAnsi="Times New Roman"/>
          <w:highlight w:val="none"/>
        </w:rPr>
      </w:pPr>
      <w:r>
        <w:rPr>
          <w:rFonts w:hint="eastAsia" w:ascii="黑体" w:hAnsi="黑体" w:eastAsia="黑体" w:cs="黑体"/>
          <w:highlight w:val="none"/>
        </w:rPr>
        <w:t>表</w:t>
      </w:r>
      <w:r>
        <w:rPr>
          <w:rFonts w:hint="default" w:ascii="Times New Roman" w:hAnsi="Times New Roman" w:eastAsia="宋体" w:cs="Times New Roman"/>
          <w:highlight w:val="none"/>
        </w:rPr>
        <w:t>5.1-4</w:t>
      </w:r>
      <w:r>
        <w:rPr>
          <w:rFonts w:hint="eastAsia" w:ascii="黑体" w:hAnsi="黑体" w:eastAsia="黑体" w:cs="黑体"/>
          <w:highlight w:val="none"/>
        </w:rPr>
        <w:t>噪声值随距离的衰减关系</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97"/>
        <w:gridCol w:w="813"/>
        <w:gridCol w:w="814"/>
        <w:gridCol w:w="814"/>
        <w:gridCol w:w="814"/>
        <w:gridCol w:w="814"/>
        <w:gridCol w:w="814"/>
        <w:gridCol w:w="814"/>
        <w:gridCol w:w="814"/>
        <w:gridCol w:w="814"/>
      </w:tblGrid>
      <w:tr w14:paraId="330265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96" w:type="pct"/>
            <w:noWrap w:val="0"/>
            <w:vAlign w:val="center"/>
          </w:tcPr>
          <w:p w14:paraId="0853F965">
            <w:pPr>
              <w:pStyle w:val="2"/>
              <w:rPr>
                <w:highlight w:val="none"/>
              </w:rPr>
            </w:pPr>
            <w:r>
              <w:rPr>
                <w:highlight w:val="none"/>
              </w:rPr>
              <w:t>距离(m)</w:t>
            </w:r>
          </w:p>
        </w:tc>
        <w:tc>
          <w:tcPr>
            <w:tcW w:w="478" w:type="pct"/>
            <w:noWrap w:val="0"/>
            <w:vAlign w:val="center"/>
          </w:tcPr>
          <w:p w14:paraId="6655168A">
            <w:pPr>
              <w:pStyle w:val="2"/>
              <w:rPr>
                <w:highlight w:val="none"/>
              </w:rPr>
            </w:pPr>
            <w:r>
              <w:rPr>
                <w:highlight w:val="none"/>
              </w:rPr>
              <w:t>10</w:t>
            </w:r>
          </w:p>
        </w:tc>
        <w:tc>
          <w:tcPr>
            <w:tcW w:w="478" w:type="pct"/>
            <w:noWrap w:val="0"/>
            <w:vAlign w:val="center"/>
          </w:tcPr>
          <w:p w14:paraId="42E3CEFF">
            <w:pPr>
              <w:pStyle w:val="2"/>
              <w:rPr>
                <w:highlight w:val="none"/>
              </w:rPr>
            </w:pPr>
            <w:r>
              <w:rPr>
                <w:highlight w:val="none"/>
              </w:rPr>
              <w:t>50</w:t>
            </w:r>
          </w:p>
        </w:tc>
        <w:tc>
          <w:tcPr>
            <w:tcW w:w="478" w:type="pct"/>
            <w:noWrap w:val="0"/>
            <w:vAlign w:val="center"/>
          </w:tcPr>
          <w:p w14:paraId="22220626">
            <w:pPr>
              <w:pStyle w:val="2"/>
              <w:rPr>
                <w:highlight w:val="none"/>
              </w:rPr>
            </w:pPr>
            <w:r>
              <w:rPr>
                <w:highlight w:val="none"/>
              </w:rPr>
              <w:t>100</w:t>
            </w:r>
          </w:p>
        </w:tc>
        <w:tc>
          <w:tcPr>
            <w:tcW w:w="478" w:type="pct"/>
            <w:noWrap w:val="0"/>
            <w:vAlign w:val="center"/>
          </w:tcPr>
          <w:p w14:paraId="5C4D00BA">
            <w:pPr>
              <w:pStyle w:val="2"/>
              <w:rPr>
                <w:highlight w:val="none"/>
              </w:rPr>
            </w:pPr>
            <w:r>
              <w:rPr>
                <w:highlight w:val="none"/>
              </w:rPr>
              <w:t>150</w:t>
            </w:r>
          </w:p>
        </w:tc>
        <w:tc>
          <w:tcPr>
            <w:tcW w:w="478" w:type="pct"/>
            <w:noWrap w:val="0"/>
            <w:vAlign w:val="center"/>
          </w:tcPr>
          <w:p w14:paraId="4A479A07">
            <w:pPr>
              <w:pStyle w:val="2"/>
              <w:rPr>
                <w:highlight w:val="none"/>
              </w:rPr>
            </w:pPr>
            <w:r>
              <w:rPr>
                <w:highlight w:val="none"/>
              </w:rPr>
              <w:t>200</w:t>
            </w:r>
          </w:p>
        </w:tc>
        <w:tc>
          <w:tcPr>
            <w:tcW w:w="478" w:type="pct"/>
            <w:noWrap w:val="0"/>
            <w:vAlign w:val="center"/>
          </w:tcPr>
          <w:p w14:paraId="15F982B7">
            <w:pPr>
              <w:pStyle w:val="2"/>
              <w:rPr>
                <w:highlight w:val="none"/>
              </w:rPr>
            </w:pPr>
            <w:r>
              <w:rPr>
                <w:highlight w:val="none"/>
              </w:rPr>
              <w:t>250</w:t>
            </w:r>
          </w:p>
        </w:tc>
        <w:tc>
          <w:tcPr>
            <w:tcW w:w="478" w:type="pct"/>
            <w:noWrap w:val="0"/>
            <w:vAlign w:val="center"/>
          </w:tcPr>
          <w:p w14:paraId="15A87F24">
            <w:pPr>
              <w:pStyle w:val="2"/>
              <w:rPr>
                <w:highlight w:val="none"/>
              </w:rPr>
            </w:pPr>
            <w:r>
              <w:rPr>
                <w:highlight w:val="none"/>
              </w:rPr>
              <w:t>300</w:t>
            </w:r>
          </w:p>
        </w:tc>
        <w:tc>
          <w:tcPr>
            <w:tcW w:w="478" w:type="pct"/>
            <w:noWrap w:val="0"/>
            <w:vAlign w:val="center"/>
          </w:tcPr>
          <w:p w14:paraId="24FB41E8">
            <w:pPr>
              <w:pStyle w:val="2"/>
              <w:rPr>
                <w:highlight w:val="none"/>
              </w:rPr>
            </w:pPr>
            <w:r>
              <w:rPr>
                <w:highlight w:val="none"/>
              </w:rPr>
              <w:t>400</w:t>
            </w:r>
          </w:p>
        </w:tc>
        <w:tc>
          <w:tcPr>
            <w:tcW w:w="478" w:type="pct"/>
            <w:noWrap w:val="0"/>
            <w:vAlign w:val="center"/>
          </w:tcPr>
          <w:p w14:paraId="41E18B3A">
            <w:pPr>
              <w:pStyle w:val="2"/>
              <w:rPr>
                <w:highlight w:val="none"/>
              </w:rPr>
            </w:pPr>
            <w:r>
              <w:rPr>
                <w:highlight w:val="none"/>
              </w:rPr>
              <w:t>500</w:t>
            </w:r>
          </w:p>
        </w:tc>
      </w:tr>
      <w:tr w14:paraId="5467F60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696" w:type="pct"/>
            <w:noWrap w:val="0"/>
            <w:vAlign w:val="center"/>
          </w:tcPr>
          <w:p w14:paraId="7520D0A8">
            <w:pPr>
              <w:pStyle w:val="2"/>
              <w:rPr>
                <w:highlight w:val="none"/>
              </w:rPr>
            </w:pPr>
            <w:r>
              <w:rPr>
                <w:rFonts w:ascii="Cambria Math" w:hAnsi="Cambria Math" w:cs="Cambria Math"/>
                <w:highlight w:val="none"/>
              </w:rPr>
              <w:t>△</w:t>
            </w:r>
            <w:r>
              <w:rPr>
                <w:highlight w:val="none"/>
              </w:rPr>
              <w:t>L(dB(A))</w:t>
            </w:r>
          </w:p>
        </w:tc>
        <w:tc>
          <w:tcPr>
            <w:tcW w:w="478" w:type="pct"/>
            <w:noWrap w:val="0"/>
            <w:vAlign w:val="center"/>
          </w:tcPr>
          <w:p w14:paraId="1E3A08F0">
            <w:pPr>
              <w:pStyle w:val="2"/>
              <w:rPr>
                <w:highlight w:val="none"/>
              </w:rPr>
            </w:pPr>
            <w:r>
              <w:rPr>
                <w:highlight w:val="none"/>
              </w:rPr>
              <w:t>6.0</w:t>
            </w:r>
          </w:p>
        </w:tc>
        <w:tc>
          <w:tcPr>
            <w:tcW w:w="478" w:type="pct"/>
            <w:noWrap w:val="0"/>
            <w:vAlign w:val="center"/>
          </w:tcPr>
          <w:p w14:paraId="5D570433">
            <w:pPr>
              <w:pStyle w:val="2"/>
              <w:rPr>
                <w:highlight w:val="none"/>
              </w:rPr>
            </w:pPr>
            <w:r>
              <w:rPr>
                <w:highlight w:val="none"/>
              </w:rPr>
              <w:t>20.0</w:t>
            </w:r>
          </w:p>
        </w:tc>
        <w:tc>
          <w:tcPr>
            <w:tcW w:w="478" w:type="pct"/>
            <w:noWrap w:val="0"/>
            <w:vAlign w:val="center"/>
          </w:tcPr>
          <w:p w14:paraId="49EEC7F4">
            <w:pPr>
              <w:pStyle w:val="2"/>
              <w:rPr>
                <w:highlight w:val="none"/>
              </w:rPr>
            </w:pPr>
            <w:r>
              <w:rPr>
                <w:highlight w:val="none"/>
              </w:rPr>
              <w:t>26.0</w:t>
            </w:r>
          </w:p>
        </w:tc>
        <w:tc>
          <w:tcPr>
            <w:tcW w:w="478" w:type="pct"/>
            <w:noWrap w:val="0"/>
            <w:vAlign w:val="center"/>
          </w:tcPr>
          <w:p w14:paraId="052E5FD2">
            <w:pPr>
              <w:pStyle w:val="2"/>
              <w:rPr>
                <w:highlight w:val="none"/>
              </w:rPr>
            </w:pPr>
            <w:r>
              <w:rPr>
                <w:highlight w:val="none"/>
              </w:rPr>
              <w:t>29.5</w:t>
            </w:r>
          </w:p>
        </w:tc>
        <w:tc>
          <w:tcPr>
            <w:tcW w:w="478" w:type="pct"/>
            <w:noWrap w:val="0"/>
            <w:vAlign w:val="center"/>
          </w:tcPr>
          <w:p w14:paraId="7A4CC1C1">
            <w:pPr>
              <w:pStyle w:val="2"/>
              <w:rPr>
                <w:highlight w:val="none"/>
              </w:rPr>
            </w:pPr>
            <w:r>
              <w:rPr>
                <w:highlight w:val="none"/>
              </w:rPr>
              <w:t>32.0</w:t>
            </w:r>
          </w:p>
        </w:tc>
        <w:tc>
          <w:tcPr>
            <w:tcW w:w="478" w:type="pct"/>
            <w:noWrap w:val="0"/>
            <w:vAlign w:val="center"/>
          </w:tcPr>
          <w:p w14:paraId="0308DF97">
            <w:pPr>
              <w:pStyle w:val="2"/>
              <w:rPr>
                <w:highlight w:val="none"/>
              </w:rPr>
            </w:pPr>
            <w:r>
              <w:rPr>
                <w:highlight w:val="none"/>
              </w:rPr>
              <w:t>34.0</w:t>
            </w:r>
          </w:p>
        </w:tc>
        <w:tc>
          <w:tcPr>
            <w:tcW w:w="478" w:type="pct"/>
            <w:noWrap w:val="0"/>
            <w:vAlign w:val="center"/>
          </w:tcPr>
          <w:p w14:paraId="2DF404EF">
            <w:pPr>
              <w:pStyle w:val="2"/>
              <w:rPr>
                <w:highlight w:val="none"/>
              </w:rPr>
            </w:pPr>
            <w:r>
              <w:rPr>
                <w:highlight w:val="none"/>
              </w:rPr>
              <w:t>35.6</w:t>
            </w:r>
          </w:p>
        </w:tc>
        <w:tc>
          <w:tcPr>
            <w:tcW w:w="478" w:type="pct"/>
            <w:noWrap w:val="0"/>
            <w:vAlign w:val="center"/>
          </w:tcPr>
          <w:p w14:paraId="11C04697">
            <w:pPr>
              <w:pStyle w:val="2"/>
              <w:rPr>
                <w:highlight w:val="none"/>
              </w:rPr>
            </w:pPr>
            <w:r>
              <w:rPr>
                <w:highlight w:val="none"/>
              </w:rPr>
              <w:t>38.1</w:t>
            </w:r>
          </w:p>
        </w:tc>
        <w:tc>
          <w:tcPr>
            <w:tcW w:w="478" w:type="pct"/>
            <w:noWrap w:val="0"/>
            <w:vAlign w:val="center"/>
          </w:tcPr>
          <w:p w14:paraId="4978BD2E">
            <w:pPr>
              <w:pStyle w:val="2"/>
              <w:rPr>
                <w:highlight w:val="none"/>
              </w:rPr>
            </w:pPr>
            <w:r>
              <w:rPr>
                <w:highlight w:val="none"/>
              </w:rPr>
              <w:t>40.0</w:t>
            </w:r>
          </w:p>
        </w:tc>
      </w:tr>
    </w:tbl>
    <w:p w14:paraId="09D51F04">
      <w:pPr>
        <w:ind w:firstLine="480"/>
        <w:rPr>
          <w:rFonts w:ascii="Times New Roman" w:hAnsi="Times New Roman"/>
          <w:highlight w:val="none"/>
        </w:rPr>
      </w:pPr>
      <w:r>
        <w:rPr>
          <w:rFonts w:ascii="Times New Roman" w:hAnsi="Times New Roman"/>
          <w:highlight w:val="none"/>
        </w:rPr>
        <w:t>项目施工噪声随距离衰减后的情况如表5</w:t>
      </w:r>
      <w:r>
        <w:rPr>
          <w:rFonts w:hint="eastAsia" w:ascii="Times New Roman" w:hAnsi="Times New Roman"/>
          <w:highlight w:val="none"/>
        </w:rPr>
        <w:t>.1-5</w:t>
      </w:r>
      <w:r>
        <w:rPr>
          <w:rFonts w:ascii="Times New Roman" w:hAnsi="Times New Roman"/>
          <w:highlight w:val="none"/>
        </w:rPr>
        <w:t>所示。</w:t>
      </w:r>
    </w:p>
    <w:p w14:paraId="76D95E3C">
      <w:pPr>
        <w:pStyle w:val="7"/>
        <w:ind w:firstLine="0" w:firstLineChars="0"/>
        <w:jc w:val="center"/>
        <w:rPr>
          <w:rFonts w:ascii="Times New Roman" w:hAnsi="Times New Roman"/>
          <w:highlight w:val="none"/>
        </w:rPr>
      </w:pPr>
      <w:r>
        <w:rPr>
          <w:rFonts w:hint="eastAsia" w:ascii="黑体" w:hAnsi="黑体" w:eastAsia="黑体" w:cs="黑体"/>
          <w:b w:val="0"/>
          <w:bCs w:val="0"/>
          <w:highlight w:val="none"/>
        </w:rPr>
        <w:t>表</w:t>
      </w:r>
      <w:r>
        <w:rPr>
          <w:rFonts w:ascii="Times New Roman" w:hAnsi="Times New Roman"/>
          <w:b w:val="0"/>
          <w:bCs w:val="0"/>
          <w:highlight w:val="none"/>
        </w:rPr>
        <w:t>5.1-5</w:t>
      </w:r>
      <w:r>
        <w:rPr>
          <w:rFonts w:hint="eastAsia" w:ascii="黑体" w:hAnsi="黑体" w:eastAsia="黑体" w:cs="黑体"/>
          <w:b w:val="0"/>
          <w:bCs w:val="0"/>
          <w:highlight w:val="none"/>
        </w:rPr>
        <w:t>施工噪声随距离的衰减值</w:t>
      </w:r>
    </w:p>
    <w:tbl>
      <w:tblPr>
        <w:tblStyle w:val="17"/>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28" w:type="dxa"/>
          <w:left w:w="108" w:type="dxa"/>
          <w:bottom w:w="28" w:type="dxa"/>
          <w:right w:w="108" w:type="dxa"/>
        </w:tblCellMar>
      </w:tblPr>
      <w:tblGrid>
        <w:gridCol w:w="2062"/>
        <w:gridCol w:w="672"/>
        <w:gridCol w:w="672"/>
        <w:gridCol w:w="627"/>
        <w:gridCol w:w="644"/>
        <w:gridCol w:w="644"/>
        <w:gridCol w:w="644"/>
        <w:gridCol w:w="644"/>
        <w:gridCol w:w="644"/>
        <w:gridCol w:w="644"/>
        <w:gridCol w:w="625"/>
      </w:tblGrid>
      <w:tr w14:paraId="2357836C">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28" w:type="dxa"/>
            <w:left w:w="108" w:type="dxa"/>
            <w:bottom w:w="28" w:type="dxa"/>
            <w:right w:w="108" w:type="dxa"/>
          </w:tblCellMar>
        </w:tblPrEx>
        <w:trPr>
          <w:trHeight w:val="22" w:hRule="atLeast"/>
          <w:jc w:val="center"/>
        </w:trPr>
        <w:tc>
          <w:tcPr>
            <w:tcW w:w="1210" w:type="pct"/>
            <w:noWrap w:val="0"/>
            <w:vAlign w:val="center"/>
          </w:tcPr>
          <w:p w14:paraId="6A4CB7A4">
            <w:pPr>
              <w:pStyle w:val="2"/>
              <w:rPr>
                <w:highlight w:val="none"/>
              </w:rPr>
            </w:pPr>
            <w:r>
              <w:rPr>
                <w:highlight w:val="none"/>
              </w:rPr>
              <w:t>距离(m)</w:t>
            </w:r>
          </w:p>
        </w:tc>
        <w:tc>
          <w:tcPr>
            <w:tcW w:w="394" w:type="pct"/>
            <w:noWrap w:val="0"/>
            <w:vAlign w:val="top"/>
          </w:tcPr>
          <w:p w14:paraId="717E5E89">
            <w:pPr>
              <w:pStyle w:val="2"/>
              <w:rPr>
                <w:highlight w:val="none"/>
              </w:rPr>
            </w:pPr>
            <w:r>
              <w:rPr>
                <w:highlight w:val="none"/>
              </w:rPr>
              <w:t>5</w:t>
            </w:r>
          </w:p>
        </w:tc>
        <w:tc>
          <w:tcPr>
            <w:tcW w:w="394" w:type="pct"/>
            <w:noWrap w:val="0"/>
            <w:vAlign w:val="center"/>
          </w:tcPr>
          <w:p w14:paraId="4377A81A">
            <w:pPr>
              <w:pStyle w:val="2"/>
              <w:rPr>
                <w:highlight w:val="none"/>
              </w:rPr>
            </w:pPr>
            <w:r>
              <w:rPr>
                <w:highlight w:val="none"/>
              </w:rPr>
              <w:t>10</w:t>
            </w:r>
          </w:p>
        </w:tc>
        <w:tc>
          <w:tcPr>
            <w:tcW w:w="368" w:type="pct"/>
            <w:noWrap w:val="0"/>
            <w:vAlign w:val="center"/>
          </w:tcPr>
          <w:p w14:paraId="66AE358A">
            <w:pPr>
              <w:pStyle w:val="2"/>
              <w:rPr>
                <w:highlight w:val="none"/>
              </w:rPr>
            </w:pPr>
            <w:r>
              <w:rPr>
                <w:highlight w:val="none"/>
              </w:rPr>
              <w:t>50</w:t>
            </w:r>
          </w:p>
        </w:tc>
        <w:tc>
          <w:tcPr>
            <w:tcW w:w="378" w:type="pct"/>
            <w:noWrap w:val="0"/>
            <w:vAlign w:val="center"/>
          </w:tcPr>
          <w:p w14:paraId="2F112687">
            <w:pPr>
              <w:pStyle w:val="2"/>
              <w:rPr>
                <w:highlight w:val="none"/>
              </w:rPr>
            </w:pPr>
            <w:r>
              <w:rPr>
                <w:highlight w:val="none"/>
              </w:rPr>
              <w:t>100</w:t>
            </w:r>
          </w:p>
        </w:tc>
        <w:tc>
          <w:tcPr>
            <w:tcW w:w="378" w:type="pct"/>
            <w:noWrap w:val="0"/>
            <w:vAlign w:val="center"/>
          </w:tcPr>
          <w:p w14:paraId="2F2391D4">
            <w:pPr>
              <w:pStyle w:val="2"/>
              <w:rPr>
                <w:highlight w:val="none"/>
              </w:rPr>
            </w:pPr>
            <w:r>
              <w:rPr>
                <w:highlight w:val="none"/>
              </w:rPr>
              <w:t>150</w:t>
            </w:r>
          </w:p>
        </w:tc>
        <w:tc>
          <w:tcPr>
            <w:tcW w:w="378" w:type="pct"/>
            <w:noWrap w:val="0"/>
            <w:vAlign w:val="center"/>
          </w:tcPr>
          <w:p w14:paraId="7858F375">
            <w:pPr>
              <w:pStyle w:val="2"/>
              <w:rPr>
                <w:highlight w:val="none"/>
              </w:rPr>
            </w:pPr>
            <w:r>
              <w:rPr>
                <w:highlight w:val="none"/>
              </w:rPr>
              <w:t>200</w:t>
            </w:r>
          </w:p>
        </w:tc>
        <w:tc>
          <w:tcPr>
            <w:tcW w:w="378" w:type="pct"/>
            <w:noWrap w:val="0"/>
            <w:vAlign w:val="center"/>
          </w:tcPr>
          <w:p w14:paraId="2DE6E5BE">
            <w:pPr>
              <w:pStyle w:val="2"/>
              <w:rPr>
                <w:highlight w:val="none"/>
              </w:rPr>
            </w:pPr>
            <w:r>
              <w:rPr>
                <w:highlight w:val="none"/>
              </w:rPr>
              <w:t>250</w:t>
            </w:r>
          </w:p>
        </w:tc>
        <w:tc>
          <w:tcPr>
            <w:tcW w:w="378" w:type="pct"/>
            <w:noWrap w:val="0"/>
            <w:vAlign w:val="center"/>
          </w:tcPr>
          <w:p w14:paraId="42FC35D9">
            <w:pPr>
              <w:pStyle w:val="2"/>
              <w:rPr>
                <w:highlight w:val="none"/>
              </w:rPr>
            </w:pPr>
            <w:r>
              <w:rPr>
                <w:highlight w:val="none"/>
              </w:rPr>
              <w:t>300</w:t>
            </w:r>
          </w:p>
        </w:tc>
        <w:tc>
          <w:tcPr>
            <w:tcW w:w="378" w:type="pct"/>
            <w:noWrap w:val="0"/>
            <w:vAlign w:val="center"/>
          </w:tcPr>
          <w:p w14:paraId="19C1ADEE">
            <w:pPr>
              <w:pStyle w:val="2"/>
              <w:rPr>
                <w:highlight w:val="none"/>
              </w:rPr>
            </w:pPr>
            <w:r>
              <w:rPr>
                <w:highlight w:val="none"/>
              </w:rPr>
              <w:t>400</w:t>
            </w:r>
          </w:p>
        </w:tc>
        <w:tc>
          <w:tcPr>
            <w:tcW w:w="366" w:type="pct"/>
            <w:noWrap w:val="0"/>
            <w:vAlign w:val="center"/>
          </w:tcPr>
          <w:p w14:paraId="0338354F">
            <w:pPr>
              <w:pStyle w:val="2"/>
              <w:rPr>
                <w:highlight w:val="none"/>
              </w:rPr>
            </w:pPr>
            <w:r>
              <w:rPr>
                <w:highlight w:val="none"/>
              </w:rPr>
              <w:t>500</w:t>
            </w:r>
          </w:p>
        </w:tc>
      </w:tr>
      <w:tr w14:paraId="638FB8FB">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28" w:type="dxa"/>
            <w:left w:w="108" w:type="dxa"/>
            <w:bottom w:w="28" w:type="dxa"/>
            <w:right w:w="108" w:type="dxa"/>
          </w:tblCellMar>
        </w:tblPrEx>
        <w:trPr>
          <w:trHeight w:val="37" w:hRule="atLeast"/>
          <w:jc w:val="center"/>
        </w:trPr>
        <w:tc>
          <w:tcPr>
            <w:tcW w:w="1210" w:type="pct"/>
            <w:noWrap w:val="0"/>
            <w:vAlign w:val="center"/>
          </w:tcPr>
          <w:p w14:paraId="269EF752">
            <w:pPr>
              <w:pStyle w:val="2"/>
              <w:rPr>
                <w:highlight w:val="none"/>
              </w:rPr>
            </w:pPr>
            <w:r>
              <w:rPr>
                <w:highlight w:val="none"/>
              </w:rPr>
              <w:t>挖掘机</w:t>
            </w:r>
          </w:p>
        </w:tc>
        <w:tc>
          <w:tcPr>
            <w:tcW w:w="394" w:type="pct"/>
            <w:noWrap w:val="0"/>
            <w:vAlign w:val="top"/>
          </w:tcPr>
          <w:p w14:paraId="69C00398">
            <w:pPr>
              <w:pStyle w:val="2"/>
              <w:rPr>
                <w:highlight w:val="none"/>
              </w:rPr>
            </w:pPr>
            <w:r>
              <w:rPr>
                <w:highlight w:val="none"/>
              </w:rPr>
              <w:t>85</w:t>
            </w:r>
          </w:p>
        </w:tc>
        <w:tc>
          <w:tcPr>
            <w:tcW w:w="394" w:type="pct"/>
            <w:noWrap w:val="0"/>
            <w:vAlign w:val="center"/>
          </w:tcPr>
          <w:p w14:paraId="26C1BCD3">
            <w:pPr>
              <w:pStyle w:val="2"/>
              <w:rPr>
                <w:highlight w:val="none"/>
              </w:rPr>
            </w:pPr>
            <w:r>
              <w:rPr>
                <w:highlight w:val="none"/>
              </w:rPr>
              <w:t>79</w:t>
            </w:r>
          </w:p>
        </w:tc>
        <w:tc>
          <w:tcPr>
            <w:tcW w:w="368" w:type="pct"/>
            <w:noWrap w:val="0"/>
            <w:vAlign w:val="center"/>
          </w:tcPr>
          <w:p w14:paraId="650DA060">
            <w:pPr>
              <w:pStyle w:val="2"/>
              <w:rPr>
                <w:highlight w:val="none"/>
              </w:rPr>
            </w:pPr>
            <w:r>
              <w:rPr>
                <w:highlight w:val="none"/>
              </w:rPr>
              <w:t>65</w:t>
            </w:r>
          </w:p>
        </w:tc>
        <w:tc>
          <w:tcPr>
            <w:tcW w:w="378" w:type="pct"/>
            <w:noWrap w:val="0"/>
            <w:vAlign w:val="center"/>
          </w:tcPr>
          <w:p w14:paraId="7E442CE7">
            <w:pPr>
              <w:pStyle w:val="2"/>
              <w:rPr>
                <w:highlight w:val="none"/>
              </w:rPr>
            </w:pPr>
            <w:r>
              <w:rPr>
                <w:highlight w:val="none"/>
              </w:rPr>
              <w:t>59</w:t>
            </w:r>
          </w:p>
        </w:tc>
        <w:tc>
          <w:tcPr>
            <w:tcW w:w="378" w:type="pct"/>
            <w:noWrap w:val="0"/>
            <w:vAlign w:val="center"/>
          </w:tcPr>
          <w:p w14:paraId="110CFAC6">
            <w:pPr>
              <w:pStyle w:val="2"/>
              <w:rPr>
                <w:highlight w:val="none"/>
              </w:rPr>
            </w:pPr>
            <w:r>
              <w:rPr>
                <w:highlight w:val="none"/>
              </w:rPr>
              <w:t>55.5</w:t>
            </w:r>
          </w:p>
        </w:tc>
        <w:tc>
          <w:tcPr>
            <w:tcW w:w="378" w:type="pct"/>
            <w:noWrap w:val="0"/>
            <w:vAlign w:val="center"/>
          </w:tcPr>
          <w:p w14:paraId="1082A4A2">
            <w:pPr>
              <w:pStyle w:val="2"/>
              <w:rPr>
                <w:highlight w:val="none"/>
              </w:rPr>
            </w:pPr>
            <w:r>
              <w:rPr>
                <w:highlight w:val="none"/>
              </w:rPr>
              <w:t>53</w:t>
            </w:r>
          </w:p>
        </w:tc>
        <w:tc>
          <w:tcPr>
            <w:tcW w:w="378" w:type="pct"/>
            <w:noWrap w:val="0"/>
            <w:vAlign w:val="center"/>
          </w:tcPr>
          <w:p w14:paraId="2CDA2AE6">
            <w:pPr>
              <w:pStyle w:val="2"/>
              <w:rPr>
                <w:highlight w:val="none"/>
              </w:rPr>
            </w:pPr>
            <w:r>
              <w:rPr>
                <w:highlight w:val="none"/>
              </w:rPr>
              <w:t>51</w:t>
            </w:r>
          </w:p>
        </w:tc>
        <w:tc>
          <w:tcPr>
            <w:tcW w:w="378" w:type="pct"/>
            <w:noWrap w:val="0"/>
            <w:vAlign w:val="center"/>
          </w:tcPr>
          <w:p w14:paraId="407089B5">
            <w:pPr>
              <w:pStyle w:val="2"/>
              <w:rPr>
                <w:highlight w:val="none"/>
              </w:rPr>
            </w:pPr>
            <w:r>
              <w:rPr>
                <w:highlight w:val="none"/>
              </w:rPr>
              <w:t>49.4</w:t>
            </w:r>
          </w:p>
        </w:tc>
        <w:tc>
          <w:tcPr>
            <w:tcW w:w="378" w:type="pct"/>
            <w:noWrap w:val="0"/>
            <w:vAlign w:val="center"/>
          </w:tcPr>
          <w:p w14:paraId="3C550893">
            <w:pPr>
              <w:pStyle w:val="2"/>
              <w:rPr>
                <w:highlight w:val="none"/>
              </w:rPr>
            </w:pPr>
            <w:r>
              <w:rPr>
                <w:highlight w:val="none"/>
              </w:rPr>
              <w:t>46.9</w:t>
            </w:r>
          </w:p>
        </w:tc>
        <w:tc>
          <w:tcPr>
            <w:tcW w:w="366" w:type="pct"/>
            <w:noWrap w:val="0"/>
            <w:vAlign w:val="center"/>
          </w:tcPr>
          <w:p w14:paraId="375A9D27">
            <w:pPr>
              <w:pStyle w:val="2"/>
              <w:rPr>
                <w:highlight w:val="none"/>
              </w:rPr>
            </w:pPr>
            <w:r>
              <w:rPr>
                <w:highlight w:val="none"/>
              </w:rPr>
              <w:t>45</w:t>
            </w:r>
          </w:p>
        </w:tc>
      </w:tr>
      <w:tr w14:paraId="32922FA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28" w:type="dxa"/>
            <w:left w:w="108" w:type="dxa"/>
            <w:bottom w:w="28" w:type="dxa"/>
            <w:right w:w="108" w:type="dxa"/>
          </w:tblCellMar>
        </w:tblPrEx>
        <w:trPr>
          <w:trHeight w:val="37" w:hRule="atLeast"/>
          <w:jc w:val="center"/>
        </w:trPr>
        <w:tc>
          <w:tcPr>
            <w:tcW w:w="1210" w:type="pct"/>
            <w:noWrap w:val="0"/>
            <w:vAlign w:val="center"/>
          </w:tcPr>
          <w:p w14:paraId="6D38CBF1">
            <w:pPr>
              <w:pStyle w:val="2"/>
              <w:rPr>
                <w:highlight w:val="none"/>
              </w:rPr>
            </w:pPr>
            <w:r>
              <w:rPr>
                <w:highlight w:val="none"/>
              </w:rPr>
              <w:t>推土机</w:t>
            </w:r>
          </w:p>
        </w:tc>
        <w:tc>
          <w:tcPr>
            <w:tcW w:w="394" w:type="pct"/>
            <w:noWrap w:val="0"/>
            <w:vAlign w:val="top"/>
          </w:tcPr>
          <w:p w14:paraId="18A7D1CA">
            <w:pPr>
              <w:pStyle w:val="2"/>
              <w:rPr>
                <w:highlight w:val="none"/>
              </w:rPr>
            </w:pPr>
            <w:r>
              <w:rPr>
                <w:highlight w:val="none"/>
              </w:rPr>
              <w:t>80</w:t>
            </w:r>
          </w:p>
        </w:tc>
        <w:tc>
          <w:tcPr>
            <w:tcW w:w="394" w:type="pct"/>
            <w:noWrap w:val="0"/>
            <w:vAlign w:val="center"/>
          </w:tcPr>
          <w:p w14:paraId="07CE423F">
            <w:pPr>
              <w:pStyle w:val="2"/>
              <w:rPr>
                <w:highlight w:val="none"/>
              </w:rPr>
            </w:pPr>
            <w:r>
              <w:rPr>
                <w:highlight w:val="none"/>
              </w:rPr>
              <w:t>74</w:t>
            </w:r>
          </w:p>
        </w:tc>
        <w:tc>
          <w:tcPr>
            <w:tcW w:w="368" w:type="pct"/>
            <w:noWrap w:val="0"/>
            <w:vAlign w:val="center"/>
          </w:tcPr>
          <w:p w14:paraId="2C8590BB">
            <w:pPr>
              <w:pStyle w:val="2"/>
              <w:rPr>
                <w:highlight w:val="none"/>
              </w:rPr>
            </w:pPr>
            <w:r>
              <w:rPr>
                <w:highlight w:val="none"/>
              </w:rPr>
              <w:t>60</w:t>
            </w:r>
          </w:p>
        </w:tc>
        <w:tc>
          <w:tcPr>
            <w:tcW w:w="378" w:type="pct"/>
            <w:noWrap w:val="0"/>
            <w:vAlign w:val="center"/>
          </w:tcPr>
          <w:p w14:paraId="24DCAC7F">
            <w:pPr>
              <w:pStyle w:val="2"/>
              <w:rPr>
                <w:highlight w:val="none"/>
              </w:rPr>
            </w:pPr>
            <w:r>
              <w:rPr>
                <w:highlight w:val="none"/>
              </w:rPr>
              <w:t>54</w:t>
            </w:r>
          </w:p>
        </w:tc>
        <w:tc>
          <w:tcPr>
            <w:tcW w:w="378" w:type="pct"/>
            <w:noWrap w:val="0"/>
            <w:vAlign w:val="center"/>
          </w:tcPr>
          <w:p w14:paraId="5EF1EFCA">
            <w:pPr>
              <w:pStyle w:val="2"/>
              <w:rPr>
                <w:highlight w:val="none"/>
              </w:rPr>
            </w:pPr>
            <w:r>
              <w:rPr>
                <w:highlight w:val="none"/>
              </w:rPr>
              <w:t>50.5</w:t>
            </w:r>
          </w:p>
        </w:tc>
        <w:tc>
          <w:tcPr>
            <w:tcW w:w="378" w:type="pct"/>
            <w:noWrap w:val="0"/>
            <w:vAlign w:val="center"/>
          </w:tcPr>
          <w:p w14:paraId="31CE89AB">
            <w:pPr>
              <w:pStyle w:val="2"/>
              <w:rPr>
                <w:highlight w:val="none"/>
              </w:rPr>
            </w:pPr>
            <w:r>
              <w:rPr>
                <w:highlight w:val="none"/>
              </w:rPr>
              <w:t>48</w:t>
            </w:r>
          </w:p>
        </w:tc>
        <w:tc>
          <w:tcPr>
            <w:tcW w:w="378" w:type="pct"/>
            <w:noWrap w:val="0"/>
            <w:vAlign w:val="center"/>
          </w:tcPr>
          <w:p w14:paraId="3576BC7D">
            <w:pPr>
              <w:pStyle w:val="2"/>
              <w:rPr>
                <w:highlight w:val="none"/>
              </w:rPr>
            </w:pPr>
            <w:r>
              <w:rPr>
                <w:highlight w:val="none"/>
              </w:rPr>
              <w:t>46</w:t>
            </w:r>
          </w:p>
        </w:tc>
        <w:tc>
          <w:tcPr>
            <w:tcW w:w="378" w:type="pct"/>
            <w:noWrap w:val="0"/>
            <w:vAlign w:val="center"/>
          </w:tcPr>
          <w:p w14:paraId="39F1B135">
            <w:pPr>
              <w:pStyle w:val="2"/>
              <w:rPr>
                <w:highlight w:val="none"/>
              </w:rPr>
            </w:pPr>
            <w:r>
              <w:rPr>
                <w:highlight w:val="none"/>
              </w:rPr>
              <w:t>44.4</w:t>
            </w:r>
          </w:p>
        </w:tc>
        <w:tc>
          <w:tcPr>
            <w:tcW w:w="378" w:type="pct"/>
            <w:noWrap w:val="0"/>
            <w:vAlign w:val="center"/>
          </w:tcPr>
          <w:p w14:paraId="6400AB2A">
            <w:pPr>
              <w:pStyle w:val="2"/>
              <w:rPr>
                <w:highlight w:val="none"/>
              </w:rPr>
            </w:pPr>
            <w:r>
              <w:rPr>
                <w:highlight w:val="none"/>
              </w:rPr>
              <w:t>41.9</w:t>
            </w:r>
          </w:p>
        </w:tc>
        <w:tc>
          <w:tcPr>
            <w:tcW w:w="366" w:type="pct"/>
            <w:noWrap w:val="0"/>
            <w:vAlign w:val="center"/>
          </w:tcPr>
          <w:p w14:paraId="49913153">
            <w:pPr>
              <w:pStyle w:val="2"/>
              <w:rPr>
                <w:highlight w:val="none"/>
              </w:rPr>
            </w:pPr>
            <w:r>
              <w:rPr>
                <w:highlight w:val="none"/>
              </w:rPr>
              <w:t>40</w:t>
            </w:r>
          </w:p>
        </w:tc>
      </w:tr>
      <w:tr w14:paraId="3D08488A">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28" w:type="dxa"/>
            <w:left w:w="108" w:type="dxa"/>
            <w:bottom w:w="28" w:type="dxa"/>
            <w:right w:w="108" w:type="dxa"/>
          </w:tblCellMar>
        </w:tblPrEx>
        <w:trPr>
          <w:trHeight w:val="37" w:hRule="atLeast"/>
          <w:jc w:val="center"/>
        </w:trPr>
        <w:tc>
          <w:tcPr>
            <w:tcW w:w="1210" w:type="pct"/>
            <w:noWrap w:val="0"/>
            <w:vAlign w:val="center"/>
          </w:tcPr>
          <w:p w14:paraId="0C5191DB">
            <w:pPr>
              <w:pStyle w:val="2"/>
              <w:rPr>
                <w:highlight w:val="none"/>
              </w:rPr>
            </w:pPr>
            <w:r>
              <w:rPr>
                <w:highlight w:val="none"/>
              </w:rPr>
              <w:t>打桩机</w:t>
            </w:r>
          </w:p>
        </w:tc>
        <w:tc>
          <w:tcPr>
            <w:tcW w:w="394" w:type="pct"/>
            <w:noWrap w:val="0"/>
            <w:vAlign w:val="top"/>
          </w:tcPr>
          <w:p w14:paraId="146EF613">
            <w:pPr>
              <w:pStyle w:val="2"/>
              <w:rPr>
                <w:highlight w:val="none"/>
              </w:rPr>
            </w:pPr>
            <w:r>
              <w:rPr>
                <w:highlight w:val="none"/>
              </w:rPr>
              <w:t>80</w:t>
            </w:r>
          </w:p>
        </w:tc>
        <w:tc>
          <w:tcPr>
            <w:tcW w:w="394" w:type="pct"/>
            <w:noWrap w:val="0"/>
            <w:vAlign w:val="center"/>
          </w:tcPr>
          <w:p w14:paraId="074A5405">
            <w:pPr>
              <w:pStyle w:val="2"/>
              <w:rPr>
                <w:highlight w:val="none"/>
              </w:rPr>
            </w:pPr>
            <w:r>
              <w:rPr>
                <w:highlight w:val="none"/>
              </w:rPr>
              <w:t>72</w:t>
            </w:r>
          </w:p>
        </w:tc>
        <w:tc>
          <w:tcPr>
            <w:tcW w:w="368" w:type="pct"/>
            <w:noWrap w:val="0"/>
            <w:vAlign w:val="center"/>
          </w:tcPr>
          <w:p w14:paraId="22F89A6D">
            <w:pPr>
              <w:pStyle w:val="2"/>
              <w:rPr>
                <w:highlight w:val="none"/>
              </w:rPr>
            </w:pPr>
            <w:r>
              <w:rPr>
                <w:highlight w:val="none"/>
              </w:rPr>
              <w:t>58</w:t>
            </w:r>
          </w:p>
        </w:tc>
        <w:tc>
          <w:tcPr>
            <w:tcW w:w="378" w:type="pct"/>
            <w:noWrap w:val="0"/>
            <w:vAlign w:val="center"/>
          </w:tcPr>
          <w:p w14:paraId="7ECA259B">
            <w:pPr>
              <w:pStyle w:val="2"/>
              <w:rPr>
                <w:highlight w:val="none"/>
              </w:rPr>
            </w:pPr>
            <w:r>
              <w:rPr>
                <w:highlight w:val="none"/>
              </w:rPr>
              <w:t>52</w:t>
            </w:r>
          </w:p>
        </w:tc>
        <w:tc>
          <w:tcPr>
            <w:tcW w:w="378" w:type="pct"/>
            <w:noWrap w:val="0"/>
            <w:vAlign w:val="center"/>
          </w:tcPr>
          <w:p w14:paraId="5D710815">
            <w:pPr>
              <w:pStyle w:val="2"/>
              <w:rPr>
                <w:highlight w:val="none"/>
              </w:rPr>
            </w:pPr>
            <w:r>
              <w:rPr>
                <w:highlight w:val="none"/>
              </w:rPr>
              <w:t>48.5</w:t>
            </w:r>
          </w:p>
        </w:tc>
        <w:tc>
          <w:tcPr>
            <w:tcW w:w="378" w:type="pct"/>
            <w:noWrap w:val="0"/>
            <w:vAlign w:val="center"/>
          </w:tcPr>
          <w:p w14:paraId="24D694E2">
            <w:pPr>
              <w:pStyle w:val="2"/>
              <w:rPr>
                <w:highlight w:val="none"/>
              </w:rPr>
            </w:pPr>
            <w:r>
              <w:rPr>
                <w:highlight w:val="none"/>
              </w:rPr>
              <w:t>46</w:t>
            </w:r>
          </w:p>
        </w:tc>
        <w:tc>
          <w:tcPr>
            <w:tcW w:w="378" w:type="pct"/>
            <w:noWrap w:val="0"/>
            <w:vAlign w:val="center"/>
          </w:tcPr>
          <w:p w14:paraId="5B9DD505">
            <w:pPr>
              <w:pStyle w:val="2"/>
              <w:rPr>
                <w:highlight w:val="none"/>
              </w:rPr>
            </w:pPr>
            <w:r>
              <w:rPr>
                <w:highlight w:val="none"/>
              </w:rPr>
              <w:t>44</w:t>
            </w:r>
          </w:p>
        </w:tc>
        <w:tc>
          <w:tcPr>
            <w:tcW w:w="378" w:type="pct"/>
            <w:noWrap w:val="0"/>
            <w:vAlign w:val="center"/>
          </w:tcPr>
          <w:p w14:paraId="7196192D">
            <w:pPr>
              <w:pStyle w:val="2"/>
              <w:rPr>
                <w:highlight w:val="none"/>
              </w:rPr>
            </w:pPr>
            <w:r>
              <w:rPr>
                <w:highlight w:val="none"/>
              </w:rPr>
              <w:t>42.4</w:t>
            </w:r>
          </w:p>
        </w:tc>
        <w:tc>
          <w:tcPr>
            <w:tcW w:w="378" w:type="pct"/>
            <w:noWrap w:val="0"/>
            <w:vAlign w:val="center"/>
          </w:tcPr>
          <w:p w14:paraId="46891649">
            <w:pPr>
              <w:pStyle w:val="2"/>
              <w:rPr>
                <w:highlight w:val="none"/>
              </w:rPr>
            </w:pPr>
            <w:r>
              <w:rPr>
                <w:highlight w:val="none"/>
              </w:rPr>
              <w:t>39.9</w:t>
            </w:r>
          </w:p>
        </w:tc>
        <w:tc>
          <w:tcPr>
            <w:tcW w:w="366" w:type="pct"/>
            <w:noWrap w:val="0"/>
            <w:vAlign w:val="center"/>
          </w:tcPr>
          <w:p w14:paraId="149A10D9">
            <w:pPr>
              <w:pStyle w:val="2"/>
              <w:rPr>
                <w:highlight w:val="none"/>
              </w:rPr>
            </w:pPr>
            <w:r>
              <w:rPr>
                <w:highlight w:val="none"/>
              </w:rPr>
              <w:t>38</w:t>
            </w:r>
          </w:p>
        </w:tc>
      </w:tr>
      <w:tr w14:paraId="177F6001">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28" w:type="dxa"/>
            <w:left w:w="108" w:type="dxa"/>
            <w:bottom w:w="28" w:type="dxa"/>
            <w:right w:w="108" w:type="dxa"/>
          </w:tblCellMar>
        </w:tblPrEx>
        <w:trPr>
          <w:trHeight w:val="37" w:hRule="atLeast"/>
          <w:jc w:val="center"/>
        </w:trPr>
        <w:tc>
          <w:tcPr>
            <w:tcW w:w="1210" w:type="pct"/>
            <w:noWrap w:val="0"/>
            <w:vAlign w:val="center"/>
          </w:tcPr>
          <w:p w14:paraId="75898D6C">
            <w:pPr>
              <w:pStyle w:val="2"/>
              <w:rPr>
                <w:highlight w:val="none"/>
              </w:rPr>
            </w:pPr>
            <w:r>
              <w:rPr>
                <w:highlight w:val="none"/>
              </w:rPr>
              <w:t>装载机</w:t>
            </w:r>
          </w:p>
        </w:tc>
        <w:tc>
          <w:tcPr>
            <w:tcW w:w="394" w:type="pct"/>
            <w:noWrap w:val="0"/>
            <w:vAlign w:val="top"/>
          </w:tcPr>
          <w:p w14:paraId="2D903E61">
            <w:pPr>
              <w:pStyle w:val="2"/>
              <w:rPr>
                <w:highlight w:val="none"/>
              </w:rPr>
            </w:pPr>
            <w:r>
              <w:rPr>
                <w:highlight w:val="none"/>
              </w:rPr>
              <w:t>80</w:t>
            </w:r>
          </w:p>
        </w:tc>
        <w:tc>
          <w:tcPr>
            <w:tcW w:w="394" w:type="pct"/>
            <w:noWrap w:val="0"/>
            <w:vAlign w:val="center"/>
          </w:tcPr>
          <w:p w14:paraId="351829EF">
            <w:pPr>
              <w:pStyle w:val="2"/>
              <w:rPr>
                <w:highlight w:val="none"/>
              </w:rPr>
            </w:pPr>
            <w:r>
              <w:rPr>
                <w:highlight w:val="none"/>
              </w:rPr>
              <w:t>74</w:t>
            </w:r>
          </w:p>
        </w:tc>
        <w:tc>
          <w:tcPr>
            <w:tcW w:w="368" w:type="pct"/>
            <w:noWrap w:val="0"/>
            <w:vAlign w:val="center"/>
          </w:tcPr>
          <w:p w14:paraId="0FC08D06">
            <w:pPr>
              <w:pStyle w:val="2"/>
              <w:rPr>
                <w:highlight w:val="none"/>
              </w:rPr>
            </w:pPr>
            <w:r>
              <w:rPr>
                <w:highlight w:val="none"/>
              </w:rPr>
              <w:t>60</w:t>
            </w:r>
          </w:p>
        </w:tc>
        <w:tc>
          <w:tcPr>
            <w:tcW w:w="378" w:type="pct"/>
            <w:noWrap w:val="0"/>
            <w:vAlign w:val="center"/>
          </w:tcPr>
          <w:p w14:paraId="014BBCD7">
            <w:pPr>
              <w:pStyle w:val="2"/>
              <w:rPr>
                <w:highlight w:val="none"/>
              </w:rPr>
            </w:pPr>
            <w:r>
              <w:rPr>
                <w:highlight w:val="none"/>
              </w:rPr>
              <w:t>54</w:t>
            </w:r>
          </w:p>
        </w:tc>
        <w:tc>
          <w:tcPr>
            <w:tcW w:w="378" w:type="pct"/>
            <w:noWrap w:val="0"/>
            <w:vAlign w:val="center"/>
          </w:tcPr>
          <w:p w14:paraId="06574F32">
            <w:pPr>
              <w:pStyle w:val="2"/>
              <w:rPr>
                <w:highlight w:val="none"/>
              </w:rPr>
            </w:pPr>
            <w:r>
              <w:rPr>
                <w:highlight w:val="none"/>
              </w:rPr>
              <w:t>51.5</w:t>
            </w:r>
          </w:p>
        </w:tc>
        <w:tc>
          <w:tcPr>
            <w:tcW w:w="378" w:type="pct"/>
            <w:noWrap w:val="0"/>
            <w:vAlign w:val="center"/>
          </w:tcPr>
          <w:p w14:paraId="4A2259E1">
            <w:pPr>
              <w:pStyle w:val="2"/>
              <w:rPr>
                <w:highlight w:val="none"/>
              </w:rPr>
            </w:pPr>
            <w:r>
              <w:rPr>
                <w:highlight w:val="none"/>
              </w:rPr>
              <w:t>49</w:t>
            </w:r>
          </w:p>
        </w:tc>
        <w:tc>
          <w:tcPr>
            <w:tcW w:w="378" w:type="pct"/>
            <w:noWrap w:val="0"/>
            <w:vAlign w:val="center"/>
          </w:tcPr>
          <w:p w14:paraId="4D8F0B68">
            <w:pPr>
              <w:pStyle w:val="2"/>
              <w:rPr>
                <w:highlight w:val="none"/>
              </w:rPr>
            </w:pPr>
            <w:r>
              <w:rPr>
                <w:highlight w:val="none"/>
              </w:rPr>
              <w:t>47</w:t>
            </w:r>
          </w:p>
        </w:tc>
        <w:tc>
          <w:tcPr>
            <w:tcW w:w="378" w:type="pct"/>
            <w:noWrap w:val="0"/>
            <w:vAlign w:val="center"/>
          </w:tcPr>
          <w:p w14:paraId="386AFAD8">
            <w:pPr>
              <w:pStyle w:val="2"/>
              <w:rPr>
                <w:highlight w:val="none"/>
              </w:rPr>
            </w:pPr>
            <w:r>
              <w:rPr>
                <w:highlight w:val="none"/>
              </w:rPr>
              <w:t>45.4</w:t>
            </w:r>
          </w:p>
        </w:tc>
        <w:tc>
          <w:tcPr>
            <w:tcW w:w="378" w:type="pct"/>
            <w:noWrap w:val="0"/>
            <w:vAlign w:val="center"/>
          </w:tcPr>
          <w:p w14:paraId="65A59691">
            <w:pPr>
              <w:pStyle w:val="2"/>
              <w:rPr>
                <w:highlight w:val="none"/>
              </w:rPr>
            </w:pPr>
            <w:r>
              <w:rPr>
                <w:highlight w:val="none"/>
              </w:rPr>
              <w:t>42.9</w:t>
            </w:r>
          </w:p>
        </w:tc>
        <w:tc>
          <w:tcPr>
            <w:tcW w:w="366" w:type="pct"/>
            <w:noWrap w:val="0"/>
            <w:vAlign w:val="center"/>
          </w:tcPr>
          <w:p w14:paraId="13AAFC23">
            <w:pPr>
              <w:pStyle w:val="2"/>
              <w:rPr>
                <w:highlight w:val="none"/>
              </w:rPr>
            </w:pPr>
            <w:r>
              <w:rPr>
                <w:highlight w:val="none"/>
              </w:rPr>
              <w:t>41</w:t>
            </w:r>
          </w:p>
        </w:tc>
      </w:tr>
    </w:tbl>
    <w:p w14:paraId="31947BCB">
      <w:pPr>
        <w:ind w:firstLine="480"/>
        <w:rPr>
          <w:rFonts w:ascii="Times New Roman" w:hAnsi="Times New Roman"/>
          <w:highlight w:val="none"/>
        </w:rPr>
      </w:pPr>
      <w:r>
        <w:rPr>
          <w:rFonts w:ascii="Times New Roman" w:hAnsi="Times New Roman"/>
          <w:highlight w:val="none"/>
        </w:rPr>
        <w:t>由表5.1-5可知，昼间施工单个机械设备超标范围为50m以内，夜间施工单个机械设备超标范围为200m以内。</w:t>
      </w:r>
    </w:p>
    <w:p w14:paraId="4222DDBA">
      <w:pPr>
        <w:rPr>
          <w:rFonts w:ascii="Times New Roman" w:hAnsi="Times New Roman"/>
          <w:highlight w:val="none"/>
        </w:rPr>
      </w:pPr>
      <w:r>
        <w:rPr>
          <w:rFonts w:ascii="Times New Roman" w:hAnsi="Times New Roman"/>
          <w:highlight w:val="none"/>
        </w:rPr>
        <w:t>采用低噪声施工机械，合理安排施工时间，对高噪声设备采取减振、隔声措施，运输车辆限速、禁鸣，禁止夜间（22:00-6:00）施工作业，施工场界噪声应符合《建筑施工场界环境噪声排放标准》（GB12523-2011）标准要求。切实落实噪声污染防治措施后，项目施工期间产生的噪声对周围环境影响较小，随着施工竣工，施工噪声的影响将不再存在。</w:t>
      </w:r>
    </w:p>
    <w:p w14:paraId="319502DB">
      <w:pPr>
        <w:pStyle w:val="5"/>
        <w:bidi w:val="0"/>
        <w:ind w:left="0" w:leftChars="0" w:firstLine="0" w:firstLineChars="0"/>
        <w:rPr>
          <w:rFonts w:hint="eastAsia"/>
          <w:sz w:val="30"/>
          <w:szCs w:val="30"/>
          <w:highlight w:val="none"/>
          <w:lang w:val="en-US" w:eastAsia="zh-CN"/>
        </w:rPr>
      </w:pPr>
      <w:bookmarkStart w:id="128" w:name="_Toc14071"/>
      <w:r>
        <w:rPr>
          <w:rFonts w:hint="default" w:ascii="Times New Roman" w:hAnsi="Times New Roman" w:cs="Times New Roman"/>
          <w:sz w:val="30"/>
          <w:szCs w:val="30"/>
          <w:highlight w:val="none"/>
          <w:lang w:val="en-US" w:eastAsia="zh-CN"/>
        </w:rPr>
        <w:t>5.1.4</w:t>
      </w:r>
      <w:r>
        <w:rPr>
          <w:rFonts w:hint="eastAsia"/>
          <w:sz w:val="30"/>
          <w:szCs w:val="30"/>
          <w:highlight w:val="none"/>
          <w:lang w:val="en-US" w:eastAsia="zh-CN"/>
        </w:rPr>
        <w:t>固体废物影响分析</w:t>
      </w:r>
      <w:bookmarkEnd w:id="128"/>
    </w:p>
    <w:p w14:paraId="011243B4">
      <w:pPr>
        <w:rPr>
          <w:rFonts w:ascii="Times New Roman" w:hAnsi="Times New Roman"/>
          <w:highlight w:val="none"/>
        </w:rPr>
      </w:pPr>
      <w:r>
        <w:rPr>
          <w:rFonts w:ascii="Times New Roman" w:hAnsi="Times New Roman"/>
          <w:highlight w:val="none"/>
        </w:rPr>
        <w:t>施工期的固废主要为土建施工产生的弃土、建筑垃圾、施工人员产生的生活垃圾等。本项目厂址地势平坦，工程挖方量与填方量基本持平，不会产生多余弃土，在施工过程中产生的挖方应及时回填，不能及时回填的土方应采取遮盖措施，防止暴雨期的水土流失。采取以上措施后，可避免开挖土方对环境的影响。施工产生的弃土和建筑垃圾应及时清运，并按照市政部门批准的地点倾倒。施工人员产生的生活垃圾量较少，可设置固定垃圾箱存放，由市政部门统一清运处理，不得随意丢弃。</w:t>
      </w:r>
    </w:p>
    <w:p w14:paraId="30C18213">
      <w:pPr>
        <w:pStyle w:val="5"/>
        <w:bidi w:val="0"/>
        <w:ind w:left="0" w:leftChars="0" w:firstLine="0" w:firstLineChars="0"/>
        <w:rPr>
          <w:rFonts w:hint="eastAsia"/>
          <w:highlight w:val="none"/>
          <w:lang w:val="en-US" w:eastAsia="zh-CN"/>
        </w:rPr>
      </w:pPr>
      <w:bookmarkStart w:id="129" w:name="_Toc2261"/>
      <w:r>
        <w:rPr>
          <w:rFonts w:hint="default" w:ascii="Times New Roman" w:hAnsi="Times New Roman" w:cs="Times New Roman"/>
          <w:highlight w:val="none"/>
          <w:lang w:val="en-US" w:eastAsia="zh-CN"/>
        </w:rPr>
        <w:t>5.1.5</w:t>
      </w:r>
      <w:r>
        <w:rPr>
          <w:rFonts w:hint="eastAsia"/>
          <w:highlight w:val="none"/>
          <w:lang w:val="en-US" w:eastAsia="zh-CN"/>
        </w:rPr>
        <w:t>生态环境影响分析</w:t>
      </w:r>
      <w:bookmarkEnd w:id="129"/>
    </w:p>
    <w:p w14:paraId="7EEFC1BC">
      <w:pPr>
        <w:pStyle w:val="7"/>
        <w:ind w:firstLine="480"/>
        <w:rPr>
          <w:rFonts w:ascii="Times New Roman" w:hAnsi="Times New Roman"/>
          <w:highlight w:val="none"/>
        </w:rPr>
      </w:pPr>
      <w:r>
        <w:rPr>
          <w:rFonts w:ascii="Times New Roman" w:hAnsi="Times New Roman"/>
          <w:highlight w:val="none"/>
        </w:rPr>
        <w:t>本次项目</w:t>
      </w:r>
      <w:r>
        <w:rPr>
          <w:rFonts w:hint="eastAsia" w:ascii="Times New Roman" w:hAnsi="Times New Roman"/>
          <w:highlight w:val="none"/>
        </w:rPr>
        <w:t>主体工程</w:t>
      </w:r>
      <w:r>
        <w:rPr>
          <w:rFonts w:ascii="Times New Roman" w:hAnsi="Times New Roman"/>
          <w:highlight w:val="none"/>
        </w:rPr>
        <w:t>在</w:t>
      </w:r>
      <w:r>
        <w:rPr>
          <w:rFonts w:hint="eastAsia" w:ascii="Times New Roman" w:hAnsi="Times New Roman"/>
          <w:highlight w:val="none"/>
          <w:lang w:val="en-US" w:eastAsia="zh-CN"/>
        </w:rPr>
        <w:t>现</w:t>
      </w:r>
      <w:r>
        <w:rPr>
          <w:rFonts w:ascii="Times New Roman" w:hAnsi="Times New Roman"/>
          <w:highlight w:val="none"/>
        </w:rPr>
        <w:t>有热源厂进行建设，</w:t>
      </w:r>
      <w:r>
        <w:rPr>
          <w:rFonts w:hint="eastAsia" w:ascii="Times New Roman" w:hAnsi="Times New Roman"/>
          <w:highlight w:val="none"/>
        </w:rPr>
        <w:t>占地面积约为</w:t>
      </w:r>
      <w:r>
        <w:rPr>
          <w:rFonts w:hint="eastAsia" w:ascii="Times New Roman" w:hAnsi="Times New Roman"/>
          <w:highlight w:val="none"/>
          <w:lang w:val="en-US" w:eastAsia="zh-CN"/>
        </w:rPr>
        <w:t>1.3万</w:t>
      </w:r>
      <w:r>
        <w:rPr>
          <w:rFonts w:hint="eastAsia" w:ascii="Times New Roman" w:hAnsi="Times New Roman"/>
          <w:highlight w:val="none"/>
        </w:rPr>
        <w:t>平方米</w:t>
      </w:r>
      <w:r>
        <w:rPr>
          <w:rFonts w:ascii="Times New Roman" w:hAnsi="Times New Roman"/>
          <w:highlight w:val="none"/>
        </w:rPr>
        <w:t>，为了将影响降到最低，要求施工单位在施工过程中严格按设计标准规定，现场施工作业机械应严格管理，划定活动范围，不得在道路、施工场地以外的地方行驶和作业，保持征地区域以外的植被不被破坏。应加快建设步伐，减少水土流失。实施这一系列措施后，可有效降低项目施工期间对生态环境的影响。</w:t>
      </w:r>
    </w:p>
    <w:p w14:paraId="68B4308C">
      <w:pPr>
        <w:rPr>
          <w:rFonts w:ascii="Times New Roman" w:hAnsi="Times New Roman"/>
          <w:highlight w:val="none"/>
        </w:rPr>
      </w:pPr>
      <w:r>
        <w:rPr>
          <w:rFonts w:ascii="Times New Roman" w:hAnsi="Times New Roman"/>
          <w:highlight w:val="none"/>
        </w:rPr>
        <w:t>评价区内野生动物种类较少，现有的野生动物多为一些常见的鸟类、啮齿类及昆虫等，施工作业时，将会影响到施工区周边田鼠等小型兽类和常见小型鸟类的正常生活。但这些动物都具有较强的迁移能力，项目施工不会对厂区周边野生动物物种数造成影响，项目实施对区域内动物多样性的影响是可以接受的。本项目建成后对厂区进行绿化等生态恢复措施，施工期对生态环境的影响会随项目建成而逐步消失。</w:t>
      </w:r>
    </w:p>
    <w:p w14:paraId="42A07D7B">
      <w:pPr>
        <w:pStyle w:val="4"/>
        <w:bidi w:val="0"/>
        <w:ind w:left="0" w:leftChars="0" w:firstLine="0" w:firstLineChars="0"/>
        <w:rPr>
          <w:rFonts w:hint="default"/>
          <w:highlight w:val="none"/>
          <w:lang w:val="en-US" w:eastAsia="zh-CN"/>
        </w:rPr>
      </w:pPr>
      <w:bookmarkStart w:id="130" w:name="_Toc1260"/>
      <w:r>
        <w:rPr>
          <w:rFonts w:hint="default" w:ascii="Times New Roman" w:hAnsi="Times New Roman" w:cs="Times New Roman"/>
          <w:highlight w:val="none"/>
          <w:lang w:val="en-US" w:eastAsia="zh-CN"/>
        </w:rPr>
        <w:t>5.2</w:t>
      </w:r>
      <w:r>
        <w:rPr>
          <w:rFonts w:hint="eastAsia"/>
          <w:highlight w:val="none"/>
          <w:lang w:val="en-US" w:eastAsia="zh-CN"/>
        </w:rPr>
        <w:t>运营期环境空气影响预测与评价</w:t>
      </w:r>
      <w:bookmarkEnd w:id="130"/>
    </w:p>
    <w:p w14:paraId="3BCF28F7">
      <w:pPr>
        <w:pStyle w:val="5"/>
        <w:bidi w:val="0"/>
        <w:ind w:left="0" w:leftChars="0" w:firstLine="0" w:firstLineChars="0"/>
        <w:rPr>
          <w:rFonts w:hint="default"/>
          <w:highlight w:val="none"/>
          <w:lang w:val="en-US" w:eastAsia="zh-CN"/>
        </w:rPr>
      </w:pPr>
      <w:bookmarkStart w:id="131" w:name="_Toc16263"/>
      <w:r>
        <w:rPr>
          <w:rFonts w:hint="default" w:ascii="Times New Roman" w:hAnsi="Times New Roman" w:eastAsia="宋体" w:cs="Times New Roman"/>
          <w:sz w:val="30"/>
          <w:szCs w:val="30"/>
          <w:highlight w:val="none"/>
          <w:lang w:val="en-US" w:eastAsia="zh-CN"/>
        </w:rPr>
        <w:t>5.2.1</w:t>
      </w:r>
      <w:r>
        <w:rPr>
          <w:rFonts w:hint="eastAsia"/>
          <w:sz w:val="30"/>
          <w:szCs w:val="30"/>
          <w:highlight w:val="none"/>
          <w:lang w:val="en-US" w:eastAsia="zh-CN"/>
        </w:rPr>
        <w:t>预测气象</w:t>
      </w:r>
      <w:bookmarkEnd w:id="131"/>
    </w:p>
    <w:p w14:paraId="40CE09DD">
      <w:pPr>
        <w:ind w:firstLine="480"/>
        <w:rPr>
          <w:rFonts w:ascii="Times New Roman" w:hAnsi="Times New Roman"/>
          <w:highlight w:val="none"/>
        </w:rPr>
      </w:pPr>
      <w:r>
        <w:rPr>
          <w:rFonts w:ascii="Times New Roman" w:hAnsi="Times New Roman"/>
          <w:highlight w:val="none"/>
        </w:rPr>
        <w:t>一、常年气象资料分析</w:t>
      </w:r>
    </w:p>
    <w:p w14:paraId="16BF0DCB">
      <w:pPr>
        <w:ind w:firstLine="480"/>
        <w:rPr>
          <w:rFonts w:ascii="Times New Roman" w:hAnsi="Times New Roman"/>
          <w:highlight w:val="none"/>
        </w:rPr>
      </w:pPr>
      <w:r>
        <w:rPr>
          <w:rFonts w:ascii="Times New Roman" w:hAnsi="Times New Roman"/>
          <w:highlight w:val="none"/>
        </w:rPr>
        <w:t>项目采用的是</w:t>
      </w:r>
      <w:r>
        <w:rPr>
          <w:rFonts w:hint="eastAsia" w:ascii="Times New Roman" w:hAnsi="Times New Roman"/>
          <w:highlight w:val="none"/>
          <w:lang w:eastAsia="zh-CN"/>
        </w:rPr>
        <w:t>绥芬河</w:t>
      </w:r>
      <w:r>
        <w:rPr>
          <w:rFonts w:ascii="Times New Roman" w:hAnsi="Times New Roman"/>
          <w:highlight w:val="none"/>
        </w:rPr>
        <w:t>气象站（</w:t>
      </w:r>
      <w:r>
        <w:rPr>
          <w:rFonts w:hint="default" w:ascii="Times New Roman" w:hAnsi="Times New Roman"/>
          <w:highlight w:val="none"/>
          <w:lang w:val="en-US" w:eastAsia="zh-CN"/>
        </w:rPr>
        <w:t>54096</w:t>
      </w:r>
      <w:r>
        <w:rPr>
          <w:rFonts w:ascii="Times New Roman" w:hAnsi="Times New Roman"/>
          <w:highlight w:val="none"/>
        </w:rPr>
        <w:t>）资料，气象站位于</w:t>
      </w:r>
      <w:r>
        <w:rPr>
          <w:rFonts w:hint="eastAsia" w:ascii="Times New Roman" w:hAnsi="Times New Roman"/>
          <w:highlight w:val="none"/>
          <w:lang w:val="en-US" w:eastAsia="zh-CN"/>
        </w:rPr>
        <w:t>黑龙江牡丹江</w:t>
      </w:r>
      <w:r>
        <w:rPr>
          <w:rFonts w:hint="eastAsia" w:ascii="Times New Roman" w:hAnsi="Times New Roman"/>
          <w:highlight w:val="none"/>
          <w:lang w:eastAsia="zh-CN"/>
        </w:rPr>
        <w:t>绥芬河</w:t>
      </w:r>
      <w:r>
        <w:rPr>
          <w:rFonts w:ascii="Times New Roman" w:hAnsi="Times New Roman"/>
          <w:highlight w:val="none"/>
        </w:rPr>
        <w:t>，地理坐标为东经</w:t>
      </w:r>
      <w:r>
        <w:rPr>
          <w:rFonts w:hint="eastAsia" w:ascii="Times New Roman" w:hAnsi="Times New Roman"/>
          <w:highlight w:val="none"/>
          <w:lang w:val="en-US" w:eastAsia="zh-CN"/>
        </w:rPr>
        <w:t>131.1644</w:t>
      </w:r>
      <w:r>
        <w:rPr>
          <w:rFonts w:hint="eastAsia" w:ascii="Times New Roman" w:hAnsi="Times New Roman"/>
          <w:highlight w:val="none"/>
        </w:rPr>
        <w:t>度</w:t>
      </w:r>
      <w:r>
        <w:rPr>
          <w:rFonts w:ascii="Times New Roman" w:hAnsi="Times New Roman"/>
          <w:highlight w:val="none"/>
        </w:rPr>
        <w:t>，北纬</w:t>
      </w:r>
      <w:r>
        <w:rPr>
          <w:rFonts w:hint="eastAsia" w:ascii="Times New Roman" w:hAnsi="Times New Roman"/>
          <w:highlight w:val="none"/>
          <w:lang w:val="en-US" w:eastAsia="zh-CN"/>
        </w:rPr>
        <w:t>44.3894</w:t>
      </w:r>
      <w:r>
        <w:rPr>
          <w:rFonts w:ascii="Times New Roman" w:hAnsi="Times New Roman"/>
          <w:highlight w:val="none"/>
        </w:rPr>
        <w:t>度，海拔高度</w:t>
      </w:r>
      <w:r>
        <w:rPr>
          <w:rFonts w:hint="eastAsia" w:ascii="Times New Roman" w:hAnsi="Times New Roman"/>
          <w:highlight w:val="none"/>
          <w:lang w:val="en-US" w:eastAsia="zh-CN"/>
        </w:rPr>
        <w:t>561.6</w:t>
      </w:r>
      <w:r>
        <w:rPr>
          <w:rFonts w:ascii="Times New Roman" w:hAnsi="Times New Roman"/>
          <w:highlight w:val="none"/>
        </w:rPr>
        <w:t>米。气象站始建于</w:t>
      </w:r>
      <w:r>
        <w:rPr>
          <w:rFonts w:hint="eastAsia" w:ascii="Times New Roman" w:hAnsi="Times New Roman"/>
          <w:highlight w:val="none"/>
          <w:lang w:val="en-US" w:eastAsia="zh-CN"/>
        </w:rPr>
        <w:t>1952</w:t>
      </w:r>
      <w:r>
        <w:rPr>
          <w:rFonts w:ascii="Times New Roman" w:hAnsi="Times New Roman"/>
          <w:highlight w:val="none"/>
        </w:rPr>
        <w:t>年，</w:t>
      </w:r>
      <w:r>
        <w:rPr>
          <w:rFonts w:hint="eastAsia" w:ascii="Times New Roman" w:hAnsi="Times New Roman"/>
          <w:highlight w:val="none"/>
          <w:lang w:val="en-US" w:eastAsia="zh-CN"/>
        </w:rPr>
        <w:t>1952</w:t>
      </w:r>
      <w:r>
        <w:rPr>
          <w:rFonts w:ascii="Times New Roman" w:hAnsi="Times New Roman"/>
          <w:highlight w:val="none"/>
        </w:rPr>
        <w:t>年正式进行气象观测。</w:t>
      </w:r>
    </w:p>
    <w:p w14:paraId="1E6A15A3">
      <w:pPr>
        <w:ind w:firstLine="480"/>
        <w:rPr>
          <w:rFonts w:ascii="Times New Roman" w:hAnsi="Times New Roman"/>
          <w:highlight w:val="none"/>
        </w:rPr>
      </w:pPr>
      <w:r>
        <w:rPr>
          <w:rFonts w:hint="eastAsia" w:ascii="Times New Roman" w:hAnsi="Times New Roman"/>
          <w:highlight w:val="none"/>
          <w:lang w:val="en-US" w:eastAsia="zh-CN"/>
        </w:rPr>
        <w:t>绥芬河</w:t>
      </w:r>
      <w:r>
        <w:rPr>
          <w:rFonts w:ascii="Times New Roman" w:hAnsi="Times New Roman"/>
          <w:highlight w:val="none"/>
        </w:rPr>
        <w:t>气象站距项目</w:t>
      </w:r>
      <w:r>
        <w:rPr>
          <w:rFonts w:hint="eastAsia" w:ascii="Times New Roman" w:hAnsi="Times New Roman"/>
          <w:highlight w:val="none"/>
          <w:lang w:val="en-US" w:eastAsia="zh-CN"/>
        </w:rPr>
        <w:t>2.2</w:t>
      </w:r>
      <w:r>
        <w:rPr>
          <w:rFonts w:ascii="Times New Roman" w:hAnsi="Times New Roman"/>
          <w:highlight w:val="none"/>
        </w:rPr>
        <w:t>km，是距项目最近的国家气象站，拥有长期的气象观测资料，以下资料根据200</w:t>
      </w:r>
      <w:r>
        <w:rPr>
          <w:rFonts w:hint="eastAsia" w:ascii="Times New Roman" w:hAnsi="Times New Roman"/>
          <w:highlight w:val="none"/>
          <w:lang w:val="en-US" w:eastAsia="zh-CN"/>
        </w:rPr>
        <w:t>5</w:t>
      </w:r>
      <w:r>
        <w:rPr>
          <w:rFonts w:ascii="Times New Roman" w:hAnsi="Times New Roman"/>
          <w:highlight w:val="none"/>
        </w:rPr>
        <w:t>-202</w:t>
      </w:r>
      <w:r>
        <w:rPr>
          <w:rFonts w:hint="eastAsia" w:ascii="Times New Roman" w:hAnsi="Times New Roman"/>
          <w:highlight w:val="none"/>
          <w:lang w:val="en-US" w:eastAsia="zh-CN"/>
        </w:rPr>
        <w:t>4</w:t>
      </w:r>
      <w:r>
        <w:rPr>
          <w:rFonts w:ascii="Times New Roman" w:hAnsi="Times New Roman"/>
          <w:highlight w:val="none"/>
        </w:rPr>
        <w:t>年气象数据统计分析。</w:t>
      </w:r>
    </w:p>
    <w:p w14:paraId="0DDE3645">
      <w:pPr>
        <w:ind w:firstLine="0" w:firstLineChars="0"/>
        <w:jc w:val="center"/>
        <w:rPr>
          <w:rFonts w:ascii="Times New Roman" w:hAnsi="Times New Roman"/>
          <w:highlight w:val="none"/>
        </w:rPr>
      </w:pPr>
      <w:r>
        <w:rPr>
          <w:rFonts w:hint="eastAsia" w:ascii="黑体" w:hAnsi="黑体" w:eastAsia="黑体" w:cs="黑体"/>
          <w:highlight w:val="none"/>
        </w:rPr>
        <w:t>表5.2-1</w:t>
      </w:r>
      <w:r>
        <w:rPr>
          <w:rFonts w:hint="eastAsia" w:ascii="黑体" w:hAnsi="黑体" w:eastAsia="黑体" w:cs="黑体"/>
          <w:highlight w:val="none"/>
          <w:lang w:val="en-US" w:eastAsia="zh-CN"/>
        </w:rPr>
        <w:t>绥芬河</w:t>
      </w:r>
      <w:r>
        <w:rPr>
          <w:rFonts w:hint="eastAsia" w:ascii="黑体" w:hAnsi="黑体" w:eastAsia="黑体" w:cs="黑体"/>
          <w:highlight w:val="none"/>
        </w:rPr>
        <w:t>气象站近20年的主要气候资料统计结果表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434"/>
        <w:gridCol w:w="3872"/>
      </w:tblGrid>
      <w:tr w14:paraId="1EC3E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3B9B919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项目</w:t>
            </w:r>
          </w:p>
        </w:tc>
        <w:tc>
          <w:tcPr>
            <w:tcW w:w="2331" w:type="pct"/>
            <w:noWrap w:val="0"/>
            <w:vAlign w:val="center"/>
          </w:tcPr>
          <w:p w14:paraId="74AE0FB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统计值</w:t>
            </w:r>
          </w:p>
        </w:tc>
      </w:tr>
      <w:tr w14:paraId="518BCC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01F5782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多年平均气温（</w:t>
            </w:r>
            <w:r>
              <w:rPr>
                <w:rFonts w:hint="eastAsia" w:ascii="宋体" w:hAnsi="宋体" w:cs="宋体"/>
                <w:kern w:val="0"/>
                <w:sz w:val="21"/>
                <w:highlight w:val="none"/>
              </w:rPr>
              <w:t>℃</w:t>
            </w:r>
            <w:r>
              <w:rPr>
                <w:rFonts w:ascii="Times New Roman" w:hAnsi="Times New Roman"/>
                <w:kern w:val="0"/>
                <w:sz w:val="21"/>
                <w:highlight w:val="none"/>
              </w:rPr>
              <w:t>）</w:t>
            </w:r>
          </w:p>
        </w:tc>
        <w:tc>
          <w:tcPr>
            <w:tcW w:w="3872" w:type="dxa"/>
            <w:noWrap w:val="0"/>
            <w:vAlign w:val="center"/>
          </w:tcPr>
          <w:p w14:paraId="5D63C2FE">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3.6</w:t>
            </w:r>
          </w:p>
        </w:tc>
      </w:tr>
      <w:tr w14:paraId="7449E4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5470BC5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多年极端最高气温（</w:t>
            </w:r>
            <w:r>
              <w:rPr>
                <w:rFonts w:hint="eastAsia" w:ascii="宋体" w:hAnsi="宋体" w:cs="宋体"/>
                <w:kern w:val="0"/>
                <w:sz w:val="21"/>
                <w:highlight w:val="none"/>
              </w:rPr>
              <w:t>℃</w:t>
            </w:r>
            <w:r>
              <w:rPr>
                <w:rFonts w:ascii="Times New Roman" w:hAnsi="Times New Roman"/>
                <w:kern w:val="0"/>
                <w:sz w:val="21"/>
                <w:highlight w:val="none"/>
              </w:rPr>
              <w:t>）</w:t>
            </w:r>
          </w:p>
        </w:tc>
        <w:tc>
          <w:tcPr>
            <w:tcW w:w="3872" w:type="dxa"/>
            <w:noWrap w:val="0"/>
            <w:vAlign w:val="center"/>
          </w:tcPr>
          <w:p w14:paraId="34634BE9">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31.8</w:t>
            </w:r>
          </w:p>
        </w:tc>
      </w:tr>
      <w:tr w14:paraId="6B637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2A0D4A4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多年极端最低气温（</w:t>
            </w:r>
            <w:r>
              <w:rPr>
                <w:rFonts w:hint="eastAsia" w:ascii="宋体" w:hAnsi="宋体" w:cs="宋体"/>
                <w:kern w:val="0"/>
                <w:sz w:val="21"/>
                <w:highlight w:val="none"/>
              </w:rPr>
              <w:t>℃</w:t>
            </w:r>
            <w:r>
              <w:rPr>
                <w:rFonts w:ascii="Times New Roman" w:hAnsi="Times New Roman"/>
                <w:kern w:val="0"/>
                <w:sz w:val="21"/>
                <w:highlight w:val="none"/>
              </w:rPr>
              <w:t>）</w:t>
            </w:r>
          </w:p>
        </w:tc>
        <w:tc>
          <w:tcPr>
            <w:tcW w:w="3872" w:type="dxa"/>
            <w:noWrap w:val="0"/>
            <w:vAlign w:val="center"/>
          </w:tcPr>
          <w:p w14:paraId="43FDC760">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-26.9</w:t>
            </w:r>
          </w:p>
        </w:tc>
      </w:tr>
      <w:tr w14:paraId="1A0964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376B8A9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多年平均气压(hPa)</w:t>
            </w:r>
          </w:p>
        </w:tc>
        <w:tc>
          <w:tcPr>
            <w:tcW w:w="3872" w:type="dxa"/>
            <w:noWrap w:val="0"/>
            <w:vAlign w:val="center"/>
          </w:tcPr>
          <w:p w14:paraId="269FC5BB">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946.4</w:t>
            </w:r>
          </w:p>
        </w:tc>
      </w:tr>
      <w:tr w14:paraId="7965B9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49F0B72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年平均风速（m/s）</w:t>
            </w:r>
          </w:p>
        </w:tc>
        <w:tc>
          <w:tcPr>
            <w:tcW w:w="3872" w:type="dxa"/>
            <w:noWrap w:val="0"/>
            <w:vAlign w:val="center"/>
          </w:tcPr>
          <w:p w14:paraId="1B21A3EC">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8</w:t>
            </w:r>
          </w:p>
        </w:tc>
      </w:tr>
      <w:tr w14:paraId="1778C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0EE8A16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年最大风速（m/s）</w:t>
            </w:r>
          </w:p>
        </w:tc>
        <w:tc>
          <w:tcPr>
            <w:tcW w:w="3872" w:type="dxa"/>
            <w:noWrap w:val="0"/>
            <w:vAlign w:val="center"/>
          </w:tcPr>
          <w:p w14:paraId="32133D77">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67.9</w:t>
            </w:r>
          </w:p>
        </w:tc>
      </w:tr>
      <w:tr w14:paraId="67B4A9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39DD508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平均降水量(mm)</w:t>
            </w:r>
          </w:p>
        </w:tc>
        <w:tc>
          <w:tcPr>
            <w:tcW w:w="3872" w:type="dxa"/>
            <w:noWrap w:val="0"/>
            <w:vAlign w:val="center"/>
          </w:tcPr>
          <w:p w14:paraId="31939B96">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723.2</w:t>
            </w:r>
          </w:p>
        </w:tc>
      </w:tr>
      <w:tr w14:paraId="223B76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2669" w:type="pct"/>
            <w:noWrap w:val="0"/>
            <w:vAlign w:val="center"/>
          </w:tcPr>
          <w:p w14:paraId="25E3105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多年主导风向、风向频率</w:t>
            </w:r>
          </w:p>
        </w:tc>
        <w:tc>
          <w:tcPr>
            <w:tcW w:w="2331" w:type="pct"/>
            <w:noWrap w:val="0"/>
            <w:vAlign w:val="center"/>
          </w:tcPr>
          <w:p w14:paraId="549AB9E9">
            <w:pPr>
              <w:spacing w:line="240" w:lineRule="auto"/>
              <w:ind w:firstLine="0" w:firstLineChars="0"/>
              <w:jc w:val="center"/>
              <w:rPr>
                <w:rFonts w:ascii="Times New Roman" w:hAnsi="Times New Roman"/>
                <w:kern w:val="0"/>
                <w:sz w:val="21"/>
                <w:highlight w:val="none"/>
              </w:rPr>
            </w:pPr>
            <w:r>
              <w:rPr>
                <w:rFonts w:hint="eastAsia" w:ascii="Times New Roman" w:hAnsi="Times New Roman"/>
                <w:kern w:val="0"/>
                <w:sz w:val="21"/>
                <w:highlight w:val="none"/>
                <w:lang w:val="en-US" w:eastAsia="zh-CN"/>
              </w:rPr>
              <w:t>NW/26.78</w:t>
            </w:r>
          </w:p>
        </w:tc>
      </w:tr>
    </w:tbl>
    <w:p w14:paraId="4BBD4824">
      <w:pPr>
        <w:ind w:firstLine="480"/>
        <w:rPr>
          <w:rFonts w:ascii="Times New Roman" w:hAnsi="Times New Roman"/>
          <w:highlight w:val="none"/>
        </w:rPr>
      </w:pPr>
      <w:r>
        <w:rPr>
          <w:rFonts w:ascii="Times New Roman" w:hAnsi="Times New Roman"/>
          <w:highlight w:val="none"/>
        </w:rPr>
        <w:t>二、评价基准年气象数据</w:t>
      </w:r>
      <w:r>
        <w:rPr>
          <w:rFonts w:hint="eastAsia" w:ascii="Times New Roman" w:hAnsi="Times New Roman"/>
          <w:highlight w:val="none"/>
          <w:lang w:val="en-US" w:eastAsia="zh-CN"/>
        </w:rPr>
        <w:t>绥芬河</w:t>
      </w:r>
      <w:r>
        <w:rPr>
          <w:rFonts w:ascii="Times New Roman" w:hAnsi="Times New Roman"/>
          <w:highlight w:val="none"/>
        </w:rPr>
        <w:t>气象数据</w:t>
      </w:r>
    </w:p>
    <w:p w14:paraId="1A325205">
      <w:pPr>
        <w:ind w:firstLine="480"/>
        <w:rPr>
          <w:rFonts w:ascii="Times New Roman" w:hAnsi="Times New Roman"/>
          <w:highlight w:val="none"/>
        </w:rPr>
      </w:pPr>
      <w:r>
        <w:rPr>
          <w:rFonts w:ascii="Times New Roman" w:hAnsi="Times New Roman"/>
          <w:highlight w:val="none"/>
        </w:rPr>
        <w:t>（1）温度</w:t>
      </w:r>
    </w:p>
    <w:p w14:paraId="73BCF3C5">
      <w:pPr>
        <w:ind w:firstLine="480"/>
        <w:rPr>
          <w:rFonts w:ascii="Times New Roman" w:hAnsi="Times New Roman"/>
          <w:highlight w:val="none"/>
        </w:rPr>
      </w:pPr>
      <w:r>
        <w:rPr>
          <w:rFonts w:hint="eastAsia" w:ascii="Times New Roman" w:hAnsi="Times New Roman"/>
          <w:highlight w:val="none"/>
          <w:lang w:val="en-US" w:eastAsia="zh-CN"/>
        </w:rPr>
        <w:t>绥芬河</w:t>
      </w:r>
      <w:r>
        <w:rPr>
          <w:rFonts w:ascii="Times New Roman" w:hAnsi="Times New Roman"/>
          <w:highlight w:val="none"/>
        </w:rPr>
        <w:t>市202</w:t>
      </w:r>
      <w:r>
        <w:rPr>
          <w:rFonts w:hint="eastAsia" w:ascii="Times New Roman" w:hAnsi="Times New Roman"/>
          <w:highlight w:val="none"/>
          <w:lang w:val="en-US" w:eastAsia="zh-CN"/>
        </w:rPr>
        <w:t>4</w:t>
      </w:r>
      <w:r>
        <w:rPr>
          <w:rFonts w:ascii="Times New Roman" w:hAnsi="Times New Roman"/>
          <w:highlight w:val="none"/>
        </w:rPr>
        <w:t>年平均气温月变化情况见表5.1-2，年平均气温月变化曲线见图5.1-1。从年平均气温月变化资料中可以看出该地区</w:t>
      </w:r>
      <w:r>
        <w:rPr>
          <w:rFonts w:hint="eastAsia" w:ascii="Times New Roman" w:hAnsi="Times New Roman"/>
          <w:highlight w:val="none"/>
          <w:lang w:val="en-US" w:eastAsia="zh-CN"/>
        </w:rPr>
        <w:t>8</w:t>
      </w:r>
      <w:r>
        <w:rPr>
          <w:rFonts w:ascii="Times New Roman" w:hAnsi="Times New Roman"/>
          <w:highlight w:val="none"/>
        </w:rPr>
        <w:t>月份平均气温最高（</w:t>
      </w:r>
      <w:r>
        <w:rPr>
          <w:rFonts w:hint="eastAsia" w:ascii="Times New Roman" w:hAnsi="Times New Roman"/>
          <w:highlight w:val="none"/>
          <w:lang w:val="en-US" w:eastAsia="zh-CN"/>
        </w:rPr>
        <w:t>20.86</w:t>
      </w:r>
      <w:r>
        <w:rPr>
          <w:rFonts w:ascii="Times New Roman" w:hAnsi="Times New Roman"/>
          <w:highlight w:val="none"/>
        </w:rPr>
        <w:t>ºC），</w:t>
      </w:r>
      <w:r>
        <w:rPr>
          <w:rFonts w:hint="eastAsia" w:ascii="Times New Roman" w:hAnsi="Times New Roman"/>
          <w:highlight w:val="none"/>
          <w:lang w:val="en-US" w:eastAsia="zh-CN"/>
        </w:rPr>
        <w:t>1</w:t>
      </w:r>
      <w:r>
        <w:rPr>
          <w:rFonts w:ascii="Times New Roman" w:hAnsi="Times New Roman"/>
          <w:highlight w:val="none"/>
        </w:rPr>
        <w:t>月份气温平均最低（-</w:t>
      </w:r>
      <w:r>
        <w:rPr>
          <w:rFonts w:hint="eastAsia" w:ascii="Times New Roman" w:hAnsi="Times New Roman"/>
          <w:highlight w:val="none"/>
          <w:lang w:val="en-US" w:eastAsia="zh-CN"/>
        </w:rPr>
        <w:t>14.61</w:t>
      </w:r>
      <w:r>
        <w:rPr>
          <w:rFonts w:ascii="Times New Roman" w:hAnsi="Times New Roman"/>
          <w:highlight w:val="none"/>
        </w:rPr>
        <w:t>ºC）。</w:t>
      </w:r>
    </w:p>
    <w:p w14:paraId="64104785">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rPr>
        <w:t>5.2-2</w:t>
      </w:r>
      <w:r>
        <w:rPr>
          <w:rFonts w:hint="eastAsia" w:ascii="黑体" w:hAnsi="黑体" w:eastAsia="黑体" w:cs="黑体"/>
          <w:highlight w:val="none"/>
          <w:lang w:val="en-US" w:eastAsia="zh-CN"/>
        </w:rPr>
        <w:t>绥芬河</w:t>
      </w:r>
      <w:r>
        <w:rPr>
          <w:rFonts w:hint="eastAsia" w:ascii="黑体" w:hAnsi="黑体" w:eastAsia="黑体" w:cs="黑体"/>
          <w:highlight w:val="none"/>
        </w:rPr>
        <w:t>202</w:t>
      </w:r>
      <w:r>
        <w:rPr>
          <w:rFonts w:hint="eastAsia" w:ascii="黑体" w:hAnsi="黑体" w:eastAsia="黑体" w:cs="黑体"/>
          <w:highlight w:val="none"/>
          <w:lang w:val="en-US" w:eastAsia="zh-CN"/>
        </w:rPr>
        <w:t>4</w:t>
      </w:r>
      <w:r>
        <w:rPr>
          <w:rFonts w:hint="eastAsia" w:ascii="黑体" w:hAnsi="黑体" w:eastAsia="黑体" w:cs="黑体"/>
          <w:highlight w:val="none"/>
        </w:rPr>
        <w:t>年各月平均气温统计表</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5"/>
        <w:gridCol w:w="593"/>
        <w:gridCol w:w="737"/>
        <w:gridCol w:w="636"/>
        <w:gridCol w:w="569"/>
        <w:gridCol w:w="670"/>
        <w:gridCol w:w="670"/>
        <w:gridCol w:w="670"/>
        <w:gridCol w:w="670"/>
        <w:gridCol w:w="670"/>
        <w:gridCol w:w="569"/>
        <w:gridCol w:w="636"/>
        <w:gridCol w:w="737"/>
      </w:tblGrid>
      <w:tr w14:paraId="0D4645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95" w:type="dxa"/>
            <w:noWrap w:val="0"/>
            <w:vAlign w:val="center"/>
          </w:tcPr>
          <w:p w14:paraId="1B3B4A2D">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月份</w:t>
            </w:r>
          </w:p>
        </w:tc>
        <w:tc>
          <w:tcPr>
            <w:tcW w:w="593" w:type="dxa"/>
            <w:noWrap w:val="0"/>
            <w:vAlign w:val="center"/>
          </w:tcPr>
          <w:p w14:paraId="365A9B6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1月</w:t>
            </w:r>
          </w:p>
        </w:tc>
        <w:tc>
          <w:tcPr>
            <w:tcW w:w="737" w:type="dxa"/>
            <w:noWrap w:val="0"/>
            <w:vAlign w:val="center"/>
          </w:tcPr>
          <w:p w14:paraId="4D220DA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2月</w:t>
            </w:r>
          </w:p>
        </w:tc>
        <w:tc>
          <w:tcPr>
            <w:tcW w:w="636" w:type="dxa"/>
            <w:noWrap w:val="0"/>
            <w:vAlign w:val="center"/>
          </w:tcPr>
          <w:p w14:paraId="7C39AB00">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3月</w:t>
            </w:r>
          </w:p>
        </w:tc>
        <w:tc>
          <w:tcPr>
            <w:tcW w:w="569" w:type="dxa"/>
            <w:noWrap w:val="0"/>
            <w:vAlign w:val="center"/>
          </w:tcPr>
          <w:p w14:paraId="1F961A9B">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4月</w:t>
            </w:r>
          </w:p>
        </w:tc>
        <w:tc>
          <w:tcPr>
            <w:tcW w:w="670" w:type="dxa"/>
            <w:noWrap w:val="0"/>
            <w:vAlign w:val="center"/>
          </w:tcPr>
          <w:p w14:paraId="5A04969A">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5月</w:t>
            </w:r>
          </w:p>
        </w:tc>
        <w:tc>
          <w:tcPr>
            <w:tcW w:w="670" w:type="dxa"/>
            <w:noWrap w:val="0"/>
            <w:vAlign w:val="center"/>
          </w:tcPr>
          <w:p w14:paraId="3DD0231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6月</w:t>
            </w:r>
          </w:p>
        </w:tc>
        <w:tc>
          <w:tcPr>
            <w:tcW w:w="670" w:type="dxa"/>
            <w:noWrap w:val="0"/>
            <w:vAlign w:val="center"/>
          </w:tcPr>
          <w:p w14:paraId="5F28BEAA">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7月</w:t>
            </w:r>
          </w:p>
        </w:tc>
        <w:tc>
          <w:tcPr>
            <w:tcW w:w="670" w:type="dxa"/>
            <w:noWrap w:val="0"/>
            <w:vAlign w:val="center"/>
          </w:tcPr>
          <w:p w14:paraId="75F0F223">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8月</w:t>
            </w:r>
          </w:p>
        </w:tc>
        <w:tc>
          <w:tcPr>
            <w:tcW w:w="670" w:type="dxa"/>
            <w:noWrap w:val="0"/>
            <w:vAlign w:val="center"/>
          </w:tcPr>
          <w:p w14:paraId="2B9B32D4">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9月</w:t>
            </w:r>
          </w:p>
        </w:tc>
        <w:tc>
          <w:tcPr>
            <w:tcW w:w="569" w:type="dxa"/>
            <w:noWrap w:val="0"/>
            <w:vAlign w:val="center"/>
          </w:tcPr>
          <w:p w14:paraId="72215AB5">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10月</w:t>
            </w:r>
          </w:p>
        </w:tc>
        <w:tc>
          <w:tcPr>
            <w:tcW w:w="636" w:type="dxa"/>
            <w:noWrap w:val="0"/>
            <w:vAlign w:val="center"/>
          </w:tcPr>
          <w:p w14:paraId="115F75C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11月</w:t>
            </w:r>
          </w:p>
        </w:tc>
        <w:tc>
          <w:tcPr>
            <w:tcW w:w="737" w:type="dxa"/>
            <w:noWrap w:val="0"/>
            <w:vAlign w:val="center"/>
          </w:tcPr>
          <w:p w14:paraId="18D154EF">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12月</w:t>
            </w:r>
          </w:p>
        </w:tc>
      </w:tr>
      <w:tr w14:paraId="3F2FAA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95" w:type="dxa"/>
            <w:noWrap w:val="0"/>
            <w:vAlign w:val="center"/>
          </w:tcPr>
          <w:p w14:paraId="07EF462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温度(</w:t>
            </w:r>
            <w:r>
              <w:rPr>
                <w:rFonts w:hint="eastAsia" w:ascii="宋体" w:hAnsi="宋体" w:cs="宋体"/>
                <w:kern w:val="0"/>
                <w:sz w:val="21"/>
                <w:highlight w:val="none"/>
              </w:rPr>
              <w:t>℃</w:t>
            </w:r>
            <w:r>
              <w:rPr>
                <w:rFonts w:ascii="Times New Roman" w:hAnsi="Times New Roman"/>
                <w:kern w:val="0"/>
                <w:sz w:val="21"/>
                <w:highlight w:val="none"/>
              </w:rPr>
              <w:t>)</w:t>
            </w:r>
          </w:p>
        </w:tc>
        <w:tc>
          <w:tcPr>
            <w:tcW w:w="593" w:type="dxa"/>
            <w:noWrap w:val="0"/>
            <w:vAlign w:val="top"/>
          </w:tcPr>
          <w:p w14:paraId="60A967FC">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-14.61</w:t>
            </w:r>
          </w:p>
        </w:tc>
        <w:tc>
          <w:tcPr>
            <w:tcW w:w="737" w:type="dxa"/>
            <w:noWrap w:val="0"/>
            <w:vAlign w:val="top"/>
          </w:tcPr>
          <w:p w14:paraId="585A83D0">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-10.00</w:t>
            </w:r>
          </w:p>
        </w:tc>
        <w:tc>
          <w:tcPr>
            <w:tcW w:w="636" w:type="dxa"/>
            <w:noWrap w:val="0"/>
            <w:vAlign w:val="top"/>
          </w:tcPr>
          <w:p w14:paraId="0D8A52C8">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-4.02</w:t>
            </w:r>
          </w:p>
        </w:tc>
        <w:tc>
          <w:tcPr>
            <w:tcW w:w="569" w:type="dxa"/>
            <w:noWrap w:val="0"/>
            <w:vAlign w:val="top"/>
          </w:tcPr>
          <w:p w14:paraId="336BF761">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7.97</w:t>
            </w:r>
          </w:p>
        </w:tc>
        <w:tc>
          <w:tcPr>
            <w:tcW w:w="670" w:type="dxa"/>
            <w:noWrap w:val="0"/>
            <w:vAlign w:val="top"/>
          </w:tcPr>
          <w:p w14:paraId="56D4FD33">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11.41</w:t>
            </w:r>
          </w:p>
        </w:tc>
        <w:tc>
          <w:tcPr>
            <w:tcW w:w="670" w:type="dxa"/>
            <w:noWrap w:val="0"/>
            <w:vAlign w:val="top"/>
          </w:tcPr>
          <w:p w14:paraId="377BCD0A">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15.96</w:t>
            </w:r>
          </w:p>
        </w:tc>
        <w:tc>
          <w:tcPr>
            <w:tcW w:w="670" w:type="dxa"/>
            <w:noWrap w:val="0"/>
            <w:vAlign w:val="top"/>
          </w:tcPr>
          <w:p w14:paraId="12DBC160">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20.69</w:t>
            </w:r>
          </w:p>
        </w:tc>
        <w:tc>
          <w:tcPr>
            <w:tcW w:w="670" w:type="dxa"/>
            <w:noWrap w:val="0"/>
            <w:vAlign w:val="top"/>
          </w:tcPr>
          <w:p w14:paraId="2C31A282">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20.86</w:t>
            </w:r>
          </w:p>
        </w:tc>
        <w:tc>
          <w:tcPr>
            <w:tcW w:w="670" w:type="dxa"/>
            <w:noWrap w:val="0"/>
            <w:vAlign w:val="top"/>
          </w:tcPr>
          <w:p w14:paraId="33530C5A">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14.03</w:t>
            </w:r>
          </w:p>
        </w:tc>
        <w:tc>
          <w:tcPr>
            <w:tcW w:w="569" w:type="dxa"/>
            <w:noWrap w:val="0"/>
            <w:vAlign w:val="top"/>
          </w:tcPr>
          <w:p w14:paraId="5107DCF7">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6.62</w:t>
            </w:r>
          </w:p>
        </w:tc>
        <w:tc>
          <w:tcPr>
            <w:tcW w:w="636" w:type="dxa"/>
            <w:noWrap w:val="0"/>
            <w:vAlign w:val="top"/>
          </w:tcPr>
          <w:p w14:paraId="1D1DB120">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-3.26</w:t>
            </w:r>
          </w:p>
        </w:tc>
        <w:tc>
          <w:tcPr>
            <w:tcW w:w="737" w:type="dxa"/>
            <w:noWrap w:val="0"/>
            <w:vAlign w:val="top"/>
          </w:tcPr>
          <w:p w14:paraId="5E739E23">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-12.52</w:t>
            </w:r>
          </w:p>
        </w:tc>
      </w:tr>
    </w:tbl>
    <w:p w14:paraId="50CC1FFA">
      <w:pPr>
        <w:ind w:firstLine="0" w:firstLineChars="0"/>
        <w:jc w:val="center"/>
        <w:rPr>
          <w:rFonts w:ascii="Times New Roman" w:hAnsi="Times New Roman"/>
          <w:highlight w:val="none"/>
        </w:rPr>
      </w:pPr>
      <w:r>
        <w:rPr>
          <w:highlight w:val="none"/>
        </w:rPr>
        <w:drawing>
          <wp:inline distT="0" distB="0" distL="114300" distR="114300">
            <wp:extent cx="5272405" cy="2056765"/>
            <wp:effectExtent l="0" t="0" r="4445" b="635"/>
            <wp:docPr id="6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4"/>
                    <pic:cNvPicPr>
                      <a:picLocks noChangeAspect="1"/>
                    </pic:cNvPicPr>
                  </pic:nvPicPr>
                  <pic:blipFill>
                    <a:blip r:embed="rId38"/>
                    <a:stretch>
                      <a:fillRect/>
                    </a:stretch>
                  </pic:blipFill>
                  <pic:spPr>
                    <a:xfrm>
                      <a:off x="0" y="0"/>
                      <a:ext cx="5272405" cy="2056765"/>
                    </a:xfrm>
                    <a:prstGeom prst="rect">
                      <a:avLst/>
                    </a:prstGeom>
                    <a:noFill/>
                    <a:ln>
                      <a:noFill/>
                    </a:ln>
                  </pic:spPr>
                </pic:pic>
              </a:graphicData>
            </a:graphic>
          </wp:inline>
        </w:drawing>
      </w:r>
    </w:p>
    <w:p w14:paraId="418989BF">
      <w:pPr>
        <w:ind w:firstLine="0" w:firstLineChars="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5.2-1</w:t>
      </w:r>
      <w:r>
        <w:rPr>
          <w:rFonts w:hint="eastAsia" w:ascii="黑体" w:hAnsi="黑体" w:eastAsia="黑体" w:cs="黑体"/>
          <w:highlight w:val="none"/>
        </w:rPr>
        <w:t>年平均气温月变化曲线</w:t>
      </w:r>
    </w:p>
    <w:p w14:paraId="42EA7A8D">
      <w:pPr>
        <w:ind w:firstLine="480"/>
        <w:rPr>
          <w:rFonts w:ascii="Times New Roman" w:hAnsi="Times New Roman"/>
          <w:highlight w:val="none"/>
        </w:rPr>
      </w:pPr>
      <w:r>
        <w:rPr>
          <w:rFonts w:ascii="Times New Roman" w:hAnsi="Times New Roman"/>
          <w:highlight w:val="none"/>
        </w:rPr>
        <w:t>（2）风速</w:t>
      </w:r>
    </w:p>
    <w:p w14:paraId="1966FB70">
      <w:pPr>
        <w:ind w:firstLine="480"/>
        <w:rPr>
          <w:rFonts w:ascii="Times New Roman" w:hAnsi="Times New Roman"/>
          <w:highlight w:val="none"/>
        </w:rPr>
      </w:pPr>
      <w:r>
        <w:rPr>
          <w:rFonts w:hint="eastAsia" w:ascii="Times New Roman" w:hAnsi="Times New Roman"/>
          <w:highlight w:val="none"/>
          <w:lang w:val="en-US" w:eastAsia="zh-CN"/>
        </w:rPr>
        <w:t>绥芬河</w:t>
      </w:r>
      <w:r>
        <w:rPr>
          <w:rFonts w:ascii="Times New Roman" w:hAnsi="Times New Roman"/>
          <w:highlight w:val="none"/>
        </w:rPr>
        <w:t>市202</w:t>
      </w:r>
      <w:r>
        <w:rPr>
          <w:rFonts w:hint="eastAsia" w:ascii="Times New Roman" w:hAnsi="Times New Roman"/>
          <w:highlight w:val="none"/>
          <w:lang w:val="en-US" w:eastAsia="zh-CN"/>
        </w:rPr>
        <w:t>4</w:t>
      </w:r>
      <w:r>
        <w:rPr>
          <w:rFonts w:ascii="Times New Roman" w:hAnsi="Times New Roman"/>
          <w:highlight w:val="none"/>
        </w:rPr>
        <w:t>年平均风速随月份的变化情况分别见表5.</w:t>
      </w:r>
      <w:r>
        <w:rPr>
          <w:rFonts w:hint="eastAsia" w:ascii="Times New Roman" w:hAnsi="Times New Roman"/>
          <w:highlight w:val="none"/>
          <w:lang w:val="en-US" w:eastAsia="zh-CN"/>
        </w:rPr>
        <w:t>2</w:t>
      </w:r>
      <w:r>
        <w:rPr>
          <w:rFonts w:ascii="Times New Roman" w:hAnsi="Times New Roman"/>
          <w:highlight w:val="none"/>
        </w:rPr>
        <w:t>-3，月平均风速变化曲线见图5.2-2。</w:t>
      </w:r>
    </w:p>
    <w:p w14:paraId="3DBABE69">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rPr>
        <w:t>5.2-3</w:t>
      </w:r>
      <w:r>
        <w:rPr>
          <w:rFonts w:hint="eastAsia" w:ascii="黑体" w:hAnsi="黑体" w:eastAsia="黑体" w:cs="黑体"/>
          <w:highlight w:val="none"/>
          <w:lang w:val="en-US" w:eastAsia="zh-CN"/>
        </w:rPr>
        <w:t>绥芬河</w:t>
      </w:r>
      <w:r>
        <w:rPr>
          <w:rFonts w:hint="eastAsia" w:ascii="黑体" w:hAnsi="黑体" w:eastAsia="黑体" w:cs="黑体"/>
          <w:highlight w:val="none"/>
        </w:rPr>
        <w:t>市202</w:t>
      </w:r>
      <w:r>
        <w:rPr>
          <w:rFonts w:hint="eastAsia" w:ascii="黑体" w:hAnsi="黑体" w:eastAsia="黑体" w:cs="黑体"/>
          <w:highlight w:val="none"/>
          <w:lang w:val="en-US" w:eastAsia="zh-CN"/>
        </w:rPr>
        <w:t>4</w:t>
      </w:r>
      <w:r>
        <w:rPr>
          <w:rFonts w:hint="eastAsia" w:ascii="黑体" w:hAnsi="黑体" w:eastAsia="黑体" w:cs="黑体"/>
          <w:highlight w:val="none"/>
        </w:rPr>
        <w:t>年各月平均风速统计（米/秒）</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584"/>
        <w:gridCol w:w="584"/>
        <w:gridCol w:w="584"/>
        <w:gridCol w:w="584"/>
        <w:gridCol w:w="584"/>
        <w:gridCol w:w="584"/>
        <w:gridCol w:w="584"/>
        <w:gridCol w:w="584"/>
        <w:gridCol w:w="584"/>
        <w:gridCol w:w="584"/>
        <w:gridCol w:w="584"/>
        <w:gridCol w:w="584"/>
      </w:tblGrid>
      <w:tr w14:paraId="39B0EC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0" w:type="auto"/>
            <w:noWrap w:val="0"/>
            <w:vAlign w:val="center"/>
          </w:tcPr>
          <w:p w14:paraId="0E77C85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月份</w:t>
            </w:r>
          </w:p>
        </w:tc>
        <w:tc>
          <w:tcPr>
            <w:tcW w:w="0" w:type="auto"/>
            <w:noWrap w:val="0"/>
            <w:vAlign w:val="center"/>
          </w:tcPr>
          <w:p w14:paraId="73D90F0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w:t>
            </w:r>
          </w:p>
        </w:tc>
        <w:tc>
          <w:tcPr>
            <w:tcW w:w="0" w:type="auto"/>
            <w:noWrap w:val="0"/>
            <w:vAlign w:val="center"/>
          </w:tcPr>
          <w:p w14:paraId="1D36E76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2</w:t>
            </w:r>
          </w:p>
        </w:tc>
        <w:tc>
          <w:tcPr>
            <w:tcW w:w="584" w:type="dxa"/>
            <w:noWrap w:val="0"/>
            <w:vAlign w:val="center"/>
          </w:tcPr>
          <w:p w14:paraId="6569EF9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3</w:t>
            </w:r>
          </w:p>
        </w:tc>
        <w:tc>
          <w:tcPr>
            <w:tcW w:w="584" w:type="dxa"/>
            <w:noWrap w:val="0"/>
            <w:vAlign w:val="center"/>
          </w:tcPr>
          <w:p w14:paraId="1D166EC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4</w:t>
            </w:r>
          </w:p>
        </w:tc>
        <w:tc>
          <w:tcPr>
            <w:tcW w:w="0" w:type="auto"/>
            <w:noWrap w:val="0"/>
            <w:vAlign w:val="center"/>
          </w:tcPr>
          <w:p w14:paraId="21D158E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5</w:t>
            </w:r>
          </w:p>
        </w:tc>
        <w:tc>
          <w:tcPr>
            <w:tcW w:w="0" w:type="auto"/>
            <w:noWrap w:val="0"/>
            <w:vAlign w:val="center"/>
          </w:tcPr>
          <w:p w14:paraId="03A51B3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6</w:t>
            </w:r>
          </w:p>
        </w:tc>
        <w:tc>
          <w:tcPr>
            <w:tcW w:w="0" w:type="auto"/>
            <w:noWrap w:val="0"/>
            <w:vAlign w:val="center"/>
          </w:tcPr>
          <w:p w14:paraId="3814D3A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7</w:t>
            </w:r>
          </w:p>
        </w:tc>
        <w:tc>
          <w:tcPr>
            <w:tcW w:w="0" w:type="auto"/>
            <w:noWrap w:val="0"/>
            <w:vAlign w:val="center"/>
          </w:tcPr>
          <w:p w14:paraId="639A9C8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8</w:t>
            </w:r>
          </w:p>
        </w:tc>
        <w:tc>
          <w:tcPr>
            <w:tcW w:w="0" w:type="auto"/>
            <w:noWrap w:val="0"/>
            <w:vAlign w:val="center"/>
          </w:tcPr>
          <w:p w14:paraId="4882753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9</w:t>
            </w:r>
          </w:p>
        </w:tc>
        <w:tc>
          <w:tcPr>
            <w:tcW w:w="0" w:type="auto"/>
            <w:noWrap w:val="0"/>
            <w:vAlign w:val="center"/>
          </w:tcPr>
          <w:p w14:paraId="69D1BD9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10</w:t>
            </w:r>
          </w:p>
        </w:tc>
        <w:tc>
          <w:tcPr>
            <w:tcW w:w="0" w:type="auto"/>
            <w:noWrap w:val="0"/>
            <w:vAlign w:val="center"/>
          </w:tcPr>
          <w:p w14:paraId="0432CEF2">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11</w:t>
            </w:r>
          </w:p>
        </w:tc>
        <w:tc>
          <w:tcPr>
            <w:tcW w:w="0" w:type="auto"/>
            <w:noWrap w:val="0"/>
            <w:vAlign w:val="center"/>
          </w:tcPr>
          <w:p w14:paraId="2F2A9A8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12</w:t>
            </w:r>
          </w:p>
        </w:tc>
      </w:tr>
      <w:tr w14:paraId="47241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0" w:type="auto"/>
            <w:noWrap w:val="0"/>
            <w:vAlign w:val="center"/>
          </w:tcPr>
          <w:p w14:paraId="7960262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风速(m/s)</w:t>
            </w:r>
          </w:p>
        </w:tc>
        <w:tc>
          <w:tcPr>
            <w:tcW w:w="584" w:type="dxa"/>
            <w:noWrap w:val="0"/>
            <w:vAlign w:val="center"/>
          </w:tcPr>
          <w:p w14:paraId="256BB8AF">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3.86</w:t>
            </w:r>
          </w:p>
        </w:tc>
        <w:tc>
          <w:tcPr>
            <w:tcW w:w="584" w:type="dxa"/>
            <w:noWrap w:val="0"/>
            <w:vAlign w:val="center"/>
          </w:tcPr>
          <w:p w14:paraId="431623B8">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3.52</w:t>
            </w:r>
          </w:p>
        </w:tc>
        <w:tc>
          <w:tcPr>
            <w:tcW w:w="584" w:type="dxa"/>
            <w:noWrap w:val="0"/>
            <w:vAlign w:val="center"/>
          </w:tcPr>
          <w:p w14:paraId="2DD12A02">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3.70</w:t>
            </w:r>
          </w:p>
        </w:tc>
        <w:tc>
          <w:tcPr>
            <w:tcW w:w="584" w:type="dxa"/>
            <w:noWrap w:val="0"/>
            <w:vAlign w:val="center"/>
          </w:tcPr>
          <w:p w14:paraId="7B3B662B">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3.38</w:t>
            </w:r>
          </w:p>
        </w:tc>
        <w:tc>
          <w:tcPr>
            <w:tcW w:w="584" w:type="dxa"/>
            <w:noWrap w:val="0"/>
            <w:vAlign w:val="center"/>
          </w:tcPr>
          <w:p w14:paraId="50EA9FFB">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2.93</w:t>
            </w:r>
          </w:p>
        </w:tc>
        <w:tc>
          <w:tcPr>
            <w:tcW w:w="584" w:type="dxa"/>
            <w:noWrap w:val="0"/>
            <w:vAlign w:val="center"/>
          </w:tcPr>
          <w:p w14:paraId="4FB26CE4">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2.38</w:t>
            </w:r>
          </w:p>
        </w:tc>
        <w:tc>
          <w:tcPr>
            <w:tcW w:w="584" w:type="dxa"/>
            <w:noWrap w:val="0"/>
            <w:vAlign w:val="center"/>
          </w:tcPr>
          <w:p w14:paraId="190F08DF">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2.33</w:t>
            </w:r>
          </w:p>
        </w:tc>
        <w:tc>
          <w:tcPr>
            <w:tcW w:w="584" w:type="dxa"/>
            <w:noWrap w:val="0"/>
            <w:vAlign w:val="center"/>
          </w:tcPr>
          <w:p w14:paraId="4D10722A">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2.26</w:t>
            </w:r>
          </w:p>
        </w:tc>
        <w:tc>
          <w:tcPr>
            <w:tcW w:w="584" w:type="dxa"/>
            <w:noWrap w:val="0"/>
            <w:vAlign w:val="center"/>
          </w:tcPr>
          <w:p w14:paraId="154B7013">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2.82</w:t>
            </w:r>
          </w:p>
        </w:tc>
        <w:tc>
          <w:tcPr>
            <w:tcW w:w="584" w:type="dxa"/>
            <w:noWrap w:val="0"/>
            <w:vAlign w:val="center"/>
          </w:tcPr>
          <w:p w14:paraId="6A1DBA96">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3.07</w:t>
            </w:r>
          </w:p>
        </w:tc>
        <w:tc>
          <w:tcPr>
            <w:tcW w:w="584" w:type="dxa"/>
            <w:noWrap w:val="0"/>
            <w:vAlign w:val="center"/>
          </w:tcPr>
          <w:p w14:paraId="0352C789">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3.61</w:t>
            </w:r>
          </w:p>
        </w:tc>
        <w:tc>
          <w:tcPr>
            <w:tcW w:w="584" w:type="dxa"/>
            <w:noWrap w:val="0"/>
            <w:vAlign w:val="center"/>
          </w:tcPr>
          <w:p w14:paraId="5E301387">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5.12</w:t>
            </w:r>
          </w:p>
        </w:tc>
      </w:tr>
    </w:tbl>
    <w:p w14:paraId="25CFD736">
      <w:pPr>
        <w:ind w:firstLine="0" w:firstLineChars="0"/>
        <w:jc w:val="center"/>
        <w:rPr>
          <w:rFonts w:ascii="Times New Roman" w:hAnsi="Times New Roman"/>
          <w:highlight w:val="none"/>
        </w:rPr>
      </w:pPr>
      <w:r>
        <w:rPr>
          <w:highlight w:val="none"/>
        </w:rPr>
        <w:drawing>
          <wp:inline distT="0" distB="0" distL="114300" distR="114300">
            <wp:extent cx="5272405" cy="2075815"/>
            <wp:effectExtent l="0" t="0" r="4445" b="635"/>
            <wp:docPr id="7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5"/>
                    <pic:cNvPicPr>
                      <a:picLocks noChangeAspect="1"/>
                    </pic:cNvPicPr>
                  </pic:nvPicPr>
                  <pic:blipFill>
                    <a:blip r:embed="rId39"/>
                    <a:stretch>
                      <a:fillRect/>
                    </a:stretch>
                  </pic:blipFill>
                  <pic:spPr>
                    <a:xfrm>
                      <a:off x="0" y="0"/>
                      <a:ext cx="5272405" cy="2075815"/>
                    </a:xfrm>
                    <a:prstGeom prst="rect">
                      <a:avLst/>
                    </a:prstGeom>
                    <a:noFill/>
                    <a:ln>
                      <a:noFill/>
                    </a:ln>
                  </pic:spPr>
                </pic:pic>
              </a:graphicData>
            </a:graphic>
          </wp:inline>
        </w:drawing>
      </w:r>
    </w:p>
    <w:p w14:paraId="33E71A2B">
      <w:pPr>
        <w:ind w:firstLine="0" w:firstLineChars="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5.2-2</w:t>
      </w:r>
      <w:r>
        <w:rPr>
          <w:rFonts w:hint="eastAsia" w:ascii="黑体" w:hAnsi="黑体" w:eastAsia="黑体" w:cs="黑体"/>
          <w:highlight w:val="none"/>
        </w:rPr>
        <w:t>年平均风速月变化曲线</w:t>
      </w:r>
    </w:p>
    <w:p w14:paraId="5EA5FEA2">
      <w:pPr>
        <w:ind w:firstLine="480"/>
        <w:rPr>
          <w:rFonts w:ascii="Times New Roman" w:hAnsi="Times New Roman"/>
          <w:highlight w:val="none"/>
        </w:rPr>
      </w:pPr>
      <w:r>
        <w:rPr>
          <w:rFonts w:ascii="Times New Roman" w:hAnsi="Times New Roman"/>
          <w:highlight w:val="none"/>
        </w:rPr>
        <w:t>（3）风向、风频</w:t>
      </w:r>
    </w:p>
    <w:p w14:paraId="5E11D968">
      <w:pPr>
        <w:ind w:firstLine="480"/>
        <w:rPr>
          <w:rFonts w:ascii="Times New Roman" w:hAnsi="Times New Roman"/>
          <w:highlight w:val="none"/>
        </w:rPr>
      </w:pPr>
      <w:r>
        <w:rPr>
          <w:rFonts w:ascii="Times New Roman" w:hAnsi="Times New Roman"/>
          <w:highlight w:val="none"/>
        </w:rPr>
        <w:t>202</w:t>
      </w:r>
      <w:r>
        <w:rPr>
          <w:rFonts w:hint="eastAsia" w:ascii="Times New Roman" w:hAnsi="Times New Roman"/>
          <w:highlight w:val="none"/>
          <w:lang w:val="en-US" w:eastAsia="zh-CN"/>
        </w:rPr>
        <w:t>4</w:t>
      </w:r>
      <w:r>
        <w:rPr>
          <w:rFonts w:ascii="Times New Roman" w:hAnsi="Times New Roman"/>
          <w:highlight w:val="none"/>
        </w:rPr>
        <w:t>年每月、各季及长期平均各向风频变化情况见表5.2-4，全年及四季风频玫瑰见图5.2-3。</w:t>
      </w:r>
    </w:p>
    <w:p w14:paraId="43F3F3CD">
      <w:pPr>
        <w:ind w:firstLine="0" w:firstLineChars="0"/>
        <w:jc w:val="center"/>
        <w:rPr>
          <w:rFonts w:hint="eastAsia" w:ascii="黑体" w:hAnsi="黑体" w:eastAsia="黑体" w:cs="黑体"/>
          <w:highlight w:val="none"/>
        </w:rPr>
      </w:pPr>
      <w:r>
        <w:rPr>
          <w:rFonts w:hint="eastAsia" w:ascii="黑体" w:hAnsi="黑体" w:eastAsia="黑体" w:cs="黑体"/>
          <w:highlight w:val="none"/>
        </w:rPr>
        <w:t>表</w:t>
      </w:r>
      <w:r>
        <w:rPr>
          <w:rFonts w:ascii="Times New Roman" w:hAnsi="Times New Roman"/>
          <w:highlight w:val="none"/>
        </w:rPr>
        <w:t>5.2-4 202</w:t>
      </w:r>
      <w:r>
        <w:rPr>
          <w:rFonts w:hint="eastAsia" w:ascii="Times New Roman" w:hAnsi="Times New Roman"/>
          <w:highlight w:val="none"/>
          <w:lang w:val="en-US" w:eastAsia="zh-CN"/>
        </w:rPr>
        <w:t>4</w:t>
      </w:r>
      <w:r>
        <w:rPr>
          <w:rFonts w:hint="eastAsia" w:ascii="黑体" w:hAnsi="黑体" w:eastAsia="黑体" w:cs="黑体"/>
          <w:highlight w:val="none"/>
        </w:rPr>
        <w:t>年年均风频的月变化统计 (单位：%)</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4"/>
        <w:gridCol w:w="555"/>
        <w:gridCol w:w="525"/>
        <w:gridCol w:w="535"/>
        <w:gridCol w:w="510"/>
        <w:gridCol w:w="485"/>
        <w:gridCol w:w="475"/>
        <w:gridCol w:w="478"/>
        <w:gridCol w:w="413"/>
        <w:gridCol w:w="413"/>
        <w:gridCol w:w="413"/>
        <w:gridCol w:w="415"/>
        <w:gridCol w:w="450"/>
        <w:gridCol w:w="415"/>
        <w:gridCol w:w="480"/>
        <w:gridCol w:w="415"/>
        <w:gridCol w:w="440"/>
        <w:gridCol w:w="405"/>
      </w:tblGrid>
      <w:tr w14:paraId="6E23A0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blHeader/>
          <w:jc w:val="center"/>
        </w:trPr>
        <w:tc>
          <w:tcPr>
            <w:tcW w:w="293" w:type="pct"/>
            <w:noWrap w:val="0"/>
            <w:tcMar>
              <w:top w:w="0" w:type="dxa"/>
              <w:left w:w="0" w:type="dxa"/>
              <w:bottom w:w="0" w:type="dxa"/>
              <w:right w:w="0" w:type="dxa"/>
            </w:tcMar>
            <w:vAlign w:val="center"/>
          </w:tcPr>
          <w:p w14:paraId="63EFB63E">
            <w:pPr>
              <w:spacing w:line="240" w:lineRule="auto"/>
              <w:ind w:firstLine="0" w:firstLineChars="0"/>
              <w:jc w:val="left"/>
              <w:rPr>
                <w:rFonts w:ascii="Times New Roman" w:hAnsi="Times New Roman"/>
                <w:kern w:val="0"/>
                <w:sz w:val="18"/>
                <w:szCs w:val="18"/>
                <w:highlight w:val="none"/>
              </w:rPr>
            </w:pPr>
            <w:r>
              <w:rPr>
                <w:rFonts w:ascii="Times New Roman" w:hAnsi="Times New Roman"/>
                <w:kern w:val="0"/>
                <w:sz w:val="18"/>
                <w:szCs w:val="18"/>
                <w:highlight w:val="none"/>
              </w:rPr>
              <w:t>风频</w:t>
            </w:r>
          </w:p>
        </w:tc>
        <w:tc>
          <w:tcPr>
            <w:tcW w:w="335" w:type="pct"/>
            <w:noWrap w:val="0"/>
            <w:tcMar>
              <w:top w:w="0" w:type="dxa"/>
              <w:left w:w="0" w:type="dxa"/>
              <w:bottom w:w="0" w:type="dxa"/>
              <w:right w:w="0" w:type="dxa"/>
            </w:tcMar>
            <w:vAlign w:val="center"/>
          </w:tcPr>
          <w:p w14:paraId="042DBFD6">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N</w:t>
            </w:r>
          </w:p>
        </w:tc>
        <w:tc>
          <w:tcPr>
            <w:tcW w:w="317" w:type="pct"/>
            <w:noWrap w:val="0"/>
            <w:tcMar>
              <w:top w:w="0" w:type="dxa"/>
              <w:left w:w="0" w:type="dxa"/>
              <w:bottom w:w="0" w:type="dxa"/>
              <w:right w:w="0" w:type="dxa"/>
            </w:tcMar>
            <w:vAlign w:val="center"/>
          </w:tcPr>
          <w:p w14:paraId="2A2E2663">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NNE</w:t>
            </w:r>
          </w:p>
        </w:tc>
        <w:tc>
          <w:tcPr>
            <w:tcW w:w="323" w:type="pct"/>
            <w:noWrap w:val="0"/>
            <w:tcMar>
              <w:top w:w="0" w:type="dxa"/>
              <w:left w:w="0" w:type="dxa"/>
              <w:bottom w:w="0" w:type="dxa"/>
              <w:right w:w="0" w:type="dxa"/>
            </w:tcMar>
            <w:vAlign w:val="center"/>
          </w:tcPr>
          <w:p w14:paraId="6FB4DC95">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NE</w:t>
            </w:r>
          </w:p>
        </w:tc>
        <w:tc>
          <w:tcPr>
            <w:tcW w:w="308" w:type="pct"/>
            <w:noWrap w:val="0"/>
            <w:tcMar>
              <w:top w:w="0" w:type="dxa"/>
              <w:left w:w="0" w:type="dxa"/>
              <w:bottom w:w="0" w:type="dxa"/>
              <w:right w:w="0" w:type="dxa"/>
            </w:tcMar>
            <w:vAlign w:val="center"/>
          </w:tcPr>
          <w:p w14:paraId="0E66250A">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ENE</w:t>
            </w:r>
          </w:p>
        </w:tc>
        <w:tc>
          <w:tcPr>
            <w:tcW w:w="293" w:type="pct"/>
            <w:noWrap w:val="0"/>
            <w:tcMar>
              <w:top w:w="0" w:type="dxa"/>
              <w:left w:w="0" w:type="dxa"/>
              <w:bottom w:w="0" w:type="dxa"/>
              <w:right w:w="0" w:type="dxa"/>
            </w:tcMar>
            <w:vAlign w:val="center"/>
          </w:tcPr>
          <w:p w14:paraId="04069BCF">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E</w:t>
            </w:r>
          </w:p>
        </w:tc>
        <w:tc>
          <w:tcPr>
            <w:tcW w:w="287" w:type="pct"/>
            <w:noWrap w:val="0"/>
            <w:tcMar>
              <w:top w:w="0" w:type="dxa"/>
              <w:left w:w="0" w:type="dxa"/>
              <w:bottom w:w="0" w:type="dxa"/>
              <w:right w:w="0" w:type="dxa"/>
            </w:tcMar>
            <w:vAlign w:val="center"/>
          </w:tcPr>
          <w:p w14:paraId="278ADB42">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ESE</w:t>
            </w:r>
          </w:p>
        </w:tc>
        <w:tc>
          <w:tcPr>
            <w:tcW w:w="289" w:type="pct"/>
            <w:noWrap w:val="0"/>
            <w:tcMar>
              <w:top w:w="0" w:type="dxa"/>
              <w:left w:w="0" w:type="dxa"/>
              <w:bottom w:w="0" w:type="dxa"/>
              <w:right w:w="0" w:type="dxa"/>
            </w:tcMar>
            <w:vAlign w:val="center"/>
          </w:tcPr>
          <w:p w14:paraId="45CF2EAF">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SE</w:t>
            </w:r>
          </w:p>
        </w:tc>
        <w:tc>
          <w:tcPr>
            <w:tcW w:w="250" w:type="pct"/>
            <w:noWrap w:val="0"/>
            <w:tcMar>
              <w:top w:w="0" w:type="dxa"/>
              <w:left w:w="0" w:type="dxa"/>
              <w:bottom w:w="0" w:type="dxa"/>
              <w:right w:w="0" w:type="dxa"/>
            </w:tcMar>
            <w:vAlign w:val="center"/>
          </w:tcPr>
          <w:p w14:paraId="0A6F0191">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SSE</w:t>
            </w:r>
          </w:p>
        </w:tc>
        <w:tc>
          <w:tcPr>
            <w:tcW w:w="250" w:type="pct"/>
            <w:noWrap w:val="0"/>
            <w:tcMar>
              <w:top w:w="0" w:type="dxa"/>
              <w:left w:w="0" w:type="dxa"/>
              <w:bottom w:w="0" w:type="dxa"/>
              <w:right w:w="0" w:type="dxa"/>
            </w:tcMar>
            <w:vAlign w:val="center"/>
          </w:tcPr>
          <w:p w14:paraId="01B7909F">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S</w:t>
            </w:r>
          </w:p>
        </w:tc>
        <w:tc>
          <w:tcPr>
            <w:tcW w:w="250" w:type="pct"/>
            <w:noWrap w:val="0"/>
            <w:tcMar>
              <w:top w:w="0" w:type="dxa"/>
              <w:left w:w="0" w:type="dxa"/>
              <w:bottom w:w="0" w:type="dxa"/>
              <w:right w:w="0" w:type="dxa"/>
            </w:tcMar>
            <w:vAlign w:val="center"/>
          </w:tcPr>
          <w:p w14:paraId="3975EB82">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SSW</w:t>
            </w:r>
          </w:p>
        </w:tc>
        <w:tc>
          <w:tcPr>
            <w:tcW w:w="251" w:type="pct"/>
            <w:noWrap w:val="0"/>
            <w:tcMar>
              <w:top w:w="0" w:type="dxa"/>
              <w:left w:w="0" w:type="dxa"/>
              <w:bottom w:w="0" w:type="dxa"/>
              <w:right w:w="0" w:type="dxa"/>
            </w:tcMar>
            <w:vAlign w:val="center"/>
          </w:tcPr>
          <w:p w14:paraId="77096C1C">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SW</w:t>
            </w:r>
          </w:p>
        </w:tc>
        <w:tc>
          <w:tcPr>
            <w:tcW w:w="272" w:type="pct"/>
            <w:noWrap w:val="0"/>
            <w:tcMar>
              <w:top w:w="0" w:type="dxa"/>
              <w:left w:w="0" w:type="dxa"/>
              <w:bottom w:w="0" w:type="dxa"/>
              <w:right w:w="0" w:type="dxa"/>
            </w:tcMar>
            <w:vAlign w:val="center"/>
          </w:tcPr>
          <w:p w14:paraId="0A8C88C8">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WSW</w:t>
            </w:r>
          </w:p>
        </w:tc>
        <w:tc>
          <w:tcPr>
            <w:tcW w:w="251" w:type="pct"/>
            <w:noWrap w:val="0"/>
            <w:tcMar>
              <w:top w:w="0" w:type="dxa"/>
              <w:left w:w="0" w:type="dxa"/>
              <w:bottom w:w="0" w:type="dxa"/>
              <w:right w:w="0" w:type="dxa"/>
            </w:tcMar>
            <w:vAlign w:val="center"/>
          </w:tcPr>
          <w:p w14:paraId="54068AB7">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W</w:t>
            </w:r>
          </w:p>
        </w:tc>
        <w:tc>
          <w:tcPr>
            <w:tcW w:w="290" w:type="pct"/>
            <w:noWrap w:val="0"/>
            <w:tcMar>
              <w:top w:w="0" w:type="dxa"/>
              <w:left w:w="0" w:type="dxa"/>
              <w:bottom w:w="0" w:type="dxa"/>
              <w:right w:w="0" w:type="dxa"/>
            </w:tcMar>
            <w:vAlign w:val="center"/>
          </w:tcPr>
          <w:p w14:paraId="7D9F4E0F">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WNW</w:t>
            </w:r>
          </w:p>
        </w:tc>
        <w:tc>
          <w:tcPr>
            <w:tcW w:w="230" w:type="pct"/>
            <w:noWrap w:val="0"/>
            <w:tcMar>
              <w:top w:w="0" w:type="dxa"/>
              <w:left w:w="0" w:type="dxa"/>
              <w:bottom w:w="0" w:type="dxa"/>
              <w:right w:w="0" w:type="dxa"/>
            </w:tcMar>
            <w:vAlign w:val="center"/>
          </w:tcPr>
          <w:p w14:paraId="4832A3E5">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NW</w:t>
            </w:r>
          </w:p>
        </w:tc>
        <w:tc>
          <w:tcPr>
            <w:tcW w:w="266" w:type="pct"/>
            <w:noWrap w:val="0"/>
            <w:tcMar>
              <w:top w:w="0" w:type="dxa"/>
              <w:left w:w="0" w:type="dxa"/>
              <w:bottom w:w="0" w:type="dxa"/>
              <w:right w:w="0" w:type="dxa"/>
            </w:tcMar>
            <w:vAlign w:val="center"/>
          </w:tcPr>
          <w:p w14:paraId="118B7E15">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NNW</w:t>
            </w:r>
          </w:p>
        </w:tc>
        <w:tc>
          <w:tcPr>
            <w:tcW w:w="247" w:type="pct"/>
            <w:noWrap w:val="0"/>
            <w:tcMar>
              <w:top w:w="0" w:type="dxa"/>
              <w:left w:w="0" w:type="dxa"/>
              <w:bottom w:w="0" w:type="dxa"/>
              <w:right w:w="0" w:type="dxa"/>
            </w:tcMar>
            <w:vAlign w:val="center"/>
          </w:tcPr>
          <w:p w14:paraId="5CCF4EF5">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C</w:t>
            </w:r>
          </w:p>
        </w:tc>
      </w:tr>
      <w:tr w14:paraId="02098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022751D9">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1月</w:t>
            </w:r>
          </w:p>
        </w:tc>
        <w:tc>
          <w:tcPr>
            <w:tcW w:w="335" w:type="pct"/>
            <w:noWrap w:val="0"/>
            <w:tcMar>
              <w:top w:w="0" w:type="dxa"/>
              <w:left w:w="0" w:type="dxa"/>
              <w:bottom w:w="0" w:type="dxa"/>
              <w:right w:w="0" w:type="dxa"/>
            </w:tcMar>
            <w:vAlign w:val="bottom"/>
          </w:tcPr>
          <w:p w14:paraId="0C8B527D">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0.67</w:t>
            </w:r>
          </w:p>
        </w:tc>
        <w:tc>
          <w:tcPr>
            <w:tcW w:w="317" w:type="pct"/>
            <w:noWrap w:val="0"/>
            <w:tcMar>
              <w:top w:w="0" w:type="dxa"/>
              <w:left w:w="0" w:type="dxa"/>
              <w:bottom w:w="0" w:type="dxa"/>
              <w:right w:w="0" w:type="dxa"/>
            </w:tcMar>
            <w:vAlign w:val="bottom"/>
          </w:tcPr>
          <w:p w14:paraId="2C072A9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09F638B2">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0.13</w:t>
            </w:r>
          </w:p>
        </w:tc>
        <w:tc>
          <w:tcPr>
            <w:tcW w:w="308" w:type="pct"/>
            <w:noWrap w:val="0"/>
            <w:tcMar>
              <w:top w:w="0" w:type="dxa"/>
              <w:left w:w="0" w:type="dxa"/>
              <w:bottom w:w="0" w:type="dxa"/>
              <w:right w:w="0" w:type="dxa"/>
            </w:tcMar>
            <w:vAlign w:val="bottom"/>
          </w:tcPr>
          <w:p w14:paraId="55EE91B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6A777D0D">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6.85</w:t>
            </w:r>
          </w:p>
        </w:tc>
        <w:tc>
          <w:tcPr>
            <w:tcW w:w="287" w:type="pct"/>
            <w:noWrap w:val="0"/>
            <w:tcMar>
              <w:top w:w="0" w:type="dxa"/>
              <w:left w:w="0" w:type="dxa"/>
              <w:bottom w:w="0" w:type="dxa"/>
              <w:right w:w="0" w:type="dxa"/>
            </w:tcMar>
            <w:vAlign w:val="bottom"/>
          </w:tcPr>
          <w:p w14:paraId="005D6FC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6.18</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633AE6E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0.40</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43301E5B">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5C514687">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0.54</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7A40D02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6934A32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572CEEB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1.21</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7BE698D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46.44</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0F10468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23.52</w:t>
            </w:r>
            <w:r>
              <w:rPr>
                <w:rFonts w:ascii="Times New Roman" w:hAnsi="Times New Roman"/>
                <w:kern w:val="0"/>
                <w:sz w:val="18"/>
                <w:szCs w:val="18"/>
                <w:highlight w:val="none"/>
              </w:rPr>
              <w:t xml:space="preserve"> </w:t>
            </w:r>
          </w:p>
        </w:tc>
        <w:tc>
          <w:tcPr>
            <w:tcW w:w="230" w:type="pct"/>
            <w:noWrap w:val="0"/>
            <w:tcMar>
              <w:top w:w="0" w:type="dxa"/>
              <w:left w:w="0" w:type="dxa"/>
              <w:bottom w:w="0" w:type="dxa"/>
              <w:right w:w="0" w:type="dxa"/>
            </w:tcMar>
            <w:vAlign w:val="bottom"/>
          </w:tcPr>
          <w:p w14:paraId="2E16F75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10.08</w:t>
            </w:r>
            <w:r>
              <w:rPr>
                <w:rFonts w:ascii="Times New Roman" w:hAnsi="Times New Roman"/>
                <w:kern w:val="0"/>
                <w:sz w:val="18"/>
                <w:szCs w:val="18"/>
                <w:highlight w:val="none"/>
              </w:rPr>
              <w:t xml:space="preserve"> </w:t>
            </w:r>
          </w:p>
        </w:tc>
        <w:tc>
          <w:tcPr>
            <w:tcW w:w="266" w:type="pct"/>
            <w:noWrap w:val="0"/>
            <w:tcMar>
              <w:top w:w="0" w:type="dxa"/>
              <w:left w:w="0" w:type="dxa"/>
              <w:bottom w:w="0" w:type="dxa"/>
              <w:right w:w="0" w:type="dxa"/>
            </w:tcMar>
            <w:vAlign w:val="bottom"/>
          </w:tcPr>
          <w:p w14:paraId="065C880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2.42</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332563A3">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0.00</w:t>
            </w:r>
          </w:p>
        </w:tc>
      </w:tr>
      <w:tr w14:paraId="207758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7A3604EE">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2月</w:t>
            </w:r>
          </w:p>
        </w:tc>
        <w:tc>
          <w:tcPr>
            <w:tcW w:w="335" w:type="pct"/>
            <w:noWrap w:val="0"/>
            <w:tcMar>
              <w:top w:w="0" w:type="dxa"/>
              <w:left w:w="0" w:type="dxa"/>
              <w:bottom w:w="0" w:type="dxa"/>
              <w:right w:w="0" w:type="dxa"/>
            </w:tcMar>
            <w:vAlign w:val="bottom"/>
          </w:tcPr>
          <w:p w14:paraId="59985DB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0.14</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15E6F5D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0.29</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4994EA7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0.29</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47CEC8E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0.29</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76D164B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5.75</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6D453C0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5.32</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42171B57">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23001A2">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0.43</w:t>
            </w:r>
          </w:p>
        </w:tc>
        <w:tc>
          <w:tcPr>
            <w:tcW w:w="250" w:type="pct"/>
            <w:noWrap w:val="0"/>
            <w:tcMar>
              <w:top w:w="0" w:type="dxa"/>
              <w:left w:w="0" w:type="dxa"/>
              <w:bottom w:w="0" w:type="dxa"/>
              <w:right w:w="0" w:type="dxa"/>
            </w:tcMar>
            <w:vAlign w:val="bottom"/>
          </w:tcPr>
          <w:p w14:paraId="4615033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1.29</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2F13E527">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0.72</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714E904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1.44</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14F699F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1.72</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113607A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49.14</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576849A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21.26</w:t>
            </w:r>
            <w:r>
              <w:rPr>
                <w:rFonts w:ascii="Times New Roman" w:hAnsi="Times New Roman"/>
                <w:kern w:val="0"/>
                <w:sz w:val="18"/>
                <w:szCs w:val="18"/>
                <w:highlight w:val="none"/>
              </w:rPr>
              <w:t xml:space="preserve"> </w:t>
            </w:r>
          </w:p>
        </w:tc>
        <w:tc>
          <w:tcPr>
            <w:tcW w:w="230" w:type="pct"/>
            <w:noWrap w:val="0"/>
            <w:tcMar>
              <w:top w:w="0" w:type="dxa"/>
              <w:left w:w="0" w:type="dxa"/>
              <w:bottom w:w="0" w:type="dxa"/>
              <w:right w:w="0" w:type="dxa"/>
            </w:tcMar>
            <w:vAlign w:val="bottom"/>
          </w:tcPr>
          <w:p w14:paraId="314BCBA6">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9.63</w:t>
            </w:r>
          </w:p>
        </w:tc>
        <w:tc>
          <w:tcPr>
            <w:tcW w:w="266" w:type="pct"/>
            <w:noWrap w:val="0"/>
            <w:tcMar>
              <w:top w:w="0" w:type="dxa"/>
              <w:left w:w="0" w:type="dxa"/>
              <w:bottom w:w="0" w:type="dxa"/>
              <w:right w:w="0" w:type="dxa"/>
            </w:tcMar>
            <w:vAlign w:val="bottom"/>
          </w:tcPr>
          <w:p w14:paraId="3638452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1.72</w:t>
            </w:r>
          </w:p>
        </w:tc>
        <w:tc>
          <w:tcPr>
            <w:tcW w:w="247" w:type="pct"/>
            <w:noWrap w:val="0"/>
            <w:tcMar>
              <w:top w:w="0" w:type="dxa"/>
              <w:left w:w="0" w:type="dxa"/>
              <w:bottom w:w="0" w:type="dxa"/>
              <w:right w:w="0" w:type="dxa"/>
            </w:tcMar>
            <w:vAlign w:val="bottom"/>
          </w:tcPr>
          <w:p w14:paraId="3A8525DA">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0.</w:t>
            </w:r>
            <w:r>
              <w:rPr>
                <w:rFonts w:hint="eastAsia" w:ascii="Times New Roman" w:hAnsi="Times New Roman"/>
                <w:kern w:val="0"/>
                <w:sz w:val="18"/>
                <w:szCs w:val="18"/>
                <w:highlight w:val="none"/>
                <w:lang w:val="en-US" w:eastAsia="zh-CN"/>
              </w:rPr>
              <w:t>14</w:t>
            </w:r>
            <w:r>
              <w:rPr>
                <w:rFonts w:ascii="Times New Roman" w:hAnsi="Times New Roman"/>
                <w:kern w:val="0"/>
                <w:sz w:val="18"/>
                <w:szCs w:val="18"/>
                <w:highlight w:val="none"/>
              </w:rPr>
              <w:t xml:space="preserve"> </w:t>
            </w:r>
          </w:p>
        </w:tc>
      </w:tr>
      <w:tr w14:paraId="39F99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300E3AE9">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3月</w:t>
            </w:r>
          </w:p>
        </w:tc>
        <w:tc>
          <w:tcPr>
            <w:tcW w:w="335" w:type="pct"/>
            <w:noWrap w:val="0"/>
            <w:tcMar>
              <w:top w:w="0" w:type="dxa"/>
              <w:left w:w="0" w:type="dxa"/>
              <w:bottom w:w="0" w:type="dxa"/>
              <w:right w:w="0" w:type="dxa"/>
            </w:tcMar>
            <w:vAlign w:val="bottom"/>
          </w:tcPr>
          <w:p w14:paraId="4B0D197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0.94</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2BA7D5B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0.27</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14FB1B8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0.27</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1945811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0.94</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6A03DCE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7.93</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4B17611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7.12</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6CAB8FC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2.96</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4332FA0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2.28</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0CE052C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14521D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BF43C9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0.40</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56101DA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0.94</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242D9FD0">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38.04</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1A791FBA">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22.72</w:t>
            </w:r>
          </w:p>
        </w:tc>
        <w:tc>
          <w:tcPr>
            <w:tcW w:w="230" w:type="pct"/>
            <w:noWrap w:val="0"/>
            <w:tcMar>
              <w:top w:w="0" w:type="dxa"/>
              <w:left w:w="0" w:type="dxa"/>
              <w:bottom w:w="0" w:type="dxa"/>
              <w:right w:w="0" w:type="dxa"/>
            </w:tcMar>
            <w:vAlign w:val="bottom"/>
          </w:tcPr>
          <w:p w14:paraId="5BC502C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10.75</w:t>
            </w:r>
            <w:r>
              <w:rPr>
                <w:rFonts w:ascii="Times New Roman" w:hAnsi="Times New Roman"/>
                <w:kern w:val="0"/>
                <w:sz w:val="18"/>
                <w:szCs w:val="18"/>
                <w:highlight w:val="none"/>
              </w:rPr>
              <w:t xml:space="preserve"> </w:t>
            </w:r>
          </w:p>
        </w:tc>
        <w:tc>
          <w:tcPr>
            <w:tcW w:w="266" w:type="pct"/>
            <w:noWrap w:val="0"/>
            <w:tcMar>
              <w:top w:w="0" w:type="dxa"/>
              <w:left w:w="0" w:type="dxa"/>
              <w:bottom w:w="0" w:type="dxa"/>
              <w:right w:w="0" w:type="dxa"/>
            </w:tcMar>
            <w:vAlign w:val="bottom"/>
          </w:tcPr>
          <w:p w14:paraId="3726A18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2.96</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51376748">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 xml:space="preserve">0.13 </w:t>
            </w:r>
          </w:p>
        </w:tc>
      </w:tr>
      <w:tr w14:paraId="04EA6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65FB1CB0">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4月</w:t>
            </w:r>
          </w:p>
        </w:tc>
        <w:tc>
          <w:tcPr>
            <w:tcW w:w="335" w:type="pct"/>
            <w:noWrap w:val="0"/>
            <w:tcMar>
              <w:top w:w="0" w:type="dxa"/>
              <w:left w:w="0" w:type="dxa"/>
              <w:bottom w:w="0" w:type="dxa"/>
              <w:right w:w="0" w:type="dxa"/>
            </w:tcMar>
            <w:vAlign w:val="bottom"/>
          </w:tcPr>
          <w:p w14:paraId="578DEE7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0.56</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0694BC3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0.14</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29483AC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0.42</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3AE01E5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0.97</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6D8CC54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12.08</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16E48125">
            <w:pPr>
              <w:spacing w:line="240" w:lineRule="auto"/>
              <w:ind w:firstLine="0" w:firstLineChars="0"/>
              <w:jc w:val="center"/>
              <w:rPr>
                <w:rFonts w:hint="default" w:ascii="Times New Roman" w:hAnsi="Times New Roman"/>
                <w:kern w:val="0"/>
                <w:sz w:val="18"/>
                <w:szCs w:val="18"/>
                <w:highlight w:val="none"/>
                <w:lang w:val="en-US"/>
              </w:rPr>
            </w:pPr>
            <w:r>
              <w:rPr>
                <w:rFonts w:hint="eastAsia" w:ascii="Times New Roman" w:hAnsi="Times New Roman"/>
                <w:kern w:val="0"/>
                <w:sz w:val="18"/>
                <w:szCs w:val="18"/>
                <w:highlight w:val="none"/>
                <w:lang w:val="en-US" w:eastAsia="zh-CN"/>
              </w:rPr>
              <w:t>10.42</w:t>
            </w:r>
          </w:p>
        </w:tc>
        <w:tc>
          <w:tcPr>
            <w:tcW w:w="289" w:type="pct"/>
            <w:noWrap w:val="0"/>
            <w:tcMar>
              <w:top w:w="0" w:type="dxa"/>
              <w:left w:w="0" w:type="dxa"/>
              <w:bottom w:w="0" w:type="dxa"/>
              <w:right w:w="0" w:type="dxa"/>
            </w:tcMar>
            <w:vAlign w:val="bottom"/>
          </w:tcPr>
          <w:p w14:paraId="16E6548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3.33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4BCE377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2.36</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76D0BD66">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1.67</w:t>
            </w:r>
          </w:p>
        </w:tc>
        <w:tc>
          <w:tcPr>
            <w:tcW w:w="250" w:type="pct"/>
            <w:noWrap w:val="0"/>
            <w:tcMar>
              <w:top w:w="0" w:type="dxa"/>
              <w:left w:w="0" w:type="dxa"/>
              <w:bottom w:w="0" w:type="dxa"/>
              <w:right w:w="0" w:type="dxa"/>
            </w:tcMar>
            <w:vAlign w:val="bottom"/>
          </w:tcPr>
          <w:p w14:paraId="4EF89E6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2.64</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6310EF8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1.25</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0A50615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2.36</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6BDC965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26.39</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758C51F0">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21.53</w:t>
            </w:r>
          </w:p>
        </w:tc>
        <w:tc>
          <w:tcPr>
            <w:tcW w:w="230" w:type="pct"/>
            <w:noWrap w:val="0"/>
            <w:tcMar>
              <w:top w:w="0" w:type="dxa"/>
              <w:left w:w="0" w:type="dxa"/>
              <w:bottom w:w="0" w:type="dxa"/>
              <w:right w:w="0" w:type="dxa"/>
            </w:tcMar>
            <w:vAlign w:val="bottom"/>
          </w:tcPr>
          <w:p w14:paraId="4FE792D7">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11.25</w:t>
            </w:r>
          </w:p>
        </w:tc>
        <w:tc>
          <w:tcPr>
            <w:tcW w:w="266" w:type="pct"/>
            <w:noWrap w:val="0"/>
            <w:tcMar>
              <w:top w:w="0" w:type="dxa"/>
              <w:left w:w="0" w:type="dxa"/>
              <w:bottom w:w="0" w:type="dxa"/>
              <w:right w:w="0" w:type="dxa"/>
            </w:tcMar>
            <w:vAlign w:val="bottom"/>
          </w:tcPr>
          <w:p w14:paraId="2702806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2.36</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30868634">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0.</w:t>
            </w:r>
            <w:r>
              <w:rPr>
                <w:rFonts w:hint="eastAsia" w:ascii="Times New Roman" w:hAnsi="Times New Roman"/>
                <w:kern w:val="0"/>
                <w:sz w:val="18"/>
                <w:szCs w:val="18"/>
                <w:highlight w:val="none"/>
                <w:lang w:val="en-US" w:eastAsia="zh-CN"/>
              </w:rPr>
              <w:t>28</w:t>
            </w:r>
            <w:r>
              <w:rPr>
                <w:rFonts w:ascii="Times New Roman" w:hAnsi="Times New Roman"/>
                <w:kern w:val="0"/>
                <w:sz w:val="18"/>
                <w:szCs w:val="18"/>
                <w:highlight w:val="none"/>
              </w:rPr>
              <w:t xml:space="preserve"> </w:t>
            </w:r>
          </w:p>
        </w:tc>
      </w:tr>
      <w:tr w14:paraId="5EDF38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6D836AB8">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5月</w:t>
            </w:r>
          </w:p>
        </w:tc>
        <w:tc>
          <w:tcPr>
            <w:tcW w:w="335" w:type="pct"/>
            <w:noWrap w:val="0"/>
            <w:tcMar>
              <w:top w:w="0" w:type="dxa"/>
              <w:left w:w="0" w:type="dxa"/>
              <w:bottom w:w="0" w:type="dxa"/>
              <w:right w:w="0" w:type="dxa"/>
            </w:tcMar>
            <w:vAlign w:val="bottom"/>
          </w:tcPr>
          <w:p w14:paraId="7DBEA6E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4.70</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3CBCB4C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1.21</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2330971E">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1.61</w:t>
            </w:r>
          </w:p>
        </w:tc>
        <w:tc>
          <w:tcPr>
            <w:tcW w:w="308" w:type="pct"/>
            <w:noWrap w:val="0"/>
            <w:tcMar>
              <w:top w:w="0" w:type="dxa"/>
              <w:left w:w="0" w:type="dxa"/>
              <w:bottom w:w="0" w:type="dxa"/>
              <w:right w:w="0" w:type="dxa"/>
            </w:tcMar>
            <w:vAlign w:val="bottom"/>
          </w:tcPr>
          <w:p w14:paraId="31E163A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2.69</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0E70AC9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11.29</w:t>
            </w:r>
          </w:p>
        </w:tc>
        <w:tc>
          <w:tcPr>
            <w:tcW w:w="287" w:type="pct"/>
            <w:noWrap w:val="0"/>
            <w:tcMar>
              <w:top w:w="0" w:type="dxa"/>
              <w:left w:w="0" w:type="dxa"/>
              <w:bottom w:w="0" w:type="dxa"/>
              <w:right w:w="0" w:type="dxa"/>
            </w:tcMar>
            <w:vAlign w:val="bottom"/>
          </w:tcPr>
          <w:p w14:paraId="5E19F042">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9.41</w:t>
            </w:r>
          </w:p>
        </w:tc>
        <w:tc>
          <w:tcPr>
            <w:tcW w:w="289" w:type="pct"/>
            <w:noWrap w:val="0"/>
            <w:tcMar>
              <w:top w:w="0" w:type="dxa"/>
              <w:left w:w="0" w:type="dxa"/>
              <w:bottom w:w="0" w:type="dxa"/>
              <w:right w:w="0" w:type="dxa"/>
            </w:tcMar>
            <w:vAlign w:val="bottom"/>
          </w:tcPr>
          <w:p w14:paraId="736D7DC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1.75</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79D4631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2.28</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1CCF5FA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1.21</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37346F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0.81</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403E453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1.75</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71EE35A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1.88</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28CC1CE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21.91</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4EC54A7C">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16.80</w:t>
            </w:r>
          </w:p>
        </w:tc>
        <w:tc>
          <w:tcPr>
            <w:tcW w:w="230" w:type="pct"/>
            <w:noWrap w:val="0"/>
            <w:tcMar>
              <w:top w:w="0" w:type="dxa"/>
              <w:left w:w="0" w:type="dxa"/>
              <w:bottom w:w="0" w:type="dxa"/>
              <w:right w:w="0" w:type="dxa"/>
            </w:tcMar>
            <w:vAlign w:val="bottom"/>
          </w:tcPr>
          <w:p w14:paraId="375B50D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14.65</w:t>
            </w:r>
            <w:r>
              <w:rPr>
                <w:rFonts w:ascii="Times New Roman" w:hAnsi="Times New Roman"/>
                <w:kern w:val="0"/>
                <w:sz w:val="18"/>
                <w:szCs w:val="18"/>
                <w:highlight w:val="none"/>
              </w:rPr>
              <w:t xml:space="preserve"> </w:t>
            </w:r>
          </w:p>
        </w:tc>
        <w:tc>
          <w:tcPr>
            <w:tcW w:w="266" w:type="pct"/>
            <w:noWrap w:val="0"/>
            <w:tcMar>
              <w:top w:w="0" w:type="dxa"/>
              <w:left w:w="0" w:type="dxa"/>
              <w:bottom w:w="0" w:type="dxa"/>
              <w:right w:w="0" w:type="dxa"/>
            </w:tcMar>
            <w:vAlign w:val="bottom"/>
          </w:tcPr>
          <w:p w14:paraId="40290A8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5.51</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1D9EEC86">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0.</w:t>
            </w:r>
            <w:r>
              <w:rPr>
                <w:rFonts w:hint="eastAsia" w:ascii="Times New Roman" w:hAnsi="Times New Roman"/>
                <w:kern w:val="0"/>
                <w:sz w:val="18"/>
                <w:szCs w:val="18"/>
                <w:highlight w:val="none"/>
                <w:lang w:val="en-US" w:eastAsia="zh-CN"/>
              </w:rPr>
              <w:t>54</w:t>
            </w:r>
            <w:r>
              <w:rPr>
                <w:rFonts w:ascii="Times New Roman" w:hAnsi="Times New Roman"/>
                <w:kern w:val="0"/>
                <w:sz w:val="18"/>
                <w:szCs w:val="18"/>
                <w:highlight w:val="none"/>
              </w:rPr>
              <w:t xml:space="preserve"> </w:t>
            </w:r>
          </w:p>
        </w:tc>
      </w:tr>
      <w:tr w14:paraId="089679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3A319217">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6月</w:t>
            </w:r>
          </w:p>
        </w:tc>
        <w:tc>
          <w:tcPr>
            <w:tcW w:w="335" w:type="pct"/>
            <w:noWrap w:val="0"/>
            <w:tcMar>
              <w:top w:w="0" w:type="dxa"/>
              <w:left w:w="0" w:type="dxa"/>
              <w:bottom w:w="0" w:type="dxa"/>
              <w:right w:w="0" w:type="dxa"/>
            </w:tcMar>
            <w:vAlign w:val="bottom"/>
          </w:tcPr>
          <w:p w14:paraId="233686E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1.81</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4C7782DB">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1.39</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28691D5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0.69</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2C336373">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1.</w:t>
            </w:r>
            <w:r>
              <w:rPr>
                <w:rFonts w:hint="eastAsia" w:ascii="Times New Roman" w:hAnsi="Times New Roman"/>
                <w:kern w:val="0"/>
                <w:sz w:val="18"/>
                <w:szCs w:val="18"/>
                <w:highlight w:val="none"/>
                <w:lang w:val="en-US" w:eastAsia="zh-CN"/>
              </w:rPr>
              <w:t>25</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71F40195">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15.97</w:t>
            </w:r>
          </w:p>
        </w:tc>
        <w:tc>
          <w:tcPr>
            <w:tcW w:w="287" w:type="pct"/>
            <w:noWrap w:val="0"/>
            <w:tcMar>
              <w:top w:w="0" w:type="dxa"/>
              <w:left w:w="0" w:type="dxa"/>
              <w:bottom w:w="0" w:type="dxa"/>
              <w:right w:w="0" w:type="dxa"/>
            </w:tcMar>
            <w:vAlign w:val="bottom"/>
          </w:tcPr>
          <w:p w14:paraId="63128C4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15.42</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73AC904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3.47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7E8A87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1.81</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050EA88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2.22</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10838CF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1.94</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6C4C2EC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2.36</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2506A3C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0.83</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DB77005">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18.75</w:t>
            </w:r>
          </w:p>
        </w:tc>
        <w:tc>
          <w:tcPr>
            <w:tcW w:w="290" w:type="pct"/>
            <w:noWrap w:val="0"/>
            <w:tcMar>
              <w:top w:w="0" w:type="dxa"/>
              <w:left w:w="0" w:type="dxa"/>
              <w:bottom w:w="0" w:type="dxa"/>
              <w:right w:w="0" w:type="dxa"/>
            </w:tcMar>
            <w:vAlign w:val="bottom"/>
          </w:tcPr>
          <w:p w14:paraId="0D25A777">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16.81</w:t>
            </w:r>
          </w:p>
        </w:tc>
        <w:tc>
          <w:tcPr>
            <w:tcW w:w="230" w:type="pct"/>
            <w:noWrap w:val="0"/>
            <w:tcMar>
              <w:top w:w="0" w:type="dxa"/>
              <w:left w:w="0" w:type="dxa"/>
              <w:bottom w:w="0" w:type="dxa"/>
              <w:right w:w="0" w:type="dxa"/>
            </w:tcMar>
            <w:vAlign w:val="bottom"/>
          </w:tcPr>
          <w:p w14:paraId="16676705">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10.83</w:t>
            </w:r>
          </w:p>
        </w:tc>
        <w:tc>
          <w:tcPr>
            <w:tcW w:w="266" w:type="pct"/>
            <w:noWrap w:val="0"/>
            <w:tcMar>
              <w:top w:w="0" w:type="dxa"/>
              <w:left w:w="0" w:type="dxa"/>
              <w:bottom w:w="0" w:type="dxa"/>
              <w:right w:w="0" w:type="dxa"/>
            </w:tcMar>
            <w:vAlign w:val="bottom"/>
          </w:tcPr>
          <w:p w14:paraId="79273DB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4.44</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2FE39249">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 xml:space="preserve">0.00 </w:t>
            </w:r>
          </w:p>
        </w:tc>
      </w:tr>
      <w:tr w14:paraId="50317B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7C04B0FC">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7月</w:t>
            </w:r>
          </w:p>
        </w:tc>
        <w:tc>
          <w:tcPr>
            <w:tcW w:w="335" w:type="pct"/>
            <w:noWrap w:val="0"/>
            <w:tcMar>
              <w:top w:w="0" w:type="dxa"/>
              <w:left w:w="0" w:type="dxa"/>
              <w:bottom w:w="0" w:type="dxa"/>
              <w:right w:w="0" w:type="dxa"/>
            </w:tcMar>
            <w:vAlign w:val="bottom"/>
          </w:tcPr>
          <w:p w14:paraId="257FC00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1.08</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35F209C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0.67</w:t>
            </w:r>
          </w:p>
        </w:tc>
        <w:tc>
          <w:tcPr>
            <w:tcW w:w="323" w:type="pct"/>
            <w:noWrap w:val="0"/>
            <w:tcMar>
              <w:top w:w="0" w:type="dxa"/>
              <w:left w:w="0" w:type="dxa"/>
              <w:bottom w:w="0" w:type="dxa"/>
              <w:right w:w="0" w:type="dxa"/>
            </w:tcMar>
            <w:vAlign w:val="bottom"/>
          </w:tcPr>
          <w:p w14:paraId="76BD0B7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745B48CB">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1.08</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7C977609">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18.15</w:t>
            </w:r>
          </w:p>
        </w:tc>
        <w:tc>
          <w:tcPr>
            <w:tcW w:w="287" w:type="pct"/>
            <w:noWrap w:val="0"/>
            <w:tcMar>
              <w:top w:w="0" w:type="dxa"/>
              <w:left w:w="0" w:type="dxa"/>
              <w:bottom w:w="0" w:type="dxa"/>
              <w:right w:w="0" w:type="dxa"/>
            </w:tcMar>
            <w:vAlign w:val="bottom"/>
          </w:tcPr>
          <w:p w14:paraId="18AF49CD">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15.05</w:t>
            </w:r>
          </w:p>
        </w:tc>
        <w:tc>
          <w:tcPr>
            <w:tcW w:w="289" w:type="pct"/>
            <w:noWrap w:val="0"/>
            <w:tcMar>
              <w:top w:w="0" w:type="dxa"/>
              <w:left w:w="0" w:type="dxa"/>
              <w:bottom w:w="0" w:type="dxa"/>
              <w:right w:w="0" w:type="dxa"/>
            </w:tcMar>
            <w:vAlign w:val="bottom"/>
          </w:tcPr>
          <w:p w14:paraId="1D933F5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3.63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FEAA2D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1.75</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DAF39E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5E4C961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1.48</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2053BFD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2.42</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6C2A21D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3.23</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3DAFAB6E">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20.16</w:t>
            </w:r>
          </w:p>
        </w:tc>
        <w:tc>
          <w:tcPr>
            <w:tcW w:w="290" w:type="pct"/>
            <w:noWrap w:val="0"/>
            <w:tcMar>
              <w:top w:w="0" w:type="dxa"/>
              <w:left w:w="0" w:type="dxa"/>
              <w:bottom w:w="0" w:type="dxa"/>
              <w:right w:w="0" w:type="dxa"/>
            </w:tcMar>
            <w:vAlign w:val="bottom"/>
          </w:tcPr>
          <w:p w14:paraId="57B6FEFB">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16.67</w:t>
            </w:r>
          </w:p>
        </w:tc>
        <w:tc>
          <w:tcPr>
            <w:tcW w:w="230" w:type="pct"/>
            <w:noWrap w:val="0"/>
            <w:tcMar>
              <w:top w:w="0" w:type="dxa"/>
              <w:left w:w="0" w:type="dxa"/>
              <w:bottom w:w="0" w:type="dxa"/>
              <w:right w:w="0" w:type="dxa"/>
            </w:tcMar>
            <w:vAlign w:val="bottom"/>
          </w:tcPr>
          <w:p w14:paraId="758CE37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9.95</w:t>
            </w:r>
          </w:p>
        </w:tc>
        <w:tc>
          <w:tcPr>
            <w:tcW w:w="266" w:type="pct"/>
            <w:noWrap w:val="0"/>
            <w:tcMar>
              <w:top w:w="0" w:type="dxa"/>
              <w:left w:w="0" w:type="dxa"/>
              <w:bottom w:w="0" w:type="dxa"/>
              <w:right w:w="0" w:type="dxa"/>
            </w:tcMar>
            <w:vAlign w:val="bottom"/>
          </w:tcPr>
          <w:p w14:paraId="4905E71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3.23</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4845A13B">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0.</w:t>
            </w:r>
            <w:r>
              <w:rPr>
                <w:rFonts w:hint="eastAsia" w:ascii="Times New Roman" w:hAnsi="Times New Roman"/>
                <w:kern w:val="0"/>
                <w:sz w:val="18"/>
                <w:szCs w:val="18"/>
                <w:highlight w:val="none"/>
                <w:lang w:val="en-US" w:eastAsia="zh-CN"/>
              </w:rPr>
              <w:t>13</w:t>
            </w:r>
            <w:r>
              <w:rPr>
                <w:rFonts w:ascii="Times New Roman" w:hAnsi="Times New Roman"/>
                <w:kern w:val="0"/>
                <w:sz w:val="18"/>
                <w:szCs w:val="18"/>
                <w:highlight w:val="none"/>
              </w:rPr>
              <w:t xml:space="preserve"> </w:t>
            </w:r>
          </w:p>
        </w:tc>
      </w:tr>
      <w:tr w14:paraId="54584D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3E6D2263">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8月</w:t>
            </w:r>
          </w:p>
        </w:tc>
        <w:tc>
          <w:tcPr>
            <w:tcW w:w="335" w:type="pct"/>
            <w:noWrap w:val="0"/>
            <w:tcMar>
              <w:top w:w="0" w:type="dxa"/>
              <w:left w:w="0" w:type="dxa"/>
              <w:bottom w:w="0" w:type="dxa"/>
              <w:right w:w="0" w:type="dxa"/>
            </w:tcMar>
            <w:vAlign w:val="bottom"/>
          </w:tcPr>
          <w:p w14:paraId="14DD0A9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1.21</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2D734498">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ascii="Times New Roman" w:hAnsi="Times New Roman"/>
                <w:kern w:val="0"/>
                <w:sz w:val="18"/>
                <w:szCs w:val="18"/>
                <w:highlight w:val="none"/>
              </w:rPr>
              <w:t xml:space="preserve"> </w:t>
            </w:r>
            <w:r>
              <w:rPr>
                <w:rFonts w:hint="eastAsia" w:ascii="Times New Roman" w:hAnsi="Times New Roman"/>
                <w:kern w:val="0"/>
                <w:sz w:val="18"/>
                <w:szCs w:val="18"/>
                <w:highlight w:val="none"/>
                <w:lang w:val="en-US" w:eastAsia="zh-CN"/>
              </w:rPr>
              <w:t>0.67</w:t>
            </w:r>
          </w:p>
        </w:tc>
        <w:tc>
          <w:tcPr>
            <w:tcW w:w="323" w:type="pct"/>
            <w:noWrap w:val="0"/>
            <w:tcMar>
              <w:top w:w="0" w:type="dxa"/>
              <w:left w:w="0" w:type="dxa"/>
              <w:bottom w:w="0" w:type="dxa"/>
              <w:right w:w="0" w:type="dxa"/>
            </w:tcMar>
            <w:vAlign w:val="bottom"/>
          </w:tcPr>
          <w:p w14:paraId="480746A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25CAB6E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1.34</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125AB9FE">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15.86</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2B54EB3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15.59</w:t>
            </w:r>
          </w:p>
        </w:tc>
        <w:tc>
          <w:tcPr>
            <w:tcW w:w="289" w:type="pct"/>
            <w:noWrap w:val="0"/>
            <w:tcMar>
              <w:top w:w="0" w:type="dxa"/>
              <w:left w:w="0" w:type="dxa"/>
              <w:bottom w:w="0" w:type="dxa"/>
              <w:right w:w="0" w:type="dxa"/>
            </w:tcMar>
            <w:vAlign w:val="bottom"/>
          </w:tcPr>
          <w:p w14:paraId="48601E1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5.24</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0F06C2D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3.23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1D89747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2.82</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86EC9BB">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2.15</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489C33E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2.69</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17771E1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3.63</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EAD425E">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16.26</w:t>
            </w:r>
          </w:p>
        </w:tc>
        <w:tc>
          <w:tcPr>
            <w:tcW w:w="290" w:type="pct"/>
            <w:noWrap w:val="0"/>
            <w:tcMar>
              <w:top w:w="0" w:type="dxa"/>
              <w:left w:w="0" w:type="dxa"/>
              <w:bottom w:w="0" w:type="dxa"/>
              <w:right w:w="0" w:type="dxa"/>
            </w:tcMar>
            <w:vAlign w:val="bottom"/>
          </w:tcPr>
          <w:p w14:paraId="5685318D">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16.26</w:t>
            </w:r>
          </w:p>
        </w:tc>
        <w:tc>
          <w:tcPr>
            <w:tcW w:w="230" w:type="pct"/>
            <w:noWrap w:val="0"/>
            <w:tcMar>
              <w:top w:w="0" w:type="dxa"/>
              <w:left w:w="0" w:type="dxa"/>
              <w:bottom w:w="0" w:type="dxa"/>
              <w:right w:w="0" w:type="dxa"/>
            </w:tcMar>
            <w:vAlign w:val="bottom"/>
          </w:tcPr>
          <w:p w14:paraId="69DA0AB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10.48</w:t>
            </w:r>
            <w:r>
              <w:rPr>
                <w:rFonts w:ascii="Times New Roman" w:hAnsi="Times New Roman"/>
                <w:kern w:val="0"/>
                <w:sz w:val="18"/>
                <w:szCs w:val="18"/>
                <w:highlight w:val="none"/>
              </w:rPr>
              <w:t xml:space="preserve"> </w:t>
            </w:r>
          </w:p>
        </w:tc>
        <w:tc>
          <w:tcPr>
            <w:tcW w:w="266" w:type="pct"/>
            <w:noWrap w:val="0"/>
            <w:tcMar>
              <w:top w:w="0" w:type="dxa"/>
              <w:left w:w="0" w:type="dxa"/>
              <w:bottom w:w="0" w:type="dxa"/>
              <w:right w:w="0" w:type="dxa"/>
            </w:tcMar>
            <w:vAlign w:val="bottom"/>
          </w:tcPr>
          <w:p w14:paraId="42CB421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1.88</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3EA98602">
            <w:pPr>
              <w:spacing w:line="240" w:lineRule="auto"/>
              <w:ind w:left="0" w:leftChars="0" w:firstLine="0" w:firstLineChars="0"/>
              <w:jc w:val="left"/>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r>
      <w:tr w14:paraId="5C35D3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4CA26805">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9月</w:t>
            </w:r>
          </w:p>
        </w:tc>
        <w:tc>
          <w:tcPr>
            <w:tcW w:w="335" w:type="pct"/>
            <w:noWrap w:val="0"/>
            <w:tcMar>
              <w:top w:w="0" w:type="dxa"/>
              <w:left w:w="0" w:type="dxa"/>
              <w:bottom w:w="0" w:type="dxa"/>
              <w:right w:w="0" w:type="dxa"/>
            </w:tcMar>
            <w:vAlign w:val="bottom"/>
          </w:tcPr>
          <w:p w14:paraId="41B4144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1.39</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6E768AC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0.56</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526DED5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0.42</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78F8AF1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1.25</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080F9AF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4.72</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5D12C84F">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7.08</w:t>
            </w:r>
          </w:p>
        </w:tc>
        <w:tc>
          <w:tcPr>
            <w:tcW w:w="289" w:type="pct"/>
            <w:noWrap w:val="0"/>
            <w:tcMar>
              <w:top w:w="0" w:type="dxa"/>
              <w:left w:w="0" w:type="dxa"/>
              <w:bottom w:w="0" w:type="dxa"/>
              <w:right w:w="0" w:type="dxa"/>
            </w:tcMar>
            <w:vAlign w:val="bottom"/>
          </w:tcPr>
          <w:p w14:paraId="0EA9A15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1.67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4A4E1C74">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3.61</w:t>
            </w:r>
          </w:p>
        </w:tc>
        <w:tc>
          <w:tcPr>
            <w:tcW w:w="250" w:type="pct"/>
            <w:noWrap w:val="0"/>
            <w:tcMar>
              <w:top w:w="0" w:type="dxa"/>
              <w:left w:w="0" w:type="dxa"/>
              <w:bottom w:w="0" w:type="dxa"/>
              <w:right w:w="0" w:type="dxa"/>
            </w:tcMar>
            <w:vAlign w:val="bottom"/>
          </w:tcPr>
          <w:p w14:paraId="4D365FB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1.81</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A8E8B6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2.64</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19CD3A3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0.69</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2B9198F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1.94</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77AA63A">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29.31</w:t>
            </w:r>
          </w:p>
        </w:tc>
        <w:tc>
          <w:tcPr>
            <w:tcW w:w="290" w:type="pct"/>
            <w:noWrap w:val="0"/>
            <w:tcMar>
              <w:top w:w="0" w:type="dxa"/>
              <w:left w:w="0" w:type="dxa"/>
              <w:bottom w:w="0" w:type="dxa"/>
              <w:right w:w="0" w:type="dxa"/>
            </w:tcMar>
            <w:vAlign w:val="bottom"/>
          </w:tcPr>
          <w:p w14:paraId="6972BBDE">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20.83</w:t>
            </w:r>
          </w:p>
        </w:tc>
        <w:tc>
          <w:tcPr>
            <w:tcW w:w="230" w:type="pct"/>
            <w:noWrap w:val="0"/>
            <w:tcMar>
              <w:top w:w="0" w:type="dxa"/>
              <w:left w:w="0" w:type="dxa"/>
              <w:bottom w:w="0" w:type="dxa"/>
              <w:right w:w="0" w:type="dxa"/>
            </w:tcMar>
            <w:vAlign w:val="bottom"/>
          </w:tcPr>
          <w:p w14:paraId="5CC0CCC2">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18.33</w:t>
            </w:r>
          </w:p>
        </w:tc>
        <w:tc>
          <w:tcPr>
            <w:tcW w:w="266" w:type="pct"/>
            <w:noWrap w:val="0"/>
            <w:tcMar>
              <w:top w:w="0" w:type="dxa"/>
              <w:left w:w="0" w:type="dxa"/>
              <w:bottom w:w="0" w:type="dxa"/>
              <w:right w:w="0" w:type="dxa"/>
            </w:tcMar>
            <w:vAlign w:val="bottom"/>
          </w:tcPr>
          <w:p w14:paraId="67E85FA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3.75</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653AA6F8">
            <w:pPr>
              <w:spacing w:line="240" w:lineRule="auto"/>
              <w:ind w:left="0" w:leftChars="0" w:firstLine="0" w:firstLineChars="0"/>
              <w:jc w:val="left"/>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r>
      <w:tr w14:paraId="19F704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326EB912">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10月</w:t>
            </w:r>
          </w:p>
        </w:tc>
        <w:tc>
          <w:tcPr>
            <w:tcW w:w="335" w:type="pct"/>
            <w:noWrap w:val="0"/>
            <w:tcMar>
              <w:top w:w="0" w:type="dxa"/>
              <w:left w:w="0" w:type="dxa"/>
              <w:bottom w:w="0" w:type="dxa"/>
              <w:right w:w="0" w:type="dxa"/>
            </w:tcMar>
            <w:vAlign w:val="bottom"/>
          </w:tcPr>
          <w:p w14:paraId="4156AEF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1.21</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5BEEDCA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1.08</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47C26A4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0.81</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3E44A1D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0.40</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4FA8482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8.20</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36C9D32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5.38</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3862EC5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1.61</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1599AD2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3.09</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643BCD0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2.02</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273E5C11">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2.82</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918186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1.08</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166F495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2.55</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6DEDE1E0">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26.34</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15D32604">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23.25</w:t>
            </w:r>
          </w:p>
        </w:tc>
        <w:tc>
          <w:tcPr>
            <w:tcW w:w="230" w:type="pct"/>
            <w:noWrap w:val="0"/>
            <w:tcMar>
              <w:top w:w="0" w:type="dxa"/>
              <w:left w:w="0" w:type="dxa"/>
              <w:bottom w:w="0" w:type="dxa"/>
              <w:right w:w="0" w:type="dxa"/>
            </w:tcMar>
            <w:vAlign w:val="bottom"/>
          </w:tcPr>
          <w:p w14:paraId="427F4897">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16.26</w:t>
            </w:r>
          </w:p>
        </w:tc>
        <w:tc>
          <w:tcPr>
            <w:tcW w:w="266" w:type="pct"/>
            <w:noWrap w:val="0"/>
            <w:tcMar>
              <w:top w:w="0" w:type="dxa"/>
              <w:left w:w="0" w:type="dxa"/>
              <w:bottom w:w="0" w:type="dxa"/>
              <w:right w:w="0" w:type="dxa"/>
            </w:tcMar>
            <w:vAlign w:val="bottom"/>
          </w:tcPr>
          <w:p w14:paraId="47733D32">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3.90</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5CF77119">
            <w:pPr>
              <w:spacing w:line="240" w:lineRule="auto"/>
              <w:ind w:left="0" w:leftChars="0" w:firstLine="0" w:firstLineChars="0"/>
              <w:jc w:val="left"/>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r>
      <w:tr w14:paraId="306B4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083FD267">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11月</w:t>
            </w:r>
          </w:p>
        </w:tc>
        <w:tc>
          <w:tcPr>
            <w:tcW w:w="335" w:type="pct"/>
            <w:noWrap w:val="0"/>
            <w:tcMar>
              <w:top w:w="0" w:type="dxa"/>
              <w:left w:w="0" w:type="dxa"/>
              <w:bottom w:w="0" w:type="dxa"/>
              <w:right w:w="0" w:type="dxa"/>
            </w:tcMar>
            <w:vAlign w:val="bottom"/>
          </w:tcPr>
          <w:p w14:paraId="3C39DAF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0.42</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00BB3087">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0.28</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0704B38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0.28</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7A3480A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0.14</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7F17012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5.14</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1CAD38F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5.28</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2FAB876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0.42</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D518F56">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0.28</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41EBCAE0">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0.97</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6E91AB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0.42</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3009BCA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0.56</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78B0DF96">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0.97</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01299DC3">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40.28</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10B72244">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27.36</w:t>
            </w:r>
          </w:p>
        </w:tc>
        <w:tc>
          <w:tcPr>
            <w:tcW w:w="230" w:type="pct"/>
            <w:noWrap w:val="0"/>
            <w:tcMar>
              <w:top w:w="0" w:type="dxa"/>
              <w:left w:w="0" w:type="dxa"/>
              <w:bottom w:w="0" w:type="dxa"/>
              <w:right w:w="0" w:type="dxa"/>
            </w:tcMar>
            <w:vAlign w:val="bottom"/>
          </w:tcPr>
          <w:p w14:paraId="5075CB38">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15.14</w:t>
            </w:r>
          </w:p>
        </w:tc>
        <w:tc>
          <w:tcPr>
            <w:tcW w:w="266" w:type="pct"/>
            <w:noWrap w:val="0"/>
            <w:tcMar>
              <w:top w:w="0" w:type="dxa"/>
              <w:left w:w="0" w:type="dxa"/>
              <w:bottom w:w="0" w:type="dxa"/>
              <w:right w:w="0" w:type="dxa"/>
            </w:tcMar>
            <w:vAlign w:val="bottom"/>
          </w:tcPr>
          <w:p w14:paraId="747E0344">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2.08</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70E0D5B4">
            <w:pPr>
              <w:spacing w:line="240" w:lineRule="auto"/>
              <w:ind w:left="0" w:leftChars="0" w:firstLine="0" w:firstLineChars="0"/>
              <w:jc w:val="left"/>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r>
      <w:tr w14:paraId="5F5104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3" w:type="pct"/>
            <w:noWrap w:val="0"/>
            <w:tcMar>
              <w:top w:w="0" w:type="dxa"/>
              <w:left w:w="0" w:type="dxa"/>
              <w:bottom w:w="0" w:type="dxa"/>
              <w:right w:w="0" w:type="dxa"/>
            </w:tcMar>
            <w:vAlign w:val="center"/>
          </w:tcPr>
          <w:p w14:paraId="5DD1746D">
            <w:pPr>
              <w:spacing w:line="240" w:lineRule="auto"/>
              <w:ind w:firstLine="0" w:firstLineChars="0"/>
              <w:jc w:val="center"/>
              <w:rPr>
                <w:rFonts w:ascii="Times New Roman" w:hAnsi="Times New Roman"/>
                <w:kern w:val="0"/>
                <w:sz w:val="18"/>
                <w:szCs w:val="18"/>
                <w:highlight w:val="none"/>
              </w:rPr>
            </w:pPr>
            <w:r>
              <w:rPr>
                <w:rFonts w:ascii="Times New Roman" w:hAnsi="Times New Roman"/>
                <w:kern w:val="0"/>
                <w:sz w:val="18"/>
                <w:szCs w:val="18"/>
                <w:highlight w:val="none"/>
              </w:rPr>
              <w:t>12月</w:t>
            </w:r>
          </w:p>
        </w:tc>
        <w:tc>
          <w:tcPr>
            <w:tcW w:w="335" w:type="pct"/>
            <w:noWrap w:val="0"/>
            <w:tcMar>
              <w:top w:w="0" w:type="dxa"/>
              <w:left w:w="0" w:type="dxa"/>
              <w:bottom w:w="0" w:type="dxa"/>
              <w:right w:w="0" w:type="dxa"/>
            </w:tcMar>
            <w:vAlign w:val="bottom"/>
          </w:tcPr>
          <w:p w14:paraId="1C560B37">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317" w:type="pct"/>
            <w:noWrap w:val="0"/>
            <w:tcMar>
              <w:top w:w="0" w:type="dxa"/>
              <w:left w:w="0" w:type="dxa"/>
              <w:bottom w:w="0" w:type="dxa"/>
              <w:right w:w="0" w:type="dxa"/>
            </w:tcMar>
            <w:vAlign w:val="bottom"/>
          </w:tcPr>
          <w:p w14:paraId="1C9875A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c>
          <w:tcPr>
            <w:tcW w:w="323" w:type="pct"/>
            <w:noWrap w:val="0"/>
            <w:tcMar>
              <w:top w:w="0" w:type="dxa"/>
              <w:left w:w="0" w:type="dxa"/>
              <w:bottom w:w="0" w:type="dxa"/>
              <w:right w:w="0" w:type="dxa"/>
            </w:tcMar>
            <w:vAlign w:val="bottom"/>
          </w:tcPr>
          <w:p w14:paraId="40D4C8AD">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308" w:type="pct"/>
            <w:noWrap w:val="0"/>
            <w:tcMar>
              <w:top w:w="0" w:type="dxa"/>
              <w:left w:w="0" w:type="dxa"/>
              <w:bottom w:w="0" w:type="dxa"/>
              <w:right w:w="0" w:type="dxa"/>
            </w:tcMar>
            <w:vAlign w:val="bottom"/>
          </w:tcPr>
          <w:p w14:paraId="78B0C4DA">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c>
          <w:tcPr>
            <w:tcW w:w="293" w:type="pct"/>
            <w:noWrap w:val="0"/>
            <w:tcMar>
              <w:top w:w="0" w:type="dxa"/>
              <w:left w:w="0" w:type="dxa"/>
              <w:bottom w:w="0" w:type="dxa"/>
              <w:right w:w="0" w:type="dxa"/>
            </w:tcMar>
            <w:vAlign w:val="bottom"/>
          </w:tcPr>
          <w:p w14:paraId="76D9139C">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1.61</w:t>
            </w:r>
            <w:r>
              <w:rPr>
                <w:rFonts w:ascii="Times New Roman" w:hAnsi="Times New Roman"/>
                <w:kern w:val="0"/>
                <w:sz w:val="18"/>
                <w:szCs w:val="18"/>
                <w:highlight w:val="none"/>
              </w:rPr>
              <w:t xml:space="preserve"> </w:t>
            </w:r>
          </w:p>
        </w:tc>
        <w:tc>
          <w:tcPr>
            <w:tcW w:w="287" w:type="pct"/>
            <w:noWrap w:val="0"/>
            <w:tcMar>
              <w:top w:w="0" w:type="dxa"/>
              <w:left w:w="0" w:type="dxa"/>
              <w:bottom w:w="0" w:type="dxa"/>
              <w:right w:w="0" w:type="dxa"/>
            </w:tcMar>
            <w:vAlign w:val="bottom"/>
          </w:tcPr>
          <w:p w14:paraId="2517C0CB">
            <w:pPr>
              <w:spacing w:line="240" w:lineRule="auto"/>
              <w:ind w:firstLine="0" w:firstLineChars="0"/>
              <w:jc w:val="both"/>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1.34</w:t>
            </w:r>
            <w:r>
              <w:rPr>
                <w:rFonts w:ascii="Times New Roman" w:hAnsi="Times New Roman"/>
                <w:kern w:val="0"/>
                <w:sz w:val="18"/>
                <w:szCs w:val="18"/>
                <w:highlight w:val="none"/>
              </w:rPr>
              <w:t xml:space="preserve"> </w:t>
            </w:r>
          </w:p>
        </w:tc>
        <w:tc>
          <w:tcPr>
            <w:tcW w:w="289" w:type="pct"/>
            <w:noWrap w:val="0"/>
            <w:tcMar>
              <w:top w:w="0" w:type="dxa"/>
              <w:left w:w="0" w:type="dxa"/>
              <w:bottom w:w="0" w:type="dxa"/>
              <w:right w:w="0" w:type="dxa"/>
            </w:tcMar>
            <w:vAlign w:val="bottom"/>
          </w:tcPr>
          <w:p w14:paraId="4032509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59469B15">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16E8B01E">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c>
          <w:tcPr>
            <w:tcW w:w="250" w:type="pct"/>
            <w:noWrap w:val="0"/>
            <w:tcMar>
              <w:top w:w="0" w:type="dxa"/>
              <w:left w:w="0" w:type="dxa"/>
              <w:bottom w:w="0" w:type="dxa"/>
              <w:right w:w="0" w:type="dxa"/>
            </w:tcMar>
            <w:vAlign w:val="bottom"/>
          </w:tcPr>
          <w:p w14:paraId="32E2F757">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0.13</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4A75AEA9">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0.27</w:t>
            </w:r>
            <w:r>
              <w:rPr>
                <w:rFonts w:ascii="Times New Roman" w:hAnsi="Times New Roman"/>
                <w:kern w:val="0"/>
                <w:sz w:val="18"/>
                <w:szCs w:val="18"/>
                <w:highlight w:val="none"/>
              </w:rPr>
              <w:t xml:space="preserve"> </w:t>
            </w:r>
          </w:p>
        </w:tc>
        <w:tc>
          <w:tcPr>
            <w:tcW w:w="272" w:type="pct"/>
            <w:noWrap w:val="0"/>
            <w:tcMar>
              <w:top w:w="0" w:type="dxa"/>
              <w:left w:w="0" w:type="dxa"/>
              <w:bottom w:w="0" w:type="dxa"/>
              <w:right w:w="0" w:type="dxa"/>
            </w:tcMar>
            <w:vAlign w:val="bottom"/>
          </w:tcPr>
          <w:p w14:paraId="59757DE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0.67</w:t>
            </w:r>
            <w:r>
              <w:rPr>
                <w:rFonts w:ascii="Times New Roman" w:hAnsi="Times New Roman"/>
                <w:kern w:val="0"/>
                <w:sz w:val="18"/>
                <w:szCs w:val="18"/>
                <w:highlight w:val="none"/>
              </w:rPr>
              <w:t xml:space="preserve"> </w:t>
            </w:r>
          </w:p>
        </w:tc>
        <w:tc>
          <w:tcPr>
            <w:tcW w:w="251" w:type="pct"/>
            <w:noWrap w:val="0"/>
            <w:tcMar>
              <w:top w:w="0" w:type="dxa"/>
              <w:left w:w="0" w:type="dxa"/>
              <w:bottom w:w="0" w:type="dxa"/>
              <w:right w:w="0" w:type="dxa"/>
            </w:tcMar>
            <w:vAlign w:val="bottom"/>
          </w:tcPr>
          <w:p w14:paraId="3EE7F3FF">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69.22</w:t>
            </w:r>
            <w:r>
              <w:rPr>
                <w:rFonts w:ascii="Times New Roman" w:hAnsi="Times New Roman"/>
                <w:kern w:val="0"/>
                <w:sz w:val="18"/>
                <w:szCs w:val="18"/>
                <w:highlight w:val="none"/>
              </w:rPr>
              <w:t xml:space="preserve"> </w:t>
            </w:r>
          </w:p>
        </w:tc>
        <w:tc>
          <w:tcPr>
            <w:tcW w:w="290" w:type="pct"/>
            <w:noWrap w:val="0"/>
            <w:tcMar>
              <w:top w:w="0" w:type="dxa"/>
              <w:left w:w="0" w:type="dxa"/>
              <w:bottom w:w="0" w:type="dxa"/>
              <w:right w:w="0" w:type="dxa"/>
            </w:tcMar>
            <w:vAlign w:val="bottom"/>
          </w:tcPr>
          <w:p w14:paraId="1109AE75">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22.04</w:t>
            </w:r>
          </w:p>
        </w:tc>
        <w:tc>
          <w:tcPr>
            <w:tcW w:w="230" w:type="pct"/>
            <w:noWrap w:val="0"/>
            <w:tcMar>
              <w:top w:w="0" w:type="dxa"/>
              <w:left w:w="0" w:type="dxa"/>
              <w:bottom w:w="0" w:type="dxa"/>
              <w:right w:w="0" w:type="dxa"/>
            </w:tcMar>
            <w:vAlign w:val="bottom"/>
          </w:tcPr>
          <w:p w14:paraId="1B55079B">
            <w:pPr>
              <w:spacing w:line="240" w:lineRule="auto"/>
              <w:ind w:firstLine="0" w:firstLineChars="0"/>
              <w:jc w:val="center"/>
              <w:rPr>
                <w:rFonts w:hint="default" w:ascii="Times New Roman" w:hAnsi="Times New Roman" w:eastAsia="宋体"/>
                <w:kern w:val="0"/>
                <w:sz w:val="18"/>
                <w:szCs w:val="18"/>
                <w:highlight w:val="none"/>
                <w:lang w:val="en-US" w:eastAsia="zh-CN"/>
              </w:rPr>
            </w:pPr>
            <w:r>
              <w:rPr>
                <w:rFonts w:hint="eastAsia" w:ascii="Times New Roman" w:hAnsi="Times New Roman"/>
                <w:kern w:val="0"/>
                <w:sz w:val="18"/>
                <w:szCs w:val="18"/>
                <w:highlight w:val="none"/>
                <w:lang w:val="en-US" w:eastAsia="zh-CN"/>
              </w:rPr>
              <w:t>3.90</w:t>
            </w:r>
          </w:p>
        </w:tc>
        <w:tc>
          <w:tcPr>
            <w:tcW w:w="266" w:type="pct"/>
            <w:noWrap w:val="0"/>
            <w:tcMar>
              <w:top w:w="0" w:type="dxa"/>
              <w:left w:w="0" w:type="dxa"/>
              <w:bottom w:w="0" w:type="dxa"/>
              <w:right w:w="0" w:type="dxa"/>
            </w:tcMar>
            <w:vAlign w:val="bottom"/>
          </w:tcPr>
          <w:p w14:paraId="3908332B">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0.27</w:t>
            </w:r>
            <w:r>
              <w:rPr>
                <w:rFonts w:ascii="Times New Roman" w:hAnsi="Times New Roman"/>
                <w:kern w:val="0"/>
                <w:sz w:val="18"/>
                <w:szCs w:val="18"/>
                <w:highlight w:val="none"/>
              </w:rPr>
              <w:t xml:space="preserve"> </w:t>
            </w:r>
          </w:p>
        </w:tc>
        <w:tc>
          <w:tcPr>
            <w:tcW w:w="247" w:type="pct"/>
            <w:noWrap w:val="0"/>
            <w:tcMar>
              <w:top w:w="0" w:type="dxa"/>
              <w:left w:w="0" w:type="dxa"/>
              <w:bottom w:w="0" w:type="dxa"/>
              <w:right w:w="0" w:type="dxa"/>
            </w:tcMar>
            <w:vAlign w:val="bottom"/>
          </w:tcPr>
          <w:p w14:paraId="2C001A78">
            <w:pPr>
              <w:spacing w:line="240" w:lineRule="auto"/>
              <w:ind w:firstLine="0" w:firstLineChars="0"/>
              <w:jc w:val="center"/>
              <w:rPr>
                <w:rFonts w:ascii="Times New Roman" w:hAnsi="Times New Roman"/>
                <w:kern w:val="0"/>
                <w:sz w:val="18"/>
                <w:szCs w:val="18"/>
                <w:highlight w:val="none"/>
              </w:rPr>
            </w:pPr>
            <w:r>
              <w:rPr>
                <w:rFonts w:hint="eastAsia" w:ascii="Times New Roman" w:hAnsi="Times New Roman"/>
                <w:kern w:val="0"/>
                <w:sz w:val="18"/>
                <w:szCs w:val="18"/>
                <w:highlight w:val="none"/>
                <w:lang w:val="en-US" w:eastAsia="zh-CN"/>
              </w:rPr>
              <w:t>0.00</w:t>
            </w:r>
            <w:r>
              <w:rPr>
                <w:rFonts w:ascii="Times New Roman" w:hAnsi="Times New Roman"/>
                <w:kern w:val="0"/>
                <w:sz w:val="18"/>
                <w:szCs w:val="18"/>
                <w:highlight w:val="none"/>
              </w:rPr>
              <w:t xml:space="preserve"> </w:t>
            </w:r>
          </w:p>
        </w:tc>
      </w:tr>
    </w:tbl>
    <w:p w14:paraId="47A41F11">
      <w:pPr>
        <w:ind w:firstLine="0" w:firstLineChars="0"/>
        <w:jc w:val="center"/>
        <w:rPr>
          <w:rFonts w:ascii="Times New Roman" w:hAnsi="Times New Roman"/>
          <w:highlight w:val="none"/>
        </w:rPr>
      </w:pPr>
      <w:r>
        <w:rPr>
          <w:highlight w:val="none"/>
        </w:rPr>
        <w:drawing>
          <wp:inline distT="0" distB="0" distL="114300" distR="114300">
            <wp:extent cx="5273675" cy="7309485"/>
            <wp:effectExtent l="0" t="0" r="3175" b="5715"/>
            <wp:docPr id="3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
                    <pic:cNvPicPr>
                      <a:picLocks noChangeAspect="1"/>
                    </pic:cNvPicPr>
                  </pic:nvPicPr>
                  <pic:blipFill>
                    <a:blip r:embed="rId40"/>
                    <a:stretch>
                      <a:fillRect/>
                    </a:stretch>
                  </pic:blipFill>
                  <pic:spPr>
                    <a:xfrm>
                      <a:off x="0" y="0"/>
                      <a:ext cx="5273675" cy="7309485"/>
                    </a:xfrm>
                    <a:prstGeom prst="rect">
                      <a:avLst/>
                    </a:prstGeom>
                    <a:noFill/>
                    <a:ln>
                      <a:noFill/>
                    </a:ln>
                  </pic:spPr>
                </pic:pic>
              </a:graphicData>
            </a:graphic>
          </wp:inline>
        </w:drawing>
      </w:r>
    </w:p>
    <w:p w14:paraId="47431C92">
      <w:pPr>
        <w:pStyle w:val="23"/>
        <w:jc w:val="center"/>
        <w:rPr>
          <w:rFonts w:hint="default"/>
          <w:highlight w:val="none"/>
          <w:u w:val="none"/>
          <w:lang w:val="en-US" w:eastAsia="zh-CN"/>
        </w:rPr>
      </w:pPr>
      <w:r>
        <w:rPr>
          <w:rFonts w:hint="eastAsia" w:ascii="黑体" w:hAnsi="黑体" w:eastAsia="黑体" w:cs="黑体"/>
          <w:highlight w:val="none"/>
          <w:u w:val="none"/>
        </w:rPr>
        <w:t>图</w:t>
      </w:r>
      <w:r>
        <w:rPr>
          <w:rFonts w:hint="eastAsia" w:ascii="黑体" w:hAnsi="黑体" w:eastAsia="黑体" w:cs="黑体"/>
          <w:highlight w:val="none"/>
          <w:u w:val="none"/>
          <w:lang w:val="en-US" w:eastAsia="zh-CN"/>
        </w:rPr>
        <w:t xml:space="preserve"> </w:t>
      </w:r>
      <w:r>
        <w:rPr>
          <w:rFonts w:ascii="Times New Roman" w:hAnsi="Times New Roman"/>
          <w:highlight w:val="none"/>
          <w:u w:val="none"/>
        </w:rPr>
        <w:t>5.2-3</w:t>
      </w:r>
      <w:r>
        <w:rPr>
          <w:rFonts w:hint="eastAsia" w:ascii="Times New Roman" w:hAnsi="Times New Roman"/>
          <w:highlight w:val="none"/>
          <w:u w:val="none"/>
          <w:lang w:val="en-US" w:eastAsia="zh-CN"/>
        </w:rPr>
        <w:t xml:space="preserve"> </w:t>
      </w:r>
      <w:r>
        <w:rPr>
          <w:rFonts w:hint="eastAsia" w:ascii="黑体" w:hAnsi="黑体" w:eastAsia="黑体" w:cs="黑体"/>
          <w:highlight w:val="none"/>
          <w:u w:val="none"/>
        </w:rPr>
        <w:t>本项目区域风频玫瑰</w:t>
      </w:r>
    </w:p>
    <w:p w14:paraId="474597E3">
      <w:pPr>
        <w:pStyle w:val="5"/>
        <w:bidi w:val="0"/>
        <w:ind w:left="0" w:leftChars="0" w:firstLine="0" w:firstLineChars="0"/>
        <w:rPr>
          <w:rFonts w:hint="eastAsia"/>
          <w:sz w:val="30"/>
          <w:szCs w:val="30"/>
          <w:highlight w:val="none"/>
          <w:lang w:val="en-US" w:eastAsia="zh-CN"/>
        </w:rPr>
      </w:pPr>
      <w:bookmarkStart w:id="132" w:name="_Toc14151"/>
      <w:r>
        <w:rPr>
          <w:rFonts w:hint="default" w:ascii="Times New Roman" w:hAnsi="Times New Roman" w:cs="Times New Roman"/>
          <w:sz w:val="30"/>
          <w:szCs w:val="30"/>
          <w:highlight w:val="none"/>
          <w:lang w:val="en-US" w:eastAsia="zh-CN"/>
        </w:rPr>
        <w:t>5.2.2</w:t>
      </w:r>
      <w:r>
        <w:rPr>
          <w:rFonts w:hint="eastAsia"/>
          <w:sz w:val="30"/>
          <w:szCs w:val="30"/>
          <w:highlight w:val="none"/>
          <w:lang w:val="en-US" w:eastAsia="zh-CN"/>
        </w:rPr>
        <w:t>大气环境影响预测和评价</w:t>
      </w:r>
      <w:bookmarkEnd w:id="132"/>
    </w:p>
    <w:p w14:paraId="4D5252AA">
      <w:pPr>
        <w:ind w:firstLine="480"/>
        <w:rPr>
          <w:rFonts w:ascii="Times New Roman" w:hAnsi="Times New Roman"/>
          <w:highlight w:val="none"/>
        </w:rPr>
      </w:pPr>
      <w:r>
        <w:rPr>
          <w:rFonts w:ascii="Times New Roman" w:hAnsi="Times New Roman"/>
          <w:highlight w:val="none"/>
        </w:rPr>
        <w:t>一、大气环境影响预测方案</w:t>
      </w:r>
    </w:p>
    <w:p w14:paraId="000FCEEB">
      <w:pPr>
        <w:ind w:firstLine="480"/>
        <w:rPr>
          <w:rFonts w:ascii="Times New Roman" w:hAnsi="Times New Roman"/>
          <w:highlight w:val="none"/>
        </w:rPr>
      </w:pPr>
      <w:r>
        <w:rPr>
          <w:rFonts w:ascii="Times New Roman" w:hAnsi="Times New Roman"/>
          <w:highlight w:val="none"/>
        </w:rPr>
        <w:t>1、预测参数选取</w:t>
      </w:r>
    </w:p>
    <w:p w14:paraId="4A09B585">
      <w:pPr>
        <w:ind w:firstLine="480"/>
        <w:rPr>
          <w:rFonts w:ascii="Times New Roman" w:hAnsi="Times New Roman"/>
          <w:highlight w:val="none"/>
        </w:rPr>
      </w:pPr>
      <w:r>
        <w:rPr>
          <w:rFonts w:ascii="Times New Roman" w:hAnsi="Times New Roman"/>
          <w:highlight w:val="none"/>
        </w:rPr>
        <w:t>采用HJ2.2-2018推荐模式清单中的Aermod模型进行预测，Aermod模型版本号为2.2.0.23875。地形按复杂地形考虑。</w:t>
      </w:r>
    </w:p>
    <w:p w14:paraId="2FC71E95">
      <w:pPr>
        <w:ind w:firstLine="480"/>
        <w:rPr>
          <w:rFonts w:ascii="Times New Roman" w:hAnsi="Times New Roman"/>
          <w:highlight w:val="none"/>
        </w:rPr>
      </w:pPr>
      <w:r>
        <w:rPr>
          <w:rFonts w:ascii="Times New Roman" w:hAnsi="Times New Roman"/>
          <w:highlight w:val="none"/>
        </w:rPr>
        <w:t>观测气象数据及探空气象数据、环境空气质量监测站基本信息表见5.2-5。</w:t>
      </w:r>
    </w:p>
    <w:p w14:paraId="22AAA1A5">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5.2-5</w:t>
      </w:r>
      <w:r>
        <w:rPr>
          <w:rFonts w:hint="eastAsia" w:ascii="黑体" w:hAnsi="黑体" w:eastAsia="黑体" w:cs="黑体"/>
          <w:highlight w:val="none"/>
        </w:rPr>
        <w:t>观测气象数据信息</w:t>
      </w:r>
    </w:p>
    <w:tbl>
      <w:tblPr>
        <w:tblStyle w:val="17"/>
        <w:tblW w:w="4997"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15"/>
        <w:gridCol w:w="910"/>
        <w:gridCol w:w="950"/>
        <w:gridCol w:w="835"/>
        <w:gridCol w:w="639"/>
        <w:gridCol w:w="784"/>
        <w:gridCol w:w="3124"/>
      </w:tblGrid>
      <w:tr w14:paraId="6E87609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0" w:hRule="atLeast"/>
          <w:jc w:val="center"/>
        </w:trPr>
        <w:tc>
          <w:tcPr>
            <w:tcW w:w="667" w:type="pct"/>
            <w:noWrap w:val="0"/>
            <w:vAlign w:val="center"/>
          </w:tcPr>
          <w:p w14:paraId="691B3FB0">
            <w:pPr>
              <w:pStyle w:val="40"/>
              <w:rPr>
                <w:rFonts w:ascii="Times New Roman" w:hAnsi="Times New Roman" w:cs="Times New Roman"/>
                <w:szCs w:val="30"/>
                <w:highlight w:val="none"/>
              </w:rPr>
            </w:pPr>
            <w:r>
              <w:rPr>
                <w:rFonts w:ascii="Times New Roman" w:hAnsi="Times New Roman" w:cs="Times New Roman"/>
                <w:szCs w:val="30"/>
                <w:highlight w:val="none"/>
              </w:rPr>
              <w:t>气象站</w:t>
            </w:r>
          </w:p>
          <w:p w14:paraId="4867A392">
            <w:pPr>
              <w:pStyle w:val="40"/>
              <w:rPr>
                <w:rFonts w:ascii="Times New Roman" w:hAnsi="Times New Roman" w:cs="Times New Roman"/>
                <w:szCs w:val="30"/>
                <w:highlight w:val="none"/>
              </w:rPr>
            </w:pPr>
            <w:r>
              <w:rPr>
                <w:rFonts w:ascii="Times New Roman" w:hAnsi="Times New Roman" w:cs="Times New Roman"/>
                <w:szCs w:val="30"/>
                <w:highlight w:val="none"/>
              </w:rPr>
              <w:t>名称</w:t>
            </w:r>
          </w:p>
        </w:tc>
        <w:tc>
          <w:tcPr>
            <w:tcW w:w="544" w:type="pct"/>
            <w:noWrap w:val="0"/>
            <w:vAlign w:val="center"/>
          </w:tcPr>
          <w:p w14:paraId="380F9612">
            <w:pPr>
              <w:pStyle w:val="40"/>
              <w:rPr>
                <w:rFonts w:ascii="Times New Roman" w:hAnsi="Times New Roman" w:cs="Times New Roman"/>
                <w:szCs w:val="30"/>
                <w:highlight w:val="none"/>
              </w:rPr>
            </w:pPr>
            <w:r>
              <w:rPr>
                <w:rFonts w:ascii="Times New Roman" w:hAnsi="Times New Roman" w:cs="Times New Roman"/>
                <w:szCs w:val="30"/>
                <w:highlight w:val="none"/>
              </w:rPr>
              <w:t>气象站等级</w:t>
            </w:r>
          </w:p>
        </w:tc>
        <w:tc>
          <w:tcPr>
            <w:tcW w:w="1067" w:type="pct"/>
            <w:gridSpan w:val="2"/>
            <w:noWrap w:val="0"/>
            <w:vAlign w:val="center"/>
          </w:tcPr>
          <w:p w14:paraId="70268637">
            <w:pPr>
              <w:pStyle w:val="40"/>
              <w:rPr>
                <w:rFonts w:ascii="Times New Roman" w:hAnsi="Times New Roman" w:cs="Times New Roman"/>
                <w:szCs w:val="30"/>
                <w:highlight w:val="none"/>
              </w:rPr>
            </w:pPr>
            <w:r>
              <w:rPr>
                <w:rFonts w:ascii="Times New Roman" w:hAnsi="Times New Roman" w:cs="Times New Roman"/>
                <w:szCs w:val="30"/>
                <w:highlight w:val="none"/>
              </w:rPr>
              <w:t>气象站坐标</w:t>
            </w:r>
          </w:p>
        </w:tc>
        <w:tc>
          <w:tcPr>
            <w:tcW w:w="382" w:type="pct"/>
            <w:noWrap w:val="0"/>
            <w:vAlign w:val="center"/>
          </w:tcPr>
          <w:p w14:paraId="30F5162F">
            <w:pPr>
              <w:pStyle w:val="40"/>
              <w:rPr>
                <w:rFonts w:ascii="Times New Roman" w:hAnsi="Times New Roman" w:cs="Times New Roman"/>
                <w:szCs w:val="30"/>
                <w:highlight w:val="none"/>
              </w:rPr>
            </w:pPr>
            <w:r>
              <w:rPr>
                <w:rFonts w:ascii="Times New Roman" w:hAnsi="Times New Roman" w:cs="Times New Roman"/>
                <w:szCs w:val="30"/>
                <w:highlight w:val="none"/>
              </w:rPr>
              <w:t>相对距离</w:t>
            </w:r>
          </w:p>
        </w:tc>
        <w:tc>
          <w:tcPr>
            <w:tcW w:w="469" w:type="pct"/>
            <w:noWrap w:val="0"/>
            <w:vAlign w:val="center"/>
          </w:tcPr>
          <w:p w14:paraId="51778248">
            <w:pPr>
              <w:pStyle w:val="40"/>
              <w:rPr>
                <w:rFonts w:ascii="Times New Roman" w:hAnsi="Times New Roman" w:cs="Times New Roman"/>
                <w:szCs w:val="30"/>
                <w:highlight w:val="none"/>
              </w:rPr>
            </w:pPr>
            <w:r>
              <w:rPr>
                <w:rFonts w:ascii="Times New Roman" w:hAnsi="Times New Roman" w:cs="Times New Roman"/>
                <w:szCs w:val="30"/>
                <w:highlight w:val="none"/>
              </w:rPr>
              <w:t>数据年份/年</w:t>
            </w:r>
          </w:p>
        </w:tc>
        <w:tc>
          <w:tcPr>
            <w:tcW w:w="1868" w:type="pct"/>
            <w:noWrap w:val="0"/>
            <w:vAlign w:val="center"/>
          </w:tcPr>
          <w:p w14:paraId="53B7515B">
            <w:pPr>
              <w:pStyle w:val="40"/>
              <w:rPr>
                <w:rFonts w:ascii="Times New Roman" w:hAnsi="Times New Roman" w:cs="Times New Roman"/>
                <w:szCs w:val="30"/>
                <w:highlight w:val="none"/>
              </w:rPr>
            </w:pPr>
            <w:r>
              <w:rPr>
                <w:rFonts w:ascii="Times New Roman" w:hAnsi="Times New Roman" w:cs="Times New Roman"/>
                <w:szCs w:val="30"/>
                <w:highlight w:val="none"/>
              </w:rPr>
              <w:t>气象要素</w:t>
            </w:r>
          </w:p>
        </w:tc>
      </w:tr>
      <w:tr w14:paraId="46652E7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0" w:hRule="atLeast"/>
          <w:jc w:val="center"/>
        </w:trPr>
        <w:tc>
          <w:tcPr>
            <w:tcW w:w="667" w:type="pct"/>
            <w:noWrap w:val="0"/>
            <w:vAlign w:val="center"/>
          </w:tcPr>
          <w:p w14:paraId="3B5C1F10">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54096</w:t>
            </w:r>
          </w:p>
        </w:tc>
        <w:tc>
          <w:tcPr>
            <w:tcW w:w="544" w:type="pct"/>
            <w:noWrap w:val="0"/>
            <w:vAlign w:val="center"/>
          </w:tcPr>
          <w:p w14:paraId="3D00ADB9">
            <w:pPr>
              <w:pStyle w:val="40"/>
              <w:rPr>
                <w:rFonts w:ascii="Times New Roman" w:hAnsi="Times New Roman" w:cs="Times New Roman"/>
                <w:szCs w:val="30"/>
                <w:highlight w:val="none"/>
              </w:rPr>
            </w:pPr>
            <w:r>
              <w:rPr>
                <w:rFonts w:ascii="Times New Roman" w:hAnsi="Times New Roman" w:cs="Times New Roman"/>
                <w:szCs w:val="30"/>
                <w:highlight w:val="none"/>
              </w:rPr>
              <w:t>基本站</w:t>
            </w:r>
          </w:p>
        </w:tc>
        <w:tc>
          <w:tcPr>
            <w:tcW w:w="568" w:type="pct"/>
            <w:noWrap w:val="0"/>
            <w:vAlign w:val="center"/>
          </w:tcPr>
          <w:p w14:paraId="6EF397CB">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131.164</w:t>
            </w:r>
          </w:p>
        </w:tc>
        <w:tc>
          <w:tcPr>
            <w:tcW w:w="498" w:type="pct"/>
            <w:noWrap w:val="0"/>
            <w:vAlign w:val="center"/>
          </w:tcPr>
          <w:p w14:paraId="5714D59C">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44.3894</w:t>
            </w:r>
          </w:p>
        </w:tc>
        <w:tc>
          <w:tcPr>
            <w:tcW w:w="382" w:type="pct"/>
            <w:noWrap w:val="0"/>
            <w:vAlign w:val="center"/>
          </w:tcPr>
          <w:p w14:paraId="486FB54A">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2.2</w:t>
            </w:r>
          </w:p>
        </w:tc>
        <w:tc>
          <w:tcPr>
            <w:tcW w:w="469" w:type="pct"/>
            <w:noWrap w:val="0"/>
            <w:vAlign w:val="center"/>
          </w:tcPr>
          <w:p w14:paraId="35C01169">
            <w:pPr>
              <w:pStyle w:val="40"/>
              <w:rPr>
                <w:rFonts w:hint="eastAsia" w:ascii="Times New Roman" w:hAnsi="Times New Roman" w:eastAsia="宋体" w:cs="Times New Roman"/>
                <w:szCs w:val="30"/>
                <w:highlight w:val="none"/>
                <w:lang w:eastAsia="zh-CN"/>
              </w:rPr>
            </w:pPr>
            <w:r>
              <w:rPr>
                <w:rFonts w:ascii="Times New Roman" w:hAnsi="Times New Roman" w:cs="Times New Roman"/>
                <w:szCs w:val="30"/>
                <w:highlight w:val="none"/>
              </w:rPr>
              <w:t>202</w:t>
            </w:r>
            <w:r>
              <w:rPr>
                <w:rFonts w:hint="eastAsia" w:ascii="Times New Roman" w:hAnsi="Times New Roman" w:cs="Times New Roman"/>
                <w:szCs w:val="30"/>
                <w:highlight w:val="none"/>
                <w:lang w:val="en-US" w:eastAsia="zh-CN"/>
              </w:rPr>
              <w:t>4</w:t>
            </w:r>
          </w:p>
        </w:tc>
        <w:tc>
          <w:tcPr>
            <w:tcW w:w="1868" w:type="pct"/>
            <w:noWrap w:val="0"/>
            <w:vAlign w:val="center"/>
          </w:tcPr>
          <w:p w14:paraId="08642C83">
            <w:pPr>
              <w:pStyle w:val="40"/>
              <w:rPr>
                <w:rFonts w:ascii="Times New Roman" w:hAnsi="Times New Roman" w:cs="Times New Roman"/>
                <w:szCs w:val="30"/>
                <w:highlight w:val="none"/>
              </w:rPr>
            </w:pPr>
            <w:r>
              <w:rPr>
                <w:rFonts w:ascii="Times New Roman" w:hAnsi="Times New Roman" w:cs="Times New Roman"/>
                <w:szCs w:val="30"/>
                <w:highlight w:val="none"/>
              </w:rPr>
              <w:t>温度、风向、风速、总云量</w:t>
            </w:r>
          </w:p>
        </w:tc>
      </w:tr>
    </w:tbl>
    <w:p w14:paraId="5275F192">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5.2-6</w:t>
      </w:r>
      <w:r>
        <w:rPr>
          <w:rFonts w:hint="eastAsia" w:ascii="黑体" w:hAnsi="黑体" w:eastAsia="黑体" w:cs="黑体"/>
          <w:highlight w:val="none"/>
        </w:rPr>
        <w:t>环境空气质量逐日数据信息</w:t>
      </w:r>
    </w:p>
    <w:tbl>
      <w:tblPr>
        <w:tblStyle w:val="17"/>
        <w:tblW w:w="4998" w:type="pct"/>
        <w:jc w:val="center"/>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2158"/>
        <w:gridCol w:w="1838"/>
        <w:gridCol w:w="1612"/>
        <w:gridCol w:w="1236"/>
        <w:gridCol w:w="1515"/>
      </w:tblGrid>
      <w:tr w14:paraId="58171101">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0" w:hRule="atLeast"/>
          <w:jc w:val="center"/>
        </w:trPr>
        <w:tc>
          <w:tcPr>
            <w:tcW w:w="1291" w:type="pct"/>
            <w:noWrap w:val="0"/>
            <w:vAlign w:val="center"/>
          </w:tcPr>
          <w:p w14:paraId="60BC2394">
            <w:pPr>
              <w:pStyle w:val="40"/>
              <w:rPr>
                <w:rFonts w:ascii="Times New Roman" w:hAnsi="Times New Roman" w:cs="Times New Roman"/>
                <w:szCs w:val="30"/>
                <w:highlight w:val="none"/>
              </w:rPr>
            </w:pPr>
            <w:r>
              <w:rPr>
                <w:rFonts w:ascii="Times New Roman" w:hAnsi="Times New Roman" w:cs="Times New Roman"/>
                <w:szCs w:val="30"/>
                <w:highlight w:val="none"/>
              </w:rPr>
              <w:t>监测站名称</w:t>
            </w:r>
          </w:p>
        </w:tc>
        <w:tc>
          <w:tcPr>
            <w:tcW w:w="2063" w:type="pct"/>
            <w:gridSpan w:val="2"/>
            <w:noWrap w:val="0"/>
            <w:vAlign w:val="center"/>
          </w:tcPr>
          <w:p w14:paraId="432C8BB4">
            <w:pPr>
              <w:pStyle w:val="40"/>
              <w:rPr>
                <w:rFonts w:ascii="Times New Roman" w:hAnsi="Times New Roman" w:cs="Times New Roman"/>
                <w:szCs w:val="30"/>
                <w:highlight w:val="none"/>
              </w:rPr>
            </w:pPr>
            <w:r>
              <w:rPr>
                <w:rFonts w:ascii="Times New Roman" w:hAnsi="Times New Roman" w:cs="Times New Roman"/>
                <w:szCs w:val="30"/>
                <w:highlight w:val="none"/>
              </w:rPr>
              <w:t>气象站坐标</w:t>
            </w:r>
          </w:p>
        </w:tc>
        <w:tc>
          <w:tcPr>
            <w:tcW w:w="739" w:type="pct"/>
            <w:noWrap w:val="0"/>
            <w:vAlign w:val="center"/>
          </w:tcPr>
          <w:p w14:paraId="62A80B46">
            <w:pPr>
              <w:pStyle w:val="40"/>
              <w:rPr>
                <w:rFonts w:ascii="Times New Roman" w:hAnsi="Times New Roman" w:cs="Times New Roman"/>
                <w:szCs w:val="30"/>
                <w:highlight w:val="none"/>
              </w:rPr>
            </w:pPr>
            <w:r>
              <w:rPr>
                <w:rFonts w:ascii="Times New Roman" w:hAnsi="Times New Roman" w:cs="Times New Roman"/>
                <w:szCs w:val="30"/>
                <w:highlight w:val="none"/>
              </w:rPr>
              <w:t>相对距离</w:t>
            </w:r>
          </w:p>
        </w:tc>
        <w:tc>
          <w:tcPr>
            <w:tcW w:w="906" w:type="pct"/>
            <w:noWrap w:val="0"/>
            <w:vAlign w:val="center"/>
          </w:tcPr>
          <w:p w14:paraId="71503128">
            <w:pPr>
              <w:pStyle w:val="40"/>
              <w:rPr>
                <w:rFonts w:ascii="Times New Roman" w:hAnsi="Times New Roman" w:cs="Times New Roman"/>
                <w:szCs w:val="30"/>
                <w:highlight w:val="none"/>
              </w:rPr>
            </w:pPr>
            <w:r>
              <w:rPr>
                <w:rFonts w:ascii="Times New Roman" w:hAnsi="Times New Roman" w:cs="Times New Roman"/>
                <w:szCs w:val="30"/>
                <w:highlight w:val="none"/>
              </w:rPr>
              <w:t>数据年份/年</w:t>
            </w:r>
          </w:p>
        </w:tc>
      </w:tr>
      <w:tr w14:paraId="74DDE126">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0" w:hRule="atLeast"/>
          <w:jc w:val="center"/>
        </w:trPr>
        <w:tc>
          <w:tcPr>
            <w:tcW w:w="1291" w:type="pct"/>
            <w:noWrap w:val="0"/>
            <w:vAlign w:val="center"/>
          </w:tcPr>
          <w:p w14:paraId="550B553F">
            <w:pPr>
              <w:pStyle w:val="40"/>
              <w:rPr>
                <w:rFonts w:ascii="Times New Roman" w:hAnsi="Times New Roman" w:cs="Times New Roman"/>
                <w:szCs w:val="30"/>
                <w:highlight w:val="none"/>
              </w:rPr>
            </w:pPr>
            <w:r>
              <w:rPr>
                <w:rFonts w:hint="eastAsia" w:ascii="Times New Roman" w:hAnsi="Times New Roman" w:cs="Times New Roman"/>
                <w:szCs w:val="30"/>
                <w:highlight w:val="none"/>
                <w:lang w:val="en-US" w:eastAsia="zh-CN"/>
              </w:rPr>
              <w:t>环保局2240</w:t>
            </w:r>
            <w:r>
              <w:rPr>
                <w:rFonts w:ascii="Times New Roman" w:hAnsi="Times New Roman" w:cs="Times New Roman"/>
                <w:szCs w:val="30"/>
                <w:highlight w:val="none"/>
              </w:rPr>
              <w:t>A</w:t>
            </w:r>
          </w:p>
        </w:tc>
        <w:tc>
          <w:tcPr>
            <w:tcW w:w="1099" w:type="pct"/>
            <w:noWrap w:val="0"/>
            <w:vAlign w:val="center"/>
          </w:tcPr>
          <w:p w14:paraId="478AE70E">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130.962</w:t>
            </w:r>
          </w:p>
        </w:tc>
        <w:tc>
          <w:tcPr>
            <w:tcW w:w="963" w:type="pct"/>
            <w:noWrap w:val="0"/>
            <w:vAlign w:val="center"/>
          </w:tcPr>
          <w:p w14:paraId="5381A5AC">
            <w:pPr>
              <w:pStyle w:val="40"/>
              <w:rPr>
                <w:rFonts w:hint="default" w:ascii="Times New Roman" w:hAnsi="Times New Roman" w:eastAsia="宋体" w:cs="Times New Roman"/>
                <w:szCs w:val="30"/>
                <w:highlight w:val="none"/>
                <w:lang w:val="en-US" w:eastAsia="zh-CN"/>
              </w:rPr>
            </w:pPr>
            <w:r>
              <w:rPr>
                <w:rFonts w:hint="eastAsia" w:ascii="Times New Roman" w:hAnsi="Times New Roman" w:cs="Times New Roman"/>
                <w:szCs w:val="30"/>
                <w:highlight w:val="none"/>
                <w:lang w:val="en-US" w:eastAsia="zh-CN"/>
              </w:rPr>
              <w:t>45.2924</w:t>
            </w:r>
          </w:p>
        </w:tc>
        <w:tc>
          <w:tcPr>
            <w:tcW w:w="739" w:type="pct"/>
            <w:noWrap w:val="0"/>
            <w:vAlign w:val="center"/>
          </w:tcPr>
          <w:p w14:paraId="6486DBF0">
            <w:pPr>
              <w:pStyle w:val="40"/>
              <w:rPr>
                <w:rFonts w:ascii="Times New Roman" w:hAnsi="Times New Roman" w:cs="Times New Roman"/>
                <w:szCs w:val="30"/>
                <w:highlight w:val="none"/>
              </w:rPr>
            </w:pPr>
            <w:r>
              <w:rPr>
                <w:rFonts w:hint="eastAsia" w:ascii="Times New Roman" w:hAnsi="Times New Roman" w:cs="Times New Roman"/>
                <w:szCs w:val="30"/>
                <w:highlight w:val="none"/>
                <w:lang w:val="en-US" w:eastAsia="zh-CN"/>
              </w:rPr>
              <w:t>99.3</w:t>
            </w:r>
            <w:r>
              <w:rPr>
                <w:rFonts w:ascii="Times New Roman" w:hAnsi="Times New Roman" w:cs="Times New Roman"/>
                <w:szCs w:val="30"/>
                <w:highlight w:val="none"/>
              </w:rPr>
              <w:t>km</w:t>
            </w:r>
          </w:p>
        </w:tc>
        <w:tc>
          <w:tcPr>
            <w:tcW w:w="906" w:type="pct"/>
            <w:noWrap w:val="0"/>
            <w:vAlign w:val="center"/>
          </w:tcPr>
          <w:p w14:paraId="61456DD5">
            <w:pPr>
              <w:pStyle w:val="40"/>
              <w:rPr>
                <w:rFonts w:hint="eastAsia" w:ascii="Times New Roman" w:hAnsi="Times New Roman" w:eastAsia="宋体" w:cs="Times New Roman"/>
                <w:szCs w:val="30"/>
                <w:highlight w:val="none"/>
                <w:lang w:eastAsia="zh-CN"/>
              </w:rPr>
            </w:pPr>
            <w:r>
              <w:rPr>
                <w:rFonts w:ascii="Times New Roman" w:hAnsi="Times New Roman" w:cs="Times New Roman"/>
                <w:szCs w:val="30"/>
                <w:highlight w:val="none"/>
              </w:rPr>
              <w:t>202</w:t>
            </w:r>
            <w:r>
              <w:rPr>
                <w:rFonts w:hint="eastAsia" w:ascii="Times New Roman" w:hAnsi="Times New Roman" w:cs="Times New Roman"/>
                <w:szCs w:val="30"/>
                <w:highlight w:val="none"/>
                <w:lang w:val="en-US" w:eastAsia="zh-CN"/>
              </w:rPr>
              <w:t>4</w:t>
            </w:r>
          </w:p>
        </w:tc>
      </w:tr>
    </w:tbl>
    <w:p w14:paraId="2BFD097A">
      <w:pPr>
        <w:ind w:firstLine="480"/>
        <w:rPr>
          <w:rFonts w:ascii="Times New Roman" w:hAnsi="Times New Roman"/>
          <w:highlight w:val="none"/>
        </w:rPr>
      </w:pPr>
      <w:r>
        <w:rPr>
          <w:rFonts w:ascii="Times New Roman" w:hAnsi="Times New Roman"/>
          <w:highlight w:val="none"/>
        </w:rPr>
        <w:t>2、地形数据</w:t>
      </w:r>
    </w:p>
    <w:p w14:paraId="16A6F029">
      <w:pPr>
        <w:ind w:firstLine="480"/>
        <w:rPr>
          <w:rFonts w:ascii="Times New Roman" w:hAnsi="Times New Roman"/>
          <w:highlight w:val="none"/>
        </w:rPr>
      </w:pPr>
      <w:r>
        <w:rPr>
          <w:rFonts w:ascii="Times New Roman" w:hAnsi="Times New Roman"/>
          <w:highlight w:val="none"/>
        </w:rPr>
        <w:t>地形数据由北京尚云环境有限公司提供的软件配套数据库提供。项目地形数据下载地址：</w:t>
      </w:r>
    </w:p>
    <w:p w14:paraId="2969EC18">
      <w:pPr>
        <w:ind w:firstLine="480"/>
        <w:rPr>
          <w:rFonts w:ascii="Times New Roman" w:hAnsi="Times New Roman"/>
          <w:highlight w:val="none"/>
        </w:rPr>
      </w:pPr>
      <w:r>
        <w:rPr>
          <w:rFonts w:ascii="Times New Roman" w:hAnsi="Times New Roman"/>
          <w:highlight w:val="none"/>
        </w:rPr>
        <w:t>http://srtm.csi.cgiar.org/SRT-ZIP/SRTM_v41/SRTM_Data_ArcASCII/srtm_62_03.zip，每个文件是1°×1°格点内的数据。地理数据中的土地利用类型取自“U.S.Geological Surveys EROSData CenterEROS的全球30”的数据库的亚洲部分。模拟区域地形较为复杂，地形特征见图5.2-4。</w:t>
      </w:r>
    </w:p>
    <w:p w14:paraId="45BFDFAA">
      <w:pPr>
        <w:ind w:firstLine="0" w:firstLineChars="0"/>
        <w:jc w:val="center"/>
        <w:rPr>
          <w:rFonts w:ascii="Times New Roman" w:hAnsi="Times New Roman"/>
          <w:highlight w:val="none"/>
        </w:rPr>
      </w:pPr>
      <w:r>
        <w:rPr>
          <w:highlight w:val="none"/>
        </w:rPr>
        <mc:AlternateContent>
          <mc:Choice Requires="wps">
            <w:drawing>
              <wp:anchor distT="0" distB="0" distL="114300" distR="114300" simplePos="0" relativeHeight="251685888" behindDoc="0" locked="0" layoutInCell="1" allowOverlap="1">
                <wp:simplePos x="0" y="0"/>
                <wp:positionH relativeFrom="column">
                  <wp:posOffset>2216785</wp:posOffset>
                </wp:positionH>
                <wp:positionV relativeFrom="paragraph">
                  <wp:posOffset>1275080</wp:posOffset>
                </wp:positionV>
                <wp:extent cx="959485" cy="1772285"/>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959485" cy="1772285"/>
                        </a:xfrm>
                        <a:prstGeom prst="rect">
                          <a:avLst/>
                        </a:prstGeom>
                        <a:noFill/>
                        <a:ln>
                          <a:noFill/>
                        </a:ln>
                      </wps:spPr>
                      <wps:txbx>
                        <w:txbxContent>
                          <w:p w14:paraId="763D3BC4">
                            <w:pPr>
                              <w:ind w:firstLine="0" w:firstLineChars="0"/>
                            </w:pPr>
                            <w:r>
                              <w:rPr>
                                <w:rFonts w:hint="eastAsia"/>
                              </w:rPr>
                              <w:t>项目位置</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174.55pt;margin-top:100.4pt;height:139.55pt;width:75.55pt;z-index:251685888;mso-width-relative:page;mso-height-relative:margin;mso-height-percent:200;" filled="f" stroked="f" coordsize="21600,21600" o:gfxdata="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OOvzYAAAACwEAAA8AAAAAAAAAAQAgAAAAIgAAAGRycy9kb3ducmV2LnhtbFBLAQIU&#10;ABQAAAAIAIdO4kCodRYHugEAAGoDAAAOAAAAAAAAAAEAIAAAACcBAABkcnMvZTJvRG9jLnhtbFBL&#10;BQYAAAAABgAGAFkBAABTBQAAAAA=&#10;">
                <v:fill on="f" focussize="0,0"/>
                <v:stroke on="f"/>
                <v:imagedata o:title=""/>
                <o:lock v:ext="edit" aspectratio="f"/>
                <v:textbox style="mso-fit-shape-to-text:t;">
                  <w:txbxContent>
                    <w:p w14:paraId="763D3BC4">
                      <w:pPr>
                        <w:ind w:firstLine="0" w:firstLineChars="0"/>
                      </w:pPr>
                      <w:r>
                        <w:rPr>
                          <w:rFonts w:hint="eastAsia"/>
                        </w:rPr>
                        <w:t>项目位置</w:t>
                      </w:r>
                    </w:p>
                  </w:txbxContent>
                </v:textbox>
              </v:shape>
            </w:pict>
          </mc:Fallback>
        </mc:AlternateContent>
      </w:r>
      <w:r>
        <w:rPr>
          <w:rFonts w:ascii="Times New Roman" w:hAnsi="Times New Roman"/>
          <w:highlight w:val="none"/>
        </w:rPr>
        <mc:AlternateContent>
          <mc:Choice Requires="wps">
            <w:drawing>
              <wp:anchor distT="0" distB="0" distL="114300" distR="114300" simplePos="0" relativeHeight="251684864" behindDoc="0" locked="0" layoutInCell="1" allowOverlap="1">
                <wp:simplePos x="0" y="0"/>
                <wp:positionH relativeFrom="column">
                  <wp:posOffset>2223770</wp:posOffset>
                </wp:positionH>
                <wp:positionV relativeFrom="paragraph">
                  <wp:posOffset>1437005</wp:posOffset>
                </wp:positionV>
                <wp:extent cx="114300" cy="142875"/>
                <wp:effectExtent l="4445" t="5080" r="14605" b="23495"/>
                <wp:wrapNone/>
                <wp:docPr id="70" name="五角星 70"/>
                <wp:cNvGraphicFramePr/>
                <a:graphic xmlns:a="http://schemas.openxmlformats.org/drawingml/2006/main">
                  <a:graphicData uri="http://schemas.microsoft.com/office/word/2010/wordprocessingShape">
                    <wps:wsp>
                      <wps:cNvSpPr/>
                      <wps:spPr>
                        <a:xfrm>
                          <a:off x="0" y="0"/>
                          <a:ext cx="114300" cy="142875"/>
                        </a:xfrm>
                        <a:prstGeom prst="star5">
                          <a:avLst>
                            <a:gd name="adj" fmla="val 50000"/>
                            <a:gd name="hf" fmla="val 105146"/>
                            <a:gd name="vf" fmla="val 110557"/>
                          </a:avLst>
                        </a:prstGeom>
                        <a:solidFill>
                          <a:srgbClr val="FFFF00"/>
                        </a:solidFill>
                        <a:ln w="9525" cap="flat" cmpd="sng">
                          <a:solidFill>
                            <a:srgbClr val="FF0000"/>
                          </a:solidFill>
                          <a:prstDash val="solid"/>
                          <a:miter/>
                          <a:headEnd type="none" w="med" len="med"/>
                          <a:tailEnd type="none" w="med" len="med"/>
                        </a:ln>
                      </wps:spPr>
                      <wps:bodyPr upright="1"/>
                    </wps:wsp>
                  </a:graphicData>
                </a:graphic>
              </wp:anchor>
            </w:drawing>
          </mc:Choice>
          <mc:Fallback>
            <w:pict>
              <v:shape id="_x0000_s1026" o:spid="_x0000_s1026" style="position:absolute;left:0pt;margin-left:175.1pt;margin-top:113.15pt;height:11.25pt;width:9pt;z-index:251684864;mso-width-relative:page;mso-height-relative:page;" fillcolor="#FFFF00" filled="t" stroked="t" coordsize="114300,142875" o:gfxdata="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CSOWdgAAAALAQAADwAAAAAAAAABACAAAAAiAAAAZHJzL2Rvd25yZXYueG1sUEsB&#10;AhQAFAAAAAgAh07iQLXDROguAgAAlQQAAA4AAAAAAAAAAQAgAAAAJwEAAGRycy9lMm9Eb2MueG1s&#10;UEsFBgAAAAAGAAYAWQEAAMcFAAAAAA==&#10;" path="m0,54573l21829,15083,57150,0,92470,15083,114299,54573,114299,103385,92470,142874,57150,157958,21829,142874,0,103385xe">
                <v:path o:connectlocs="57150,0;0,54573;21829,142874;92470,142874;114299,54573" o:connectangles="247,164,82,82,0"/>
                <v:fill on="t" focussize="0,0"/>
                <v:stroke color="#FF0000" joinstyle="miter"/>
                <v:imagedata o:title=""/>
                <o:lock v:ext="edit" aspectratio="f"/>
              </v:shape>
            </w:pict>
          </mc:Fallback>
        </mc:AlternateContent>
      </w:r>
      <w:r>
        <w:rPr>
          <w:highlight w:val="none"/>
        </w:rPr>
        <w:drawing>
          <wp:inline distT="0" distB="0" distL="114300" distR="114300">
            <wp:extent cx="5267325" cy="3161030"/>
            <wp:effectExtent l="0" t="0" r="9525" b="1270"/>
            <wp:docPr id="5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5"/>
                    <pic:cNvPicPr>
                      <a:picLocks noChangeAspect="1"/>
                    </pic:cNvPicPr>
                  </pic:nvPicPr>
                  <pic:blipFill>
                    <a:blip r:embed="rId10"/>
                    <a:stretch>
                      <a:fillRect/>
                    </a:stretch>
                  </pic:blipFill>
                  <pic:spPr>
                    <a:xfrm>
                      <a:off x="0" y="0"/>
                      <a:ext cx="5267325" cy="3161030"/>
                    </a:xfrm>
                    <a:prstGeom prst="rect">
                      <a:avLst/>
                    </a:prstGeom>
                    <a:noFill/>
                    <a:ln>
                      <a:noFill/>
                    </a:ln>
                  </pic:spPr>
                </pic:pic>
              </a:graphicData>
            </a:graphic>
          </wp:inline>
        </w:drawing>
      </w:r>
    </w:p>
    <w:p w14:paraId="66B7F388">
      <w:pPr>
        <w:ind w:firstLine="0" w:firstLineChars="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 xml:space="preserve">5.2-4 </w:t>
      </w:r>
      <w:r>
        <w:rPr>
          <w:rFonts w:hint="eastAsia" w:ascii="黑体" w:hAnsi="黑体" w:eastAsia="黑体" w:cs="黑体"/>
          <w:highlight w:val="none"/>
        </w:rPr>
        <w:t>地面地形高程图</w:t>
      </w:r>
    </w:p>
    <w:p w14:paraId="07BB1D35">
      <w:pPr>
        <w:ind w:firstLine="480"/>
        <w:rPr>
          <w:rFonts w:ascii="Times New Roman" w:hAnsi="Times New Roman"/>
          <w:highlight w:val="none"/>
        </w:rPr>
      </w:pPr>
    </w:p>
    <w:p w14:paraId="19C2441D">
      <w:pPr>
        <w:ind w:firstLine="480"/>
        <w:rPr>
          <w:rFonts w:ascii="Times New Roman" w:hAnsi="Times New Roman"/>
          <w:highlight w:val="none"/>
        </w:rPr>
      </w:pPr>
      <w:r>
        <w:rPr>
          <w:rFonts w:ascii="Times New Roman" w:hAnsi="Times New Roman"/>
          <w:highlight w:val="none"/>
        </w:rPr>
        <w:t>3、AERMOD参数设置</w:t>
      </w:r>
    </w:p>
    <w:p w14:paraId="438F493A">
      <w:pPr>
        <w:ind w:firstLine="480"/>
        <w:rPr>
          <w:rFonts w:ascii="Times New Roman" w:hAnsi="Times New Roman"/>
          <w:highlight w:val="none"/>
        </w:rPr>
      </w:pPr>
      <w:r>
        <w:rPr>
          <w:rFonts w:ascii="Times New Roman" w:hAnsi="Times New Roman"/>
          <w:highlight w:val="none"/>
        </w:rPr>
        <w:t>根据《环境影响评价技术导则 大气环境》（HJ2.2-2018）附录B推荐模型参数及说明中B.5地表参数要求，AERMOD地表参数一般根据项目周边</w:t>
      </w:r>
      <w:r>
        <w:rPr>
          <w:rFonts w:hint="eastAsia" w:ascii="Times New Roman" w:hAnsi="Times New Roman"/>
          <w:highlight w:val="none"/>
        </w:rPr>
        <w:t>10</w:t>
      </w:r>
      <w:r>
        <w:rPr>
          <w:rFonts w:ascii="Times New Roman" w:hAnsi="Times New Roman"/>
          <w:highlight w:val="none"/>
        </w:rPr>
        <w:t>km范围内的土地利用类型进行合理划分。</w:t>
      </w:r>
    </w:p>
    <w:p w14:paraId="4F423C4B">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5.2-7</w:t>
      </w:r>
      <w:r>
        <w:rPr>
          <w:rFonts w:hint="eastAsia" w:ascii="黑体" w:hAnsi="黑体" w:eastAsia="黑体" w:cs="黑体"/>
          <w:highlight w:val="none"/>
        </w:rPr>
        <w:t>地表参数一览表</w:t>
      </w:r>
    </w:p>
    <w:tbl>
      <w:tblPr>
        <w:tblStyle w:val="17"/>
        <w:tblW w:w="5000" w:type="pct"/>
        <w:tblInd w:w="0" w:type="dxa"/>
        <w:tblLayout w:type="autofit"/>
        <w:tblCellMar>
          <w:top w:w="0" w:type="dxa"/>
          <w:left w:w="0" w:type="dxa"/>
          <w:bottom w:w="0" w:type="dxa"/>
          <w:right w:w="0" w:type="dxa"/>
        </w:tblCellMar>
      </w:tblPr>
      <w:tblGrid>
        <w:gridCol w:w="1207"/>
        <w:gridCol w:w="1207"/>
        <w:gridCol w:w="2299"/>
        <w:gridCol w:w="1207"/>
        <w:gridCol w:w="1207"/>
        <w:gridCol w:w="1209"/>
      </w:tblGrid>
      <w:tr w14:paraId="7FAE57D4">
        <w:tblPrEx>
          <w:tblCellMar>
            <w:top w:w="0" w:type="dxa"/>
            <w:left w:w="0" w:type="dxa"/>
            <w:bottom w:w="0" w:type="dxa"/>
            <w:right w:w="0" w:type="dxa"/>
          </w:tblCellMar>
        </w:tblPrEx>
        <w:trPr>
          <w:trHeight w:val="315" w:hRule="atLeast"/>
        </w:trPr>
        <w:tc>
          <w:tcPr>
            <w:tcW w:w="724" w:type="pct"/>
            <w:tcBorders>
              <w:top w:val="single" w:color="000000" w:sz="12" w:space="0"/>
              <w:left w:val="nil"/>
              <w:bottom w:val="single" w:color="000000" w:sz="4" w:space="0"/>
              <w:right w:val="single" w:color="000000" w:sz="4" w:space="0"/>
            </w:tcBorders>
            <w:noWrap/>
            <w:tcMar>
              <w:top w:w="15" w:type="dxa"/>
              <w:left w:w="15" w:type="dxa"/>
              <w:right w:w="15" w:type="dxa"/>
            </w:tcMar>
            <w:vAlign w:val="center"/>
          </w:tcPr>
          <w:p w14:paraId="4E9F7AB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序号</w:t>
            </w:r>
          </w:p>
        </w:tc>
        <w:tc>
          <w:tcPr>
            <w:tcW w:w="724" w:type="pct"/>
            <w:tcBorders>
              <w:top w:val="single" w:color="000000" w:sz="12" w:space="0"/>
              <w:left w:val="single" w:color="000000" w:sz="4" w:space="0"/>
              <w:bottom w:val="single" w:color="000000" w:sz="4" w:space="0"/>
              <w:right w:val="single" w:color="000000" w:sz="4" w:space="0"/>
            </w:tcBorders>
            <w:noWrap/>
            <w:tcMar>
              <w:top w:w="15" w:type="dxa"/>
              <w:left w:w="15" w:type="dxa"/>
              <w:right w:w="15" w:type="dxa"/>
            </w:tcMar>
            <w:vAlign w:val="center"/>
          </w:tcPr>
          <w:p w14:paraId="79B5641A">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扇区</w:t>
            </w:r>
          </w:p>
        </w:tc>
        <w:tc>
          <w:tcPr>
            <w:tcW w:w="1379" w:type="pct"/>
            <w:tcBorders>
              <w:top w:val="single" w:color="000000" w:sz="12" w:space="0"/>
              <w:left w:val="single" w:color="000000" w:sz="4" w:space="0"/>
              <w:bottom w:val="single" w:color="000000" w:sz="4" w:space="0"/>
              <w:right w:val="single" w:color="000000" w:sz="4" w:space="0"/>
            </w:tcBorders>
            <w:noWrap/>
            <w:tcMar>
              <w:top w:w="15" w:type="dxa"/>
              <w:left w:w="15" w:type="dxa"/>
              <w:right w:w="15" w:type="dxa"/>
            </w:tcMar>
            <w:vAlign w:val="center"/>
          </w:tcPr>
          <w:p w14:paraId="19680146">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时段</w:t>
            </w:r>
          </w:p>
        </w:tc>
        <w:tc>
          <w:tcPr>
            <w:tcW w:w="724" w:type="pct"/>
            <w:tcBorders>
              <w:top w:val="single" w:color="000000" w:sz="12" w:space="0"/>
              <w:left w:val="single" w:color="000000" w:sz="4" w:space="0"/>
              <w:bottom w:val="single" w:color="000000" w:sz="4" w:space="0"/>
              <w:right w:val="single" w:color="000000" w:sz="4" w:space="0"/>
            </w:tcBorders>
            <w:noWrap/>
            <w:tcMar>
              <w:top w:w="15" w:type="dxa"/>
              <w:left w:w="15" w:type="dxa"/>
              <w:right w:w="15" w:type="dxa"/>
            </w:tcMar>
            <w:vAlign w:val="center"/>
          </w:tcPr>
          <w:p w14:paraId="3921EFB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正午反照率</w:t>
            </w:r>
          </w:p>
        </w:tc>
        <w:tc>
          <w:tcPr>
            <w:tcW w:w="724" w:type="pct"/>
            <w:tcBorders>
              <w:top w:val="single" w:color="000000" w:sz="12" w:space="0"/>
              <w:left w:val="single" w:color="000000" w:sz="4" w:space="0"/>
              <w:bottom w:val="single" w:color="000000" w:sz="4" w:space="0"/>
              <w:right w:val="single" w:color="000000" w:sz="4" w:space="0"/>
            </w:tcBorders>
            <w:noWrap/>
            <w:tcMar>
              <w:top w:w="15" w:type="dxa"/>
              <w:left w:w="15" w:type="dxa"/>
              <w:right w:w="15" w:type="dxa"/>
            </w:tcMar>
            <w:vAlign w:val="center"/>
          </w:tcPr>
          <w:p w14:paraId="24042C3F">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BOWEN</w:t>
            </w:r>
          </w:p>
        </w:tc>
        <w:tc>
          <w:tcPr>
            <w:tcW w:w="725" w:type="pct"/>
            <w:tcBorders>
              <w:top w:val="single" w:color="000000" w:sz="12" w:space="0"/>
              <w:left w:val="single" w:color="000000" w:sz="4" w:space="0"/>
              <w:bottom w:val="single" w:color="000000" w:sz="4" w:space="0"/>
              <w:right w:val="nil"/>
            </w:tcBorders>
            <w:noWrap/>
            <w:tcMar>
              <w:top w:w="15" w:type="dxa"/>
              <w:left w:w="15" w:type="dxa"/>
              <w:right w:w="15" w:type="dxa"/>
            </w:tcMar>
            <w:vAlign w:val="center"/>
          </w:tcPr>
          <w:p w14:paraId="6DF3C36E">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粗糙度</w:t>
            </w:r>
          </w:p>
        </w:tc>
      </w:tr>
      <w:tr w14:paraId="51E0B9C6">
        <w:tblPrEx>
          <w:tblCellMar>
            <w:top w:w="0" w:type="dxa"/>
            <w:left w:w="0" w:type="dxa"/>
            <w:bottom w:w="0" w:type="dxa"/>
            <w:right w:w="0" w:type="dxa"/>
          </w:tblCellMar>
        </w:tblPrEx>
        <w:trPr>
          <w:trHeight w:val="315" w:hRule="atLeast"/>
        </w:trPr>
        <w:tc>
          <w:tcPr>
            <w:tcW w:w="724" w:type="pct"/>
            <w:vMerge w:val="restart"/>
            <w:tcBorders>
              <w:top w:val="single" w:color="000000" w:sz="4" w:space="0"/>
              <w:left w:val="nil"/>
              <w:right w:val="single" w:color="000000" w:sz="4" w:space="0"/>
            </w:tcBorders>
            <w:noWrap/>
            <w:tcMar>
              <w:top w:w="15" w:type="dxa"/>
              <w:left w:w="15" w:type="dxa"/>
              <w:right w:w="15" w:type="dxa"/>
            </w:tcMar>
            <w:vAlign w:val="center"/>
          </w:tcPr>
          <w:p w14:paraId="0E8D221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rPr>
              <w:t>城市</w:t>
            </w:r>
          </w:p>
        </w:tc>
        <w:tc>
          <w:tcPr>
            <w:tcW w:w="724" w:type="pct"/>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73CA1490">
            <w:pPr>
              <w:widowControl/>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kern w:val="0"/>
                <w:sz w:val="21"/>
                <w:highlight w:val="none"/>
                <w:lang w:bidi="ar"/>
              </w:rPr>
              <w:t>0</w:t>
            </w:r>
            <w:r>
              <w:rPr>
                <w:rFonts w:ascii="Times New Roman" w:hAnsi="Times New Roman"/>
                <w:kern w:val="0"/>
                <w:sz w:val="21"/>
                <w:highlight w:val="none"/>
                <w:lang w:bidi="ar"/>
              </w:rPr>
              <w:t>-360</w:t>
            </w:r>
          </w:p>
        </w:tc>
        <w:tc>
          <w:tcPr>
            <w:tcW w:w="137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E44BC7">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冬季(12,1,2月)</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D35AF5">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0.35</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B1512D">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1.5</w:t>
            </w:r>
          </w:p>
        </w:tc>
        <w:tc>
          <w:tcPr>
            <w:tcW w:w="725" w:type="pct"/>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1C7571E4">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w:t>
            </w:r>
          </w:p>
        </w:tc>
      </w:tr>
      <w:tr w14:paraId="035C1216">
        <w:tblPrEx>
          <w:tblCellMar>
            <w:top w:w="0" w:type="dxa"/>
            <w:left w:w="0" w:type="dxa"/>
            <w:bottom w:w="0" w:type="dxa"/>
            <w:right w:w="0" w:type="dxa"/>
          </w:tblCellMar>
        </w:tblPrEx>
        <w:trPr>
          <w:trHeight w:val="315" w:hRule="atLeast"/>
        </w:trPr>
        <w:tc>
          <w:tcPr>
            <w:tcW w:w="724" w:type="pct"/>
            <w:vMerge w:val="continue"/>
            <w:tcBorders>
              <w:left w:val="nil"/>
              <w:right w:val="single" w:color="000000" w:sz="4" w:space="0"/>
            </w:tcBorders>
            <w:noWrap/>
            <w:tcMar>
              <w:top w:w="15" w:type="dxa"/>
              <w:left w:w="15" w:type="dxa"/>
              <w:right w:w="15" w:type="dxa"/>
            </w:tcMar>
            <w:vAlign w:val="center"/>
          </w:tcPr>
          <w:p w14:paraId="2582D3AB">
            <w:pPr>
              <w:widowControl/>
              <w:spacing w:line="240" w:lineRule="auto"/>
              <w:ind w:firstLine="0" w:firstLineChars="0"/>
              <w:jc w:val="center"/>
              <w:textAlignment w:val="center"/>
              <w:rPr>
                <w:rFonts w:ascii="Times New Roman" w:hAnsi="Times New Roman"/>
                <w:kern w:val="0"/>
                <w:sz w:val="21"/>
                <w:highlight w:val="none"/>
              </w:rPr>
            </w:pPr>
          </w:p>
        </w:tc>
        <w:tc>
          <w:tcPr>
            <w:tcW w:w="724" w:type="pct"/>
            <w:vMerge w:val="continue"/>
            <w:tcBorders>
              <w:left w:val="single" w:color="000000" w:sz="4" w:space="0"/>
              <w:right w:val="single" w:color="000000" w:sz="4" w:space="0"/>
            </w:tcBorders>
            <w:noWrap/>
            <w:tcMar>
              <w:top w:w="15" w:type="dxa"/>
              <w:left w:w="15" w:type="dxa"/>
              <w:right w:w="15" w:type="dxa"/>
            </w:tcMar>
            <w:vAlign w:val="center"/>
          </w:tcPr>
          <w:p w14:paraId="008C211D">
            <w:pPr>
              <w:widowControl/>
              <w:spacing w:line="240" w:lineRule="auto"/>
              <w:ind w:firstLine="0" w:firstLineChars="0"/>
              <w:jc w:val="center"/>
              <w:textAlignment w:val="center"/>
              <w:rPr>
                <w:rFonts w:ascii="Times New Roman" w:hAnsi="Times New Roman"/>
                <w:kern w:val="0"/>
                <w:sz w:val="21"/>
                <w:highlight w:val="none"/>
              </w:rPr>
            </w:pPr>
          </w:p>
        </w:tc>
        <w:tc>
          <w:tcPr>
            <w:tcW w:w="137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FD3797">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春季(3,4,5月)</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150319">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0.14</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E8CA37">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w:t>
            </w:r>
          </w:p>
        </w:tc>
        <w:tc>
          <w:tcPr>
            <w:tcW w:w="725" w:type="pct"/>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4FAD7DC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w:t>
            </w:r>
          </w:p>
        </w:tc>
      </w:tr>
      <w:tr w14:paraId="5BAEC1D7">
        <w:tblPrEx>
          <w:tblCellMar>
            <w:top w:w="0" w:type="dxa"/>
            <w:left w:w="0" w:type="dxa"/>
            <w:bottom w:w="0" w:type="dxa"/>
            <w:right w:w="0" w:type="dxa"/>
          </w:tblCellMar>
        </w:tblPrEx>
        <w:trPr>
          <w:trHeight w:val="315" w:hRule="atLeast"/>
        </w:trPr>
        <w:tc>
          <w:tcPr>
            <w:tcW w:w="724" w:type="pct"/>
            <w:vMerge w:val="continue"/>
            <w:tcBorders>
              <w:left w:val="nil"/>
              <w:right w:val="single" w:color="000000" w:sz="4" w:space="0"/>
            </w:tcBorders>
            <w:noWrap/>
            <w:tcMar>
              <w:top w:w="15" w:type="dxa"/>
              <w:left w:w="15" w:type="dxa"/>
              <w:right w:w="15" w:type="dxa"/>
            </w:tcMar>
            <w:vAlign w:val="center"/>
          </w:tcPr>
          <w:p w14:paraId="61302390">
            <w:pPr>
              <w:widowControl/>
              <w:spacing w:line="240" w:lineRule="auto"/>
              <w:ind w:firstLine="0" w:firstLineChars="0"/>
              <w:jc w:val="center"/>
              <w:textAlignment w:val="center"/>
              <w:rPr>
                <w:rFonts w:ascii="Times New Roman" w:hAnsi="Times New Roman"/>
                <w:kern w:val="0"/>
                <w:sz w:val="21"/>
                <w:highlight w:val="none"/>
              </w:rPr>
            </w:pPr>
          </w:p>
        </w:tc>
        <w:tc>
          <w:tcPr>
            <w:tcW w:w="724" w:type="pct"/>
            <w:vMerge w:val="continue"/>
            <w:tcBorders>
              <w:left w:val="single" w:color="000000" w:sz="4" w:space="0"/>
              <w:right w:val="single" w:color="000000" w:sz="4" w:space="0"/>
            </w:tcBorders>
            <w:noWrap/>
            <w:tcMar>
              <w:top w:w="15" w:type="dxa"/>
              <w:left w:w="15" w:type="dxa"/>
              <w:right w:w="15" w:type="dxa"/>
            </w:tcMar>
            <w:vAlign w:val="center"/>
          </w:tcPr>
          <w:p w14:paraId="77A00E23">
            <w:pPr>
              <w:widowControl/>
              <w:spacing w:line="240" w:lineRule="auto"/>
              <w:ind w:firstLine="0" w:firstLineChars="0"/>
              <w:jc w:val="center"/>
              <w:textAlignment w:val="center"/>
              <w:rPr>
                <w:rFonts w:ascii="Times New Roman" w:hAnsi="Times New Roman"/>
                <w:kern w:val="0"/>
                <w:sz w:val="21"/>
                <w:highlight w:val="none"/>
              </w:rPr>
            </w:pPr>
          </w:p>
        </w:tc>
        <w:tc>
          <w:tcPr>
            <w:tcW w:w="1379"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A2758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夏季(6,7,8月)</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296C5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0.16</w:t>
            </w:r>
          </w:p>
        </w:tc>
        <w:tc>
          <w:tcPr>
            <w:tcW w:w="724"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BB3CE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2</w:t>
            </w:r>
          </w:p>
        </w:tc>
        <w:tc>
          <w:tcPr>
            <w:tcW w:w="725" w:type="pct"/>
            <w:tcBorders>
              <w:top w:val="single" w:color="000000" w:sz="4" w:space="0"/>
              <w:left w:val="single" w:color="000000" w:sz="4" w:space="0"/>
              <w:bottom w:val="single" w:color="000000" w:sz="4" w:space="0"/>
              <w:right w:val="nil"/>
            </w:tcBorders>
            <w:noWrap/>
            <w:tcMar>
              <w:top w:w="15" w:type="dxa"/>
              <w:left w:w="15" w:type="dxa"/>
              <w:right w:w="15" w:type="dxa"/>
            </w:tcMar>
            <w:vAlign w:val="center"/>
          </w:tcPr>
          <w:p w14:paraId="5AA15925">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w:t>
            </w:r>
          </w:p>
        </w:tc>
      </w:tr>
      <w:tr w14:paraId="420D74F8">
        <w:tblPrEx>
          <w:tblCellMar>
            <w:top w:w="0" w:type="dxa"/>
            <w:left w:w="0" w:type="dxa"/>
            <w:bottom w:w="0" w:type="dxa"/>
            <w:right w:w="0" w:type="dxa"/>
          </w:tblCellMar>
        </w:tblPrEx>
        <w:trPr>
          <w:trHeight w:val="315" w:hRule="atLeast"/>
        </w:trPr>
        <w:tc>
          <w:tcPr>
            <w:tcW w:w="724" w:type="pct"/>
            <w:vMerge w:val="continue"/>
            <w:tcBorders>
              <w:left w:val="nil"/>
              <w:bottom w:val="single" w:color="000000" w:sz="12" w:space="0"/>
              <w:right w:val="single" w:color="000000" w:sz="4" w:space="0"/>
            </w:tcBorders>
            <w:noWrap/>
            <w:tcMar>
              <w:top w:w="15" w:type="dxa"/>
              <w:left w:w="15" w:type="dxa"/>
              <w:right w:w="15" w:type="dxa"/>
            </w:tcMar>
            <w:vAlign w:val="center"/>
          </w:tcPr>
          <w:p w14:paraId="44A74745">
            <w:pPr>
              <w:widowControl/>
              <w:spacing w:line="240" w:lineRule="auto"/>
              <w:ind w:firstLine="0" w:firstLineChars="0"/>
              <w:jc w:val="center"/>
              <w:textAlignment w:val="center"/>
              <w:rPr>
                <w:rFonts w:ascii="Times New Roman" w:hAnsi="Times New Roman"/>
                <w:kern w:val="0"/>
                <w:sz w:val="21"/>
                <w:highlight w:val="none"/>
              </w:rPr>
            </w:pPr>
          </w:p>
        </w:tc>
        <w:tc>
          <w:tcPr>
            <w:tcW w:w="724" w:type="pct"/>
            <w:vMerge w:val="continue"/>
            <w:tcBorders>
              <w:left w:val="single" w:color="000000" w:sz="4" w:space="0"/>
              <w:bottom w:val="single" w:color="000000" w:sz="12" w:space="0"/>
              <w:right w:val="single" w:color="000000" w:sz="4" w:space="0"/>
            </w:tcBorders>
            <w:noWrap/>
            <w:tcMar>
              <w:top w:w="15" w:type="dxa"/>
              <w:left w:w="15" w:type="dxa"/>
              <w:right w:w="15" w:type="dxa"/>
            </w:tcMar>
            <w:vAlign w:val="center"/>
          </w:tcPr>
          <w:p w14:paraId="7910DF6F">
            <w:pPr>
              <w:widowControl/>
              <w:spacing w:line="240" w:lineRule="auto"/>
              <w:ind w:firstLine="0" w:firstLineChars="0"/>
              <w:jc w:val="center"/>
              <w:textAlignment w:val="center"/>
              <w:rPr>
                <w:rFonts w:ascii="Times New Roman" w:hAnsi="Times New Roman"/>
                <w:kern w:val="0"/>
                <w:sz w:val="21"/>
                <w:highlight w:val="none"/>
              </w:rPr>
            </w:pPr>
          </w:p>
        </w:tc>
        <w:tc>
          <w:tcPr>
            <w:tcW w:w="1379" w:type="pct"/>
            <w:tcBorders>
              <w:top w:val="single" w:color="000000" w:sz="4" w:space="0"/>
              <w:left w:val="single" w:color="000000" w:sz="4" w:space="0"/>
              <w:bottom w:val="single" w:color="000000" w:sz="12" w:space="0"/>
              <w:right w:val="single" w:color="000000" w:sz="4" w:space="0"/>
            </w:tcBorders>
            <w:noWrap/>
            <w:tcMar>
              <w:top w:w="15" w:type="dxa"/>
              <w:left w:w="15" w:type="dxa"/>
              <w:right w:w="15" w:type="dxa"/>
            </w:tcMar>
            <w:vAlign w:val="center"/>
          </w:tcPr>
          <w:p w14:paraId="2EF5AF0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秋季(9,10,11月)</w:t>
            </w:r>
          </w:p>
        </w:tc>
        <w:tc>
          <w:tcPr>
            <w:tcW w:w="724" w:type="pct"/>
            <w:tcBorders>
              <w:top w:val="single" w:color="000000" w:sz="4" w:space="0"/>
              <w:left w:val="single" w:color="000000" w:sz="4" w:space="0"/>
              <w:bottom w:val="single" w:color="000000" w:sz="12" w:space="0"/>
              <w:right w:val="single" w:color="000000" w:sz="4" w:space="0"/>
            </w:tcBorders>
            <w:noWrap/>
            <w:tcMar>
              <w:top w:w="15" w:type="dxa"/>
              <w:left w:w="15" w:type="dxa"/>
              <w:right w:w="15" w:type="dxa"/>
            </w:tcMar>
            <w:vAlign w:val="center"/>
          </w:tcPr>
          <w:p w14:paraId="698FE5F4">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0.18</w:t>
            </w:r>
          </w:p>
        </w:tc>
        <w:tc>
          <w:tcPr>
            <w:tcW w:w="724" w:type="pct"/>
            <w:tcBorders>
              <w:top w:val="single" w:color="000000" w:sz="4" w:space="0"/>
              <w:left w:val="single" w:color="000000" w:sz="4" w:space="0"/>
              <w:bottom w:val="single" w:color="000000" w:sz="12" w:space="0"/>
              <w:right w:val="single" w:color="000000" w:sz="4" w:space="0"/>
            </w:tcBorders>
            <w:noWrap/>
            <w:tcMar>
              <w:top w:w="15" w:type="dxa"/>
              <w:left w:w="15" w:type="dxa"/>
              <w:right w:w="15" w:type="dxa"/>
            </w:tcMar>
            <w:vAlign w:val="center"/>
          </w:tcPr>
          <w:p w14:paraId="2C269457">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2</w:t>
            </w:r>
          </w:p>
        </w:tc>
        <w:tc>
          <w:tcPr>
            <w:tcW w:w="725" w:type="pct"/>
            <w:tcBorders>
              <w:top w:val="single" w:color="000000" w:sz="4" w:space="0"/>
              <w:left w:val="single" w:color="000000" w:sz="4" w:space="0"/>
              <w:bottom w:val="single" w:color="000000" w:sz="12" w:space="0"/>
              <w:right w:val="nil"/>
            </w:tcBorders>
            <w:noWrap/>
            <w:tcMar>
              <w:top w:w="15" w:type="dxa"/>
              <w:left w:w="15" w:type="dxa"/>
              <w:right w:w="15" w:type="dxa"/>
            </w:tcMar>
            <w:vAlign w:val="center"/>
          </w:tcPr>
          <w:p w14:paraId="0AD75AD6">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1</w:t>
            </w:r>
          </w:p>
        </w:tc>
      </w:tr>
    </w:tbl>
    <w:p w14:paraId="2FAD5CC1">
      <w:pPr>
        <w:ind w:firstLine="480"/>
        <w:rPr>
          <w:rFonts w:ascii="Times New Roman" w:hAnsi="Times New Roman"/>
          <w:highlight w:val="none"/>
        </w:rPr>
      </w:pPr>
      <w:r>
        <w:rPr>
          <w:rFonts w:ascii="Times New Roman" w:hAnsi="Times New Roman"/>
          <w:highlight w:val="none"/>
        </w:rPr>
        <w:t>4、大气预测方案</w:t>
      </w:r>
    </w:p>
    <w:p w14:paraId="38BB3A59">
      <w:pPr>
        <w:ind w:firstLine="480"/>
        <w:rPr>
          <w:rFonts w:ascii="Times New Roman" w:hAnsi="Times New Roman"/>
          <w:highlight w:val="none"/>
        </w:rPr>
      </w:pPr>
      <w:r>
        <w:rPr>
          <w:rFonts w:ascii="Times New Roman" w:hAnsi="Times New Roman"/>
          <w:highlight w:val="none"/>
        </w:rPr>
        <w:t>（1）预测因子：SO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2</w:t>
      </w:r>
      <w:r>
        <w:rPr>
          <w:rFonts w:ascii="Times New Roman" w:hAnsi="Times New Roman"/>
          <w:highlight w:val="none"/>
        </w:rPr>
        <w:t>、PM</w:t>
      </w:r>
      <w:r>
        <w:rPr>
          <w:rFonts w:ascii="Times New Roman" w:hAnsi="Times New Roman"/>
          <w:highlight w:val="none"/>
          <w:vertAlign w:val="subscript"/>
        </w:rPr>
        <w:t>10</w:t>
      </w:r>
      <w:r>
        <w:rPr>
          <w:rFonts w:ascii="Times New Roman" w:hAnsi="Times New Roman"/>
          <w:highlight w:val="none"/>
        </w:rPr>
        <w:t>、汞、NH</w:t>
      </w:r>
      <w:r>
        <w:rPr>
          <w:rFonts w:ascii="Times New Roman" w:hAnsi="Times New Roman"/>
          <w:highlight w:val="none"/>
          <w:vertAlign w:val="subscript"/>
        </w:rPr>
        <w:t>3</w:t>
      </w:r>
      <w:r>
        <w:rPr>
          <w:rFonts w:ascii="Times New Roman" w:hAnsi="Times New Roman"/>
          <w:highlight w:val="none"/>
        </w:rPr>
        <w:t>。</w:t>
      </w:r>
    </w:p>
    <w:p w14:paraId="07333CA5">
      <w:pPr>
        <w:ind w:firstLine="480"/>
        <w:rPr>
          <w:rFonts w:ascii="Times New Roman" w:hAnsi="Times New Roman"/>
          <w:highlight w:val="none"/>
        </w:rPr>
      </w:pPr>
      <w:r>
        <w:rPr>
          <w:rFonts w:ascii="Times New Roman" w:hAnsi="Times New Roman"/>
          <w:highlight w:val="none"/>
        </w:rPr>
        <w:t>（2）预测范围：覆盖评价范围，以厂址为中心，面积</w:t>
      </w:r>
      <w:r>
        <w:rPr>
          <w:rFonts w:hint="eastAsia" w:ascii="Times New Roman" w:hAnsi="Times New Roman"/>
          <w:highlight w:val="none"/>
        </w:rPr>
        <w:t>100</w:t>
      </w:r>
      <w:r>
        <w:rPr>
          <w:rFonts w:ascii="Times New Roman" w:hAnsi="Times New Roman"/>
          <w:highlight w:val="none"/>
        </w:rPr>
        <w:t>km</w:t>
      </w:r>
      <w:r>
        <w:rPr>
          <w:rFonts w:ascii="Times New Roman" w:hAnsi="Times New Roman"/>
          <w:highlight w:val="none"/>
          <w:vertAlign w:val="superscript"/>
        </w:rPr>
        <w:t>2</w:t>
      </w:r>
      <w:r>
        <w:rPr>
          <w:rFonts w:ascii="Times New Roman" w:hAnsi="Times New Roman"/>
          <w:highlight w:val="none"/>
        </w:rPr>
        <w:t>的区域。本次预测网格点的间距为100m。</w:t>
      </w:r>
    </w:p>
    <w:p w14:paraId="7998E012">
      <w:pPr>
        <w:ind w:firstLine="480"/>
        <w:rPr>
          <w:rFonts w:ascii="Times New Roman" w:hAnsi="Times New Roman"/>
          <w:highlight w:val="none"/>
        </w:rPr>
      </w:pPr>
      <w:r>
        <w:rPr>
          <w:rFonts w:ascii="Times New Roman" w:hAnsi="Times New Roman"/>
          <w:highlight w:val="none"/>
        </w:rPr>
        <w:t>（3）预测模型：AERMOD（预测范围小于50km）。</w:t>
      </w:r>
    </w:p>
    <w:p w14:paraId="7D9512D6">
      <w:pPr>
        <w:ind w:firstLine="480"/>
        <w:rPr>
          <w:rFonts w:ascii="Times New Roman" w:hAnsi="Times New Roman"/>
          <w:highlight w:val="none"/>
        </w:rPr>
      </w:pPr>
      <w:r>
        <w:rPr>
          <w:rFonts w:ascii="Times New Roman" w:hAnsi="Times New Roman"/>
          <w:highlight w:val="none"/>
        </w:rPr>
        <w:t>（4）预测与评价内容</w:t>
      </w:r>
    </w:p>
    <w:p w14:paraId="37425920">
      <w:pPr>
        <w:ind w:firstLine="480"/>
        <w:rPr>
          <w:rFonts w:ascii="Times New Roman" w:hAnsi="Times New Roman"/>
          <w:highlight w:val="none"/>
        </w:rPr>
      </w:pPr>
      <w:r>
        <w:rPr>
          <w:rFonts w:ascii="Times New Roman" w:hAnsi="Times New Roman"/>
          <w:highlight w:val="none"/>
        </w:rPr>
        <w:t>本评价大气环境影响预测与评价内容见表5.2-8。</w:t>
      </w:r>
    </w:p>
    <w:p w14:paraId="5CBD5E47">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5.2-8</w:t>
      </w:r>
      <w:r>
        <w:rPr>
          <w:rFonts w:hint="eastAsia" w:ascii="黑体" w:hAnsi="黑体" w:eastAsia="黑体" w:cs="黑体"/>
          <w:highlight w:val="none"/>
        </w:rPr>
        <w:t>大气环境影响预测情景组合表</w:t>
      </w:r>
    </w:p>
    <w:tbl>
      <w:tblPr>
        <w:tblStyle w:val="17"/>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1727"/>
        <w:gridCol w:w="755"/>
        <w:gridCol w:w="1267"/>
        <w:gridCol w:w="1226"/>
        <w:gridCol w:w="1461"/>
        <w:gridCol w:w="1464"/>
      </w:tblGrid>
      <w:tr w14:paraId="3F8BD5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362" w:type="pct"/>
            <w:noWrap w:val="0"/>
            <w:vAlign w:val="center"/>
          </w:tcPr>
          <w:p w14:paraId="0FEF242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评价</w:t>
            </w:r>
          </w:p>
          <w:p w14:paraId="4AA5A5C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对象</w:t>
            </w:r>
          </w:p>
        </w:tc>
        <w:tc>
          <w:tcPr>
            <w:tcW w:w="1013" w:type="pct"/>
            <w:noWrap w:val="0"/>
            <w:vAlign w:val="center"/>
          </w:tcPr>
          <w:p w14:paraId="4F2868C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污染源</w:t>
            </w:r>
          </w:p>
        </w:tc>
        <w:tc>
          <w:tcPr>
            <w:tcW w:w="443" w:type="pct"/>
            <w:noWrap w:val="0"/>
            <w:vAlign w:val="center"/>
          </w:tcPr>
          <w:p w14:paraId="2BB710D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排放</w:t>
            </w:r>
          </w:p>
          <w:p w14:paraId="6EF1D9D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形式</w:t>
            </w:r>
          </w:p>
        </w:tc>
        <w:tc>
          <w:tcPr>
            <w:tcW w:w="743" w:type="pct"/>
            <w:noWrap w:val="0"/>
            <w:vAlign w:val="center"/>
          </w:tcPr>
          <w:p w14:paraId="72DBAEA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预测因子</w:t>
            </w:r>
          </w:p>
        </w:tc>
        <w:tc>
          <w:tcPr>
            <w:tcW w:w="719" w:type="pct"/>
            <w:noWrap w:val="0"/>
            <w:vAlign w:val="center"/>
          </w:tcPr>
          <w:p w14:paraId="632C63BC">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预测内容</w:t>
            </w:r>
          </w:p>
        </w:tc>
        <w:tc>
          <w:tcPr>
            <w:tcW w:w="857" w:type="pct"/>
            <w:noWrap w:val="0"/>
            <w:vAlign w:val="center"/>
          </w:tcPr>
          <w:p w14:paraId="1612691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评价内容</w:t>
            </w:r>
          </w:p>
        </w:tc>
        <w:tc>
          <w:tcPr>
            <w:tcW w:w="858" w:type="pct"/>
            <w:noWrap w:val="0"/>
            <w:vAlign w:val="center"/>
          </w:tcPr>
          <w:p w14:paraId="7125C6AC">
            <w:pPr>
              <w:spacing w:line="240" w:lineRule="auto"/>
              <w:ind w:firstLine="0" w:firstLineChars="0"/>
              <w:jc w:val="center"/>
              <w:rPr>
                <w:rFonts w:hint="eastAsia"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备注</w:t>
            </w:r>
          </w:p>
        </w:tc>
      </w:tr>
      <w:tr w14:paraId="4CA07B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vMerge w:val="restart"/>
            <w:noWrap w:val="0"/>
            <w:vAlign w:val="center"/>
          </w:tcPr>
          <w:p w14:paraId="3B20A66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达标区评价项目</w:t>
            </w:r>
          </w:p>
        </w:tc>
        <w:tc>
          <w:tcPr>
            <w:tcW w:w="1013" w:type="pct"/>
            <w:vMerge w:val="restart"/>
            <w:noWrap w:val="0"/>
            <w:vAlign w:val="center"/>
          </w:tcPr>
          <w:p w14:paraId="2435C96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新增污染源</w:t>
            </w:r>
          </w:p>
          <w:p w14:paraId="29818DC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（本项目建</w:t>
            </w:r>
            <w:r>
              <w:rPr>
                <w:rFonts w:hint="eastAsia" w:ascii="Times New Roman" w:hAnsi="Times New Roman"/>
                <w:kern w:val="0"/>
                <w:sz w:val="21"/>
                <w:highlight w:val="none"/>
                <w:lang w:val="en-US" w:eastAsia="zh-CN"/>
              </w:rPr>
              <w:t>设</w:t>
            </w:r>
            <w:r>
              <w:rPr>
                <w:rFonts w:ascii="Times New Roman" w:hAnsi="Times New Roman"/>
                <w:kern w:val="0"/>
                <w:sz w:val="21"/>
                <w:highlight w:val="none"/>
              </w:rPr>
              <w:t>的锅炉产生的大气污染物）</w:t>
            </w:r>
          </w:p>
        </w:tc>
        <w:tc>
          <w:tcPr>
            <w:tcW w:w="443" w:type="pct"/>
            <w:vMerge w:val="restart"/>
            <w:noWrap w:val="0"/>
            <w:vAlign w:val="center"/>
          </w:tcPr>
          <w:p w14:paraId="71862A4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正常</w:t>
            </w:r>
          </w:p>
          <w:p w14:paraId="64C25B5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排放</w:t>
            </w:r>
          </w:p>
        </w:tc>
        <w:tc>
          <w:tcPr>
            <w:tcW w:w="743" w:type="pct"/>
            <w:noWrap w:val="0"/>
            <w:vAlign w:val="center"/>
          </w:tcPr>
          <w:p w14:paraId="5F9188F0">
            <w:pPr>
              <w:spacing w:line="240" w:lineRule="auto"/>
              <w:ind w:firstLine="0" w:firstLineChars="0"/>
              <w:jc w:val="center"/>
              <w:rPr>
                <w:rFonts w:ascii="Times New Roman" w:hAnsi="Times New Roman"/>
                <w:kern w:val="0"/>
                <w:sz w:val="21"/>
                <w:highlight w:val="none"/>
              </w:rPr>
            </w:pPr>
            <w:r>
              <w:rPr>
                <w:rFonts w:ascii="Times New Roman" w:hAnsi="Times New Roman"/>
                <w:sz w:val="21"/>
                <w:highlight w:val="none"/>
              </w:rPr>
              <w:t>PM</w:t>
            </w:r>
            <w:r>
              <w:rPr>
                <w:rFonts w:ascii="Times New Roman" w:hAnsi="Times New Roman"/>
                <w:sz w:val="21"/>
                <w:highlight w:val="none"/>
                <w:vertAlign w:val="subscript"/>
              </w:rPr>
              <w:t>10</w:t>
            </w:r>
          </w:p>
        </w:tc>
        <w:tc>
          <w:tcPr>
            <w:tcW w:w="719" w:type="pct"/>
            <w:noWrap w:val="0"/>
            <w:vAlign w:val="center"/>
          </w:tcPr>
          <w:p w14:paraId="2603025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日均浓度</w:t>
            </w:r>
          </w:p>
          <w:p w14:paraId="74839D5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年均浓度</w:t>
            </w:r>
          </w:p>
        </w:tc>
        <w:tc>
          <w:tcPr>
            <w:tcW w:w="857" w:type="pct"/>
            <w:vMerge w:val="restart"/>
            <w:noWrap w:val="0"/>
            <w:vAlign w:val="center"/>
          </w:tcPr>
          <w:p w14:paraId="62AD248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最大浓度占标率</w:t>
            </w:r>
          </w:p>
        </w:tc>
        <w:tc>
          <w:tcPr>
            <w:tcW w:w="858" w:type="pct"/>
            <w:vMerge w:val="restart"/>
            <w:noWrap w:val="0"/>
            <w:vAlign w:val="center"/>
          </w:tcPr>
          <w:p w14:paraId="7846089A">
            <w:pPr>
              <w:spacing w:line="240" w:lineRule="auto"/>
              <w:ind w:firstLine="0" w:firstLineChars="0"/>
              <w:jc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根据企业运行情况选取实际运行最大工况进行预测</w:t>
            </w:r>
          </w:p>
        </w:tc>
      </w:tr>
      <w:tr w14:paraId="4A373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vMerge w:val="continue"/>
            <w:noWrap w:val="0"/>
            <w:vAlign w:val="center"/>
          </w:tcPr>
          <w:p w14:paraId="3F4BF015">
            <w:pPr>
              <w:spacing w:line="240" w:lineRule="auto"/>
              <w:ind w:firstLine="0" w:firstLineChars="0"/>
              <w:jc w:val="center"/>
              <w:rPr>
                <w:rFonts w:ascii="Times New Roman" w:hAnsi="Times New Roman"/>
                <w:kern w:val="0"/>
                <w:sz w:val="21"/>
                <w:highlight w:val="none"/>
              </w:rPr>
            </w:pPr>
          </w:p>
        </w:tc>
        <w:tc>
          <w:tcPr>
            <w:tcW w:w="1013" w:type="pct"/>
            <w:vMerge w:val="continue"/>
            <w:noWrap w:val="0"/>
            <w:vAlign w:val="center"/>
          </w:tcPr>
          <w:p w14:paraId="767E8490">
            <w:pPr>
              <w:spacing w:line="240" w:lineRule="auto"/>
              <w:ind w:firstLine="0" w:firstLineChars="0"/>
              <w:jc w:val="center"/>
              <w:rPr>
                <w:rFonts w:ascii="Times New Roman" w:hAnsi="Times New Roman"/>
                <w:kern w:val="0"/>
                <w:sz w:val="21"/>
                <w:highlight w:val="none"/>
              </w:rPr>
            </w:pPr>
          </w:p>
        </w:tc>
        <w:tc>
          <w:tcPr>
            <w:tcW w:w="443" w:type="pct"/>
            <w:vMerge w:val="continue"/>
            <w:noWrap w:val="0"/>
            <w:vAlign w:val="center"/>
          </w:tcPr>
          <w:p w14:paraId="4208BF7E">
            <w:pPr>
              <w:spacing w:line="240" w:lineRule="auto"/>
              <w:ind w:firstLine="0" w:firstLineChars="0"/>
              <w:jc w:val="center"/>
              <w:rPr>
                <w:rFonts w:ascii="Times New Roman" w:hAnsi="Times New Roman"/>
                <w:kern w:val="0"/>
                <w:sz w:val="21"/>
                <w:highlight w:val="none"/>
              </w:rPr>
            </w:pPr>
          </w:p>
        </w:tc>
        <w:tc>
          <w:tcPr>
            <w:tcW w:w="743" w:type="pct"/>
            <w:noWrap w:val="0"/>
            <w:vAlign w:val="center"/>
          </w:tcPr>
          <w:p w14:paraId="481E4F1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SO</w:t>
            </w:r>
            <w:r>
              <w:rPr>
                <w:rFonts w:ascii="Times New Roman" w:hAnsi="Times New Roman"/>
                <w:kern w:val="0"/>
                <w:sz w:val="21"/>
                <w:highlight w:val="none"/>
                <w:vertAlign w:val="subscript"/>
              </w:rPr>
              <w:t>2</w:t>
            </w:r>
            <w:r>
              <w:rPr>
                <w:rFonts w:ascii="Times New Roman" w:hAnsi="Times New Roman"/>
                <w:kern w:val="0"/>
                <w:sz w:val="21"/>
                <w:highlight w:val="none"/>
              </w:rPr>
              <w:t>、NO</w:t>
            </w:r>
            <w:r>
              <w:rPr>
                <w:rFonts w:ascii="Times New Roman" w:hAnsi="Times New Roman"/>
                <w:kern w:val="0"/>
                <w:sz w:val="21"/>
                <w:highlight w:val="none"/>
                <w:vertAlign w:val="subscript"/>
              </w:rPr>
              <w:t>2</w:t>
            </w:r>
          </w:p>
        </w:tc>
        <w:tc>
          <w:tcPr>
            <w:tcW w:w="719" w:type="pct"/>
            <w:noWrap w:val="0"/>
            <w:vAlign w:val="center"/>
          </w:tcPr>
          <w:p w14:paraId="261D5F5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小时浓度</w:t>
            </w:r>
          </w:p>
          <w:p w14:paraId="6F39BC2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日均浓度</w:t>
            </w:r>
          </w:p>
          <w:p w14:paraId="7DB1102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年均浓度</w:t>
            </w:r>
          </w:p>
        </w:tc>
        <w:tc>
          <w:tcPr>
            <w:tcW w:w="857" w:type="pct"/>
            <w:vMerge w:val="continue"/>
            <w:noWrap w:val="0"/>
            <w:vAlign w:val="center"/>
          </w:tcPr>
          <w:p w14:paraId="31439539">
            <w:pPr>
              <w:spacing w:line="240" w:lineRule="auto"/>
              <w:ind w:firstLine="0" w:firstLineChars="0"/>
              <w:jc w:val="center"/>
              <w:rPr>
                <w:rFonts w:ascii="Times New Roman" w:hAnsi="Times New Roman"/>
                <w:kern w:val="0"/>
                <w:sz w:val="21"/>
                <w:highlight w:val="none"/>
              </w:rPr>
            </w:pPr>
          </w:p>
        </w:tc>
        <w:tc>
          <w:tcPr>
            <w:tcW w:w="858" w:type="pct"/>
            <w:vMerge w:val="continue"/>
            <w:noWrap w:val="0"/>
            <w:vAlign w:val="center"/>
          </w:tcPr>
          <w:p w14:paraId="023CA4B8">
            <w:pPr>
              <w:spacing w:line="240" w:lineRule="auto"/>
              <w:ind w:firstLine="0" w:firstLineChars="0"/>
              <w:jc w:val="center"/>
              <w:rPr>
                <w:rFonts w:ascii="Times New Roman" w:hAnsi="Times New Roman"/>
                <w:kern w:val="0"/>
                <w:sz w:val="21"/>
                <w:highlight w:val="none"/>
              </w:rPr>
            </w:pPr>
          </w:p>
        </w:tc>
      </w:tr>
      <w:tr w14:paraId="5D6B9C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vMerge w:val="continue"/>
            <w:noWrap w:val="0"/>
            <w:vAlign w:val="center"/>
          </w:tcPr>
          <w:p w14:paraId="36E1BA7F">
            <w:pPr>
              <w:spacing w:line="240" w:lineRule="auto"/>
              <w:ind w:firstLine="0" w:firstLineChars="0"/>
              <w:jc w:val="center"/>
              <w:rPr>
                <w:rFonts w:ascii="Times New Roman" w:hAnsi="Times New Roman"/>
                <w:kern w:val="0"/>
                <w:sz w:val="21"/>
                <w:highlight w:val="none"/>
              </w:rPr>
            </w:pPr>
          </w:p>
        </w:tc>
        <w:tc>
          <w:tcPr>
            <w:tcW w:w="1013" w:type="pct"/>
            <w:vMerge w:val="continue"/>
            <w:noWrap w:val="0"/>
            <w:vAlign w:val="center"/>
          </w:tcPr>
          <w:p w14:paraId="3ABBE95D">
            <w:pPr>
              <w:spacing w:line="240" w:lineRule="auto"/>
              <w:ind w:firstLine="0" w:firstLineChars="0"/>
              <w:jc w:val="center"/>
              <w:rPr>
                <w:rFonts w:ascii="Times New Roman" w:hAnsi="Times New Roman"/>
                <w:kern w:val="0"/>
                <w:sz w:val="21"/>
                <w:highlight w:val="none"/>
              </w:rPr>
            </w:pPr>
          </w:p>
        </w:tc>
        <w:tc>
          <w:tcPr>
            <w:tcW w:w="443" w:type="pct"/>
            <w:vMerge w:val="continue"/>
            <w:noWrap w:val="0"/>
            <w:vAlign w:val="center"/>
          </w:tcPr>
          <w:p w14:paraId="568C0243">
            <w:pPr>
              <w:spacing w:line="240" w:lineRule="auto"/>
              <w:ind w:firstLine="0" w:firstLineChars="0"/>
              <w:jc w:val="center"/>
              <w:rPr>
                <w:rFonts w:ascii="Times New Roman" w:hAnsi="Times New Roman"/>
                <w:kern w:val="0"/>
                <w:sz w:val="21"/>
                <w:highlight w:val="none"/>
              </w:rPr>
            </w:pPr>
          </w:p>
        </w:tc>
        <w:tc>
          <w:tcPr>
            <w:tcW w:w="743" w:type="pct"/>
            <w:noWrap w:val="0"/>
            <w:vAlign w:val="center"/>
          </w:tcPr>
          <w:p w14:paraId="39E11CC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Hg</w:t>
            </w:r>
          </w:p>
        </w:tc>
        <w:tc>
          <w:tcPr>
            <w:tcW w:w="719" w:type="pct"/>
            <w:noWrap w:val="0"/>
            <w:vAlign w:val="center"/>
          </w:tcPr>
          <w:p w14:paraId="544307E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年均浓度</w:t>
            </w:r>
          </w:p>
        </w:tc>
        <w:tc>
          <w:tcPr>
            <w:tcW w:w="857" w:type="pct"/>
            <w:vMerge w:val="continue"/>
            <w:noWrap w:val="0"/>
            <w:vAlign w:val="center"/>
          </w:tcPr>
          <w:p w14:paraId="54A03835">
            <w:pPr>
              <w:spacing w:line="240" w:lineRule="auto"/>
              <w:ind w:firstLine="0" w:firstLineChars="0"/>
              <w:jc w:val="center"/>
              <w:rPr>
                <w:rFonts w:ascii="Times New Roman" w:hAnsi="Times New Roman"/>
                <w:kern w:val="0"/>
                <w:sz w:val="21"/>
                <w:highlight w:val="none"/>
              </w:rPr>
            </w:pPr>
          </w:p>
        </w:tc>
        <w:tc>
          <w:tcPr>
            <w:tcW w:w="858" w:type="pct"/>
            <w:vMerge w:val="continue"/>
            <w:noWrap w:val="0"/>
            <w:vAlign w:val="center"/>
          </w:tcPr>
          <w:p w14:paraId="639DAEB2">
            <w:pPr>
              <w:spacing w:line="240" w:lineRule="auto"/>
              <w:ind w:firstLine="0" w:firstLineChars="0"/>
              <w:jc w:val="center"/>
              <w:rPr>
                <w:rFonts w:ascii="Times New Roman" w:hAnsi="Times New Roman"/>
                <w:kern w:val="0"/>
                <w:sz w:val="21"/>
                <w:highlight w:val="none"/>
              </w:rPr>
            </w:pPr>
          </w:p>
        </w:tc>
      </w:tr>
      <w:tr w14:paraId="6CDBAB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vMerge w:val="continue"/>
            <w:noWrap w:val="0"/>
            <w:vAlign w:val="center"/>
          </w:tcPr>
          <w:p w14:paraId="6D5A2861">
            <w:pPr>
              <w:spacing w:line="240" w:lineRule="auto"/>
              <w:ind w:firstLine="0" w:firstLineChars="0"/>
              <w:jc w:val="center"/>
              <w:rPr>
                <w:rFonts w:ascii="Times New Roman" w:hAnsi="Times New Roman"/>
                <w:kern w:val="0"/>
                <w:sz w:val="21"/>
                <w:highlight w:val="none"/>
              </w:rPr>
            </w:pPr>
          </w:p>
        </w:tc>
        <w:tc>
          <w:tcPr>
            <w:tcW w:w="1013" w:type="pct"/>
            <w:vMerge w:val="continue"/>
            <w:noWrap w:val="0"/>
            <w:vAlign w:val="center"/>
          </w:tcPr>
          <w:p w14:paraId="3D757E1C">
            <w:pPr>
              <w:spacing w:line="240" w:lineRule="auto"/>
              <w:ind w:firstLine="0" w:firstLineChars="0"/>
              <w:jc w:val="center"/>
              <w:rPr>
                <w:rFonts w:ascii="Times New Roman" w:hAnsi="Times New Roman"/>
                <w:kern w:val="0"/>
                <w:sz w:val="21"/>
                <w:highlight w:val="none"/>
              </w:rPr>
            </w:pPr>
          </w:p>
        </w:tc>
        <w:tc>
          <w:tcPr>
            <w:tcW w:w="443" w:type="pct"/>
            <w:vMerge w:val="continue"/>
            <w:noWrap w:val="0"/>
            <w:vAlign w:val="center"/>
          </w:tcPr>
          <w:p w14:paraId="6191987E">
            <w:pPr>
              <w:spacing w:line="240" w:lineRule="auto"/>
              <w:ind w:firstLine="0" w:firstLineChars="0"/>
              <w:jc w:val="center"/>
              <w:rPr>
                <w:rFonts w:ascii="Times New Roman" w:hAnsi="Times New Roman"/>
                <w:kern w:val="0"/>
                <w:sz w:val="21"/>
                <w:highlight w:val="none"/>
              </w:rPr>
            </w:pPr>
          </w:p>
        </w:tc>
        <w:tc>
          <w:tcPr>
            <w:tcW w:w="743" w:type="pct"/>
            <w:noWrap w:val="0"/>
            <w:vAlign w:val="center"/>
          </w:tcPr>
          <w:p w14:paraId="1867900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NH</w:t>
            </w:r>
            <w:r>
              <w:rPr>
                <w:rFonts w:ascii="Times New Roman" w:hAnsi="Times New Roman"/>
                <w:kern w:val="0"/>
                <w:sz w:val="21"/>
                <w:highlight w:val="none"/>
                <w:vertAlign w:val="subscript"/>
              </w:rPr>
              <w:t>3</w:t>
            </w:r>
          </w:p>
        </w:tc>
        <w:tc>
          <w:tcPr>
            <w:tcW w:w="719" w:type="pct"/>
            <w:noWrap w:val="0"/>
            <w:vAlign w:val="center"/>
          </w:tcPr>
          <w:p w14:paraId="0D64FBA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小时浓度</w:t>
            </w:r>
          </w:p>
        </w:tc>
        <w:tc>
          <w:tcPr>
            <w:tcW w:w="857" w:type="pct"/>
            <w:vMerge w:val="continue"/>
            <w:noWrap w:val="0"/>
            <w:vAlign w:val="center"/>
          </w:tcPr>
          <w:p w14:paraId="3BD33DF8">
            <w:pPr>
              <w:spacing w:line="240" w:lineRule="auto"/>
              <w:ind w:firstLine="0" w:firstLineChars="0"/>
              <w:jc w:val="center"/>
              <w:rPr>
                <w:rFonts w:ascii="Times New Roman" w:hAnsi="Times New Roman"/>
                <w:kern w:val="0"/>
                <w:sz w:val="21"/>
                <w:highlight w:val="none"/>
              </w:rPr>
            </w:pPr>
          </w:p>
        </w:tc>
        <w:tc>
          <w:tcPr>
            <w:tcW w:w="858" w:type="pct"/>
            <w:vMerge w:val="continue"/>
            <w:noWrap w:val="0"/>
            <w:vAlign w:val="center"/>
          </w:tcPr>
          <w:p w14:paraId="3A7B6FDF">
            <w:pPr>
              <w:spacing w:line="240" w:lineRule="auto"/>
              <w:ind w:firstLine="0" w:firstLineChars="0"/>
              <w:jc w:val="center"/>
              <w:rPr>
                <w:rFonts w:ascii="Times New Roman" w:hAnsi="Times New Roman"/>
                <w:kern w:val="0"/>
                <w:sz w:val="21"/>
                <w:highlight w:val="none"/>
              </w:rPr>
            </w:pPr>
          </w:p>
        </w:tc>
      </w:tr>
      <w:tr w14:paraId="688F91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vMerge w:val="continue"/>
            <w:noWrap w:val="0"/>
            <w:vAlign w:val="center"/>
          </w:tcPr>
          <w:p w14:paraId="4CD0EED2">
            <w:pPr>
              <w:spacing w:line="240" w:lineRule="auto"/>
              <w:ind w:firstLine="0" w:firstLineChars="0"/>
              <w:jc w:val="center"/>
              <w:rPr>
                <w:rFonts w:ascii="Times New Roman" w:hAnsi="Times New Roman"/>
                <w:kern w:val="0"/>
                <w:sz w:val="21"/>
                <w:highlight w:val="none"/>
              </w:rPr>
            </w:pPr>
          </w:p>
        </w:tc>
        <w:tc>
          <w:tcPr>
            <w:tcW w:w="1013" w:type="pct"/>
            <w:vMerge w:val="restart"/>
            <w:noWrap w:val="0"/>
            <w:vAlign w:val="center"/>
          </w:tcPr>
          <w:p w14:paraId="402DBE5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新增污染源</w:t>
            </w:r>
          </w:p>
          <w:p w14:paraId="14A7CD1A">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（本项目锅炉产生的大气污染物）</w:t>
            </w:r>
          </w:p>
          <w:p w14:paraId="1283E03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—区域削减污染源</w:t>
            </w:r>
          </w:p>
          <w:p w14:paraId="1B9B5EAA">
            <w:pPr>
              <w:spacing w:line="240" w:lineRule="auto"/>
              <w:ind w:firstLine="0" w:firstLineChars="0"/>
              <w:jc w:val="center"/>
              <w:rPr>
                <w:rFonts w:ascii="Times New Roman" w:hAnsi="Times New Roman"/>
                <w:kern w:val="0"/>
                <w:sz w:val="21"/>
                <w:highlight w:val="none"/>
              </w:rPr>
            </w:pPr>
            <w:r>
              <w:rPr>
                <w:rFonts w:ascii="Times New Roman" w:hAnsi="Times New Roman"/>
                <w:sz w:val="21"/>
                <w:highlight w:val="none"/>
              </w:rPr>
              <w:t>+其他在建、拟建的污染源</w:t>
            </w:r>
          </w:p>
        </w:tc>
        <w:tc>
          <w:tcPr>
            <w:tcW w:w="443" w:type="pct"/>
            <w:vMerge w:val="restart"/>
            <w:noWrap w:val="0"/>
            <w:vAlign w:val="center"/>
          </w:tcPr>
          <w:p w14:paraId="1CA143C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正常</w:t>
            </w:r>
          </w:p>
          <w:p w14:paraId="56A59004">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排放</w:t>
            </w:r>
          </w:p>
        </w:tc>
        <w:tc>
          <w:tcPr>
            <w:tcW w:w="743" w:type="pct"/>
            <w:noWrap w:val="0"/>
            <w:vAlign w:val="center"/>
          </w:tcPr>
          <w:p w14:paraId="0AE03C67">
            <w:pPr>
              <w:spacing w:line="240" w:lineRule="auto"/>
              <w:ind w:firstLine="0" w:firstLineChars="0"/>
              <w:jc w:val="center"/>
              <w:rPr>
                <w:rFonts w:ascii="Times New Roman" w:hAnsi="Times New Roman"/>
                <w:kern w:val="0"/>
                <w:sz w:val="21"/>
                <w:highlight w:val="none"/>
              </w:rPr>
            </w:pPr>
            <w:r>
              <w:rPr>
                <w:rFonts w:ascii="Times New Roman" w:hAnsi="Times New Roman"/>
                <w:sz w:val="21"/>
                <w:highlight w:val="none"/>
              </w:rPr>
              <w:t>PM</w:t>
            </w:r>
            <w:r>
              <w:rPr>
                <w:rFonts w:ascii="Times New Roman" w:hAnsi="Times New Roman"/>
                <w:sz w:val="21"/>
                <w:highlight w:val="none"/>
                <w:vertAlign w:val="subscript"/>
              </w:rPr>
              <w:t>10</w:t>
            </w:r>
            <w:r>
              <w:rPr>
                <w:rFonts w:ascii="Times New Roman" w:hAnsi="Times New Roman"/>
                <w:sz w:val="21"/>
                <w:highlight w:val="none"/>
              </w:rPr>
              <w:t>、SO</w:t>
            </w:r>
            <w:r>
              <w:rPr>
                <w:rFonts w:ascii="Times New Roman" w:hAnsi="Times New Roman"/>
                <w:sz w:val="21"/>
                <w:highlight w:val="none"/>
                <w:vertAlign w:val="subscript"/>
              </w:rPr>
              <w:t>2</w:t>
            </w:r>
            <w:r>
              <w:rPr>
                <w:rFonts w:ascii="Times New Roman" w:hAnsi="Times New Roman"/>
                <w:sz w:val="21"/>
                <w:highlight w:val="none"/>
              </w:rPr>
              <w:t>、NO</w:t>
            </w:r>
            <w:r>
              <w:rPr>
                <w:rFonts w:ascii="Times New Roman" w:hAnsi="Times New Roman"/>
                <w:sz w:val="21"/>
                <w:highlight w:val="none"/>
                <w:vertAlign w:val="subscript"/>
              </w:rPr>
              <w:t>2</w:t>
            </w:r>
          </w:p>
        </w:tc>
        <w:tc>
          <w:tcPr>
            <w:tcW w:w="719" w:type="pct"/>
            <w:noWrap w:val="0"/>
            <w:vAlign w:val="center"/>
          </w:tcPr>
          <w:p w14:paraId="4746A95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日均浓度</w:t>
            </w:r>
          </w:p>
          <w:p w14:paraId="04D48FA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年均浓度</w:t>
            </w:r>
          </w:p>
        </w:tc>
        <w:tc>
          <w:tcPr>
            <w:tcW w:w="857" w:type="pct"/>
            <w:noWrap w:val="0"/>
            <w:vAlign w:val="center"/>
          </w:tcPr>
          <w:p w14:paraId="62191B41">
            <w:pPr>
              <w:pStyle w:val="41"/>
              <w:spacing w:line="240" w:lineRule="auto"/>
              <w:rPr>
                <w:rFonts w:ascii="Times New Roman" w:hAnsi="Times New Roman"/>
                <w:color w:val="auto"/>
                <w:highlight w:val="none"/>
              </w:rPr>
            </w:pPr>
            <w:r>
              <w:rPr>
                <w:rFonts w:ascii="Times New Roman" w:hAnsi="Times New Roman"/>
                <w:color w:val="auto"/>
                <w:highlight w:val="none"/>
              </w:rPr>
              <w:t>叠加环境质量现状浓度后的保证率日均平均质量浓度和年平均质量浓度的占标率；或短期浓度的达标情况；</w:t>
            </w:r>
          </w:p>
          <w:p w14:paraId="2C31CC3D">
            <w:pPr>
              <w:spacing w:line="240" w:lineRule="auto"/>
              <w:ind w:firstLine="0" w:firstLineChars="0"/>
              <w:jc w:val="center"/>
              <w:rPr>
                <w:rFonts w:ascii="Times New Roman" w:hAnsi="Times New Roman"/>
                <w:kern w:val="0"/>
                <w:sz w:val="21"/>
                <w:highlight w:val="none"/>
              </w:rPr>
            </w:pPr>
            <w:r>
              <w:rPr>
                <w:rFonts w:ascii="Times New Roman" w:hAnsi="Times New Roman"/>
                <w:bCs/>
                <w:kern w:val="0"/>
                <w:sz w:val="21"/>
                <w:szCs w:val="21"/>
                <w:highlight w:val="none"/>
              </w:rPr>
              <w:t>评价年平均质量浓度变化率</w:t>
            </w:r>
          </w:p>
        </w:tc>
        <w:tc>
          <w:tcPr>
            <w:tcW w:w="858" w:type="pct"/>
            <w:vMerge w:val="restart"/>
            <w:noWrap w:val="0"/>
            <w:vAlign w:val="center"/>
          </w:tcPr>
          <w:p w14:paraId="20BB7B5F">
            <w:pPr>
              <w:spacing w:line="240" w:lineRule="auto"/>
              <w:ind w:firstLine="0" w:firstLineChars="0"/>
              <w:jc w:val="center"/>
              <w:rPr>
                <w:rFonts w:hint="default" w:ascii="Times New Roman" w:hAnsi="Times New Roman" w:eastAsia="宋体"/>
                <w:bCs/>
                <w:kern w:val="0"/>
                <w:sz w:val="21"/>
                <w:szCs w:val="21"/>
                <w:highlight w:val="none"/>
                <w:lang w:val="en-US" w:eastAsia="zh-CN"/>
              </w:rPr>
            </w:pPr>
            <w:r>
              <w:rPr>
                <w:rFonts w:hint="eastAsia" w:ascii="Times New Roman" w:hAnsi="Times New Roman"/>
                <w:bCs/>
                <w:kern w:val="0"/>
                <w:sz w:val="21"/>
                <w:szCs w:val="21"/>
                <w:highlight w:val="none"/>
                <w:lang w:val="en-US" w:eastAsia="zh-CN"/>
              </w:rPr>
              <w:t>本项目无区域削减项目，评价范围内无其他排放同类污染物的在建、拟建项目</w:t>
            </w:r>
          </w:p>
        </w:tc>
      </w:tr>
      <w:tr w14:paraId="64A38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62" w:type="pct"/>
            <w:vMerge w:val="continue"/>
            <w:noWrap w:val="0"/>
            <w:vAlign w:val="center"/>
          </w:tcPr>
          <w:p w14:paraId="7E351CD8">
            <w:pPr>
              <w:spacing w:line="240" w:lineRule="auto"/>
              <w:ind w:firstLine="0" w:firstLineChars="0"/>
              <w:jc w:val="center"/>
              <w:rPr>
                <w:rFonts w:ascii="Times New Roman" w:hAnsi="Times New Roman"/>
                <w:kern w:val="0"/>
                <w:sz w:val="21"/>
                <w:highlight w:val="none"/>
              </w:rPr>
            </w:pPr>
          </w:p>
        </w:tc>
        <w:tc>
          <w:tcPr>
            <w:tcW w:w="1013" w:type="pct"/>
            <w:vMerge w:val="continue"/>
            <w:noWrap w:val="0"/>
            <w:vAlign w:val="center"/>
          </w:tcPr>
          <w:p w14:paraId="48D3442B">
            <w:pPr>
              <w:spacing w:line="240" w:lineRule="auto"/>
              <w:ind w:firstLine="0" w:firstLineChars="0"/>
              <w:jc w:val="center"/>
              <w:rPr>
                <w:rFonts w:ascii="Times New Roman" w:hAnsi="Times New Roman"/>
                <w:kern w:val="0"/>
                <w:sz w:val="21"/>
                <w:highlight w:val="none"/>
              </w:rPr>
            </w:pPr>
          </w:p>
        </w:tc>
        <w:tc>
          <w:tcPr>
            <w:tcW w:w="443" w:type="pct"/>
            <w:vMerge w:val="continue"/>
            <w:noWrap w:val="0"/>
            <w:vAlign w:val="center"/>
          </w:tcPr>
          <w:p w14:paraId="19AF7174">
            <w:pPr>
              <w:spacing w:line="240" w:lineRule="auto"/>
              <w:ind w:firstLine="0" w:firstLineChars="0"/>
              <w:jc w:val="center"/>
              <w:rPr>
                <w:rFonts w:ascii="Times New Roman" w:hAnsi="Times New Roman"/>
                <w:kern w:val="0"/>
                <w:sz w:val="21"/>
                <w:highlight w:val="none"/>
              </w:rPr>
            </w:pPr>
          </w:p>
        </w:tc>
        <w:tc>
          <w:tcPr>
            <w:tcW w:w="743" w:type="pct"/>
            <w:noWrap w:val="0"/>
            <w:vAlign w:val="center"/>
          </w:tcPr>
          <w:p w14:paraId="0C48A51E">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NH</w:t>
            </w:r>
            <w:r>
              <w:rPr>
                <w:rFonts w:ascii="Times New Roman" w:hAnsi="Times New Roman"/>
                <w:kern w:val="0"/>
                <w:sz w:val="21"/>
                <w:highlight w:val="none"/>
                <w:vertAlign w:val="subscript"/>
              </w:rPr>
              <w:t>3</w:t>
            </w:r>
          </w:p>
        </w:tc>
        <w:tc>
          <w:tcPr>
            <w:tcW w:w="719" w:type="pct"/>
            <w:noWrap w:val="0"/>
            <w:vAlign w:val="center"/>
          </w:tcPr>
          <w:p w14:paraId="5A1261C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小时浓度</w:t>
            </w:r>
          </w:p>
        </w:tc>
        <w:tc>
          <w:tcPr>
            <w:tcW w:w="857" w:type="pct"/>
            <w:noWrap w:val="0"/>
            <w:vAlign w:val="center"/>
          </w:tcPr>
          <w:p w14:paraId="23A7B4F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小时浓度达标情况</w:t>
            </w:r>
          </w:p>
        </w:tc>
        <w:tc>
          <w:tcPr>
            <w:tcW w:w="858" w:type="pct"/>
            <w:vMerge w:val="continue"/>
            <w:noWrap w:val="0"/>
            <w:vAlign w:val="center"/>
          </w:tcPr>
          <w:p w14:paraId="47A64A19">
            <w:pPr>
              <w:spacing w:line="240" w:lineRule="auto"/>
              <w:ind w:firstLine="0" w:firstLineChars="0"/>
              <w:jc w:val="center"/>
              <w:rPr>
                <w:rFonts w:ascii="Times New Roman" w:hAnsi="Times New Roman"/>
                <w:kern w:val="0"/>
                <w:sz w:val="21"/>
                <w:highlight w:val="none"/>
              </w:rPr>
            </w:pPr>
          </w:p>
        </w:tc>
      </w:tr>
      <w:tr w14:paraId="22328A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362" w:type="pct"/>
            <w:vMerge w:val="continue"/>
            <w:noWrap w:val="0"/>
            <w:vAlign w:val="center"/>
          </w:tcPr>
          <w:p w14:paraId="340353FF">
            <w:pPr>
              <w:spacing w:line="240" w:lineRule="auto"/>
              <w:ind w:firstLine="0" w:firstLineChars="0"/>
              <w:jc w:val="center"/>
              <w:rPr>
                <w:rFonts w:ascii="Times New Roman" w:hAnsi="Times New Roman"/>
                <w:kern w:val="0"/>
                <w:sz w:val="21"/>
                <w:highlight w:val="none"/>
              </w:rPr>
            </w:pPr>
          </w:p>
        </w:tc>
        <w:tc>
          <w:tcPr>
            <w:tcW w:w="1013" w:type="pct"/>
            <w:noWrap w:val="0"/>
            <w:vAlign w:val="center"/>
          </w:tcPr>
          <w:p w14:paraId="3F0931D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新增污染源（本项目建</w:t>
            </w:r>
            <w:r>
              <w:rPr>
                <w:rFonts w:hint="eastAsia" w:ascii="Times New Roman" w:hAnsi="Times New Roman"/>
                <w:kern w:val="0"/>
                <w:sz w:val="21"/>
                <w:highlight w:val="none"/>
                <w:lang w:val="en-US" w:eastAsia="zh-CN"/>
              </w:rPr>
              <w:t>设</w:t>
            </w:r>
            <w:r>
              <w:rPr>
                <w:rFonts w:ascii="Times New Roman" w:hAnsi="Times New Roman"/>
                <w:kern w:val="0"/>
                <w:sz w:val="21"/>
                <w:highlight w:val="none"/>
              </w:rPr>
              <w:t>的锅炉产生的大气污染物）</w:t>
            </w:r>
          </w:p>
        </w:tc>
        <w:tc>
          <w:tcPr>
            <w:tcW w:w="443" w:type="pct"/>
            <w:noWrap w:val="0"/>
            <w:vAlign w:val="center"/>
          </w:tcPr>
          <w:p w14:paraId="469802D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非正常</w:t>
            </w:r>
          </w:p>
          <w:p w14:paraId="14A583C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排放</w:t>
            </w:r>
          </w:p>
        </w:tc>
        <w:tc>
          <w:tcPr>
            <w:tcW w:w="743" w:type="pct"/>
            <w:noWrap w:val="0"/>
            <w:vAlign w:val="center"/>
          </w:tcPr>
          <w:p w14:paraId="10D79DC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PM</w:t>
            </w:r>
            <w:r>
              <w:rPr>
                <w:rFonts w:ascii="Times New Roman" w:hAnsi="Times New Roman"/>
                <w:kern w:val="0"/>
                <w:sz w:val="21"/>
                <w:highlight w:val="none"/>
                <w:vertAlign w:val="subscript"/>
              </w:rPr>
              <w:t>10</w:t>
            </w:r>
            <w:r>
              <w:rPr>
                <w:rFonts w:ascii="Times New Roman" w:hAnsi="Times New Roman"/>
                <w:kern w:val="0"/>
                <w:sz w:val="21"/>
                <w:highlight w:val="none"/>
              </w:rPr>
              <w:t>、SO</w:t>
            </w:r>
            <w:r>
              <w:rPr>
                <w:rFonts w:ascii="Times New Roman" w:hAnsi="Times New Roman"/>
                <w:kern w:val="0"/>
                <w:sz w:val="21"/>
                <w:highlight w:val="none"/>
                <w:vertAlign w:val="subscript"/>
              </w:rPr>
              <w:t>2</w:t>
            </w:r>
            <w:r>
              <w:rPr>
                <w:rFonts w:ascii="Times New Roman" w:hAnsi="Times New Roman"/>
                <w:kern w:val="0"/>
                <w:sz w:val="21"/>
                <w:highlight w:val="none"/>
              </w:rPr>
              <w:t>、NO</w:t>
            </w:r>
            <w:r>
              <w:rPr>
                <w:rFonts w:ascii="Times New Roman" w:hAnsi="Times New Roman"/>
                <w:kern w:val="0"/>
                <w:sz w:val="21"/>
                <w:highlight w:val="none"/>
                <w:vertAlign w:val="subscript"/>
              </w:rPr>
              <w:t>2</w:t>
            </w:r>
          </w:p>
        </w:tc>
        <w:tc>
          <w:tcPr>
            <w:tcW w:w="719" w:type="pct"/>
            <w:noWrap w:val="0"/>
            <w:vAlign w:val="center"/>
          </w:tcPr>
          <w:p w14:paraId="083E694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1h平均质量浓度</w:t>
            </w:r>
          </w:p>
        </w:tc>
        <w:tc>
          <w:tcPr>
            <w:tcW w:w="857" w:type="pct"/>
            <w:noWrap w:val="0"/>
            <w:vAlign w:val="center"/>
          </w:tcPr>
          <w:p w14:paraId="526FBAC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最大浓度占标率</w:t>
            </w:r>
          </w:p>
        </w:tc>
        <w:tc>
          <w:tcPr>
            <w:tcW w:w="858" w:type="pct"/>
            <w:vMerge w:val="continue"/>
            <w:noWrap w:val="0"/>
            <w:vAlign w:val="center"/>
          </w:tcPr>
          <w:p w14:paraId="53535A5B">
            <w:pPr>
              <w:spacing w:line="240" w:lineRule="auto"/>
              <w:ind w:firstLine="0" w:firstLineChars="0"/>
              <w:jc w:val="center"/>
              <w:rPr>
                <w:rFonts w:ascii="Times New Roman" w:hAnsi="Times New Roman"/>
                <w:kern w:val="0"/>
                <w:sz w:val="21"/>
                <w:highlight w:val="none"/>
              </w:rPr>
            </w:pPr>
          </w:p>
        </w:tc>
      </w:tr>
      <w:tr w14:paraId="6C6308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62" w:type="pct"/>
            <w:noWrap w:val="0"/>
            <w:vAlign w:val="center"/>
          </w:tcPr>
          <w:p w14:paraId="35A92D8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大气环境防护距离</w:t>
            </w:r>
          </w:p>
        </w:tc>
        <w:tc>
          <w:tcPr>
            <w:tcW w:w="1013" w:type="pct"/>
            <w:noWrap w:val="0"/>
            <w:vAlign w:val="center"/>
          </w:tcPr>
          <w:p w14:paraId="03834B88">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新增污染源-区域削减污染源+项目全厂现有污染源</w:t>
            </w:r>
          </w:p>
        </w:tc>
        <w:tc>
          <w:tcPr>
            <w:tcW w:w="443" w:type="pct"/>
            <w:noWrap w:val="0"/>
            <w:vAlign w:val="center"/>
          </w:tcPr>
          <w:p w14:paraId="1635761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正常</w:t>
            </w:r>
          </w:p>
          <w:p w14:paraId="6D861D63">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排放</w:t>
            </w:r>
          </w:p>
        </w:tc>
        <w:tc>
          <w:tcPr>
            <w:tcW w:w="743" w:type="pct"/>
            <w:noWrap w:val="0"/>
            <w:vAlign w:val="center"/>
          </w:tcPr>
          <w:p w14:paraId="2DCE165F">
            <w:pPr>
              <w:spacing w:line="240" w:lineRule="auto"/>
              <w:ind w:firstLine="0" w:firstLineChars="0"/>
              <w:jc w:val="center"/>
              <w:rPr>
                <w:rFonts w:ascii="Times New Roman" w:hAnsi="Times New Roman"/>
                <w:kern w:val="0"/>
                <w:sz w:val="21"/>
                <w:highlight w:val="none"/>
              </w:rPr>
            </w:pPr>
            <w:r>
              <w:rPr>
                <w:rFonts w:ascii="Times New Roman" w:hAnsi="Times New Roman"/>
                <w:sz w:val="21"/>
                <w:highlight w:val="none"/>
              </w:rPr>
              <w:t>PM</w:t>
            </w:r>
            <w:r>
              <w:rPr>
                <w:rFonts w:ascii="Times New Roman" w:hAnsi="Times New Roman"/>
                <w:sz w:val="21"/>
                <w:highlight w:val="none"/>
                <w:vertAlign w:val="subscript"/>
              </w:rPr>
              <w:t>10</w:t>
            </w:r>
            <w:r>
              <w:rPr>
                <w:rFonts w:ascii="Times New Roman" w:hAnsi="Times New Roman"/>
                <w:sz w:val="21"/>
                <w:highlight w:val="none"/>
              </w:rPr>
              <w:t>、SO</w:t>
            </w:r>
            <w:r>
              <w:rPr>
                <w:rFonts w:ascii="Times New Roman" w:hAnsi="Times New Roman"/>
                <w:sz w:val="21"/>
                <w:highlight w:val="none"/>
                <w:vertAlign w:val="subscript"/>
              </w:rPr>
              <w:t>2</w:t>
            </w:r>
            <w:r>
              <w:rPr>
                <w:rFonts w:ascii="Times New Roman" w:hAnsi="Times New Roman"/>
                <w:sz w:val="21"/>
                <w:highlight w:val="none"/>
              </w:rPr>
              <w:t>、NO</w:t>
            </w:r>
            <w:r>
              <w:rPr>
                <w:rFonts w:ascii="Times New Roman" w:hAnsi="Times New Roman"/>
                <w:sz w:val="21"/>
                <w:highlight w:val="none"/>
                <w:vertAlign w:val="subscript"/>
              </w:rPr>
              <w:t>2</w:t>
            </w:r>
            <w:r>
              <w:rPr>
                <w:rFonts w:ascii="Times New Roman" w:hAnsi="Times New Roman"/>
                <w:sz w:val="21"/>
                <w:highlight w:val="none"/>
              </w:rPr>
              <w:t>、NH</w:t>
            </w:r>
            <w:r>
              <w:rPr>
                <w:rFonts w:ascii="Times New Roman" w:hAnsi="Times New Roman"/>
                <w:sz w:val="21"/>
                <w:highlight w:val="none"/>
                <w:vertAlign w:val="subscript"/>
              </w:rPr>
              <w:t>3</w:t>
            </w:r>
            <w:r>
              <w:rPr>
                <w:rFonts w:ascii="Times New Roman" w:hAnsi="Times New Roman"/>
                <w:sz w:val="21"/>
                <w:highlight w:val="none"/>
              </w:rPr>
              <w:t>、Hg</w:t>
            </w:r>
          </w:p>
        </w:tc>
        <w:tc>
          <w:tcPr>
            <w:tcW w:w="719" w:type="pct"/>
            <w:noWrap w:val="0"/>
            <w:vAlign w:val="center"/>
          </w:tcPr>
          <w:p w14:paraId="28CBAD81">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短期浓度</w:t>
            </w:r>
          </w:p>
        </w:tc>
        <w:tc>
          <w:tcPr>
            <w:tcW w:w="857" w:type="pct"/>
            <w:noWrap w:val="0"/>
            <w:vAlign w:val="center"/>
          </w:tcPr>
          <w:p w14:paraId="1083235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大气防护距离</w:t>
            </w:r>
          </w:p>
        </w:tc>
        <w:tc>
          <w:tcPr>
            <w:tcW w:w="858" w:type="pct"/>
            <w:vMerge w:val="continue"/>
            <w:noWrap w:val="0"/>
            <w:vAlign w:val="center"/>
          </w:tcPr>
          <w:p w14:paraId="7FC4B58F">
            <w:pPr>
              <w:spacing w:line="240" w:lineRule="auto"/>
              <w:ind w:firstLine="0" w:firstLineChars="0"/>
              <w:jc w:val="center"/>
              <w:rPr>
                <w:rFonts w:ascii="Times New Roman" w:hAnsi="Times New Roman"/>
                <w:kern w:val="0"/>
                <w:sz w:val="21"/>
                <w:highlight w:val="none"/>
              </w:rPr>
            </w:pPr>
          </w:p>
        </w:tc>
      </w:tr>
    </w:tbl>
    <w:p w14:paraId="7BA9690E">
      <w:pPr>
        <w:rPr>
          <w:rFonts w:ascii="Times New Roman" w:hAnsi="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highlight w:val="none"/>
        </w:rPr>
        <w:t>5、本项目污染源强参数见表5.2-9至表5.2-12。</w:t>
      </w:r>
    </w:p>
    <w:p w14:paraId="218E27D2">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lang w:val="en-US" w:eastAsia="zh-CN"/>
        </w:rPr>
        <w:t>5.2-9</w:t>
      </w:r>
      <w:r>
        <w:rPr>
          <w:rFonts w:hint="eastAsia" w:ascii="黑体" w:hAnsi="黑体" w:eastAsia="黑体" w:cs="黑体"/>
          <w:highlight w:val="none"/>
        </w:rPr>
        <w:t>本项目污染源排放参数一览表(有组织)</w:t>
      </w:r>
    </w:p>
    <w:tbl>
      <w:tblPr>
        <w:tblStyle w:val="17"/>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5" w:type="dxa"/>
          <w:bottom w:w="15" w:type="dxa"/>
          <w:right w:w="15" w:type="dxa"/>
        </w:tblCellMar>
      </w:tblPr>
      <w:tblGrid>
        <w:gridCol w:w="649"/>
        <w:gridCol w:w="542"/>
        <w:gridCol w:w="1237"/>
        <w:gridCol w:w="1134"/>
        <w:gridCol w:w="1025"/>
        <w:gridCol w:w="647"/>
        <w:gridCol w:w="806"/>
        <w:gridCol w:w="1299"/>
        <w:gridCol w:w="644"/>
        <w:gridCol w:w="764"/>
        <w:gridCol w:w="476"/>
        <w:gridCol w:w="904"/>
        <w:gridCol w:w="764"/>
        <w:gridCol w:w="1098"/>
        <w:gridCol w:w="1033"/>
        <w:gridCol w:w="966"/>
      </w:tblGrid>
      <w:tr w14:paraId="454D04F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68" w:hRule="atLeast"/>
        </w:trPr>
        <w:tc>
          <w:tcPr>
            <w:tcW w:w="231" w:type="pct"/>
            <w:vMerge w:val="restart"/>
            <w:tcBorders>
              <w:right w:val="single" w:color="000000" w:sz="4" w:space="0"/>
            </w:tcBorders>
            <w:shd w:val="clear" w:color="auto" w:fill="FFFFFF"/>
            <w:noWrap w:val="0"/>
            <w:vAlign w:val="center"/>
          </w:tcPr>
          <w:p w14:paraId="3996508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编号</w:t>
            </w:r>
          </w:p>
        </w:tc>
        <w:tc>
          <w:tcPr>
            <w:tcW w:w="194" w:type="pct"/>
            <w:vMerge w:val="restart"/>
            <w:tcBorders>
              <w:left w:val="single" w:color="000000" w:sz="4" w:space="0"/>
              <w:right w:val="single" w:color="000000" w:sz="4" w:space="0"/>
            </w:tcBorders>
            <w:shd w:val="clear" w:color="auto" w:fill="FFFFFF"/>
            <w:noWrap w:val="0"/>
            <w:vAlign w:val="center"/>
          </w:tcPr>
          <w:p w14:paraId="049042D3">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名称</w:t>
            </w:r>
          </w:p>
        </w:tc>
        <w:tc>
          <w:tcPr>
            <w:tcW w:w="847" w:type="pct"/>
            <w:gridSpan w:val="2"/>
            <w:tcBorders>
              <w:left w:val="single" w:color="000000" w:sz="4" w:space="0"/>
              <w:right w:val="single" w:color="000000" w:sz="4" w:space="0"/>
            </w:tcBorders>
            <w:shd w:val="clear" w:color="auto" w:fill="FFFFFF"/>
            <w:noWrap w:val="0"/>
            <w:vAlign w:val="center"/>
          </w:tcPr>
          <w:p w14:paraId="38B523D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排气筒底部中心坐标</w:t>
            </w:r>
            <w:r>
              <w:rPr>
                <w:rFonts w:hint="eastAsia" w:ascii="Times New Roman" w:hAnsi="Times New Roman"/>
                <w:kern w:val="0"/>
                <w:sz w:val="21"/>
                <w:highlight w:val="none"/>
                <w:lang w:bidi="ar"/>
              </w:rPr>
              <w:t>/m</w:t>
            </w:r>
          </w:p>
        </w:tc>
        <w:tc>
          <w:tcPr>
            <w:tcW w:w="366" w:type="pct"/>
            <w:vMerge w:val="restart"/>
            <w:tcBorders>
              <w:left w:val="single" w:color="000000" w:sz="4" w:space="0"/>
              <w:right w:val="single" w:color="000000" w:sz="4" w:space="0"/>
            </w:tcBorders>
            <w:shd w:val="clear" w:color="auto" w:fill="FFFFFF"/>
            <w:noWrap w:val="0"/>
            <w:vAlign w:val="center"/>
          </w:tcPr>
          <w:p w14:paraId="7F774357">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排气筒底部海拔高度/m</w:t>
            </w:r>
          </w:p>
        </w:tc>
        <w:tc>
          <w:tcPr>
            <w:tcW w:w="231" w:type="pct"/>
            <w:vMerge w:val="restart"/>
            <w:tcBorders>
              <w:left w:val="single" w:color="000000" w:sz="4" w:space="0"/>
              <w:right w:val="single" w:color="000000" w:sz="4" w:space="0"/>
            </w:tcBorders>
            <w:shd w:val="clear" w:color="auto" w:fill="FFFFFF"/>
            <w:noWrap w:val="0"/>
            <w:vAlign w:val="center"/>
          </w:tcPr>
          <w:p w14:paraId="68E05530">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排气筒高度/m</w:t>
            </w:r>
          </w:p>
        </w:tc>
        <w:tc>
          <w:tcPr>
            <w:tcW w:w="288" w:type="pct"/>
            <w:vMerge w:val="restart"/>
            <w:tcBorders>
              <w:left w:val="single" w:color="000000" w:sz="4" w:space="0"/>
              <w:right w:val="single" w:color="000000" w:sz="4" w:space="0"/>
            </w:tcBorders>
            <w:shd w:val="clear" w:color="auto" w:fill="FFFFFF"/>
            <w:noWrap w:val="0"/>
            <w:vAlign w:val="center"/>
          </w:tcPr>
          <w:p w14:paraId="7EF3BCD1">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排气筒出口内径/m</w:t>
            </w:r>
          </w:p>
        </w:tc>
        <w:tc>
          <w:tcPr>
            <w:tcW w:w="464" w:type="pct"/>
            <w:vMerge w:val="restart"/>
            <w:tcBorders>
              <w:left w:val="single" w:color="000000" w:sz="4" w:space="0"/>
              <w:right w:val="single" w:color="000000" w:sz="4" w:space="0"/>
            </w:tcBorders>
            <w:shd w:val="clear" w:color="auto" w:fill="FFFFFF"/>
            <w:noWrap w:val="0"/>
            <w:vAlign w:val="center"/>
          </w:tcPr>
          <w:p w14:paraId="7D51BBF3">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w:t>
            </w:r>
            <w:r>
              <w:rPr>
                <w:rFonts w:hint="eastAsia" w:ascii="Times New Roman" w:hAnsi="Times New Roman"/>
                <w:kern w:val="0"/>
                <w:sz w:val="21"/>
                <w:highlight w:val="none"/>
                <w:lang w:bidi="ar"/>
              </w:rPr>
              <w:t>流量</w:t>
            </w:r>
            <w:r>
              <w:rPr>
                <w:rFonts w:ascii="Times New Roman" w:hAnsi="Times New Roman"/>
                <w:kern w:val="0"/>
                <w:sz w:val="21"/>
                <w:highlight w:val="none"/>
                <w:lang w:bidi="ar"/>
              </w:rPr>
              <w:t>/（m</w:t>
            </w:r>
            <w:r>
              <w:rPr>
                <w:rFonts w:ascii="Times New Roman" w:hAnsi="Times New Roman"/>
                <w:kern w:val="0"/>
                <w:sz w:val="21"/>
                <w:highlight w:val="none"/>
                <w:vertAlign w:val="superscript"/>
                <w:lang w:bidi="ar"/>
              </w:rPr>
              <w:t>3</w:t>
            </w:r>
            <w:r>
              <w:rPr>
                <w:rFonts w:ascii="Times New Roman" w:hAnsi="Times New Roman"/>
                <w:kern w:val="0"/>
                <w:sz w:val="21"/>
                <w:highlight w:val="none"/>
                <w:lang w:bidi="ar"/>
              </w:rPr>
              <w:t>/h）</w:t>
            </w:r>
          </w:p>
        </w:tc>
        <w:tc>
          <w:tcPr>
            <w:tcW w:w="230" w:type="pct"/>
            <w:vMerge w:val="restart"/>
            <w:tcBorders>
              <w:left w:val="single" w:color="000000" w:sz="4" w:space="0"/>
              <w:right w:val="single" w:color="000000" w:sz="4" w:space="0"/>
            </w:tcBorders>
            <w:shd w:val="clear" w:color="auto" w:fill="FFFFFF"/>
            <w:noWrap w:val="0"/>
            <w:vAlign w:val="center"/>
          </w:tcPr>
          <w:p w14:paraId="26323FB0">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烟气温度/</w:t>
            </w:r>
            <w:r>
              <w:rPr>
                <w:rFonts w:hint="eastAsia" w:ascii="宋体" w:hAnsi="宋体" w:cs="宋体"/>
                <w:kern w:val="0"/>
                <w:sz w:val="21"/>
                <w:highlight w:val="none"/>
                <w:lang w:bidi="ar"/>
              </w:rPr>
              <w:t>℃</w:t>
            </w:r>
          </w:p>
        </w:tc>
        <w:tc>
          <w:tcPr>
            <w:tcW w:w="273" w:type="pct"/>
            <w:vMerge w:val="restart"/>
            <w:tcBorders>
              <w:left w:val="single" w:color="000000" w:sz="4" w:space="0"/>
              <w:right w:val="single" w:color="000000" w:sz="4" w:space="0"/>
            </w:tcBorders>
            <w:shd w:val="clear" w:color="auto" w:fill="FFFFFF"/>
            <w:noWrap w:val="0"/>
            <w:vAlign w:val="center"/>
          </w:tcPr>
          <w:p w14:paraId="44BE2E8B">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年排放小时数/h</w:t>
            </w:r>
          </w:p>
        </w:tc>
        <w:tc>
          <w:tcPr>
            <w:tcW w:w="170" w:type="pct"/>
            <w:vMerge w:val="restart"/>
            <w:tcBorders>
              <w:left w:val="single" w:color="000000" w:sz="4" w:space="0"/>
              <w:right w:val="single" w:color="000000" w:sz="4" w:space="0"/>
            </w:tcBorders>
            <w:shd w:val="clear" w:color="auto" w:fill="FFFFFF"/>
            <w:noWrap w:val="0"/>
            <w:vAlign w:val="center"/>
          </w:tcPr>
          <w:p w14:paraId="2828C61B">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排放工况</w:t>
            </w:r>
          </w:p>
        </w:tc>
        <w:tc>
          <w:tcPr>
            <w:tcW w:w="1702" w:type="pct"/>
            <w:gridSpan w:val="5"/>
            <w:tcBorders>
              <w:left w:val="single" w:color="000000" w:sz="4" w:space="0"/>
              <w:right w:val="nil"/>
            </w:tcBorders>
            <w:shd w:val="clear" w:color="auto" w:fill="FFFFFF"/>
            <w:noWrap w:val="0"/>
            <w:vAlign w:val="center"/>
          </w:tcPr>
          <w:p w14:paraId="2452FCD7">
            <w:pPr>
              <w:widowControl/>
              <w:spacing w:line="240" w:lineRule="auto"/>
              <w:ind w:firstLine="0" w:firstLineChars="0"/>
              <w:jc w:val="center"/>
              <w:textAlignment w:val="center"/>
              <w:rPr>
                <w:rFonts w:ascii="Times New Roman" w:hAnsi="Times New Roman"/>
                <w:kern w:val="0"/>
                <w:sz w:val="21"/>
                <w:highlight w:val="none"/>
                <w:lang w:bidi="ar"/>
              </w:rPr>
            </w:pPr>
            <w:r>
              <w:rPr>
                <w:rFonts w:ascii="Times New Roman" w:hAnsi="Times New Roman"/>
                <w:kern w:val="0"/>
                <w:sz w:val="21"/>
                <w:highlight w:val="none"/>
                <w:lang w:bidi="ar"/>
              </w:rPr>
              <w:t>污染物排放速率/kg/h</w:t>
            </w:r>
          </w:p>
        </w:tc>
      </w:tr>
      <w:tr w14:paraId="375E27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vMerge w:val="continue"/>
            <w:tcBorders>
              <w:right w:val="single" w:color="000000" w:sz="4" w:space="0"/>
            </w:tcBorders>
            <w:shd w:val="clear" w:color="auto" w:fill="FFFFFF"/>
            <w:noWrap w:val="0"/>
            <w:vAlign w:val="center"/>
          </w:tcPr>
          <w:p w14:paraId="77A6578A">
            <w:pPr>
              <w:spacing w:line="240" w:lineRule="auto"/>
              <w:ind w:firstLine="0" w:firstLineChars="0"/>
              <w:jc w:val="center"/>
              <w:rPr>
                <w:rFonts w:ascii="Times New Roman" w:hAnsi="Times New Roman"/>
                <w:kern w:val="0"/>
                <w:sz w:val="21"/>
                <w:highlight w:val="none"/>
              </w:rPr>
            </w:pPr>
          </w:p>
        </w:tc>
        <w:tc>
          <w:tcPr>
            <w:tcW w:w="194" w:type="pct"/>
            <w:vMerge w:val="continue"/>
            <w:tcBorders>
              <w:left w:val="single" w:color="000000" w:sz="4" w:space="0"/>
              <w:right w:val="single" w:color="000000" w:sz="4" w:space="0"/>
            </w:tcBorders>
            <w:shd w:val="clear" w:color="auto" w:fill="FFFFFF"/>
            <w:noWrap w:val="0"/>
            <w:vAlign w:val="center"/>
          </w:tcPr>
          <w:p w14:paraId="2D49A361">
            <w:pPr>
              <w:spacing w:line="240" w:lineRule="auto"/>
              <w:ind w:firstLine="0" w:firstLineChars="0"/>
              <w:jc w:val="center"/>
              <w:rPr>
                <w:rFonts w:ascii="Times New Roman" w:hAnsi="Times New Roman"/>
                <w:kern w:val="0"/>
                <w:sz w:val="21"/>
                <w:highlight w:val="none"/>
              </w:rPr>
            </w:pPr>
          </w:p>
        </w:tc>
        <w:tc>
          <w:tcPr>
            <w:tcW w:w="442" w:type="pct"/>
            <w:tcBorders>
              <w:left w:val="single" w:color="000000" w:sz="4" w:space="0"/>
              <w:right w:val="single" w:color="000000" w:sz="4" w:space="0"/>
            </w:tcBorders>
            <w:shd w:val="clear" w:color="auto" w:fill="FFFFFF"/>
            <w:noWrap w:val="0"/>
            <w:vAlign w:val="center"/>
          </w:tcPr>
          <w:p w14:paraId="5D8048D8">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X</w:t>
            </w:r>
          </w:p>
        </w:tc>
        <w:tc>
          <w:tcPr>
            <w:tcW w:w="405" w:type="pct"/>
            <w:tcBorders>
              <w:left w:val="single" w:color="000000" w:sz="4" w:space="0"/>
              <w:right w:val="single" w:color="000000" w:sz="4" w:space="0"/>
            </w:tcBorders>
            <w:shd w:val="clear" w:color="auto" w:fill="FFFFFF"/>
            <w:noWrap w:val="0"/>
            <w:vAlign w:val="center"/>
          </w:tcPr>
          <w:p w14:paraId="25BBA913">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Y</w:t>
            </w:r>
          </w:p>
        </w:tc>
        <w:tc>
          <w:tcPr>
            <w:tcW w:w="366" w:type="pct"/>
            <w:vMerge w:val="continue"/>
            <w:tcBorders>
              <w:left w:val="single" w:color="000000" w:sz="4" w:space="0"/>
              <w:right w:val="single" w:color="000000" w:sz="4" w:space="0"/>
            </w:tcBorders>
            <w:shd w:val="clear" w:color="auto" w:fill="FFFFFF"/>
            <w:noWrap w:val="0"/>
            <w:vAlign w:val="center"/>
          </w:tcPr>
          <w:p w14:paraId="78F564DC">
            <w:pPr>
              <w:spacing w:line="240" w:lineRule="auto"/>
              <w:ind w:firstLine="0" w:firstLineChars="0"/>
              <w:jc w:val="center"/>
              <w:rPr>
                <w:rFonts w:ascii="Times New Roman" w:hAnsi="Times New Roman"/>
                <w:kern w:val="0"/>
                <w:sz w:val="21"/>
                <w:highlight w:val="none"/>
              </w:rPr>
            </w:pPr>
          </w:p>
        </w:tc>
        <w:tc>
          <w:tcPr>
            <w:tcW w:w="231" w:type="pct"/>
            <w:vMerge w:val="continue"/>
            <w:tcBorders>
              <w:left w:val="single" w:color="000000" w:sz="4" w:space="0"/>
              <w:right w:val="single" w:color="000000" w:sz="4" w:space="0"/>
            </w:tcBorders>
            <w:shd w:val="clear" w:color="auto" w:fill="FFFFFF"/>
            <w:noWrap w:val="0"/>
            <w:vAlign w:val="center"/>
          </w:tcPr>
          <w:p w14:paraId="7B04CADD">
            <w:pPr>
              <w:spacing w:line="240" w:lineRule="auto"/>
              <w:ind w:firstLine="0" w:firstLineChars="0"/>
              <w:jc w:val="center"/>
              <w:rPr>
                <w:rFonts w:ascii="Times New Roman" w:hAnsi="Times New Roman"/>
                <w:kern w:val="0"/>
                <w:sz w:val="21"/>
                <w:highlight w:val="none"/>
              </w:rPr>
            </w:pPr>
          </w:p>
        </w:tc>
        <w:tc>
          <w:tcPr>
            <w:tcW w:w="288" w:type="pct"/>
            <w:vMerge w:val="continue"/>
            <w:tcBorders>
              <w:left w:val="single" w:color="000000" w:sz="4" w:space="0"/>
              <w:right w:val="single" w:color="000000" w:sz="4" w:space="0"/>
            </w:tcBorders>
            <w:shd w:val="clear" w:color="auto" w:fill="FFFFFF"/>
            <w:noWrap w:val="0"/>
            <w:vAlign w:val="center"/>
          </w:tcPr>
          <w:p w14:paraId="1CCD93D4">
            <w:pPr>
              <w:spacing w:line="240" w:lineRule="auto"/>
              <w:ind w:firstLine="0" w:firstLineChars="0"/>
              <w:jc w:val="center"/>
              <w:rPr>
                <w:rFonts w:ascii="Times New Roman" w:hAnsi="Times New Roman"/>
                <w:kern w:val="0"/>
                <w:sz w:val="21"/>
                <w:highlight w:val="none"/>
              </w:rPr>
            </w:pPr>
          </w:p>
        </w:tc>
        <w:tc>
          <w:tcPr>
            <w:tcW w:w="464" w:type="pct"/>
            <w:vMerge w:val="continue"/>
            <w:tcBorders>
              <w:left w:val="single" w:color="000000" w:sz="4" w:space="0"/>
              <w:right w:val="single" w:color="000000" w:sz="4" w:space="0"/>
            </w:tcBorders>
            <w:shd w:val="clear" w:color="auto" w:fill="FFFFFF"/>
            <w:noWrap w:val="0"/>
            <w:vAlign w:val="center"/>
          </w:tcPr>
          <w:p w14:paraId="0B723393">
            <w:pPr>
              <w:spacing w:line="240" w:lineRule="auto"/>
              <w:ind w:firstLine="0" w:firstLineChars="0"/>
              <w:jc w:val="center"/>
              <w:rPr>
                <w:rFonts w:ascii="Times New Roman" w:hAnsi="Times New Roman"/>
                <w:kern w:val="0"/>
                <w:sz w:val="21"/>
                <w:highlight w:val="none"/>
              </w:rPr>
            </w:pPr>
          </w:p>
        </w:tc>
        <w:tc>
          <w:tcPr>
            <w:tcW w:w="230" w:type="pct"/>
            <w:vMerge w:val="continue"/>
            <w:tcBorders>
              <w:left w:val="single" w:color="000000" w:sz="4" w:space="0"/>
              <w:right w:val="single" w:color="000000" w:sz="4" w:space="0"/>
            </w:tcBorders>
            <w:shd w:val="clear" w:color="auto" w:fill="FFFFFF"/>
            <w:noWrap w:val="0"/>
            <w:vAlign w:val="center"/>
          </w:tcPr>
          <w:p w14:paraId="7988FA0E">
            <w:pPr>
              <w:spacing w:line="240" w:lineRule="auto"/>
              <w:ind w:firstLine="0" w:firstLineChars="0"/>
              <w:jc w:val="center"/>
              <w:rPr>
                <w:rFonts w:ascii="Times New Roman" w:hAnsi="Times New Roman"/>
                <w:kern w:val="0"/>
                <w:sz w:val="21"/>
                <w:highlight w:val="none"/>
              </w:rPr>
            </w:pPr>
          </w:p>
        </w:tc>
        <w:tc>
          <w:tcPr>
            <w:tcW w:w="273" w:type="pct"/>
            <w:vMerge w:val="continue"/>
            <w:tcBorders>
              <w:left w:val="single" w:color="000000" w:sz="4" w:space="0"/>
              <w:right w:val="single" w:color="000000" w:sz="4" w:space="0"/>
            </w:tcBorders>
            <w:shd w:val="clear" w:color="auto" w:fill="FFFFFF"/>
            <w:noWrap w:val="0"/>
            <w:vAlign w:val="center"/>
          </w:tcPr>
          <w:p w14:paraId="2927F340">
            <w:pPr>
              <w:spacing w:line="240" w:lineRule="auto"/>
              <w:ind w:firstLine="0" w:firstLineChars="0"/>
              <w:jc w:val="center"/>
              <w:rPr>
                <w:rFonts w:ascii="Times New Roman" w:hAnsi="Times New Roman"/>
                <w:kern w:val="0"/>
                <w:sz w:val="21"/>
                <w:highlight w:val="none"/>
              </w:rPr>
            </w:pPr>
          </w:p>
        </w:tc>
        <w:tc>
          <w:tcPr>
            <w:tcW w:w="170" w:type="pct"/>
            <w:vMerge w:val="continue"/>
            <w:tcBorders>
              <w:left w:val="single" w:color="000000" w:sz="4" w:space="0"/>
              <w:right w:val="single" w:color="000000" w:sz="4" w:space="0"/>
            </w:tcBorders>
            <w:shd w:val="clear" w:color="auto" w:fill="FFFFFF"/>
            <w:noWrap w:val="0"/>
            <w:vAlign w:val="center"/>
          </w:tcPr>
          <w:p w14:paraId="6520507B">
            <w:pPr>
              <w:spacing w:line="240" w:lineRule="auto"/>
              <w:ind w:firstLine="0" w:firstLineChars="0"/>
              <w:jc w:val="center"/>
              <w:rPr>
                <w:rFonts w:ascii="Times New Roman" w:hAnsi="Times New Roman"/>
                <w:kern w:val="0"/>
                <w:sz w:val="21"/>
                <w:highlight w:val="none"/>
              </w:rPr>
            </w:pPr>
          </w:p>
        </w:tc>
        <w:tc>
          <w:tcPr>
            <w:tcW w:w="323" w:type="pct"/>
            <w:tcBorders>
              <w:left w:val="single" w:color="000000" w:sz="4" w:space="0"/>
              <w:right w:val="single" w:color="000000" w:sz="4" w:space="0"/>
            </w:tcBorders>
            <w:shd w:val="clear" w:color="auto" w:fill="FFFFFF"/>
            <w:noWrap w:val="0"/>
            <w:vAlign w:val="center"/>
          </w:tcPr>
          <w:p w14:paraId="183F52E8">
            <w:pPr>
              <w:widowControl/>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sz w:val="21"/>
                <w:highlight w:val="none"/>
              </w:rPr>
              <w:t>烟尘（PM</w:t>
            </w:r>
            <w:r>
              <w:rPr>
                <w:rFonts w:hint="eastAsia" w:ascii="Times New Roman" w:hAnsi="Times New Roman"/>
                <w:sz w:val="21"/>
                <w:highlight w:val="none"/>
                <w:vertAlign w:val="subscript"/>
              </w:rPr>
              <w:t>10</w:t>
            </w:r>
            <w:r>
              <w:rPr>
                <w:rFonts w:hint="eastAsia" w:ascii="Times New Roman" w:hAnsi="Times New Roman"/>
                <w:sz w:val="21"/>
                <w:highlight w:val="none"/>
              </w:rPr>
              <w:t>）</w:t>
            </w:r>
          </w:p>
        </w:tc>
        <w:tc>
          <w:tcPr>
            <w:tcW w:w="273" w:type="pct"/>
            <w:tcBorders>
              <w:left w:val="single" w:color="000000" w:sz="4" w:space="0"/>
              <w:right w:val="single" w:color="000000" w:sz="4" w:space="0"/>
            </w:tcBorders>
            <w:shd w:val="clear" w:color="auto" w:fill="FFFFFF"/>
            <w:noWrap w:val="0"/>
            <w:vAlign w:val="center"/>
          </w:tcPr>
          <w:p w14:paraId="251183D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SO</w:t>
            </w:r>
            <w:r>
              <w:rPr>
                <w:rFonts w:ascii="Times New Roman" w:hAnsi="Times New Roman"/>
                <w:sz w:val="21"/>
                <w:highlight w:val="none"/>
                <w:vertAlign w:val="subscript"/>
              </w:rPr>
              <w:t>2</w:t>
            </w:r>
          </w:p>
        </w:tc>
        <w:tc>
          <w:tcPr>
            <w:tcW w:w="392" w:type="pct"/>
            <w:tcBorders>
              <w:left w:val="single" w:color="000000" w:sz="4" w:space="0"/>
              <w:right w:val="nil"/>
            </w:tcBorders>
            <w:noWrap w:val="0"/>
            <w:vAlign w:val="center"/>
          </w:tcPr>
          <w:p w14:paraId="30A516E6">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NO</w:t>
            </w:r>
            <w:r>
              <w:rPr>
                <w:rFonts w:ascii="Times New Roman" w:hAnsi="Times New Roman"/>
                <w:sz w:val="21"/>
                <w:highlight w:val="none"/>
                <w:vertAlign w:val="subscript"/>
              </w:rPr>
              <w:t>x</w:t>
            </w:r>
          </w:p>
        </w:tc>
        <w:tc>
          <w:tcPr>
            <w:tcW w:w="369" w:type="pct"/>
            <w:tcBorders>
              <w:left w:val="single" w:color="000000" w:sz="4" w:space="0"/>
              <w:right w:val="nil"/>
            </w:tcBorders>
            <w:noWrap w:val="0"/>
            <w:vAlign w:val="center"/>
          </w:tcPr>
          <w:p w14:paraId="68E7B03F">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Hg</w:t>
            </w:r>
          </w:p>
        </w:tc>
        <w:tc>
          <w:tcPr>
            <w:tcW w:w="344" w:type="pct"/>
            <w:tcBorders>
              <w:left w:val="single" w:color="000000" w:sz="4" w:space="0"/>
              <w:right w:val="nil"/>
            </w:tcBorders>
            <w:noWrap w:val="0"/>
            <w:vAlign w:val="center"/>
          </w:tcPr>
          <w:p w14:paraId="49CD14BB">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氨</w:t>
            </w:r>
          </w:p>
        </w:tc>
      </w:tr>
      <w:tr w14:paraId="4DF9F5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tcBorders>
              <w:right w:val="single" w:color="000000" w:sz="4" w:space="0"/>
            </w:tcBorders>
            <w:noWrap w:val="0"/>
            <w:vAlign w:val="center"/>
          </w:tcPr>
          <w:p w14:paraId="7D63C300">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ascii="Times New Roman" w:hAnsi="Times New Roman"/>
                <w:kern w:val="0"/>
                <w:sz w:val="21"/>
                <w:highlight w:val="none"/>
                <w:lang w:bidi="ar"/>
              </w:rPr>
              <w:t>DA00</w:t>
            </w:r>
            <w:r>
              <w:rPr>
                <w:rFonts w:hint="eastAsia" w:ascii="Times New Roman" w:hAnsi="Times New Roman"/>
                <w:kern w:val="0"/>
                <w:sz w:val="21"/>
                <w:highlight w:val="none"/>
                <w:lang w:val="en-US" w:eastAsia="zh-CN" w:bidi="ar"/>
              </w:rPr>
              <w:t>1</w:t>
            </w:r>
          </w:p>
        </w:tc>
        <w:tc>
          <w:tcPr>
            <w:tcW w:w="194" w:type="pct"/>
            <w:tcBorders>
              <w:left w:val="single" w:color="000000" w:sz="4" w:space="0"/>
              <w:right w:val="single" w:color="000000" w:sz="4" w:space="0"/>
            </w:tcBorders>
            <w:noWrap w:val="0"/>
            <w:vAlign w:val="center"/>
          </w:tcPr>
          <w:p w14:paraId="79AD27A5">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锅炉排气筒</w:t>
            </w:r>
          </w:p>
        </w:tc>
        <w:tc>
          <w:tcPr>
            <w:tcW w:w="442" w:type="pct"/>
            <w:tcBorders>
              <w:left w:val="single" w:color="000000" w:sz="4" w:space="0"/>
              <w:right w:val="single" w:color="000000" w:sz="4" w:space="0"/>
            </w:tcBorders>
            <w:noWrap w:val="0"/>
            <w:vAlign w:val="center"/>
          </w:tcPr>
          <w:p w14:paraId="5E58C351">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21</w:t>
            </w:r>
          </w:p>
        </w:tc>
        <w:tc>
          <w:tcPr>
            <w:tcW w:w="405" w:type="pct"/>
            <w:tcBorders>
              <w:left w:val="single" w:color="000000" w:sz="4" w:space="0"/>
              <w:right w:val="single" w:color="000000" w:sz="4" w:space="0"/>
            </w:tcBorders>
            <w:noWrap w:val="0"/>
            <w:vAlign w:val="center"/>
          </w:tcPr>
          <w:p w14:paraId="43F13572">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14</w:t>
            </w:r>
          </w:p>
        </w:tc>
        <w:tc>
          <w:tcPr>
            <w:tcW w:w="366" w:type="pct"/>
            <w:tcBorders>
              <w:left w:val="single" w:color="000000" w:sz="4" w:space="0"/>
              <w:right w:val="single" w:color="000000" w:sz="4" w:space="0"/>
            </w:tcBorders>
            <w:noWrap w:val="0"/>
            <w:vAlign w:val="center"/>
          </w:tcPr>
          <w:p w14:paraId="4C77BA97">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458</w:t>
            </w:r>
          </w:p>
        </w:tc>
        <w:tc>
          <w:tcPr>
            <w:tcW w:w="231" w:type="pct"/>
            <w:tcBorders>
              <w:left w:val="single" w:color="000000" w:sz="4" w:space="0"/>
              <w:right w:val="single" w:color="000000" w:sz="4" w:space="0"/>
            </w:tcBorders>
            <w:noWrap w:val="0"/>
            <w:vAlign w:val="center"/>
          </w:tcPr>
          <w:p w14:paraId="7B9D63E8">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60</w:t>
            </w:r>
          </w:p>
        </w:tc>
        <w:tc>
          <w:tcPr>
            <w:tcW w:w="288" w:type="pct"/>
            <w:tcBorders>
              <w:left w:val="single" w:color="000000" w:sz="4" w:space="0"/>
              <w:right w:val="single" w:color="000000" w:sz="4" w:space="0"/>
            </w:tcBorders>
            <w:noWrap w:val="0"/>
            <w:vAlign w:val="center"/>
          </w:tcPr>
          <w:p w14:paraId="6C4A2DFE">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hint="eastAsia" w:ascii="Times New Roman" w:hAnsi="Times New Roman"/>
                <w:kern w:val="0"/>
                <w:sz w:val="21"/>
                <w:highlight w:val="none"/>
                <w:lang w:val="en-US" w:eastAsia="zh-CN"/>
              </w:rPr>
              <w:t>4</w:t>
            </w:r>
          </w:p>
        </w:tc>
        <w:tc>
          <w:tcPr>
            <w:tcW w:w="464" w:type="pct"/>
            <w:tcBorders>
              <w:left w:val="single" w:color="000000" w:sz="4" w:space="0"/>
              <w:right w:val="single" w:color="000000" w:sz="4" w:space="0"/>
            </w:tcBorders>
            <w:noWrap w:val="0"/>
            <w:vAlign w:val="center"/>
          </w:tcPr>
          <w:p w14:paraId="0991749C">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298649</w:t>
            </w:r>
          </w:p>
        </w:tc>
        <w:tc>
          <w:tcPr>
            <w:tcW w:w="230" w:type="pct"/>
            <w:tcBorders>
              <w:left w:val="single" w:color="000000" w:sz="4" w:space="0"/>
              <w:right w:val="single" w:color="000000" w:sz="4" w:space="0"/>
            </w:tcBorders>
            <w:noWrap w:val="0"/>
            <w:vAlign w:val="center"/>
          </w:tcPr>
          <w:p w14:paraId="77B4DDC1">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100</w:t>
            </w:r>
          </w:p>
        </w:tc>
        <w:tc>
          <w:tcPr>
            <w:tcW w:w="273" w:type="pct"/>
            <w:tcBorders>
              <w:left w:val="single" w:color="000000" w:sz="4" w:space="0"/>
              <w:right w:val="single" w:color="000000" w:sz="4" w:space="0"/>
            </w:tcBorders>
            <w:noWrap w:val="0"/>
            <w:vAlign w:val="center"/>
          </w:tcPr>
          <w:p w14:paraId="1787AA17">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bidi="ar"/>
              </w:rPr>
              <w:t>5040</w:t>
            </w:r>
          </w:p>
        </w:tc>
        <w:tc>
          <w:tcPr>
            <w:tcW w:w="170" w:type="pct"/>
            <w:tcBorders>
              <w:left w:val="single" w:color="000000" w:sz="4" w:space="0"/>
              <w:right w:val="single" w:color="000000" w:sz="4" w:space="0"/>
            </w:tcBorders>
            <w:noWrap w:val="0"/>
            <w:vAlign w:val="center"/>
          </w:tcPr>
          <w:p w14:paraId="44A42A0E">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正常</w:t>
            </w:r>
          </w:p>
        </w:tc>
        <w:tc>
          <w:tcPr>
            <w:tcW w:w="323" w:type="pct"/>
            <w:tcBorders>
              <w:left w:val="single" w:color="000000" w:sz="4" w:space="0"/>
              <w:right w:val="single" w:color="000000" w:sz="4" w:space="0"/>
            </w:tcBorders>
            <w:noWrap w:val="0"/>
            <w:vAlign w:val="center"/>
          </w:tcPr>
          <w:p w14:paraId="051692CD">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0.95</w:t>
            </w:r>
          </w:p>
        </w:tc>
        <w:tc>
          <w:tcPr>
            <w:tcW w:w="273" w:type="pct"/>
            <w:tcBorders>
              <w:left w:val="single" w:color="000000" w:sz="4" w:space="0"/>
              <w:right w:val="single" w:color="000000" w:sz="4" w:space="0"/>
            </w:tcBorders>
            <w:noWrap w:val="0"/>
            <w:vAlign w:val="center"/>
          </w:tcPr>
          <w:p w14:paraId="6D7CA8AC">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2.91</w:t>
            </w:r>
          </w:p>
        </w:tc>
        <w:tc>
          <w:tcPr>
            <w:tcW w:w="392" w:type="pct"/>
            <w:tcBorders>
              <w:left w:val="single" w:color="000000" w:sz="4" w:space="0"/>
              <w:right w:val="nil"/>
            </w:tcBorders>
            <w:noWrap w:val="0"/>
            <w:vAlign w:val="center"/>
          </w:tcPr>
          <w:p w14:paraId="4B2AF8D8">
            <w:pPr>
              <w:widowControl/>
              <w:spacing w:line="240" w:lineRule="auto"/>
              <w:ind w:firstLine="0" w:firstLineChars="0"/>
              <w:jc w:val="center"/>
              <w:textAlignment w:val="center"/>
              <w:rPr>
                <w:rFonts w:hint="default" w:ascii="Times New Roman" w:hAnsi="Times New Roman"/>
                <w:kern w:val="0"/>
                <w:sz w:val="21"/>
                <w:szCs w:val="21"/>
                <w:highlight w:val="none"/>
                <w:lang w:val="en-US"/>
              </w:rPr>
            </w:pPr>
            <w:r>
              <w:rPr>
                <w:rFonts w:hint="eastAsia" w:ascii="Times New Roman" w:hAnsi="Times New Roman"/>
                <w:sz w:val="21"/>
                <w:szCs w:val="21"/>
                <w:highlight w:val="none"/>
                <w:lang w:val="en-US" w:eastAsia="zh-CN"/>
              </w:rPr>
              <w:t>2.71</w:t>
            </w:r>
          </w:p>
        </w:tc>
        <w:tc>
          <w:tcPr>
            <w:tcW w:w="369" w:type="pct"/>
            <w:tcBorders>
              <w:left w:val="single" w:color="000000" w:sz="4" w:space="0"/>
              <w:right w:val="nil"/>
            </w:tcBorders>
            <w:noWrap w:val="0"/>
            <w:vAlign w:val="center"/>
          </w:tcPr>
          <w:p w14:paraId="25B853DC">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0.00219</w:t>
            </w:r>
          </w:p>
        </w:tc>
        <w:tc>
          <w:tcPr>
            <w:tcW w:w="344" w:type="pct"/>
            <w:tcBorders>
              <w:left w:val="single" w:color="000000" w:sz="4" w:space="0"/>
              <w:right w:val="nil"/>
            </w:tcBorders>
            <w:noWrap w:val="0"/>
            <w:vAlign w:val="center"/>
          </w:tcPr>
          <w:p w14:paraId="1A396DBE">
            <w:pPr>
              <w:widowControl/>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0.745</w:t>
            </w:r>
          </w:p>
        </w:tc>
      </w:tr>
      <w:tr w14:paraId="7E6A22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tcBorders>
              <w:right w:val="single" w:color="000000" w:sz="4" w:space="0"/>
            </w:tcBorders>
            <w:noWrap w:val="0"/>
            <w:vAlign w:val="center"/>
          </w:tcPr>
          <w:p w14:paraId="11A4DF6C">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DA002</w:t>
            </w:r>
          </w:p>
        </w:tc>
        <w:tc>
          <w:tcPr>
            <w:tcW w:w="194" w:type="pct"/>
            <w:tcBorders>
              <w:left w:val="single" w:color="000000" w:sz="4" w:space="0"/>
              <w:right w:val="single" w:color="000000" w:sz="4" w:space="0"/>
            </w:tcBorders>
            <w:noWrap w:val="0"/>
            <w:vAlign w:val="center"/>
          </w:tcPr>
          <w:p w14:paraId="74CB673B">
            <w:pPr>
              <w:widowControl/>
              <w:spacing w:line="240" w:lineRule="auto"/>
              <w:ind w:firstLine="0" w:firstLineChars="0"/>
              <w:jc w:val="center"/>
              <w:textAlignment w:val="center"/>
              <w:rPr>
                <w:rFonts w:hint="eastAsia" w:ascii="Times New Roman" w:hAnsi="Times New Roman" w:eastAsia="宋体"/>
                <w:kern w:val="0"/>
                <w:sz w:val="21"/>
                <w:highlight w:val="none"/>
                <w:lang w:val="en-US" w:eastAsia="zh-CN"/>
              </w:rPr>
            </w:pPr>
            <w:r>
              <w:rPr>
                <w:rFonts w:hint="eastAsia" w:ascii="Times New Roman" w:hAnsi="Times New Roman"/>
                <w:kern w:val="0"/>
                <w:sz w:val="21"/>
                <w:szCs w:val="21"/>
                <w:highlight w:val="none"/>
              </w:rPr>
              <w:t>碎煤机室</w:t>
            </w:r>
            <w:r>
              <w:rPr>
                <w:rFonts w:hint="eastAsia" w:ascii="Times New Roman" w:hAnsi="Times New Roman"/>
                <w:kern w:val="0"/>
                <w:sz w:val="21"/>
                <w:szCs w:val="21"/>
                <w:highlight w:val="none"/>
                <w:lang w:val="en-US" w:eastAsia="zh-CN"/>
              </w:rPr>
              <w:t>排气筒</w:t>
            </w:r>
          </w:p>
        </w:tc>
        <w:tc>
          <w:tcPr>
            <w:tcW w:w="442" w:type="pct"/>
            <w:tcBorders>
              <w:left w:val="single" w:color="000000" w:sz="4" w:space="0"/>
              <w:right w:val="single" w:color="000000" w:sz="4" w:space="0"/>
            </w:tcBorders>
            <w:noWrap w:val="0"/>
            <w:vAlign w:val="center"/>
          </w:tcPr>
          <w:p w14:paraId="4D4D3DB8">
            <w:pPr>
              <w:tabs>
                <w:tab w:val="left" w:pos="1517"/>
              </w:tabs>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05" w:type="pct"/>
            <w:tcBorders>
              <w:left w:val="single" w:color="000000" w:sz="4" w:space="0"/>
              <w:right w:val="single" w:color="000000" w:sz="4" w:space="0"/>
            </w:tcBorders>
            <w:noWrap w:val="0"/>
            <w:vAlign w:val="center"/>
          </w:tcPr>
          <w:p w14:paraId="6BBB92C6">
            <w:pPr>
              <w:tabs>
                <w:tab w:val="left" w:pos="1517"/>
              </w:tabs>
              <w:spacing w:line="240" w:lineRule="auto"/>
              <w:ind w:firstLine="0" w:firstLineChars="0"/>
              <w:jc w:val="center"/>
              <w:rPr>
                <w:rFonts w:hint="default" w:ascii="Times New Roman" w:hAnsi="Times New Roman"/>
                <w:kern w:val="0"/>
                <w:sz w:val="21"/>
                <w:szCs w:val="21"/>
                <w:highlight w:val="none"/>
                <w:lang w:val="en-US" w:eastAsia="zh-CN"/>
              </w:rPr>
            </w:pPr>
            <w:r>
              <w:rPr>
                <w:rFonts w:hint="eastAsia" w:ascii="Times New Roman" w:hAnsi="Times New Roman"/>
                <w:kern w:val="0"/>
                <w:sz w:val="21"/>
                <w:szCs w:val="21"/>
                <w:highlight w:val="none"/>
                <w:lang w:val="en-US" w:eastAsia="zh-CN"/>
              </w:rPr>
              <w:t>46</w:t>
            </w:r>
          </w:p>
        </w:tc>
        <w:tc>
          <w:tcPr>
            <w:tcW w:w="366" w:type="pct"/>
            <w:tcBorders>
              <w:left w:val="single" w:color="000000" w:sz="4" w:space="0"/>
              <w:right w:val="single" w:color="000000" w:sz="4" w:space="0"/>
            </w:tcBorders>
            <w:noWrap w:val="0"/>
            <w:vAlign w:val="center"/>
          </w:tcPr>
          <w:p w14:paraId="221A8198">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458</w:t>
            </w:r>
          </w:p>
        </w:tc>
        <w:tc>
          <w:tcPr>
            <w:tcW w:w="231" w:type="pct"/>
            <w:tcBorders>
              <w:left w:val="single" w:color="000000" w:sz="4" w:space="0"/>
              <w:right w:val="single" w:color="000000" w:sz="4" w:space="0"/>
            </w:tcBorders>
            <w:noWrap w:val="0"/>
            <w:vAlign w:val="center"/>
          </w:tcPr>
          <w:p w14:paraId="593A457C">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15</w:t>
            </w:r>
          </w:p>
        </w:tc>
        <w:tc>
          <w:tcPr>
            <w:tcW w:w="288" w:type="pct"/>
            <w:tcBorders>
              <w:left w:val="single" w:color="000000" w:sz="4" w:space="0"/>
              <w:right w:val="single" w:color="000000" w:sz="4" w:space="0"/>
            </w:tcBorders>
            <w:noWrap w:val="0"/>
            <w:vAlign w:val="center"/>
          </w:tcPr>
          <w:p w14:paraId="0782DBD3">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0.2</w:t>
            </w:r>
          </w:p>
        </w:tc>
        <w:tc>
          <w:tcPr>
            <w:tcW w:w="464" w:type="pct"/>
            <w:tcBorders>
              <w:left w:val="single" w:color="000000" w:sz="4" w:space="0"/>
              <w:right w:val="single" w:color="000000" w:sz="4" w:space="0"/>
            </w:tcBorders>
            <w:noWrap w:val="0"/>
            <w:vAlign w:val="center"/>
          </w:tcPr>
          <w:p w14:paraId="576538D0">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4000</w:t>
            </w:r>
          </w:p>
        </w:tc>
        <w:tc>
          <w:tcPr>
            <w:tcW w:w="230" w:type="pct"/>
            <w:tcBorders>
              <w:left w:val="single" w:color="000000" w:sz="4" w:space="0"/>
              <w:right w:val="single" w:color="000000" w:sz="4" w:space="0"/>
            </w:tcBorders>
            <w:noWrap w:val="0"/>
            <w:vAlign w:val="center"/>
          </w:tcPr>
          <w:p w14:paraId="3C7A67C4">
            <w:pPr>
              <w:widowControl/>
              <w:spacing w:line="240" w:lineRule="auto"/>
              <w:ind w:firstLine="0" w:firstLineChars="0"/>
              <w:jc w:val="center"/>
              <w:textAlignment w:val="center"/>
              <w:rPr>
                <w:rFonts w:hint="default" w:ascii="Times New Roman" w:hAnsi="Times New Roman"/>
                <w:kern w:val="0"/>
                <w:sz w:val="21"/>
                <w:highlight w:val="none"/>
                <w:lang w:val="en-US" w:eastAsia="zh-CN"/>
              </w:rPr>
            </w:pPr>
            <w:r>
              <w:rPr>
                <w:rFonts w:hint="eastAsia" w:ascii="Times New Roman" w:hAnsi="Times New Roman"/>
                <w:kern w:val="0"/>
                <w:sz w:val="21"/>
                <w:highlight w:val="none"/>
                <w:lang w:val="en-US" w:eastAsia="zh-CN"/>
              </w:rPr>
              <w:t>-20</w:t>
            </w:r>
          </w:p>
        </w:tc>
        <w:tc>
          <w:tcPr>
            <w:tcW w:w="273" w:type="pct"/>
            <w:tcBorders>
              <w:left w:val="single" w:color="000000" w:sz="4" w:space="0"/>
              <w:right w:val="single" w:color="000000" w:sz="4" w:space="0"/>
            </w:tcBorders>
            <w:noWrap w:val="0"/>
            <w:vAlign w:val="center"/>
          </w:tcPr>
          <w:p w14:paraId="7A9D60E7">
            <w:pPr>
              <w:widowControl/>
              <w:spacing w:line="240" w:lineRule="auto"/>
              <w:ind w:firstLine="0" w:firstLineChars="0"/>
              <w:jc w:val="center"/>
              <w:textAlignment w:val="center"/>
              <w:rPr>
                <w:rFonts w:hint="default" w:ascii="Times New Roman" w:hAnsi="Times New Roman"/>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170" w:type="pct"/>
            <w:tcBorders>
              <w:left w:val="single" w:color="000000" w:sz="4" w:space="0"/>
              <w:right w:val="single" w:color="000000" w:sz="4" w:space="0"/>
            </w:tcBorders>
            <w:noWrap w:val="0"/>
            <w:vAlign w:val="center"/>
          </w:tcPr>
          <w:p w14:paraId="4C819333">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正常</w:t>
            </w:r>
          </w:p>
        </w:tc>
        <w:tc>
          <w:tcPr>
            <w:tcW w:w="323" w:type="pct"/>
            <w:tcBorders>
              <w:left w:val="single" w:color="000000" w:sz="4" w:space="0"/>
              <w:right w:val="single" w:color="000000" w:sz="4" w:space="0"/>
            </w:tcBorders>
            <w:noWrap w:val="0"/>
            <w:vAlign w:val="center"/>
          </w:tcPr>
          <w:p w14:paraId="67689430">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0.0016</w:t>
            </w:r>
          </w:p>
        </w:tc>
        <w:tc>
          <w:tcPr>
            <w:tcW w:w="273" w:type="pct"/>
            <w:tcBorders>
              <w:left w:val="single" w:color="000000" w:sz="4" w:space="0"/>
              <w:right w:val="single" w:color="000000" w:sz="4" w:space="0"/>
            </w:tcBorders>
            <w:noWrap w:val="0"/>
            <w:vAlign w:val="center"/>
          </w:tcPr>
          <w:p w14:paraId="6E174D55">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92" w:type="pct"/>
            <w:tcBorders>
              <w:left w:val="single" w:color="000000" w:sz="4" w:space="0"/>
              <w:right w:val="nil"/>
            </w:tcBorders>
            <w:noWrap w:val="0"/>
            <w:vAlign w:val="center"/>
          </w:tcPr>
          <w:p w14:paraId="6F27DB7A">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69" w:type="pct"/>
            <w:tcBorders>
              <w:left w:val="single" w:color="000000" w:sz="4" w:space="0"/>
              <w:right w:val="nil"/>
            </w:tcBorders>
            <w:noWrap w:val="0"/>
            <w:vAlign w:val="center"/>
          </w:tcPr>
          <w:p w14:paraId="6B9A5FB7">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c>
          <w:tcPr>
            <w:tcW w:w="344" w:type="pct"/>
            <w:tcBorders>
              <w:left w:val="single" w:color="000000" w:sz="4" w:space="0"/>
              <w:right w:val="nil"/>
            </w:tcBorders>
            <w:noWrap w:val="0"/>
            <w:vAlign w:val="center"/>
          </w:tcPr>
          <w:p w14:paraId="5E12DA8A">
            <w:pPr>
              <w:widowControl/>
              <w:spacing w:line="240" w:lineRule="auto"/>
              <w:ind w:firstLine="0" w:firstLineChars="0"/>
              <w:jc w:val="center"/>
              <w:textAlignment w:val="center"/>
              <w:rPr>
                <w:rFonts w:hint="default" w:ascii="Times New Roman" w:hAnsi="Times New Roman"/>
                <w:sz w:val="21"/>
                <w:szCs w:val="21"/>
                <w:highlight w:val="none"/>
                <w:lang w:val="en-US" w:eastAsia="zh-CN"/>
              </w:rPr>
            </w:pPr>
            <w:r>
              <w:rPr>
                <w:rFonts w:hint="eastAsia" w:ascii="Times New Roman" w:hAnsi="Times New Roman"/>
                <w:sz w:val="21"/>
                <w:szCs w:val="21"/>
                <w:highlight w:val="none"/>
                <w:lang w:val="en-US" w:eastAsia="zh-CN"/>
              </w:rPr>
              <w:t>/</w:t>
            </w:r>
          </w:p>
        </w:tc>
      </w:tr>
    </w:tbl>
    <w:p w14:paraId="76F50FAF">
      <w:pPr>
        <w:spacing w:line="240" w:lineRule="auto"/>
        <w:ind w:firstLine="0" w:firstLineChars="0"/>
        <w:jc w:val="left"/>
        <w:rPr>
          <w:rFonts w:hint="eastAsia" w:ascii="Times New Roman" w:hAnsi="Times New Roman"/>
          <w:b/>
          <w:sz w:val="21"/>
          <w:highlight w:val="none"/>
        </w:rPr>
      </w:pPr>
      <w:r>
        <w:rPr>
          <w:rFonts w:hint="eastAsia" w:ascii="Times New Roman" w:hAnsi="Times New Roman"/>
          <w:b/>
          <w:sz w:val="21"/>
          <w:highlight w:val="none"/>
        </w:rPr>
        <w:t>注：本次评价烟气排放量</w:t>
      </w:r>
      <w:r>
        <w:rPr>
          <w:rFonts w:hint="eastAsia" w:ascii="Times New Roman" w:hAnsi="Times New Roman"/>
          <w:b/>
          <w:sz w:val="21"/>
          <w:highlight w:val="none"/>
          <w:lang w:val="en-US" w:eastAsia="zh-CN"/>
        </w:rPr>
        <w:t>选取使用锅炉最大吨位</w:t>
      </w:r>
      <w:r>
        <w:rPr>
          <w:rFonts w:hint="eastAsia" w:ascii="Times New Roman" w:hAnsi="Times New Roman"/>
          <w:b/>
          <w:sz w:val="21"/>
          <w:highlight w:val="none"/>
        </w:rPr>
        <w:t>进行环境空气评价等级的计算，年排放小时数为满负荷利用小时数。根据《燃煤锅炉烟气中细颗粒物的排放特征和控制现状》（环境工程技术学报2017.05），经过除尘效率相对较高的静电除尘器+湿法脱硫。本次采用布袋除尘器（超细纤维滤袋，表面进行覆膜处理）+湿法脱硫，为除尘效率相对较高的除尘方法。</w:t>
      </w:r>
    </w:p>
    <w:p w14:paraId="50479C04">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lang w:val="en-US" w:eastAsia="zh-CN"/>
        </w:rPr>
        <w:t>5.2-10</w:t>
      </w:r>
      <w:r>
        <w:rPr>
          <w:rFonts w:hint="eastAsia" w:ascii="黑体" w:hAnsi="黑体" w:eastAsia="黑体" w:cs="黑体"/>
          <w:highlight w:val="none"/>
        </w:rPr>
        <w:t>本项目污染源面源排放参数一览表</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888"/>
        <w:gridCol w:w="1427"/>
        <w:gridCol w:w="1322"/>
        <w:gridCol w:w="1172"/>
        <w:gridCol w:w="911"/>
        <w:gridCol w:w="1061"/>
        <w:gridCol w:w="1036"/>
        <w:gridCol w:w="1249"/>
        <w:gridCol w:w="1257"/>
        <w:gridCol w:w="809"/>
        <w:gridCol w:w="2412"/>
      </w:tblGrid>
      <w:tr w14:paraId="1C30D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vMerge w:val="restart"/>
            <w:noWrap w:val="0"/>
            <w:vAlign w:val="center"/>
          </w:tcPr>
          <w:p w14:paraId="001D9932">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编号</w:t>
            </w:r>
          </w:p>
        </w:tc>
        <w:tc>
          <w:tcPr>
            <w:tcW w:w="313" w:type="pct"/>
            <w:vMerge w:val="restart"/>
            <w:noWrap w:val="0"/>
            <w:vAlign w:val="center"/>
          </w:tcPr>
          <w:p w14:paraId="42845093">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名称</w:t>
            </w:r>
          </w:p>
        </w:tc>
        <w:tc>
          <w:tcPr>
            <w:tcW w:w="969" w:type="pct"/>
            <w:gridSpan w:val="2"/>
            <w:noWrap w:val="0"/>
            <w:vAlign w:val="center"/>
          </w:tcPr>
          <w:p w14:paraId="502DE06A">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面源起始坐标</w:t>
            </w:r>
            <w:r>
              <w:rPr>
                <w:rFonts w:hint="eastAsia" w:ascii="Times New Roman" w:hAnsi="Times New Roman"/>
                <w:kern w:val="0"/>
                <w:sz w:val="21"/>
                <w:szCs w:val="21"/>
                <w:highlight w:val="none"/>
              </w:rPr>
              <w:t>/m</w:t>
            </w:r>
          </w:p>
        </w:tc>
        <w:tc>
          <w:tcPr>
            <w:tcW w:w="413" w:type="pct"/>
            <w:vMerge w:val="restart"/>
            <w:noWrap w:val="0"/>
            <w:vAlign w:val="center"/>
          </w:tcPr>
          <w:p w14:paraId="22B85539">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面源海拔高度/m</w:t>
            </w:r>
          </w:p>
        </w:tc>
        <w:tc>
          <w:tcPr>
            <w:tcW w:w="321" w:type="pct"/>
            <w:vMerge w:val="restart"/>
            <w:noWrap w:val="0"/>
            <w:vAlign w:val="center"/>
          </w:tcPr>
          <w:p w14:paraId="06C9FCEB">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面源长度/m</w:t>
            </w:r>
          </w:p>
        </w:tc>
        <w:tc>
          <w:tcPr>
            <w:tcW w:w="374" w:type="pct"/>
            <w:vMerge w:val="restart"/>
            <w:noWrap w:val="0"/>
            <w:vAlign w:val="center"/>
          </w:tcPr>
          <w:p w14:paraId="194EED84">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面源宽度/m</w:t>
            </w:r>
          </w:p>
        </w:tc>
        <w:tc>
          <w:tcPr>
            <w:tcW w:w="365" w:type="pct"/>
            <w:vMerge w:val="restart"/>
            <w:noWrap w:val="0"/>
            <w:vAlign w:val="center"/>
          </w:tcPr>
          <w:p w14:paraId="431475D3">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与正北向夹角/°</w:t>
            </w:r>
          </w:p>
        </w:tc>
        <w:tc>
          <w:tcPr>
            <w:tcW w:w="440" w:type="pct"/>
            <w:vMerge w:val="restart"/>
            <w:noWrap w:val="0"/>
            <w:vAlign w:val="center"/>
          </w:tcPr>
          <w:p w14:paraId="3B43F98D">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面源有效排放高度/m</w:t>
            </w:r>
          </w:p>
        </w:tc>
        <w:tc>
          <w:tcPr>
            <w:tcW w:w="443" w:type="pct"/>
            <w:vMerge w:val="restart"/>
            <w:noWrap w:val="0"/>
            <w:vAlign w:val="center"/>
          </w:tcPr>
          <w:p w14:paraId="7672FDCC">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年排放小时数/h</w:t>
            </w:r>
          </w:p>
        </w:tc>
        <w:tc>
          <w:tcPr>
            <w:tcW w:w="285" w:type="pct"/>
            <w:vMerge w:val="restart"/>
            <w:noWrap w:val="0"/>
            <w:vAlign w:val="center"/>
          </w:tcPr>
          <w:p w14:paraId="7A7FA20F">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排放工况</w:t>
            </w:r>
          </w:p>
        </w:tc>
        <w:tc>
          <w:tcPr>
            <w:tcW w:w="850" w:type="pct"/>
            <w:noWrap w:val="0"/>
            <w:vAlign w:val="center"/>
          </w:tcPr>
          <w:p w14:paraId="2B4AC3E8">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污染物排放速率/（kg/h）</w:t>
            </w:r>
          </w:p>
        </w:tc>
      </w:tr>
      <w:tr w14:paraId="40CDE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vMerge w:val="continue"/>
            <w:noWrap w:val="0"/>
            <w:vAlign w:val="center"/>
          </w:tcPr>
          <w:p w14:paraId="53B4D4AD">
            <w:pPr>
              <w:widowControl/>
              <w:spacing w:line="240" w:lineRule="auto"/>
              <w:ind w:firstLine="0" w:firstLineChars="0"/>
              <w:jc w:val="center"/>
              <w:rPr>
                <w:rFonts w:ascii="Times New Roman" w:hAnsi="Times New Roman"/>
                <w:kern w:val="0"/>
                <w:sz w:val="21"/>
                <w:szCs w:val="21"/>
                <w:highlight w:val="none"/>
              </w:rPr>
            </w:pPr>
          </w:p>
        </w:tc>
        <w:tc>
          <w:tcPr>
            <w:tcW w:w="313" w:type="pct"/>
            <w:vMerge w:val="continue"/>
            <w:noWrap w:val="0"/>
            <w:vAlign w:val="center"/>
          </w:tcPr>
          <w:p w14:paraId="70320221">
            <w:pPr>
              <w:widowControl/>
              <w:spacing w:line="240" w:lineRule="auto"/>
              <w:ind w:firstLine="0" w:firstLineChars="0"/>
              <w:jc w:val="center"/>
              <w:rPr>
                <w:rFonts w:ascii="Times New Roman" w:hAnsi="Times New Roman"/>
                <w:kern w:val="0"/>
                <w:sz w:val="21"/>
                <w:szCs w:val="21"/>
                <w:highlight w:val="none"/>
              </w:rPr>
            </w:pPr>
          </w:p>
        </w:tc>
        <w:tc>
          <w:tcPr>
            <w:tcW w:w="503" w:type="pct"/>
            <w:noWrap w:val="0"/>
            <w:vAlign w:val="center"/>
          </w:tcPr>
          <w:p w14:paraId="7A1A39AF">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X</w:t>
            </w:r>
          </w:p>
        </w:tc>
        <w:tc>
          <w:tcPr>
            <w:tcW w:w="466" w:type="pct"/>
            <w:noWrap w:val="0"/>
            <w:vAlign w:val="center"/>
          </w:tcPr>
          <w:p w14:paraId="42BC9060">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Y</w:t>
            </w:r>
          </w:p>
        </w:tc>
        <w:tc>
          <w:tcPr>
            <w:tcW w:w="413" w:type="pct"/>
            <w:vMerge w:val="continue"/>
            <w:noWrap w:val="0"/>
            <w:vAlign w:val="center"/>
          </w:tcPr>
          <w:p w14:paraId="29A14EF5">
            <w:pPr>
              <w:widowControl/>
              <w:spacing w:line="240" w:lineRule="auto"/>
              <w:ind w:firstLine="0" w:firstLineChars="0"/>
              <w:jc w:val="center"/>
              <w:rPr>
                <w:rFonts w:ascii="Times New Roman" w:hAnsi="Times New Roman"/>
                <w:kern w:val="0"/>
                <w:sz w:val="21"/>
                <w:szCs w:val="21"/>
                <w:highlight w:val="none"/>
              </w:rPr>
            </w:pPr>
          </w:p>
        </w:tc>
        <w:tc>
          <w:tcPr>
            <w:tcW w:w="321" w:type="pct"/>
            <w:vMerge w:val="continue"/>
            <w:noWrap w:val="0"/>
            <w:vAlign w:val="center"/>
          </w:tcPr>
          <w:p w14:paraId="4C010ED7">
            <w:pPr>
              <w:widowControl/>
              <w:spacing w:line="240" w:lineRule="auto"/>
              <w:ind w:firstLine="0" w:firstLineChars="0"/>
              <w:jc w:val="center"/>
              <w:rPr>
                <w:rFonts w:ascii="Times New Roman" w:hAnsi="Times New Roman"/>
                <w:kern w:val="0"/>
                <w:sz w:val="21"/>
                <w:szCs w:val="21"/>
                <w:highlight w:val="none"/>
              </w:rPr>
            </w:pPr>
          </w:p>
        </w:tc>
        <w:tc>
          <w:tcPr>
            <w:tcW w:w="374" w:type="pct"/>
            <w:vMerge w:val="continue"/>
            <w:noWrap w:val="0"/>
            <w:vAlign w:val="center"/>
          </w:tcPr>
          <w:p w14:paraId="383D0BE1">
            <w:pPr>
              <w:widowControl/>
              <w:spacing w:line="240" w:lineRule="auto"/>
              <w:ind w:firstLine="0" w:firstLineChars="0"/>
              <w:jc w:val="center"/>
              <w:rPr>
                <w:rFonts w:ascii="Times New Roman" w:hAnsi="Times New Roman"/>
                <w:kern w:val="0"/>
                <w:sz w:val="21"/>
                <w:szCs w:val="21"/>
                <w:highlight w:val="none"/>
              </w:rPr>
            </w:pPr>
          </w:p>
        </w:tc>
        <w:tc>
          <w:tcPr>
            <w:tcW w:w="365" w:type="pct"/>
            <w:vMerge w:val="continue"/>
            <w:noWrap w:val="0"/>
            <w:vAlign w:val="center"/>
          </w:tcPr>
          <w:p w14:paraId="6575D314">
            <w:pPr>
              <w:widowControl/>
              <w:spacing w:line="240" w:lineRule="auto"/>
              <w:ind w:firstLine="0" w:firstLineChars="0"/>
              <w:jc w:val="center"/>
              <w:rPr>
                <w:rFonts w:ascii="Times New Roman" w:hAnsi="Times New Roman"/>
                <w:kern w:val="0"/>
                <w:sz w:val="21"/>
                <w:szCs w:val="21"/>
                <w:highlight w:val="none"/>
              </w:rPr>
            </w:pPr>
          </w:p>
        </w:tc>
        <w:tc>
          <w:tcPr>
            <w:tcW w:w="440" w:type="pct"/>
            <w:vMerge w:val="continue"/>
            <w:noWrap w:val="0"/>
            <w:vAlign w:val="center"/>
          </w:tcPr>
          <w:p w14:paraId="4AC8E1E2">
            <w:pPr>
              <w:widowControl/>
              <w:spacing w:line="240" w:lineRule="auto"/>
              <w:ind w:firstLine="0" w:firstLineChars="0"/>
              <w:jc w:val="center"/>
              <w:rPr>
                <w:rFonts w:ascii="Times New Roman" w:hAnsi="Times New Roman"/>
                <w:kern w:val="0"/>
                <w:sz w:val="21"/>
                <w:szCs w:val="21"/>
                <w:highlight w:val="none"/>
              </w:rPr>
            </w:pPr>
          </w:p>
        </w:tc>
        <w:tc>
          <w:tcPr>
            <w:tcW w:w="443" w:type="pct"/>
            <w:vMerge w:val="continue"/>
            <w:noWrap w:val="0"/>
            <w:vAlign w:val="center"/>
          </w:tcPr>
          <w:p w14:paraId="6B3438D0">
            <w:pPr>
              <w:widowControl/>
              <w:spacing w:line="240" w:lineRule="auto"/>
              <w:ind w:firstLine="0" w:firstLineChars="0"/>
              <w:jc w:val="center"/>
              <w:rPr>
                <w:rFonts w:ascii="Times New Roman" w:hAnsi="Times New Roman"/>
                <w:kern w:val="0"/>
                <w:sz w:val="21"/>
                <w:szCs w:val="21"/>
                <w:highlight w:val="none"/>
              </w:rPr>
            </w:pPr>
          </w:p>
        </w:tc>
        <w:tc>
          <w:tcPr>
            <w:tcW w:w="285" w:type="pct"/>
            <w:vMerge w:val="continue"/>
            <w:noWrap w:val="0"/>
            <w:vAlign w:val="center"/>
          </w:tcPr>
          <w:p w14:paraId="7F73D0C0">
            <w:pPr>
              <w:widowControl/>
              <w:spacing w:line="240" w:lineRule="auto"/>
              <w:ind w:firstLine="0" w:firstLineChars="0"/>
              <w:jc w:val="center"/>
              <w:rPr>
                <w:rFonts w:ascii="Times New Roman" w:hAnsi="Times New Roman"/>
                <w:kern w:val="0"/>
                <w:sz w:val="21"/>
                <w:szCs w:val="21"/>
                <w:highlight w:val="none"/>
              </w:rPr>
            </w:pPr>
          </w:p>
        </w:tc>
        <w:tc>
          <w:tcPr>
            <w:tcW w:w="850" w:type="pct"/>
            <w:noWrap w:val="0"/>
            <w:vAlign w:val="center"/>
          </w:tcPr>
          <w:p w14:paraId="50DA9740">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颗粒物</w:t>
            </w:r>
          </w:p>
        </w:tc>
      </w:tr>
      <w:tr w14:paraId="26EA9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noWrap w:val="0"/>
            <w:vAlign w:val="center"/>
          </w:tcPr>
          <w:p w14:paraId="342E11F6">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1</w:t>
            </w:r>
          </w:p>
        </w:tc>
        <w:tc>
          <w:tcPr>
            <w:tcW w:w="313" w:type="pct"/>
            <w:noWrap w:val="0"/>
            <w:vAlign w:val="center"/>
          </w:tcPr>
          <w:p w14:paraId="4773CFDA">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灰仓</w:t>
            </w:r>
          </w:p>
        </w:tc>
        <w:tc>
          <w:tcPr>
            <w:tcW w:w="503" w:type="pct"/>
            <w:noWrap w:val="0"/>
            <w:vAlign w:val="center"/>
          </w:tcPr>
          <w:p w14:paraId="44E67664">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25</w:t>
            </w:r>
          </w:p>
        </w:tc>
        <w:tc>
          <w:tcPr>
            <w:tcW w:w="466" w:type="pct"/>
            <w:noWrap w:val="0"/>
            <w:vAlign w:val="center"/>
          </w:tcPr>
          <w:p w14:paraId="76BB9F84">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11</w:t>
            </w:r>
          </w:p>
        </w:tc>
        <w:tc>
          <w:tcPr>
            <w:tcW w:w="413" w:type="pct"/>
            <w:noWrap w:val="0"/>
            <w:vAlign w:val="center"/>
          </w:tcPr>
          <w:p w14:paraId="4E4241C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19CEF6C3">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6</w:t>
            </w:r>
          </w:p>
        </w:tc>
        <w:tc>
          <w:tcPr>
            <w:tcW w:w="374" w:type="pct"/>
            <w:noWrap w:val="0"/>
            <w:vAlign w:val="center"/>
          </w:tcPr>
          <w:p w14:paraId="15A933C0">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6</w:t>
            </w:r>
          </w:p>
        </w:tc>
        <w:tc>
          <w:tcPr>
            <w:tcW w:w="365" w:type="pct"/>
            <w:noWrap w:val="0"/>
            <w:vAlign w:val="center"/>
          </w:tcPr>
          <w:p w14:paraId="6AFA496A">
            <w:pPr>
              <w:tabs>
                <w:tab w:val="left" w:pos="1517"/>
              </w:tabs>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0</w:t>
            </w:r>
          </w:p>
        </w:tc>
        <w:tc>
          <w:tcPr>
            <w:tcW w:w="440" w:type="pct"/>
            <w:noWrap w:val="0"/>
            <w:vAlign w:val="center"/>
          </w:tcPr>
          <w:p w14:paraId="75022613">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8</w:t>
            </w:r>
          </w:p>
        </w:tc>
        <w:tc>
          <w:tcPr>
            <w:tcW w:w="443" w:type="pct"/>
            <w:noWrap w:val="0"/>
            <w:vAlign w:val="center"/>
          </w:tcPr>
          <w:p w14:paraId="0D8E27F0">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highlight w:val="none"/>
                <w:lang w:val="en-US" w:eastAsia="zh-CN" w:bidi="ar"/>
              </w:rPr>
              <w:t>5040</w:t>
            </w:r>
          </w:p>
        </w:tc>
        <w:tc>
          <w:tcPr>
            <w:tcW w:w="285" w:type="pct"/>
            <w:noWrap w:val="0"/>
            <w:vAlign w:val="center"/>
          </w:tcPr>
          <w:p w14:paraId="1102266F">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0465E579">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0.012</w:t>
            </w:r>
          </w:p>
        </w:tc>
      </w:tr>
      <w:tr w14:paraId="2FB465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noWrap w:val="0"/>
            <w:vAlign w:val="center"/>
          </w:tcPr>
          <w:p w14:paraId="2DA849B7">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3</w:t>
            </w:r>
          </w:p>
        </w:tc>
        <w:tc>
          <w:tcPr>
            <w:tcW w:w="313" w:type="pct"/>
            <w:noWrap w:val="0"/>
            <w:vAlign w:val="center"/>
          </w:tcPr>
          <w:p w14:paraId="722BCEEA">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渣仓</w:t>
            </w:r>
          </w:p>
        </w:tc>
        <w:tc>
          <w:tcPr>
            <w:tcW w:w="503" w:type="pct"/>
            <w:noWrap w:val="0"/>
            <w:vAlign w:val="center"/>
          </w:tcPr>
          <w:p w14:paraId="10D5730C">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29</w:t>
            </w:r>
          </w:p>
        </w:tc>
        <w:tc>
          <w:tcPr>
            <w:tcW w:w="466" w:type="pct"/>
            <w:noWrap w:val="0"/>
            <w:vAlign w:val="center"/>
          </w:tcPr>
          <w:p w14:paraId="271E49A7">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21</w:t>
            </w:r>
          </w:p>
        </w:tc>
        <w:tc>
          <w:tcPr>
            <w:tcW w:w="413" w:type="pct"/>
            <w:noWrap w:val="0"/>
            <w:vAlign w:val="center"/>
          </w:tcPr>
          <w:p w14:paraId="2C287ADF">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025CF04F">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374" w:type="pct"/>
            <w:noWrap w:val="0"/>
            <w:vAlign w:val="center"/>
          </w:tcPr>
          <w:p w14:paraId="58C60EA9">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365" w:type="pct"/>
            <w:noWrap w:val="0"/>
            <w:vAlign w:val="center"/>
          </w:tcPr>
          <w:p w14:paraId="1CE960C2">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0B98C7A7">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8</w:t>
            </w:r>
          </w:p>
        </w:tc>
        <w:tc>
          <w:tcPr>
            <w:tcW w:w="443" w:type="pct"/>
            <w:noWrap w:val="0"/>
            <w:vAlign w:val="center"/>
          </w:tcPr>
          <w:p w14:paraId="58055B68">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highlight w:val="none"/>
                <w:lang w:val="en-US" w:eastAsia="zh-CN" w:bidi="ar"/>
              </w:rPr>
              <w:t>5040</w:t>
            </w:r>
          </w:p>
        </w:tc>
        <w:tc>
          <w:tcPr>
            <w:tcW w:w="285" w:type="pct"/>
            <w:noWrap w:val="0"/>
            <w:vAlign w:val="center"/>
          </w:tcPr>
          <w:p w14:paraId="7EF45FD3">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26D58839">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0.005143</w:t>
            </w:r>
          </w:p>
        </w:tc>
      </w:tr>
      <w:tr w14:paraId="57CA26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noWrap w:val="0"/>
            <w:vAlign w:val="center"/>
          </w:tcPr>
          <w:p w14:paraId="3DB86FC8">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w:t>
            </w:r>
          </w:p>
        </w:tc>
        <w:tc>
          <w:tcPr>
            <w:tcW w:w="313" w:type="pct"/>
            <w:noWrap w:val="0"/>
            <w:vAlign w:val="center"/>
          </w:tcPr>
          <w:p w14:paraId="3E74B59D">
            <w:pPr>
              <w:tabs>
                <w:tab w:val="left" w:pos="1517"/>
              </w:tabs>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石灰石粉仓</w:t>
            </w:r>
          </w:p>
        </w:tc>
        <w:tc>
          <w:tcPr>
            <w:tcW w:w="503" w:type="pct"/>
            <w:noWrap w:val="0"/>
            <w:vAlign w:val="center"/>
          </w:tcPr>
          <w:p w14:paraId="5D2B8610">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66" w:type="pct"/>
            <w:noWrap w:val="0"/>
            <w:vAlign w:val="center"/>
          </w:tcPr>
          <w:p w14:paraId="4D8D552C">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43</w:t>
            </w:r>
          </w:p>
        </w:tc>
        <w:tc>
          <w:tcPr>
            <w:tcW w:w="413" w:type="pct"/>
            <w:noWrap w:val="0"/>
            <w:vAlign w:val="center"/>
          </w:tcPr>
          <w:p w14:paraId="0E09F77A">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46CC8A47">
            <w:pPr>
              <w:tabs>
                <w:tab w:val="left" w:pos="1517"/>
              </w:tabs>
              <w:spacing w:line="240" w:lineRule="auto"/>
              <w:ind w:firstLine="0" w:firstLineChars="0"/>
              <w:jc w:val="center"/>
              <w:rPr>
                <w:rFonts w:hint="eastAsia" w:ascii="Times New Roman" w:hAnsi="Times New Roman" w:eastAsia="宋体"/>
                <w:kern w:val="0"/>
                <w:sz w:val="21"/>
                <w:szCs w:val="21"/>
                <w:highlight w:val="none"/>
                <w:lang w:eastAsia="zh-CN"/>
              </w:rPr>
            </w:pPr>
            <w:r>
              <w:rPr>
                <w:rFonts w:hint="eastAsia" w:ascii="Times New Roman" w:hAnsi="Times New Roman"/>
                <w:kern w:val="0"/>
                <w:sz w:val="21"/>
                <w:szCs w:val="21"/>
                <w:highlight w:val="none"/>
                <w:lang w:val="en-US" w:eastAsia="zh-CN"/>
              </w:rPr>
              <w:t>5</w:t>
            </w:r>
          </w:p>
        </w:tc>
        <w:tc>
          <w:tcPr>
            <w:tcW w:w="374" w:type="pct"/>
            <w:noWrap w:val="0"/>
            <w:vAlign w:val="center"/>
          </w:tcPr>
          <w:p w14:paraId="446F8CCB">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5</w:t>
            </w:r>
          </w:p>
        </w:tc>
        <w:tc>
          <w:tcPr>
            <w:tcW w:w="365" w:type="pct"/>
            <w:noWrap w:val="0"/>
            <w:vAlign w:val="center"/>
          </w:tcPr>
          <w:p w14:paraId="7C4A5C98">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5FBFB23C">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6</w:t>
            </w:r>
          </w:p>
        </w:tc>
        <w:tc>
          <w:tcPr>
            <w:tcW w:w="443" w:type="pct"/>
            <w:noWrap w:val="0"/>
            <w:vAlign w:val="center"/>
          </w:tcPr>
          <w:p w14:paraId="5CEA2AAD">
            <w:pPr>
              <w:tabs>
                <w:tab w:val="left" w:pos="1517"/>
              </w:tabs>
              <w:spacing w:line="240" w:lineRule="auto"/>
              <w:ind w:firstLine="0" w:firstLineChars="0"/>
              <w:jc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285" w:type="pct"/>
            <w:noWrap w:val="0"/>
            <w:vAlign w:val="center"/>
          </w:tcPr>
          <w:p w14:paraId="0C69E45E">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6F3F6E6F">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0.00148</w:t>
            </w:r>
          </w:p>
        </w:tc>
      </w:tr>
      <w:tr w14:paraId="6BE3D3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2" w:type="pct"/>
            <w:noWrap w:val="0"/>
            <w:vAlign w:val="center"/>
          </w:tcPr>
          <w:p w14:paraId="002EB79F">
            <w:pPr>
              <w:tabs>
                <w:tab w:val="left" w:pos="1517"/>
              </w:tabs>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5</w:t>
            </w:r>
          </w:p>
        </w:tc>
        <w:tc>
          <w:tcPr>
            <w:tcW w:w="313" w:type="pct"/>
            <w:noWrap w:val="0"/>
            <w:vAlign w:val="center"/>
          </w:tcPr>
          <w:p w14:paraId="6ED24D7A">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储煤厂</w:t>
            </w:r>
          </w:p>
        </w:tc>
        <w:tc>
          <w:tcPr>
            <w:tcW w:w="503" w:type="pct"/>
            <w:noWrap w:val="0"/>
            <w:vAlign w:val="center"/>
          </w:tcPr>
          <w:p w14:paraId="14328DF6">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-36</w:t>
            </w:r>
          </w:p>
        </w:tc>
        <w:tc>
          <w:tcPr>
            <w:tcW w:w="466" w:type="pct"/>
            <w:noWrap w:val="0"/>
            <w:vAlign w:val="center"/>
          </w:tcPr>
          <w:p w14:paraId="3AB6EAA2">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46</w:t>
            </w:r>
          </w:p>
        </w:tc>
        <w:tc>
          <w:tcPr>
            <w:tcW w:w="413" w:type="pct"/>
            <w:noWrap w:val="0"/>
            <w:vAlign w:val="center"/>
          </w:tcPr>
          <w:p w14:paraId="23AFAB0F">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458</w:t>
            </w:r>
          </w:p>
        </w:tc>
        <w:tc>
          <w:tcPr>
            <w:tcW w:w="321" w:type="pct"/>
            <w:noWrap w:val="0"/>
            <w:vAlign w:val="center"/>
          </w:tcPr>
          <w:p w14:paraId="220C7D30">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65</w:t>
            </w:r>
          </w:p>
        </w:tc>
        <w:tc>
          <w:tcPr>
            <w:tcW w:w="374" w:type="pct"/>
            <w:noWrap w:val="0"/>
            <w:vAlign w:val="center"/>
          </w:tcPr>
          <w:p w14:paraId="29F4ABB3">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65</w:t>
            </w:r>
          </w:p>
        </w:tc>
        <w:tc>
          <w:tcPr>
            <w:tcW w:w="365" w:type="pct"/>
            <w:noWrap w:val="0"/>
            <w:vAlign w:val="center"/>
          </w:tcPr>
          <w:p w14:paraId="3893FA34">
            <w:pPr>
              <w:tabs>
                <w:tab w:val="left" w:pos="1517"/>
              </w:tabs>
              <w:spacing w:line="240" w:lineRule="auto"/>
              <w:ind w:firstLine="0" w:firstLineChars="0"/>
              <w:jc w:val="center"/>
              <w:rPr>
                <w:rFonts w:hint="eastAsia" w:ascii="Times New Roman" w:hAnsi="Times New Roman"/>
                <w:kern w:val="0"/>
                <w:sz w:val="21"/>
                <w:szCs w:val="21"/>
                <w:highlight w:val="none"/>
              </w:rPr>
            </w:pPr>
            <w:r>
              <w:rPr>
                <w:rFonts w:hint="eastAsia" w:ascii="Times New Roman" w:hAnsi="Times New Roman"/>
                <w:kern w:val="0"/>
                <w:sz w:val="21"/>
                <w:szCs w:val="21"/>
                <w:highlight w:val="none"/>
              </w:rPr>
              <w:t>0</w:t>
            </w:r>
          </w:p>
        </w:tc>
        <w:tc>
          <w:tcPr>
            <w:tcW w:w="440" w:type="pct"/>
            <w:noWrap w:val="0"/>
            <w:vAlign w:val="center"/>
          </w:tcPr>
          <w:p w14:paraId="45639131">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10</w:t>
            </w:r>
          </w:p>
        </w:tc>
        <w:tc>
          <w:tcPr>
            <w:tcW w:w="443" w:type="pct"/>
            <w:noWrap w:val="0"/>
            <w:vAlign w:val="center"/>
          </w:tcPr>
          <w:p w14:paraId="6512CB38">
            <w:pPr>
              <w:tabs>
                <w:tab w:val="left" w:pos="1517"/>
              </w:tabs>
              <w:spacing w:line="240" w:lineRule="auto"/>
              <w:ind w:firstLine="0" w:firstLineChars="0"/>
              <w:jc w:val="center"/>
              <w:rPr>
                <w:rFonts w:hint="default" w:ascii="Times New Roman" w:hAnsi="Times New Roman" w:eastAsia="宋体"/>
                <w:kern w:val="0"/>
                <w:sz w:val="21"/>
                <w:highlight w:val="none"/>
                <w:lang w:val="en-US" w:eastAsia="zh-CN" w:bidi="ar"/>
              </w:rPr>
            </w:pPr>
            <w:r>
              <w:rPr>
                <w:rFonts w:hint="eastAsia" w:ascii="Times New Roman" w:hAnsi="Times New Roman"/>
                <w:kern w:val="0"/>
                <w:sz w:val="21"/>
                <w:highlight w:val="none"/>
                <w:lang w:val="en-US" w:eastAsia="zh-CN" w:bidi="ar"/>
              </w:rPr>
              <w:t>5040</w:t>
            </w:r>
          </w:p>
        </w:tc>
        <w:tc>
          <w:tcPr>
            <w:tcW w:w="285" w:type="pct"/>
            <w:noWrap w:val="0"/>
            <w:vAlign w:val="center"/>
          </w:tcPr>
          <w:p w14:paraId="6D5C1E11">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正常</w:t>
            </w:r>
          </w:p>
        </w:tc>
        <w:tc>
          <w:tcPr>
            <w:tcW w:w="850" w:type="pct"/>
            <w:noWrap w:val="0"/>
            <w:vAlign w:val="center"/>
          </w:tcPr>
          <w:p w14:paraId="2CF5C9EB">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0.146</w:t>
            </w:r>
          </w:p>
        </w:tc>
      </w:tr>
    </w:tbl>
    <w:p w14:paraId="28D08349">
      <w:pPr>
        <w:rPr>
          <w:rFonts w:hint="eastAsia" w:eastAsia="宋体"/>
          <w:color w:val="auto"/>
          <w:highlight w:val="none"/>
          <w:lang w:val="en-US" w:eastAsia="zh-CN"/>
        </w:rPr>
      </w:pPr>
      <w:r>
        <w:rPr>
          <w:rFonts w:hint="eastAsia"/>
          <w:color w:val="auto"/>
          <w:highlight w:val="none"/>
        </w:rPr>
        <w:t>根据本项目锅炉运行方式，本项目仅采暖期（11-4月）运行，非采暖期（5月-10月）不运行，因此，本项目源强排放参数中变化因子采暖期取1，非采暖期取0进行大气影响预测。</w:t>
      </w:r>
    </w:p>
    <w:p w14:paraId="0389102B">
      <w:pPr>
        <w:ind w:firstLine="0" w:firstLineChars="0"/>
        <w:jc w:val="center"/>
        <w:rPr>
          <w:rFonts w:hint="eastAsia" w:ascii="黑体" w:hAnsi="黑体" w:eastAsia="黑体" w:cs="黑体"/>
          <w:highlight w:val="none"/>
          <w:lang w:val="en-US" w:eastAsia="zh-CN"/>
        </w:rPr>
      </w:pPr>
      <w:r>
        <w:rPr>
          <w:rFonts w:hint="eastAsia" w:ascii="黑体" w:hAnsi="黑体" w:eastAsia="黑体" w:cs="黑体"/>
          <w:highlight w:val="none"/>
          <w:lang w:val="en-US" w:eastAsia="zh-CN"/>
        </w:rPr>
        <w:t>表</w:t>
      </w:r>
      <w:r>
        <w:rPr>
          <w:rFonts w:hint="eastAsia" w:ascii="Times New Roman" w:hAnsi="Times New Roman"/>
          <w:highlight w:val="none"/>
          <w:lang w:val="en-US" w:eastAsia="zh-CN"/>
        </w:rPr>
        <w:t>5.2-11</w:t>
      </w:r>
      <w:r>
        <w:rPr>
          <w:rFonts w:hint="eastAsia" w:ascii="黑体" w:hAnsi="黑体" w:eastAsia="黑体" w:cs="黑体"/>
          <w:highlight w:val="none"/>
          <w:lang w:val="en-US" w:eastAsia="zh-CN"/>
        </w:rPr>
        <w:t>本项目区域削减污染源的排放参数表</w:t>
      </w:r>
    </w:p>
    <w:tbl>
      <w:tblPr>
        <w:tblStyle w:val="17"/>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5" w:type="dxa"/>
          <w:bottom w:w="15" w:type="dxa"/>
          <w:right w:w="15" w:type="dxa"/>
        </w:tblCellMar>
      </w:tblPr>
      <w:tblGrid>
        <w:gridCol w:w="1089"/>
        <w:gridCol w:w="451"/>
        <w:gridCol w:w="702"/>
        <w:gridCol w:w="646"/>
        <w:gridCol w:w="994"/>
        <w:gridCol w:w="613"/>
        <w:gridCol w:w="800"/>
        <w:gridCol w:w="1388"/>
        <w:gridCol w:w="963"/>
        <w:gridCol w:w="792"/>
        <w:gridCol w:w="641"/>
        <w:gridCol w:w="1570"/>
        <w:gridCol w:w="1623"/>
        <w:gridCol w:w="1710"/>
      </w:tblGrid>
      <w:tr w14:paraId="73D7FB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389" w:type="pct"/>
            <w:vMerge w:val="restart"/>
            <w:tcBorders>
              <w:right w:val="single" w:color="000000" w:sz="4" w:space="0"/>
            </w:tcBorders>
            <w:shd w:val="clear" w:color="auto" w:fill="FFFFFF"/>
            <w:noWrap w:val="0"/>
            <w:vAlign w:val="center"/>
          </w:tcPr>
          <w:p w14:paraId="6FC12068">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编号</w:t>
            </w:r>
          </w:p>
        </w:tc>
        <w:tc>
          <w:tcPr>
            <w:tcW w:w="161" w:type="pct"/>
            <w:vMerge w:val="restart"/>
            <w:tcBorders>
              <w:left w:val="single" w:color="000000" w:sz="4" w:space="0"/>
              <w:right w:val="single" w:color="000000" w:sz="4" w:space="0"/>
            </w:tcBorders>
            <w:shd w:val="clear" w:color="auto" w:fill="FFFFFF"/>
            <w:noWrap w:val="0"/>
            <w:vAlign w:val="center"/>
          </w:tcPr>
          <w:p w14:paraId="0D6F781C">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名称</w:t>
            </w:r>
          </w:p>
        </w:tc>
        <w:tc>
          <w:tcPr>
            <w:tcW w:w="482" w:type="pct"/>
            <w:gridSpan w:val="2"/>
            <w:tcBorders>
              <w:left w:val="single" w:color="000000" w:sz="4" w:space="0"/>
              <w:right w:val="single" w:color="000000" w:sz="4" w:space="0"/>
            </w:tcBorders>
            <w:shd w:val="clear" w:color="auto" w:fill="FFFFFF"/>
            <w:noWrap w:val="0"/>
            <w:vAlign w:val="center"/>
          </w:tcPr>
          <w:p w14:paraId="491E0169">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排气筒底部中心坐标</w:t>
            </w:r>
            <w:r>
              <w:rPr>
                <w:rFonts w:hint="eastAsia" w:ascii="Times New Roman" w:hAnsi="Times New Roman"/>
                <w:color w:val="auto"/>
                <w:kern w:val="0"/>
                <w:sz w:val="21"/>
                <w:highlight w:val="none"/>
                <w:lang w:val="en-US" w:eastAsia="zh-CN" w:bidi="ar"/>
              </w:rPr>
              <w:t>/m</w:t>
            </w:r>
          </w:p>
        </w:tc>
        <w:tc>
          <w:tcPr>
            <w:tcW w:w="355" w:type="pct"/>
            <w:vMerge w:val="restart"/>
            <w:tcBorders>
              <w:left w:val="single" w:color="000000" w:sz="4" w:space="0"/>
              <w:right w:val="single" w:color="000000" w:sz="4" w:space="0"/>
            </w:tcBorders>
            <w:shd w:val="clear" w:color="auto" w:fill="FFFFFF"/>
            <w:noWrap w:val="0"/>
            <w:vAlign w:val="center"/>
          </w:tcPr>
          <w:p w14:paraId="41E2881B">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排气筒底部海拔高度/m</w:t>
            </w:r>
          </w:p>
        </w:tc>
        <w:tc>
          <w:tcPr>
            <w:tcW w:w="219" w:type="pct"/>
            <w:vMerge w:val="restart"/>
            <w:tcBorders>
              <w:left w:val="single" w:color="000000" w:sz="4" w:space="0"/>
              <w:right w:val="single" w:color="000000" w:sz="4" w:space="0"/>
            </w:tcBorders>
            <w:shd w:val="clear" w:color="auto" w:fill="FFFFFF"/>
            <w:noWrap w:val="0"/>
            <w:vAlign w:val="center"/>
          </w:tcPr>
          <w:p w14:paraId="520E4F5C">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排气筒高度/m</w:t>
            </w:r>
          </w:p>
        </w:tc>
        <w:tc>
          <w:tcPr>
            <w:tcW w:w="286" w:type="pct"/>
            <w:vMerge w:val="restart"/>
            <w:tcBorders>
              <w:left w:val="single" w:color="000000" w:sz="4" w:space="0"/>
              <w:right w:val="single" w:color="000000" w:sz="4" w:space="0"/>
            </w:tcBorders>
            <w:shd w:val="clear" w:color="auto" w:fill="FFFFFF"/>
            <w:noWrap w:val="0"/>
            <w:vAlign w:val="center"/>
          </w:tcPr>
          <w:p w14:paraId="08AACAE0">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排气筒出口内径/m</w:t>
            </w:r>
          </w:p>
        </w:tc>
        <w:tc>
          <w:tcPr>
            <w:tcW w:w="496" w:type="pct"/>
            <w:vMerge w:val="restart"/>
            <w:tcBorders>
              <w:left w:val="single" w:color="000000" w:sz="4" w:space="0"/>
              <w:right w:val="single" w:color="000000" w:sz="4" w:space="0"/>
            </w:tcBorders>
            <w:shd w:val="clear" w:color="auto" w:fill="FFFFFF"/>
            <w:noWrap w:val="0"/>
            <w:vAlign w:val="center"/>
          </w:tcPr>
          <w:p w14:paraId="2EF3B09F">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烟气流速/（m</w:t>
            </w:r>
            <w:r>
              <w:rPr>
                <w:rFonts w:ascii="Times New Roman" w:hAnsi="Times New Roman"/>
                <w:color w:val="auto"/>
                <w:kern w:val="0"/>
                <w:sz w:val="21"/>
                <w:highlight w:val="none"/>
                <w:vertAlign w:val="superscript"/>
                <w:lang w:bidi="ar"/>
              </w:rPr>
              <w:t>3</w:t>
            </w:r>
            <w:r>
              <w:rPr>
                <w:rFonts w:ascii="Times New Roman" w:hAnsi="Times New Roman"/>
                <w:color w:val="auto"/>
                <w:kern w:val="0"/>
                <w:sz w:val="21"/>
                <w:highlight w:val="none"/>
                <w:lang w:bidi="ar"/>
              </w:rPr>
              <w:t>/h）</w:t>
            </w:r>
          </w:p>
        </w:tc>
        <w:tc>
          <w:tcPr>
            <w:tcW w:w="344" w:type="pct"/>
            <w:vMerge w:val="restart"/>
            <w:tcBorders>
              <w:left w:val="single" w:color="000000" w:sz="4" w:space="0"/>
              <w:right w:val="single" w:color="000000" w:sz="4" w:space="0"/>
            </w:tcBorders>
            <w:shd w:val="clear" w:color="auto" w:fill="FFFFFF"/>
            <w:noWrap w:val="0"/>
            <w:vAlign w:val="center"/>
          </w:tcPr>
          <w:p w14:paraId="10078786">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烟气温度/</w:t>
            </w:r>
            <w:r>
              <w:rPr>
                <w:rFonts w:hint="eastAsia" w:ascii="宋体" w:hAnsi="宋体" w:cs="宋体"/>
                <w:color w:val="auto"/>
                <w:kern w:val="0"/>
                <w:sz w:val="21"/>
                <w:highlight w:val="none"/>
                <w:lang w:bidi="ar"/>
              </w:rPr>
              <w:t>℃</w:t>
            </w:r>
          </w:p>
        </w:tc>
        <w:tc>
          <w:tcPr>
            <w:tcW w:w="283" w:type="pct"/>
            <w:vMerge w:val="restart"/>
            <w:tcBorders>
              <w:left w:val="single" w:color="000000" w:sz="4" w:space="0"/>
              <w:right w:val="single" w:color="000000" w:sz="4" w:space="0"/>
            </w:tcBorders>
            <w:shd w:val="clear" w:color="auto" w:fill="FFFFFF"/>
            <w:noWrap w:val="0"/>
            <w:vAlign w:val="center"/>
          </w:tcPr>
          <w:p w14:paraId="77ABBB00">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年排放小时数/h</w:t>
            </w:r>
          </w:p>
        </w:tc>
        <w:tc>
          <w:tcPr>
            <w:tcW w:w="229" w:type="pct"/>
            <w:vMerge w:val="restart"/>
            <w:tcBorders>
              <w:left w:val="single" w:color="000000" w:sz="4" w:space="0"/>
              <w:right w:val="single" w:color="000000" w:sz="4" w:space="0"/>
            </w:tcBorders>
            <w:shd w:val="clear" w:color="auto" w:fill="FFFFFF"/>
            <w:noWrap w:val="0"/>
            <w:vAlign w:val="center"/>
          </w:tcPr>
          <w:p w14:paraId="2487FE6E">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kern w:val="0"/>
                <w:sz w:val="21"/>
                <w:highlight w:val="none"/>
                <w:lang w:bidi="ar"/>
              </w:rPr>
              <w:t>排放工况</w:t>
            </w:r>
          </w:p>
        </w:tc>
        <w:tc>
          <w:tcPr>
            <w:tcW w:w="1752" w:type="pct"/>
            <w:gridSpan w:val="3"/>
            <w:tcBorders>
              <w:left w:val="single" w:color="000000" w:sz="4" w:space="0"/>
              <w:right w:val="nil"/>
            </w:tcBorders>
            <w:shd w:val="clear" w:color="auto" w:fill="FFFFFF"/>
            <w:noWrap w:val="0"/>
            <w:vAlign w:val="center"/>
          </w:tcPr>
          <w:p w14:paraId="60042F12">
            <w:pPr>
              <w:widowControl/>
              <w:spacing w:line="240" w:lineRule="auto"/>
              <w:ind w:firstLine="0" w:firstLineChars="0"/>
              <w:jc w:val="center"/>
              <w:textAlignment w:val="center"/>
              <w:rPr>
                <w:rFonts w:ascii="Times New Roman" w:hAnsi="Times New Roman"/>
                <w:color w:val="auto"/>
                <w:kern w:val="0"/>
                <w:sz w:val="21"/>
                <w:highlight w:val="none"/>
                <w:lang w:bidi="ar"/>
              </w:rPr>
            </w:pPr>
            <w:r>
              <w:rPr>
                <w:rFonts w:ascii="Times New Roman" w:hAnsi="Times New Roman"/>
                <w:color w:val="auto"/>
                <w:kern w:val="0"/>
                <w:sz w:val="21"/>
                <w:highlight w:val="none"/>
                <w:lang w:bidi="ar"/>
              </w:rPr>
              <w:t>污染物排放速率/kg/h</w:t>
            </w:r>
          </w:p>
        </w:tc>
      </w:tr>
      <w:tr w14:paraId="3DCB90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389" w:type="pct"/>
            <w:vMerge w:val="continue"/>
            <w:tcBorders>
              <w:right w:val="single" w:color="000000" w:sz="4" w:space="0"/>
            </w:tcBorders>
            <w:shd w:val="clear" w:color="auto" w:fill="FFFFFF"/>
            <w:noWrap w:val="0"/>
            <w:vAlign w:val="center"/>
          </w:tcPr>
          <w:p w14:paraId="19DE0021">
            <w:pPr>
              <w:spacing w:line="240" w:lineRule="auto"/>
              <w:ind w:firstLine="0" w:firstLineChars="0"/>
              <w:jc w:val="center"/>
              <w:rPr>
                <w:rFonts w:ascii="Times New Roman" w:hAnsi="Times New Roman"/>
                <w:color w:val="auto"/>
                <w:kern w:val="0"/>
                <w:sz w:val="21"/>
                <w:highlight w:val="none"/>
              </w:rPr>
            </w:pPr>
          </w:p>
        </w:tc>
        <w:tc>
          <w:tcPr>
            <w:tcW w:w="161" w:type="pct"/>
            <w:vMerge w:val="continue"/>
            <w:tcBorders>
              <w:left w:val="single" w:color="000000" w:sz="4" w:space="0"/>
              <w:right w:val="single" w:color="000000" w:sz="4" w:space="0"/>
            </w:tcBorders>
            <w:shd w:val="clear" w:color="auto" w:fill="FFFFFF"/>
            <w:noWrap w:val="0"/>
            <w:vAlign w:val="center"/>
          </w:tcPr>
          <w:p w14:paraId="07D23001">
            <w:pPr>
              <w:spacing w:line="240" w:lineRule="auto"/>
              <w:ind w:firstLine="0" w:firstLineChars="0"/>
              <w:jc w:val="center"/>
              <w:rPr>
                <w:rFonts w:ascii="Times New Roman" w:hAnsi="Times New Roman"/>
                <w:color w:val="auto"/>
                <w:kern w:val="0"/>
                <w:sz w:val="21"/>
                <w:highlight w:val="none"/>
              </w:rPr>
            </w:pPr>
          </w:p>
        </w:tc>
        <w:tc>
          <w:tcPr>
            <w:tcW w:w="251" w:type="pct"/>
            <w:tcBorders>
              <w:left w:val="single" w:color="000000" w:sz="4" w:space="0"/>
              <w:right w:val="single" w:color="000000" w:sz="4" w:space="0"/>
            </w:tcBorders>
            <w:shd w:val="clear" w:color="auto" w:fill="FFFFFF"/>
            <w:noWrap w:val="0"/>
            <w:vAlign w:val="center"/>
          </w:tcPr>
          <w:p w14:paraId="344FDBF3">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color w:val="auto"/>
                <w:kern w:val="0"/>
                <w:sz w:val="21"/>
                <w:highlight w:val="none"/>
                <w:lang w:val="en-US" w:eastAsia="zh-CN" w:bidi="ar"/>
              </w:rPr>
              <w:t>X</w:t>
            </w:r>
          </w:p>
        </w:tc>
        <w:tc>
          <w:tcPr>
            <w:tcW w:w="230" w:type="pct"/>
            <w:tcBorders>
              <w:left w:val="single" w:color="000000" w:sz="4" w:space="0"/>
              <w:right w:val="single" w:color="000000" w:sz="4" w:space="0"/>
            </w:tcBorders>
            <w:shd w:val="clear" w:color="auto" w:fill="FFFFFF"/>
            <w:noWrap w:val="0"/>
            <w:vAlign w:val="center"/>
          </w:tcPr>
          <w:p w14:paraId="48ED0DA9">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color w:val="auto"/>
                <w:kern w:val="0"/>
                <w:sz w:val="21"/>
                <w:highlight w:val="none"/>
                <w:lang w:val="en-US" w:eastAsia="zh-CN" w:bidi="ar"/>
              </w:rPr>
              <w:t>Y</w:t>
            </w:r>
          </w:p>
        </w:tc>
        <w:tc>
          <w:tcPr>
            <w:tcW w:w="355" w:type="pct"/>
            <w:vMerge w:val="continue"/>
            <w:tcBorders>
              <w:left w:val="single" w:color="000000" w:sz="4" w:space="0"/>
              <w:right w:val="single" w:color="000000" w:sz="4" w:space="0"/>
            </w:tcBorders>
            <w:shd w:val="clear" w:color="auto" w:fill="FFFFFF"/>
            <w:noWrap w:val="0"/>
            <w:vAlign w:val="center"/>
          </w:tcPr>
          <w:p w14:paraId="77162172">
            <w:pPr>
              <w:spacing w:line="240" w:lineRule="auto"/>
              <w:ind w:firstLine="0" w:firstLineChars="0"/>
              <w:jc w:val="center"/>
              <w:rPr>
                <w:rFonts w:ascii="Times New Roman" w:hAnsi="Times New Roman"/>
                <w:color w:val="auto"/>
                <w:kern w:val="0"/>
                <w:sz w:val="21"/>
                <w:highlight w:val="none"/>
              </w:rPr>
            </w:pPr>
          </w:p>
        </w:tc>
        <w:tc>
          <w:tcPr>
            <w:tcW w:w="219" w:type="pct"/>
            <w:vMerge w:val="continue"/>
            <w:tcBorders>
              <w:left w:val="single" w:color="000000" w:sz="4" w:space="0"/>
              <w:right w:val="single" w:color="000000" w:sz="4" w:space="0"/>
            </w:tcBorders>
            <w:shd w:val="clear" w:color="auto" w:fill="FFFFFF"/>
            <w:noWrap w:val="0"/>
            <w:vAlign w:val="center"/>
          </w:tcPr>
          <w:p w14:paraId="49C1050E">
            <w:pPr>
              <w:spacing w:line="240" w:lineRule="auto"/>
              <w:ind w:firstLine="0" w:firstLineChars="0"/>
              <w:jc w:val="center"/>
              <w:rPr>
                <w:rFonts w:ascii="Times New Roman" w:hAnsi="Times New Roman"/>
                <w:color w:val="auto"/>
                <w:kern w:val="0"/>
                <w:sz w:val="21"/>
                <w:highlight w:val="none"/>
              </w:rPr>
            </w:pPr>
          </w:p>
        </w:tc>
        <w:tc>
          <w:tcPr>
            <w:tcW w:w="286" w:type="pct"/>
            <w:vMerge w:val="continue"/>
            <w:tcBorders>
              <w:left w:val="single" w:color="000000" w:sz="4" w:space="0"/>
              <w:right w:val="single" w:color="000000" w:sz="4" w:space="0"/>
            </w:tcBorders>
            <w:shd w:val="clear" w:color="auto" w:fill="FFFFFF"/>
            <w:noWrap w:val="0"/>
            <w:vAlign w:val="center"/>
          </w:tcPr>
          <w:p w14:paraId="7C4B44CD">
            <w:pPr>
              <w:spacing w:line="240" w:lineRule="auto"/>
              <w:ind w:firstLine="0" w:firstLineChars="0"/>
              <w:jc w:val="center"/>
              <w:rPr>
                <w:rFonts w:ascii="Times New Roman" w:hAnsi="Times New Roman"/>
                <w:color w:val="auto"/>
                <w:kern w:val="0"/>
                <w:sz w:val="21"/>
                <w:highlight w:val="none"/>
              </w:rPr>
            </w:pPr>
          </w:p>
        </w:tc>
        <w:tc>
          <w:tcPr>
            <w:tcW w:w="496" w:type="pct"/>
            <w:vMerge w:val="continue"/>
            <w:tcBorders>
              <w:left w:val="single" w:color="000000" w:sz="4" w:space="0"/>
              <w:right w:val="single" w:color="000000" w:sz="4" w:space="0"/>
            </w:tcBorders>
            <w:shd w:val="clear" w:color="auto" w:fill="FFFFFF"/>
            <w:noWrap w:val="0"/>
            <w:vAlign w:val="center"/>
          </w:tcPr>
          <w:p w14:paraId="0239F8CA">
            <w:pPr>
              <w:spacing w:line="240" w:lineRule="auto"/>
              <w:ind w:firstLine="0" w:firstLineChars="0"/>
              <w:jc w:val="center"/>
              <w:rPr>
                <w:rFonts w:ascii="Times New Roman" w:hAnsi="Times New Roman"/>
                <w:color w:val="auto"/>
                <w:kern w:val="0"/>
                <w:sz w:val="21"/>
                <w:highlight w:val="none"/>
              </w:rPr>
            </w:pPr>
          </w:p>
        </w:tc>
        <w:tc>
          <w:tcPr>
            <w:tcW w:w="344" w:type="pct"/>
            <w:vMerge w:val="continue"/>
            <w:tcBorders>
              <w:left w:val="single" w:color="000000" w:sz="4" w:space="0"/>
              <w:right w:val="single" w:color="000000" w:sz="4" w:space="0"/>
            </w:tcBorders>
            <w:shd w:val="clear" w:color="auto" w:fill="FFFFFF"/>
            <w:noWrap w:val="0"/>
            <w:vAlign w:val="center"/>
          </w:tcPr>
          <w:p w14:paraId="19316B3D">
            <w:pPr>
              <w:spacing w:line="240" w:lineRule="auto"/>
              <w:ind w:firstLine="0" w:firstLineChars="0"/>
              <w:jc w:val="center"/>
              <w:rPr>
                <w:rFonts w:ascii="Times New Roman" w:hAnsi="Times New Roman"/>
                <w:color w:val="auto"/>
                <w:kern w:val="0"/>
                <w:sz w:val="21"/>
                <w:highlight w:val="none"/>
              </w:rPr>
            </w:pPr>
          </w:p>
        </w:tc>
        <w:tc>
          <w:tcPr>
            <w:tcW w:w="283" w:type="pct"/>
            <w:vMerge w:val="continue"/>
            <w:tcBorders>
              <w:left w:val="single" w:color="000000" w:sz="4" w:space="0"/>
              <w:right w:val="single" w:color="000000" w:sz="4" w:space="0"/>
            </w:tcBorders>
            <w:shd w:val="clear" w:color="auto" w:fill="FFFFFF"/>
            <w:noWrap w:val="0"/>
            <w:vAlign w:val="center"/>
          </w:tcPr>
          <w:p w14:paraId="2EE5AE6B">
            <w:pPr>
              <w:spacing w:line="240" w:lineRule="auto"/>
              <w:ind w:firstLine="0" w:firstLineChars="0"/>
              <w:jc w:val="center"/>
              <w:rPr>
                <w:rFonts w:ascii="Times New Roman" w:hAnsi="Times New Roman"/>
                <w:color w:val="auto"/>
                <w:kern w:val="0"/>
                <w:sz w:val="21"/>
                <w:highlight w:val="none"/>
              </w:rPr>
            </w:pPr>
          </w:p>
        </w:tc>
        <w:tc>
          <w:tcPr>
            <w:tcW w:w="229" w:type="pct"/>
            <w:vMerge w:val="continue"/>
            <w:tcBorders>
              <w:left w:val="single" w:color="000000" w:sz="4" w:space="0"/>
              <w:right w:val="single" w:color="000000" w:sz="4" w:space="0"/>
            </w:tcBorders>
            <w:shd w:val="clear" w:color="auto" w:fill="FFFFFF"/>
            <w:noWrap w:val="0"/>
            <w:vAlign w:val="center"/>
          </w:tcPr>
          <w:p w14:paraId="59D15F7D">
            <w:pPr>
              <w:spacing w:line="240" w:lineRule="auto"/>
              <w:ind w:firstLine="0" w:firstLineChars="0"/>
              <w:jc w:val="center"/>
              <w:rPr>
                <w:rFonts w:ascii="Times New Roman" w:hAnsi="Times New Roman"/>
                <w:color w:val="auto"/>
                <w:kern w:val="0"/>
                <w:sz w:val="21"/>
                <w:highlight w:val="none"/>
              </w:rPr>
            </w:pPr>
          </w:p>
        </w:tc>
        <w:tc>
          <w:tcPr>
            <w:tcW w:w="561" w:type="pct"/>
            <w:tcBorders>
              <w:left w:val="single" w:color="000000" w:sz="4" w:space="0"/>
              <w:right w:val="single" w:color="000000" w:sz="4" w:space="0"/>
            </w:tcBorders>
            <w:shd w:val="clear" w:color="auto" w:fill="FFFFFF"/>
            <w:noWrap w:val="0"/>
            <w:vAlign w:val="center"/>
          </w:tcPr>
          <w:p w14:paraId="756A913B">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sz w:val="21"/>
                <w:highlight w:val="none"/>
              </w:rPr>
              <w:t>PM</w:t>
            </w:r>
            <w:r>
              <w:rPr>
                <w:rFonts w:ascii="Times New Roman" w:hAnsi="Times New Roman"/>
                <w:color w:val="auto"/>
                <w:sz w:val="21"/>
                <w:highlight w:val="none"/>
                <w:vertAlign w:val="subscript"/>
              </w:rPr>
              <w:t>10</w:t>
            </w:r>
          </w:p>
        </w:tc>
        <w:tc>
          <w:tcPr>
            <w:tcW w:w="580" w:type="pct"/>
            <w:tcBorders>
              <w:left w:val="single" w:color="000000" w:sz="4" w:space="0"/>
              <w:right w:val="single" w:color="000000" w:sz="4" w:space="0"/>
            </w:tcBorders>
            <w:shd w:val="clear" w:color="auto" w:fill="FFFFFF"/>
            <w:noWrap w:val="0"/>
            <w:vAlign w:val="center"/>
          </w:tcPr>
          <w:p w14:paraId="1B0F74D8">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color w:val="auto"/>
                <w:sz w:val="21"/>
                <w:highlight w:val="none"/>
              </w:rPr>
              <w:t>SO</w:t>
            </w:r>
            <w:r>
              <w:rPr>
                <w:rFonts w:ascii="Times New Roman" w:hAnsi="Times New Roman"/>
                <w:color w:val="auto"/>
                <w:sz w:val="21"/>
                <w:highlight w:val="none"/>
                <w:vertAlign w:val="subscript"/>
              </w:rPr>
              <w:t>2</w:t>
            </w:r>
          </w:p>
        </w:tc>
        <w:tc>
          <w:tcPr>
            <w:tcW w:w="611" w:type="pct"/>
            <w:tcBorders>
              <w:left w:val="single" w:color="000000" w:sz="4" w:space="0"/>
              <w:right w:val="nil"/>
            </w:tcBorders>
            <w:noWrap w:val="0"/>
            <w:vAlign w:val="center"/>
          </w:tcPr>
          <w:p w14:paraId="20301D25">
            <w:pPr>
              <w:widowControl/>
              <w:spacing w:line="240" w:lineRule="auto"/>
              <w:ind w:firstLine="0" w:firstLineChars="0"/>
              <w:jc w:val="center"/>
              <w:textAlignment w:val="center"/>
              <w:rPr>
                <w:rFonts w:ascii="Times New Roman" w:hAnsi="Times New Roman"/>
                <w:color w:val="auto"/>
                <w:sz w:val="21"/>
                <w:highlight w:val="none"/>
              </w:rPr>
            </w:pPr>
            <w:r>
              <w:rPr>
                <w:rFonts w:ascii="Times New Roman" w:hAnsi="Times New Roman"/>
                <w:color w:val="auto"/>
                <w:sz w:val="21"/>
                <w:highlight w:val="none"/>
              </w:rPr>
              <w:t>NO</w:t>
            </w:r>
            <w:r>
              <w:rPr>
                <w:rFonts w:ascii="Times New Roman" w:hAnsi="Times New Roman"/>
                <w:color w:val="auto"/>
                <w:sz w:val="21"/>
                <w:highlight w:val="none"/>
                <w:vertAlign w:val="subscript"/>
              </w:rPr>
              <w:t>2</w:t>
            </w:r>
          </w:p>
        </w:tc>
      </w:tr>
      <w:tr w14:paraId="638678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cantSplit/>
          <w:trHeight w:val="0" w:hRule="atLeast"/>
          <w:jc w:val="center"/>
        </w:trPr>
        <w:tc>
          <w:tcPr>
            <w:tcW w:w="389" w:type="pct"/>
            <w:tcBorders>
              <w:right w:val="single" w:color="000000" w:sz="4" w:space="0"/>
            </w:tcBorders>
            <w:noWrap w:val="0"/>
            <w:vAlign w:val="center"/>
          </w:tcPr>
          <w:p w14:paraId="54D19B4A">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ascii="Times New Roman" w:hAnsi="Times New Roman"/>
                <w:kern w:val="0"/>
                <w:sz w:val="21"/>
                <w:highlight w:val="none"/>
                <w:lang w:bidi="ar"/>
              </w:rPr>
              <w:t>DA00</w:t>
            </w:r>
            <w:r>
              <w:rPr>
                <w:rFonts w:hint="eastAsia" w:ascii="Times New Roman" w:hAnsi="Times New Roman"/>
                <w:kern w:val="0"/>
                <w:sz w:val="21"/>
                <w:highlight w:val="none"/>
                <w:lang w:val="en-US" w:eastAsia="zh-CN" w:bidi="ar"/>
              </w:rPr>
              <w:t>1</w:t>
            </w:r>
          </w:p>
        </w:tc>
        <w:tc>
          <w:tcPr>
            <w:tcW w:w="161" w:type="pct"/>
            <w:tcBorders>
              <w:left w:val="single" w:color="000000" w:sz="4" w:space="0"/>
              <w:right w:val="single" w:color="000000" w:sz="4" w:space="0"/>
            </w:tcBorders>
            <w:noWrap w:val="0"/>
            <w:vAlign w:val="center"/>
          </w:tcPr>
          <w:p w14:paraId="731BB360">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kern w:val="0"/>
                <w:sz w:val="21"/>
                <w:highlight w:val="none"/>
                <w:lang w:val="en-US" w:eastAsia="zh-CN"/>
              </w:rPr>
              <w:t>锅炉排气筒</w:t>
            </w:r>
          </w:p>
        </w:tc>
        <w:tc>
          <w:tcPr>
            <w:tcW w:w="251" w:type="pct"/>
            <w:tcBorders>
              <w:left w:val="single" w:color="000000" w:sz="4" w:space="0"/>
              <w:right w:val="single" w:color="000000" w:sz="4" w:space="0"/>
            </w:tcBorders>
            <w:noWrap w:val="0"/>
            <w:vAlign w:val="center"/>
          </w:tcPr>
          <w:p w14:paraId="2856BE3E">
            <w:pPr>
              <w:tabs>
                <w:tab w:val="left" w:pos="1517"/>
              </w:tabs>
              <w:spacing w:line="240" w:lineRule="auto"/>
              <w:ind w:firstLine="0" w:firstLineChars="0"/>
              <w:jc w:val="center"/>
              <w:rPr>
                <w:rFonts w:ascii="Times New Roman" w:hAnsi="Times New Roman"/>
                <w:color w:val="auto"/>
                <w:kern w:val="0"/>
                <w:sz w:val="21"/>
                <w:highlight w:val="none"/>
              </w:rPr>
            </w:pPr>
            <w:r>
              <w:rPr>
                <w:rFonts w:hint="eastAsia" w:ascii="Times New Roman" w:hAnsi="Times New Roman"/>
                <w:kern w:val="0"/>
                <w:sz w:val="21"/>
                <w:szCs w:val="21"/>
                <w:highlight w:val="none"/>
                <w:lang w:val="en-US" w:eastAsia="zh-CN"/>
              </w:rPr>
              <w:t>21</w:t>
            </w:r>
          </w:p>
        </w:tc>
        <w:tc>
          <w:tcPr>
            <w:tcW w:w="230" w:type="pct"/>
            <w:tcBorders>
              <w:left w:val="single" w:color="000000" w:sz="4" w:space="0"/>
              <w:right w:val="single" w:color="000000" w:sz="4" w:space="0"/>
            </w:tcBorders>
            <w:noWrap w:val="0"/>
            <w:vAlign w:val="center"/>
          </w:tcPr>
          <w:p w14:paraId="7F328934">
            <w:pPr>
              <w:tabs>
                <w:tab w:val="left" w:pos="1517"/>
              </w:tabs>
              <w:spacing w:line="240" w:lineRule="auto"/>
              <w:ind w:firstLine="0" w:firstLineChars="0"/>
              <w:jc w:val="center"/>
              <w:rPr>
                <w:rFonts w:ascii="Times New Roman" w:hAnsi="Times New Roman"/>
                <w:color w:val="auto"/>
                <w:kern w:val="0"/>
                <w:sz w:val="21"/>
                <w:highlight w:val="none"/>
              </w:rPr>
            </w:pPr>
            <w:r>
              <w:rPr>
                <w:rFonts w:hint="eastAsia" w:ascii="Times New Roman" w:hAnsi="Times New Roman"/>
                <w:kern w:val="0"/>
                <w:sz w:val="21"/>
                <w:szCs w:val="21"/>
                <w:highlight w:val="none"/>
                <w:lang w:val="en-US" w:eastAsia="zh-CN"/>
              </w:rPr>
              <w:t>14</w:t>
            </w:r>
          </w:p>
        </w:tc>
        <w:tc>
          <w:tcPr>
            <w:tcW w:w="355" w:type="pct"/>
            <w:tcBorders>
              <w:left w:val="single" w:color="000000" w:sz="4" w:space="0"/>
              <w:right w:val="single" w:color="000000" w:sz="4" w:space="0"/>
            </w:tcBorders>
            <w:noWrap w:val="0"/>
            <w:vAlign w:val="center"/>
          </w:tcPr>
          <w:p w14:paraId="72D6052F">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kern w:val="0"/>
                <w:sz w:val="21"/>
                <w:highlight w:val="none"/>
                <w:lang w:val="en-US" w:eastAsia="zh-CN"/>
              </w:rPr>
              <w:t>458</w:t>
            </w:r>
          </w:p>
        </w:tc>
        <w:tc>
          <w:tcPr>
            <w:tcW w:w="219" w:type="pct"/>
            <w:tcBorders>
              <w:left w:val="single" w:color="000000" w:sz="4" w:space="0"/>
              <w:right w:val="single" w:color="000000" w:sz="4" w:space="0"/>
            </w:tcBorders>
            <w:noWrap w:val="0"/>
            <w:vAlign w:val="center"/>
          </w:tcPr>
          <w:p w14:paraId="6ED8C4D1">
            <w:pPr>
              <w:widowControl/>
              <w:spacing w:line="240" w:lineRule="auto"/>
              <w:ind w:firstLine="0" w:firstLineChars="0"/>
              <w:jc w:val="center"/>
              <w:textAlignment w:val="center"/>
              <w:rPr>
                <w:rFonts w:ascii="Times New Roman" w:hAnsi="Times New Roman"/>
                <w:color w:val="auto"/>
                <w:kern w:val="0"/>
                <w:sz w:val="21"/>
                <w:highlight w:val="none"/>
              </w:rPr>
            </w:pPr>
            <w:r>
              <w:rPr>
                <w:rFonts w:hint="eastAsia" w:ascii="Times New Roman" w:hAnsi="Times New Roman"/>
                <w:kern w:val="0"/>
                <w:sz w:val="21"/>
                <w:highlight w:val="none"/>
                <w:lang w:val="en-US" w:eastAsia="zh-CN"/>
              </w:rPr>
              <w:t>60</w:t>
            </w:r>
          </w:p>
        </w:tc>
        <w:tc>
          <w:tcPr>
            <w:tcW w:w="286" w:type="pct"/>
            <w:tcBorders>
              <w:left w:val="single" w:color="000000" w:sz="4" w:space="0"/>
              <w:right w:val="single" w:color="000000" w:sz="4" w:space="0"/>
            </w:tcBorders>
            <w:noWrap w:val="0"/>
            <w:vAlign w:val="center"/>
          </w:tcPr>
          <w:p w14:paraId="7E524C41">
            <w:pPr>
              <w:widowControl/>
              <w:spacing w:line="240" w:lineRule="auto"/>
              <w:ind w:firstLine="0" w:firstLineChars="0"/>
              <w:jc w:val="center"/>
              <w:textAlignment w:val="center"/>
              <w:rPr>
                <w:rFonts w:hint="eastAsia" w:ascii="Times New Roman" w:hAnsi="Times New Roman" w:eastAsia="宋体"/>
                <w:color w:val="auto"/>
                <w:kern w:val="0"/>
                <w:sz w:val="21"/>
                <w:highlight w:val="none"/>
                <w:lang w:eastAsia="zh-CN"/>
              </w:rPr>
            </w:pPr>
            <w:r>
              <w:rPr>
                <w:rFonts w:hint="eastAsia" w:ascii="Times New Roman" w:hAnsi="Times New Roman"/>
                <w:kern w:val="0"/>
                <w:sz w:val="21"/>
                <w:highlight w:val="none"/>
                <w:lang w:val="en-US" w:eastAsia="zh-CN"/>
              </w:rPr>
              <w:t>4</w:t>
            </w:r>
          </w:p>
        </w:tc>
        <w:tc>
          <w:tcPr>
            <w:tcW w:w="496" w:type="pct"/>
            <w:tcBorders>
              <w:left w:val="single" w:color="000000" w:sz="4" w:space="0"/>
              <w:right w:val="single" w:color="000000" w:sz="4" w:space="0"/>
            </w:tcBorders>
            <w:noWrap w:val="0"/>
            <w:vAlign w:val="center"/>
          </w:tcPr>
          <w:p w14:paraId="1608B424">
            <w:pPr>
              <w:widowControl/>
              <w:spacing w:line="240" w:lineRule="auto"/>
              <w:ind w:firstLine="0" w:firstLineChars="0"/>
              <w:jc w:val="center"/>
              <w:textAlignment w:val="center"/>
              <w:rPr>
                <w:rFonts w:hint="default" w:ascii="Times New Roman" w:hAnsi="Times New Roman"/>
                <w:color w:val="auto"/>
                <w:kern w:val="0"/>
                <w:sz w:val="21"/>
                <w:highlight w:val="none"/>
                <w:lang w:val="en-US"/>
              </w:rPr>
            </w:pPr>
            <w:r>
              <w:rPr>
                <w:rFonts w:hint="eastAsia" w:ascii="Times New Roman" w:hAnsi="Times New Roman"/>
                <w:kern w:val="0"/>
                <w:sz w:val="21"/>
                <w:highlight w:val="none"/>
                <w:lang w:val="en-US" w:eastAsia="zh-CN"/>
              </w:rPr>
              <w:t>137417.48</w:t>
            </w:r>
          </w:p>
        </w:tc>
        <w:tc>
          <w:tcPr>
            <w:tcW w:w="344" w:type="pct"/>
            <w:tcBorders>
              <w:left w:val="single" w:color="000000" w:sz="4" w:space="0"/>
              <w:right w:val="single" w:color="000000" w:sz="4" w:space="0"/>
            </w:tcBorders>
            <w:noWrap w:val="0"/>
            <w:vAlign w:val="center"/>
          </w:tcPr>
          <w:p w14:paraId="76567079">
            <w:pPr>
              <w:widowControl/>
              <w:spacing w:line="240" w:lineRule="auto"/>
              <w:ind w:firstLine="0" w:firstLineChars="0"/>
              <w:jc w:val="center"/>
              <w:textAlignment w:val="center"/>
              <w:rPr>
                <w:rFonts w:ascii="Times New Roman" w:hAnsi="Times New Roman"/>
                <w:color w:val="auto"/>
                <w:kern w:val="0"/>
                <w:sz w:val="21"/>
                <w:highlight w:val="none"/>
              </w:rPr>
            </w:pPr>
            <w:r>
              <w:rPr>
                <w:rFonts w:hint="eastAsia" w:ascii="Times New Roman" w:hAnsi="Times New Roman"/>
                <w:kern w:val="0"/>
                <w:sz w:val="21"/>
                <w:highlight w:val="none"/>
                <w:lang w:val="en-US" w:eastAsia="zh-CN"/>
              </w:rPr>
              <w:t>100</w:t>
            </w:r>
          </w:p>
        </w:tc>
        <w:tc>
          <w:tcPr>
            <w:tcW w:w="283" w:type="pct"/>
            <w:tcBorders>
              <w:left w:val="single" w:color="000000" w:sz="4" w:space="0"/>
              <w:right w:val="single" w:color="000000" w:sz="4" w:space="0"/>
            </w:tcBorders>
            <w:noWrap w:val="0"/>
            <w:vAlign w:val="center"/>
          </w:tcPr>
          <w:p w14:paraId="470802C9">
            <w:pPr>
              <w:widowControl/>
              <w:spacing w:line="240" w:lineRule="auto"/>
              <w:ind w:firstLine="0" w:firstLineChars="0"/>
              <w:jc w:val="center"/>
              <w:textAlignment w:val="center"/>
              <w:rPr>
                <w:rFonts w:hint="default" w:ascii="Times New Roman" w:hAnsi="Times New Roman"/>
                <w:color w:val="auto"/>
                <w:kern w:val="0"/>
                <w:sz w:val="21"/>
                <w:highlight w:val="none"/>
                <w:lang w:val="en-US"/>
              </w:rPr>
            </w:pPr>
            <w:r>
              <w:rPr>
                <w:rFonts w:hint="eastAsia" w:ascii="Times New Roman" w:hAnsi="Times New Roman"/>
                <w:kern w:val="0"/>
                <w:sz w:val="21"/>
                <w:highlight w:val="none"/>
                <w:lang w:val="en-US" w:eastAsia="zh-CN" w:bidi="ar"/>
              </w:rPr>
              <w:t>5040</w:t>
            </w:r>
          </w:p>
        </w:tc>
        <w:tc>
          <w:tcPr>
            <w:tcW w:w="229" w:type="pct"/>
            <w:tcBorders>
              <w:left w:val="single" w:color="000000" w:sz="4" w:space="0"/>
              <w:right w:val="single" w:color="000000" w:sz="4" w:space="0"/>
            </w:tcBorders>
            <w:noWrap w:val="0"/>
            <w:vAlign w:val="center"/>
          </w:tcPr>
          <w:p w14:paraId="35289A3D">
            <w:pPr>
              <w:widowControl/>
              <w:spacing w:line="240" w:lineRule="auto"/>
              <w:ind w:firstLine="0" w:firstLineChars="0"/>
              <w:jc w:val="center"/>
              <w:textAlignment w:val="center"/>
              <w:rPr>
                <w:rFonts w:ascii="Times New Roman" w:hAnsi="Times New Roman"/>
                <w:color w:val="auto"/>
                <w:kern w:val="0"/>
                <w:sz w:val="21"/>
                <w:highlight w:val="none"/>
              </w:rPr>
            </w:pPr>
            <w:r>
              <w:rPr>
                <w:rFonts w:ascii="Times New Roman" w:hAnsi="Times New Roman"/>
                <w:kern w:val="0"/>
                <w:sz w:val="21"/>
                <w:highlight w:val="none"/>
                <w:lang w:bidi="ar"/>
              </w:rPr>
              <w:t>正常</w:t>
            </w:r>
          </w:p>
        </w:tc>
        <w:tc>
          <w:tcPr>
            <w:tcW w:w="561" w:type="pct"/>
            <w:tcBorders>
              <w:left w:val="single" w:color="000000" w:sz="4" w:space="0"/>
              <w:right w:val="single" w:color="000000" w:sz="4" w:space="0"/>
            </w:tcBorders>
            <w:noWrap w:val="0"/>
            <w:vAlign w:val="center"/>
          </w:tcPr>
          <w:p w14:paraId="0B5A355F">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4.116</w:t>
            </w:r>
          </w:p>
        </w:tc>
        <w:tc>
          <w:tcPr>
            <w:tcW w:w="580" w:type="pct"/>
            <w:tcBorders>
              <w:left w:val="single" w:color="000000" w:sz="4" w:space="0"/>
              <w:right w:val="single" w:color="000000" w:sz="4" w:space="0"/>
            </w:tcBorders>
            <w:noWrap w:val="0"/>
            <w:vAlign w:val="center"/>
          </w:tcPr>
          <w:p w14:paraId="59EE53B4">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11.033</w:t>
            </w:r>
          </w:p>
        </w:tc>
        <w:tc>
          <w:tcPr>
            <w:tcW w:w="611" w:type="pct"/>
            <w:tcBorders>
              <w:left w:val="single" w:color="000000" w:sz="4" w:space="0"/>
              <w:right w:val="nil"/>
            </w:tcBorders>
            <w:noWrap w:val="0"/>
            <w:vAlign w:val="center"/>
          </w:tcPr>
          <w:p w14:paraId="3E280557">
            <w:pPr>
              <w:widowControl/>
              <w:spacing w:line="240" w:lineRule="auto"/>
              <w:ind w:firstLine="0" w:firstLineChars="0"/>
              <w:jc w:val="center"/>
              <w:textAlignment w:val="center"/>
              <w:rPr>
                <w:rFonts w:hint="default" w:ascii="Times New Roman" w:hAnsi="Times New Roman" w:eastAsia="宋体"/>
                <w:color w:val="auto"/>
                <w:kern w:val="0"/>
                <w:sz w:val="21"/>
                <w:highlight w:val="none"/>
                <w:lang w:val="en-US" w:eastAsia="zh-CN"/>
              </w:rPr>
            </w:pPr>
            <w:r>
              <w:rPr>
                <w:rFonts w:hint="eastAsia" w:ascii="Times New Roman" w:hAnsi="Times New Roman"/>
                <w:sz w:val="21"/>
                <w:szCs w:val="21"/>
                <w:highlight w:val="none"/>
                <w:lang w:val="en-US" w:eastAsia="zh-CN"/>
              </w:rPr>
              <w:t>30.94</w:t>
            </w:r>
          </w:p>
        </w:tc>
      </w:tr>
    </w:tbl>
    <w:p w14:paraId="60A98C73">
      <w:pPr>
        <w:ind w:firstLine="0" w:firstLineChars="0"/>
        <w:jc w:val="center"/>
        <w:rPr>
          <w:rFonts w:ascii="Times New Roman" w:hAnsi="Times New Roman"/>
          <w:highlight w:val="none"/>
        </w:rPr>
      </w:pPr>
      <w:r>
        <w:rPr>
          <w:rFonts w:hint="eastAsia" w:ascii="黑体" w:hAnsi="黑体" w:eastAsia="黑体" w:cs="黑体"/>
          <w:highlight w:val="none"/>
        </w:rPr>
        <w:t>表</w:t>
      </w:r>
      <w:r>
        <w:rPr>
          <w:rFonts w:hint="eastAsia" w:ascii="Times New Roman" w:hAnsi="Times New Roman"/>
          <w:highlight w:val="none"/>
          <w:lang w:val="en-US" w:eastAsia="zh-CN"/>
        </w:rPr>
        <w:t>5.2-12</w:t>
      </w:r>
      <w:r>
        <w:rPr>
          <w:rFonts w:hint="eastAsia" w:ascii="黑体" w:hAnsi="黑体" w:eastAsia="黑体" w:cs="黑体"/>
          <w:highlight w:val="none"/>
        </w:rPr>
        <w:t>本项目污染源</w:t>
      </w:r>
      <w:r>
        <w:rPr>
          <w:rFonts w:hint="eastAsia" w:ascii="黑体" w:hAnsi="黑体" w:eastAsia="黑体" w:cs="黑体"/>
          <w:highlight w:val="none"/>
          <w:lang w:val="en-US" w:eastAsia="zh-CN"/>
        </w:rPr>
        <w:t>非正常工况下</w:t>
      </w:r>
      <w:r>
        <w:rPr>
          <w:rFonts w:hint="eastAsia" w:ascii="黑体" w:hAnsi="黑体" w:eastAsia="黑体" w:cs="黑体"/>
          <w:highlight w:val="none"/>
        </w:rPr>
        <w:t>排放参数一览表(有组织)</w:t>
      </w:r>
    </w:p>
    <w:tbl>
      <w:tblPr>
        <w:tblStyle w:val="17"/>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15" w:type="dxa"/>
          <w:left w:w="15" w:type="dxa"/>
          <w:bottom w:w="15" w:type="dxa"/>
          <w:right w:w="15" w:type="dxa"/>
        </w:tblCellMar>
      </w:tblPr>
      <w:tblGrid>
        <w:gridCol w:w="649"/>
        <w:gridCol w:w="548"/>
        <w:gridCol w:w="1237"/>
        <w:gridCol w:w="1134"/>
        <w:gridCol w:w="1025"/>
        <w:gridCol w:w="647"/>
        <w:gridCol w:w="806"/>
        <w:gridCol w:w="1299"/>
        <w:gridCol w:w="644"/>
        <w:gridCol w:w="764"/>
        <w:gridCol w:w="476"/>
        <w:gridCol w:w="904"/>
        <w:gridCol w:w="764"/>
        <w:gridCol w:w="1098"/>
        <w:gridCol w:w="1033"/>
        <w:gridCol w:w="960"/>
      </w:tblGrid>
      <w:tr w14:paraId="2DB727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68" w:hRule="atLeast"/>
        </w:trPr>
        <w:tc>
          <w:tcPr>
            <w:tcW w:w="231" w:type="pct"/>
            <w:vMerge w:val="restart"/>
            <w:tcBorders>
              <w:right w:val="single" w:color="000000" w:sz="4" w:space="0"/>
            </w:tcBorders>
            <w:shd w:val="clear" w:color="auto" w:fill="FFFFFF"/>
            <w:noWrap w:val="0"/>
            <w:vAlign w:val="center"/>
          </w:tcPr>
          <w:p w14:paraId="622A27AD">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编号</w:t>
            </w:r>
          </w:p>
        </w:tc>
        <w:tc>
          <w:tcPr>
            <w:tcW w:w="196" w:type="pct"/>
            <w:vMerge w:val="restart"/>
            <w:tcBorders>
              <w:left w:val="single" w:color="000000" w:sz="4" w:space="0"/>
              <w:right w:val="single" w:color="000000" w:sz="4" w:space="0"/>
            </w:tcBorders>
            <w:shd w:val="clear" w:color="auto" w:fill="FFFFFF"/>
            <w:noWrap w:val="0"/>
            <w:vAlign w:val="center"/>
          </w:tcPr>
          <w:p w14:paraId="7118F69C">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名称</w:t>
            </w:r>
          </w:p>
        </w:tc>
        <w:tc>
          <w:tcPr>
            <w:tcW w:w="847" w:type="pct"/>
            <w:gridSpan w:val="2"/>
            <w:tcBorders>
              <w:left w:val="single" w:color="000000" w:sz="4" w:space="0"/>
              <w:right w:val="single" w:color="000000" w:sz="4" w:space="0"/>
            </w:tcBorders>
            <w:shd w:val="clear" w:color="auto" w:fill="FFFFFF"/>
            <w:noWrap w:val="0"/>
            <w:vAlign w:val="center"/>
          </w:tcPr>
          <w:p w14:paraId="516DDBFD">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排气筒底部中心坐标</w:t>
            </w:r>
            <w:r>
              <w:rPr>
                <w:rFonts w:hint="eastAsia" w:ascii="Times New Roman" w:hAnsi="Times New Roman"/>
                <w:kern w:val="0"/>
                <w:sz w:val="21"/>
                <w:highlight w:val="none"/>
                <w:lang w:bidi="ar"/>
              </w:rPr>
              <w:t>/m</w:t>
            </w:r>
          </w:p>
        </w:tc>
        <w:tc>
          <w:tcPr>
            <w:tcW w:w="366" w:type="pct"/>
            <w:vMerge w:val="restart"/>
            <w:tcBorders>
              <w:left w:val="single" w:color="000000" w:sz="4" w:space="0"/>
              <w:right w:val="single" w:color="000000" w:sz="4" w:space="0"/>
            </w:tcBorders>
            <w:shd w:val="clear" w:color="auto" w:fill="FFFFFF"/>
            <w:noWrap w:val="0"/>
            <w:vAlign w:val="center"/>
          </w:tcPr>
          <w:p w14:paraId="1A6DC50A">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排气筒底部海拔高度/m</w:t>
            </w:r>
          </w:p>
        </w:tc>
        <w:tc>
          <w:tcPr>
            <w:tcW w:w="231" w:type="pct"/>
            <w:vMerge w:val="restart"/>
            <w:tcBorders>
              <w:left w:val="single" w:color="000000" w:sz="4" w:space="0"/>
              <w:right w:val="single" w:color="000000" w:sz="4" w:space="0"/>
            </w:tcBorders>
            <w:shd w:val="clear" w:color="auto" w:fill="FFFFFF"/>
            <w:noWrap w:val="0"/>
            <w:vAlign w:val="center"/>
          </w:tcPr>
          <w:p w14:paraId="13809A03">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排气筒高度/m</w:t>
            </w:r>
          </w:p>
        </w:tc>
        <w:tc>
          <w:tcPr>
            <w:tcW w:w="288" w:type="pct"/>
            <w:vMerge w:val="restart"/>
            <w:tcBorders>
              <w:left w:val="single" w:color="000000" w:sz="4" w:space="0"/>
              <w:right w:val="single" w:color="000000" w:sz="4" w:space="0"/>
            </w:tcBorders>
            <w:shd w:val="clear" w:color="auto" w:fill="FFFFFF"/>
            <w:noWrap w:val="0"/>
            <w:vAlign w:val="center"/>
          </w:tcPr>
          <w:p w14:paraId="21395D0D">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排气筒出口内径/m</w:t>
            </w:r>
          </w:p>
        </w:tc>
        <w:tc>
          <w:tcPr>
            <w:tcW w:w="464" w:type="pct"/>
            <w:vMerge w:val="restart"/>
            <w:tcBorders>
              <w:left w:val="single" w:color="000000" w:sz="4" w:space="0"/>
              <w:right w:val="single" w:color="000000" w:sz="4" w:space="0"/>
            </w:tcBorders>
            <w:shd w:val="clear" w:color="auto" w:fill="FFFFFF"/>
            <w:noWrap w:val="0"/>
            <w:vAlign w:val="center"/>
          </w:tcPr>
          <w:p w14:paraId="3588DCF0">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w:t>
            </w:r>
            <w:r>
              <w:rPr>
                <w:rFonts w:hint="eastAsia" w:ascii="Times New Roman" w:hAnsi="Times New Roman"/>
                <w:kern w:val="0"/>
                <w:sz w:val="21"/>
                <w:highlight w:val="none"/>
                <w:lang w:bidi="ar"/>
              </w:rPr>
              <w:t>流量</w:t>
            </w:r>
            <w:r>
              <w:rPr>
                <w:rFonts w:ascii="Times New Roman" w:hAnsi="Times New Roman"/>
                <w:kern w:val="0"/>
                <w:sz w:val="21"/>
                <w:highlight w:val="none"/>
                <w:lang w:bidi="ar"/>
              </w:rPr>
              <w:t>/（m</w:t>
            </w:r>
            <w:r>
              <w:rPr>
                <w:rFonts w:ascii="Times New Roman" w:hAnsi="Times New Roman"/>
                <w:kern w:val="0"/>
                <w:sz w:val="21"/>
                <w:highlight w:val="none"/>
                <w:vertAlign w:val="superscript"/>
                <w:lang w:bidi="ar"/>
              </w:rPr>
              <w:t>3</w:t>
            </w:r>
            <w:r>
              <w:rPr>
                <w:rFonts w:ascii="Times New Roman" w:hAnsi="Times New Roman"/>
                <w:kern w:val="0"/>
                <w:sz w:val="21"/>
                <w:highlight w:val="none"/>
                <w:lang w:bidi="ar"/>
              </w:rPr>
              <w:t>/h）</w:t>
            </w:r>
          </w:p>
        </w:tc>
        <w:tc>
          <w:tcPr>
            <w:tcW w:w="230" w:type="pct"/>
            <w:vMerge w:val="restart"/>
            <w:tcBorders>
              <w:left w:val="single" w:color="000000" w:sz="4" w:space="0"/>
              <w:right w:val="single" w:color="000000" w:sz="4" w:space="0"/>
            </w:tcBorders>
            <w:shd w:val="clear" w:color="auto" w:fill="FFFFFF"/>
            <w:noWrap w:val="0"/>
            <w:vAlign w:val="center"/>
          </w:tcPr>
          <w:p w14:paraId="512CE29F">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烟气温度/</w:t>
            </w:r>
            <w:r>
              <w:rPr>
                <w:rFonts w:hint="eastAsia" w:ascii="宋体" w:hAnsi="宋体" w:cs="宋体"/>
                <w:kern w:val="0"/>
                <w:sz w:val="21"/>
                <w:highlight w:val="none"/>
                <w:lang w:bidi="ar"/>
              </w:rPr>
              <w:t>℃</w:t>
            </w:r>
          </w:p>
        </w:tc>
        <w:tc>
          <w:tcPr>
            <w:tcW w:w="273" w:type="pct"/>
            <w:vMerge w:val="restart"/>
            <w:tcBorders>
              <w:left w:val="single" w:color="000000" w:sz="4" w:space="0"/>
              <w:right w:val="single" w:color="000000" w:sz="4" w:space="0"/>
            </w:tcBorders>
            <w:shd w:val="clear" w:color="auto" w:fill="FFFFFF"/>
            <w:noWrap w:val="0"/>
            <w:vAlign w:val="center"/>
          </w:tcPr>
          <w:p w14:paraId="59AA3CCF">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年排放小时数/h</w:t>
            </w:r>
          </w:p>
        </w:tc>
        <w:tc>
          <w:tcPr>
            <w:tcW w:w="170" w:type="pct"/>
            <w:vMerge w:val="restart"/>
            <w:tcBorders>
              <w:left w:val="single" w:color="000000" w:sz="4" w:space="0"/>
              <w:right w:val="single" w:color="000000" w:sz="4" w:space="0"/>
            </w:tcBorders>
            <w:shd w:val="clear" w:color="auto" w:fill="FFFFFF"/>
            <w:noWrap w:val="0"/>
            <w:vAlign w:val="center"/>
          </w:tcPr>
          <w:p w14:paraId="7E8E6CA2">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kern w:val="0"/>
                <w:sz w:val="21"/>
                <w:highlight w:val="none"/>
                <w:lang w:bidi="ar"/>
              </w:rPr>
              <w:t>排放工况</w:t>
            </w:r>
          </w:p>
        </w:tc>
        <w:tc>
          <w:tcPr>
            <w:tcW w:w="1700" w:type="pct"/>
            <w:gridSpan w:val="5"/>
            <w:tcBorders>
              <w:left w:val="single" w:color="000000" w:sz="4" w:space="0"/>
              <w:right w:val="nil"/>
            </w:tcBorders>
            <w:shd w:val="clear" w:color="auto" w:fill="FFFFFF"/>
            <w:noWrap w:val="0"/>
            <w:vAlign w:val="center"/>
          </w:tcPr>
          <w:p w14:paraId="71E300C6">
            <w:pPr>
              <w:widowControl/>
              <w:spacing w:line="240" w:lineRule="auto"/>
              <w:ind w:firstLine="0" w:firstLineChars="0"/>
              <w:jc w:val="center"/>
              <w:textAlignment w:val="center"/>
              <w:rPr>
                <w:rFonts w:ascii="Times New Roman" w:hAnsi="Times New Roman"/>
                <w:kern w:val="0"/>
                <w:sz w:val="21"/>
                <w:highlight w:val="none"/>
                <w:lang w:bidi="ar"/>
              </w:rPr>
            </w:pPr>
            <w:r>
              <w:rPr>
                <w:rFonts w:ascii="Times New Roman" w:hAnsi="Times New Roman"/>
                <w:kern w:val="0"/>
                <w:sz w:val="21"/>
                <w:highlight w:val="none"/>
                <w:lang w:bidi="ar"/>
              </w:rPr>
              <w:t>污染物排放速率/kg/h</w:t>
            </w:r>
          </w:p>
        </w:tc>
      </w:tr>
      <w:tr w14:paraId="4883AD2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vMerge w:val="continue"/>
            <w:tcBorders>
              <w:right w:val="single" w:color="000000" w:sz="4" w:space="0"/>
            </w:tcBorders>
            <w:shd w:val="clear" w:color="auto" w:fill="FFFFFF"/>
            <w:noWrap w:val="0"/>
            <w:vAlign w:val="center"/>
          </w:tcPr>
          <w:p w14:paraId="212C9A3B">
            <w:pPr>
              <w:spacing w:line="240" w:lineRule="auto"/>
              <w:ind w:firstLine="0" w:firstLineChars="0"/>
              <w:jc w:val="center"/>
              <w:rPr>
                <w:rFonts w:ascii="Times New Roman" w:hAnsi="Times New Roman"/>
                <w:kern w:val="0"/>
                <w:sz w:val="21"/>
                <w:highlight w:val="none"/>
              </w:rPr>
            </w:pPr>
          </w:p>
        </w:tc>
        <w:tc>
          <w:tcPr>
            <w:tcW w:w="196" w:type="pct"/>
            <w:vMerge w:val="continue"/>
            <w:tcBorders>
              <w:left w:val="single" w:color="000000" w:sz="4" w:space="0"/>
              <w:right w:val="single" w:color="000000" w:sz="4" w:space="0"/>
            </w:tcBorders>
            <w:shd w:val="clear" w:color="auto" w:fill="FFFFFF"/>
            <w:noWrap w:val="0"/>
            <w:vAlign w:val="center"/>
          </w:tcPr>
          <w:p w14:paraId="48BC83D1">
            <w:pPr>
              <w:spacing w:line="240" w:lineRule="auto"/>
              <w:ind w:firstLine="0" w:firstLineChars="0"/>
              <w:jc w:val="center"/>
              <w:rPr>
                <w:rFonts w:ascii="Times New Roman" w:hAnsi="Times New Roman"/>
                <w:kern w:val="0"/>
                <w:sz w:val="21"/>
                <w:highlight w:val="none"/>
              </w:rPr>
            </w:pPr>
          </w:p>
        </w:tc>
        <w:tc>
          <w:tcPr>
            <w:tcW w:w="442" w:type="pct"/>
            <w:tcBorders>
              <w:left w:val="single" w:color="000000" w:sz="4" w:space="0"/>
              <w:right w:val="single" w:color="000000" w:sz="4" w:space="0"/>
            </w:tcBorders>
            <w:shd w:val="clear" w:color="auto" w:fill="FFFFFF"/>
            <w:noWrap w:val="0"/>
            <w:vAlign w:val="center"/>
          </w:tcPr>
          <w:p w14:paraId="238A28F4">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X</w:t>
            </w:r>
          </w:p>
        </w:tc>
        <w:tc>
          <w:tcPr>
            <w:tcW w:w="404" w:type="pct"/>
            <w:tcBorders>
              <w:left w:val="single" w:color="000000" w:sz="4" w:space="0"/>
              <w:right w:val="single" w:color="000000" w:sz="4" w:space="0"/>
            </w:tcBorders>
            <w:shd w:val="clear" w:color="auto" w:fill="FFFFFF"/>
            <w:noWrap w:val="0"/>
            <w:vAlign w:val="center"/>
          </w:tcPr>
          <w:p w14:paraId="5B230235">
            <w:pPr>
              <w:tabs>
                <w:tab w:val="left" w:pos="1517"/>
              </w:tabs>
              <w:spacing w:line="240" w:lineRule="auto"/>
              <w:ind w:firstLine="0" w:firstLineChars="0"/>
              <w:jc w:val="center"/>
              <w:rPr>
                <w:rFonts w:ascii="Times New Roman" w:hAnsi="Times New Roman"/>
                <w:iCs/>
                <w:kern w:val="0"/>
                <w:sz w:val="21"/>
                <w:highlight w:val="none"/>
              </w:rPr>
            </w:pPr>
            <w:r>
              <w:rPr>
                <w:rFonts w:hint="eastAsia" w:ascii="Times New Roman" w:hAnsi="Times New Roman"/>
                <w:kern w:val="0"/>
                <w:sz w:val="21"/>
                <w:szCs w:val="21"/>
                <w:highlight w:val="none"/>
              </w:rPr>
              <w:t>Y</w:t>
            </w:r>
          </w:p>
        </w:tc>
        <w:tc>
          <w:tcPr>
            <w:tcW w:w="366" w:type="pct"/>
            <w:vMerge w:val="continue"/>
            <w:tcBorders>
              <w:left w:val="single" w:color="000000" w:sz="4" w:space="0"/>
              <w:right w:val="single" w:color="000000" w:sz="4" w:space="0"/>
            </w:tcBorders>
            <w:shd w:val="clear" w:color="auto" w:fill="FFFFFF"/>
            <w:noWrap w:val="0"/>
            <w:vAlign w:val="center"/>
          </w:tcPr>
          <w:p w14:paraId="0E8436EE">
            <w:pPr>
              <w:spacing w:line="240" w:lineRule="auto"/>
              <w:ind w:firstLine="0" w:firstLineChars="0"/>
              <w:jc w:val="center"/>
              <w:rPr>
                <w:rFonts w:ascii="Times New Roman" w:hAnsi="Times New Roman"/>
                <w:kern w:val="0"/>
                <w:sz w:val="21"/>
                <w:highlight w:val="none"/>
              </w:rPr>
            </w:pPr>
          </w:p>
        </w:tc>
        <w:tc>
          <w:tcPr>
            <w:tcW w:w="231" w:type="pct"/>
            <w:vMerge w:val="continue"/>
            <w:tcBorders>
              <w:left w:val="single" w:color="000000" w:sz="4" w:space="0"/>
              <w:right w:val="single" w:color="000000" w:sz="4" w:space="0"/>
            </w:tcBorders>
            <w:shd w:val="clear" w:color="auto" w:fill="FFFFFF"/>
            <w:noWrap w:val="0"/>
            <w:vAlign w:val="center"/>
          </w:tcPr>
          <w:p w14:paraId="04595E0C">
            <w:pPr>
              <w:spacing w:line="240" w:lineRule="auto"/>
              <w:ind w:firstLine="0" w:firstLineChars="0"/>
              <w:jc w:val="center"/>
              <w:rPr>
                <w:rFonts w:ascii="Times New Roman" w:hAnsi="Times New Roman"/>
                <w:kern w:val="0"/>
                <w:sz w:val="21"/>
                <w:highlight w:val="none"/>
              </w:rPr>
            </w:pPr>
          </w:p>
        </w:tc>
        <w:tc>
          <w:tcPr>
            <w:tcW w:w="288" w:type="pct"/>
            <w:vMerge w:val="continue"/>
            <w:tcBorders>
              <w:left w:val="single" w:color="000000" w:sz="4" w:space="0"/>
              <w:right w:val="single" w:color="000000" w:sz="4" w:space="0"/>
            </w:tcBorders>
            <w:shd w:val="clear" w:color="auto" w:fill="FFFFFF"/>
            <w:noWrap w:val="0"/>
            <w:vAlign w:val="center"/>
          </w:tcPr>
          <w:p w14:paraId="1848E111">
            <w:pPr>
              <w:spacing w:line="240" w:lineRule="auto"/>
              <w:ind w:firstLine="0" w:firstLineChars="0"/>
              <w:jc w:val="center"/>
              <w:rPr>
                <w:rFonts w:ascii="Times New Roman" w:hAnsi="Times New Roman"/>
                <w:kern w:val="0"/>
                <w:sz w:val="21"/>
                <w:highlight w:val="none"/>
              </w:rPr>
            </w:pPr>
          </w:p>
        </w:tc>
        <w:tc>
          <w:tcPr>
            <w:tcW w:w="464" w:type="pct"/>
            <w:vMerge w:val="continue"/>
            <w:tcBorders>
              <w:left w:val="single" w:color="000000" w:sz="4" w:space="0"/>
              <w:right w:val="single" w:color="000000" w:sz="4" w:space="0"/>
            </w:tcBorders>
            <w:shd w:val="clear" w:color="auto" w:fill="FFFFFF"/>
            <w:noWrap w:val="0"/>
            <w:vAlign w:val="center"/>
          </w:tcPr>
          <w:p w14:paraId="4D5B02E5">
            <w:pPr>
              <w:spacing w:line="240" w:lineRule="auto"/>
              <w:ind w:firstLine="0" w:firstLineChars="0"/>
              <w:jc w:val="center"/>
              <w:rPr>
                <w:rFonts w:ascii="Times New Roman" w:hAnsi="Times New Roman"/>
                <w:kern w:val="0"/>
                <w:sz w:val="21"/>
                <w:highlight w:val="none"/>
              </w:rPr>
            </w:pPr>
          </w:p>
        </w:tc>
        <w:tc>
          <w:tcPr>
            <w:tcW w:w="230" w:type="pct"/>
            <w:vMerge w:val="continue"/>
            <w:tcBorders>
              <w:left w:val="single" w:color="000000" w:sz="4" w:space="0"/>
              <w:right w:val="single" w:color="000000" w:sz="4" w:space="0"/>
            </w:tcBorders>
            <w:shd w:val="clear" w:color="auto" w:fill="FFFFFF"/>
            <w:noWrap w:val="0"/>
            <w:vAlign w:val="center"/>
          </w:tcPr>
          <w:p w14:paraId="78AB977C">
            <w:pPr>
              <w:spacing w:line="240" w:lineRule="auto"/>
              <w:ind w:firstLine="0" w:firstLineChars="0"/>
              <w:jc w:val="center"/>
              <w:rPr>
                <w:rFonts w:ascii="Times New Roman" w:hAnsi="Times New Roman"/>
                <w:kern w:val="0"/>
                <w:sz w:val="21"/>
                <w:highlight w:val="none"/>
              </w:rPr>
            </w:pPr>
          </w:p>
        </w:tc>
        <w:tc>
          <w:tcPr>
            <w:tcW w:w="273" w:type="pct"/>
            <w:vMerge w:val="continue"/>
            <w:tcBorders>
              <w:left w:val="single" w:color="000000" w:sz="4" w:space="0"/>
              <w:right w:val="single" w:color="000000" w:sz="4" w:space="0"/>
            </w:tcBorders>
            <w:shd w:val="clear" w:color="auto" w:fill="FFFFFF"/>
            <w:noWrap w:val="0"/>
            <w:vAlign w:val="center"/>
          </w:tcPr>
          <w:p w14:paraId="08412150">
            <w:pPr>
              <w:spacing w:line="240" w:lineRule="auto"/>
              <w:ind w:firstLine="0" w:firstLineChars="0"/>
              <w:jc w:val="center"/>
              <w:rPr>
                <w:rFonts w:ascii="Times New Roman" w:hAnsi="Times New Roman"/>
                <w:kern w:val="0"/>
                <w:sz w:val="21"/>
                <w:highlight w:val="none"/>
              </w:rPr>
            </w:pPr>
          </w:p>
        </w:tc>
        <w:tc>
          <w:tcPr>
            <w:tcW w:w="170" w:type="pct"/>
            <w:vMerge w:val="continue"/>
            <w:tcBorders>
              <w:left w:val="single" w:color="000000" w:sz="4" w:space="0"/>
              <w:right w:val="single" w:color="000000" w:sz="4" w:space="0"/>
            </w:tcBorders>
            <w:shd w:val="clear" w:color="auto" w:fill="FFFFFF"/>
            <w:noWrap w:val="0"/>
            <w:vAlign w:val="center"/>
          </w:tcPr>
          <w:p w14:paraId="7A86AF9B">
            <w:pPr>
              <w:spacing w:line="240" w:lineRule="auto"/>
              <w:ind w:firstLine="0" w:firstLineChars="0"/>
              <w:jc w:val="center"/>
              <w:rPr>
                <w:rFonts w:ascii="Times New Roman" w:hAnsi="Times New Roman"/>
                <w:kern w:val="0"/>
                <w:sz w:val="21"/>
                <w:highlight w:val="none"/>
              </w:rPr>
            </w:pPr>
          </w:p>
        </w:tc>
        <w:tc>
          <w:tcPr>
            <w:tcW w:w="323" w:type="pct"/>
            <w:tcBorders>
              <w:left w:val="single" w:color="000000" w:sz="4" w:space="0"/>
              <w:right w:val="single" w:color="000000" w:sz="4" w:space="0"/>
            </w:tcBorders>
            <w:shd w:val="clear" w:color="auto" w:fill="FFFFFF"/>
            <w:noWrap w:val="0"/>
            <w:vAlign w:val="center"/>
          </w:tcPr>
          <w:p w14:paraId="58B8A89F">
            <w:pPr>
              <w:widowControl/>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sz w:val="21"/>
                <w:highlight w:val="none"/>
              </w:rPr>
              <w:t>烟尘（PM</w:t>
            </w:r>
            <w:r>
              <w:rPr>
                <w:rFonts w:hint="eastAsia" w:ascii="Times New Roman" w:hAnsi="Times New Roman"/>
                <w:sz w:val="21"/>
                <w:highlight w:val="none"/>
                <w:vertAlign w:val="subscript"/>
              </w:rPr>
              <w:t>10</w:t>
            </w:r>
            <w:r>
              <w:rPr>
                <w:rFonts w:hint="eastAsia" w:ascii="Times New Roman" w:hAnsi="Times New Roman"/>
                <w:sz w:val="21"/>
                <w:highlight w:val="none"/>
              </w:rPr>
              <w:t>）</w:t>
            </w:r>
          </w:p>
        </w:tc>
        <w:tc>
          <w:tcPr>
            <w:tcW w:w="273" w:type="pct"/>
            <w:tcBorders>
              <w:left w:val="single" w:color="000000" w:sz="4" w:space="0"/>
              <w:right w:val="single" w:color="000000" w:sz="4" w:space="0"/>
            </w:tcBorders>
            <w:shd w:val="clear" w:color="auto" w:fill="FFFFFF"/>
            <w:noWrap w:val="0"/>
            <w:vAlign w:val="center"/>
          </w:tcPr>
          <w:p w14:paraId="4073A938">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SO</w:t>
            </w:r>
            <w:r>
              <w:rPr>
                <w:rFonts w:ascii="Times New Roman" w:hAnsi="Times New Roman"/>
                <w:sz w:val="21"/>
                <w:highlight w:val="none"/>
                <w:vertAlign w:val="subscript"/>
              </w:rPr>
              <w:t>2</w:t>
            </w:r>
          </w:p>
        </w:tc>
        <w:tc>
          <w:tcPr>
            <w:tcW w:w="392" w:type="pct"/>
            <w:tcBorders>
              <w:left w:val="single" w:color="000000" w:sz="4" w:space="0"/>
              <w:right w:val="nil"/>
            </w:tcBorders>
            <w:noWrap w:val="0"/>
            <w:vAlign w:val="center"/>
          </w:tcPr>
          <w:p w14:paraId="5EDA17FD">
            <w:pPr>
              <w:widowControl/>
              <w:spacing w:line="240" w:lineRule="auto"/>
              <w:ind w:firstLine="0" w:firstLineChars="0"/>
              <w:jc w:val="center"/>
              <w:textAlignment w:val="center"/>
              <w:rPr>
                <w:rFonts w:ascii="Times New Roman" w:hAnsi="Times New Roman"/>
                <w:kern w:val="0"/>
                <w:sz w:val="21"/>
                <w:highlight w:val="none"/>
              </w:rPr>
            </w:pPr>
            <w:r>
              <w:rPr>
                <w:rFonts w:ascii="Times New Roman" w:hAnsi="Times New Roman"/>
                <w:sz w:val="21"/>
                <w:highlight w:val="none"/>
              </w:rPr>
              <w:t>NO</w:t>
            </w:r>
            <w:r>
              <w:rPr>
                <w:rFonts w:ascii="Times New Roman" w:hAnsi="Times New Roman"/>
                <w:sz w:val="21"/>
                <w:highlight w:val="none"/>
                <w:vertAlign w:val="subscript"/>
              </w:rPr>
              <w:t>x</w:t>
            </w:r>
          </w:p>
        </w:tc>
        <w:tc>
          <w:tcPr>
            <w:tcW w:w="369" w:type="pct"/>
            <w:tcBorders>
              <w:left w:val="single" w:color="000000" w:sz="4" w:space="0"/>
              <w:right w:val="nil"/>
            </w:tcBorders>
            <w:noWrap w:val="0"/>
            <w:vAlign w:val="center"/>
          </w:tcPr>
          <w:p w14:paraId="5D31D8D1">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Hg</w:t>
            </w:r>
          </w:p>
        </w:tc>
        <w:tc>
          <w:tcPr>
            <w:tcW w:w="341" w:type="pct"/>
            <w:tcBorders>
              <w:left w:val="single" w:color="000000" w:sz="4" w:space="0"/>
              <w:right w:val="nil"/>
            </w:tcBorders>
            <w:noWrap w:val="0"/>
            <w:vAlign w:val="center"/>
          </w:tcPr>
          <w:p w14:paraId="290607AD">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氨</w:t>
            </w:r>
          </w:p>
        </w:tc>
      </w:tr>
      <w:tr w14:paraId="1FD7531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6" w:hRule="atLeast"/>
        </w:trPr>
        <w:tc>
          <w:tcPr>
            <w:tcW w:w="231" w:type="pct"/>
            <w:tcBorders>
              <w:right w:val="single" w:color="000000" w:sz="4" w:space="0"/>
            </w:tcBorders>
            <w:noWrap w:val="0"/>
            <w:vAlign w:val="center"/>
          </w:tcPr>
          <w:p w14:paraId="30A81082">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ascii="Times New Roman" w:hAnsi="Times New Roman"/>
                <w:kern w:val="0"/>
                <w:sz w:val="21"/>
                <w:highlight w:val="none"/>
                <w:lang w:bidi="ar"/>
              </w:rPr>
              <w:t>DA00</w:t>
            </w:r>
            <w:r>
              <w:rPr>
                <w:rFonts w:hint="eastAsia" w:ascii="Times New Roman" w:hAnsi="Times New Roman"/>
                <w:kern w:val="0"/>
                <w:sz w:val="21"/>
                <w:highlight w:val="none"/>
                <w:lang w:val="en-US" w:eastAsia="zh-CN" w:bidi="ar"/>
              </w:rPr>
              <w:t>1</w:t>
            </w:r>
          </w:p>
        </w:tc>
        <w:tc>
          <w:tcPr>
            <w:tcW w:w="196" w:type="pct"/>
            <w:tcBorders>
              <w:left w:val="single" w:color="000000" w:sz="4" w:space="0"/>
              <w:right w:val="single" w:color="000000" w:sz="4" w:space="0"/>
            </w:tcBorders>
            <w:noWrap w:val="0"/>
            <w:vAlign w:val="center"/>
          </w:tcPr>
          <w:p w14:paraId="4798658F">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锅炉排气筒</w:t>
            </w:r>
          </w:p>
        </w:tc>
        <w:tc>
          <w:tcPr>
            <w:tcW w:w="442" w:type="pct"/>
            <w:tcBorders>
              <w:left w:val="single" w:color="000000" w:sz="4" w:space="0"/>
              <w:right w:val="single" w:color="000000" w:sz="4" w:space="0"/>
            </w:tcBorders>
            <w:noWrap w:val="0"/>
            <w:vAlign w:val="center"/>
          </w:tcPr>
          <w:p w14:paraId="4F313CCD">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21</w:t>
            </w:r>
          </w:p>
        </w:tc>
        <w:tc>
          <w:tcPr>
            <w:tcW w:w="404" w:type="pct"/>
            <w:tcBorders>
              <w:left w:val="single" w:color="000000" w:sz="4" w:space="0"/>
              <w:right w:val="single" w:color="000000" w:sz="4" w:space="0"/>
            </w:tcBorders>
            <w:noWrap w:val="0"/>
            <w:vAlign w:val="center"/>
          </w:tcPr>
          <w:p w14:paraId="2E68F1AA">
            <w:pPr>
              <w:tabs>
                <w:tab w:val="left" w:pos="1517"/>
              </w:tabs>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14</w:t>
            </w:r>
          </w:p>
        </w:tc>
        <w:tc>
          <w:tcPr>
            <w:tcW w:w="366" w:type="pct"/>
            <w:tcBorders>
              <w:left w:val="single" w:color="000000" w:sz="4" w:space="0"/>
              <w:right w:val="single" w:color="000000" w:sz="4" w:space="0"/>
            </w:tcBorders>
            <w:noWrap w:val="0"/>
            <w:vAlign w:val="center"/>
          </w:tcPr>
          <w:p w14:paraId="1416C897">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458</w:t>
            </w:r>
          </w:p>
        </w:tc>
        <w:tc>
          <w:tcPr>
            <w:tcW w:w="231" w:type="pct"/>
            <w:tcBorders>
              <w:left w:val="single" w:color="000000" w:sz="4" w:space="0"/>
              <w:right w:val="single" w:color="000000" w:sz="4" w:space="0"/>
            </w:tcBorders>
            <w:noWrap w:val="0"/>
            <w:vAlign w:val="center"/>
          </w:tcPr>
          <w:p w14:paraId="026310DC">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60</w:t>
            </w:r>
          </w:p>
        </w:tc>
        <w:tc>
          <w:tcPr>
            <w:tcW w:w="288" w:type="pct"/>
            <w:tcBorders>
              <w:left w:val="single" w:color="000000" w:sz="4" w:space="0"/>
              <w:right w:val="single" w:color="000000" w:sz="4" w:space="0"/>
            </w:tcBorders>
            <w:noWrap w:val="0"/>
            <w:vAlign w:val="center"/>
          </w:tcPr>
          <w:p w14:paraId="66355B3C">
            <w:pPr>
              <w:widowControl/>
              <w:spacing w:line="240" w:lineRule="auto"/>
              <w:ind w:firstLine="0" w:firstLineChars="0"/>
              <w:jc w:val="center"/>
              <w:textAlignment w:val="center"/>
              <w:rPr>
                <w:rFonts w:hint="eastAsia" w:ascii="Times New Roman" w:hAnsi="Times New Roman" w:eastAsia="宋体"/>
                <w:kern w:val="0"/>
                <w:sz w:val="21"/>
                <w:highlight w:val="none"/>
                <w:lang w:eastAsia="zh-CN"/>
              </w:rPr>
            </w:pPr>
            <w:r>
              <w:rPr>
                <w:rFonts w:hint="eastAsia" w:ascii="Times New Roman" w:hAnsi="Times New Roman"/>
                <w:kern w:val="0"/>
                <w:sz w:val="21"/>
                <w:highlight w:val="none"/>
                <w:lang w:val="en-US" w:eastAsia="zh-CN"/>
              </w:rPr>
              <w:t>4</w:t>
            </w:r>
          </w:p>
        </w:tc>
        <w:tc>
          <w:tcPr>
            <w:tcW w:w="464" w:type="pct"/>
            <w:tcBorders>
              <w:left w:val="single" w:color="000000" w:sz="4" w:space="0"/>
              <w:right w:val="single" w:color="000000" w:sz="4" w:space="0"/>
            </w:tcBorders>
            <w:noWrap w:val="0"/>
            <w:vAlign w:val="center"/>
          </w:tcPr>
          <w:p w14:paraId="074C88B6">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298649</w:t>
            </w:r>
          </w:p>
        </w:tc>
        <w:tc>
          <w:tcPr>
            <w:tcW w:w="230" w:type="pct"/>
            <w:tcBorders>
              <w:left w:val="single" w:color="000000" w:sz="4" w:space="0"/>
              <w:right w:val="single" w:color="000000" w:sz="4" w:space="0"/>
            </w:tcBorders>
            <w:noWrap w:val="0"/>
            <w:vAlign w:val="center"/>
          </w:tcPr>
          <w:p w14:paraId="0977BB65">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rPr>
              <w:t>100</w:t>
            </w:r>
          </w:p>
        </w:tc>
        <w:tc>
          <w:tcPr>
            <w:tcW w:w="273" w:type="pct"/>
            <w:tcBorders>
              <w:left w:val="single" w:color="000000" w:sz="4" w:space="0"/>
              <w:right w:val="single" w:color="000000" w:sz="4" w:space="0"/>
            </w:tcBorders>
            <w:noWrap w:val="0"/>
            <w:vAlign w:val="center"/>
          </w:tcPr>
          <w:p w14:paraId="32288086">
            <w:pPr>
              <w:widowControl/>
              <w:spacing w:line="240" w:lineRule="auto"/>
              <w:ind w:firstLine="0" w:firstLineChars="0"/>
              <w:jc w:val="center"/>
              <w:textAlignment w:val="center"/>
              <w:rPr>
                <w:rFonts w:hint="default" w:ascii="Times New Roman" w:hAnsi="Times New Roman" w:eastAsia="宋体"/>
                <w:kern w:val="0"/>
                <w:sz w:val="21"/>
                <w:highlight w:val="none"/>
                <w:lang w:val="en-US" w:eastAsia="zh-CN"/>
              </w:rPr>
            </w:pPr>
            <w:r>
              <w:rPr>
                <w:rFonts w:hint="eastAsia" w:ascii="Times New Roman" w:hAnsi="Times New Roman"/>
                <w:kern w:val="0"/>
                <w:sz w:val="21"/>
                <w:highlight w:val="none"/>
                <w:lang w:val="en-US" w:eastAsia="zh-CN" w:bidi="ar"/>
              </w:rPr>
              <w:t>1</w:t>
            </w:r>
          </w:p>
        </w:tc>
        <w:tc>
          <w:tcPr>
            <w:tcW w:w="170" w:type="pct"/>
            <w:tcBorders>
              <w:left w:val="single" w:color="000000" w:sz="4" w:space="0"/>
              <w:right w:val="single" w:color="000000" w:sz="4" w:space="0"/>
            </w:tcBorders>
            <w:noWrap w:val="0"/>
            <w:vAlign w:val="center"/>
          </w:tcPr>
          <w:p w14:paraId="26AEEF3B">
            <w:pPr>
              <w:widowControl/>
              <w:spacing w:line="240" w:lineRule="auto"/>
              <w:ind w:firstLine="0" w:firstLineChars="0"/>
              <w:jc w:val="center"/>
              <w:textAlignment w:val="center"/>
              <w:rPr>
                <w:rFonts w:ascii="Times New Roman" w:hAnsi="Times New Roman"/>
                <w:kern w:val="0"/>
                <w:sz w:val="21"/>
                <w:highlight w:val="none"/>
              </w:rPr>
            </w:pPr>
            <w:r>
              <w:rPr>
                <w:rFonts w:hint="eastAsia" w:ascii="Times New Roman" w:hAnsi="Times New Roman"/>
                <w:kern w:val="0"/>
                <w:sz w:val="21"/>
                <w:highlight w:val="none"/>
                <w:lang w:val="en-US" w:eastAsia="zh-CN" w:bidi="ar"/>
              </w:rPr>
              <w:t>非</w:t>
            </w:r>
            <w:r>
              <w:rPr>
                <w:rFonts w:ascii="Times New Roman" w:hAnsi="Times New Roman"/>
                <w:kern w:val="0"/>
                <w:sz w:val="21"/>
                <w:highlight w:val="none"/>
                <w:lang w:bidi="ar"/>
              </w:rPr>
              <w:t>正常</w:t>
            </w:r>
          </w:p>
        </w:tc>
        <w:tc>
          <w:tcPr>
            <w:tcW w:w="323" w:type="pct"/>
            <w:tcBorders>
              <w:left w:val="single" w:color="000000" w:sz="4" w:space="0"/>
              <w:right w:val="single" w:color="000000" w:sz="4" w:space="0"/>
            </w:tcBorders>
            <w:noWrap w:val="0"/>
            <w:vAlign w:val="center"/>
          </w:tcPr>
          <w:p w14:paraId="4CFA0C3C">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19.13</w:t>
            </w:r>
          </w:p>
        </w:tc>
        <w:tc>
          <w:tcPr>
            <w:tcW w:w="273" w:type="pct"/>
            <w:tcBorders>
              <w:left w:val="single" w:color="000000" w:sz="4" w:space="0"/>
              <w:right w:val="single" w:color="000000" w:sz="4" w:space="0"/>
            </w:tcBorders>
            <w:noWrap w:val="0"/>
            <w:vAlign w:val="center"/>
          </w:tcPr>
          <w:p w14:paraId="39883D35">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48.5</w:t>
            </w:r>
          </w:p>
        </w:tc>
        <w:tc>
          <w:tcPr>
            <w:tcW w:w="392" w:type="pct"/>
            <w:tcBorders>
              <w:left w:val="single" w:color="000000" w:sz="4" w:space="0"/>
              <w:right w:val="nil"/>
            </w:tcBorders>
            <w:noWrap w:val="0"/>
            <w:vAlign w:val="center"/>
          </w:tcPr>
          <w:p w14:paraId="57C04666">
            <w:pPr>
              <w:widowControl/>
              <w:spacing w:line="240" w:lineRule="auto"/>
              <w:ind w:firstLine="0" w:firstLineChars="0"/>
              <w:jc w:val="center"/>
              <w:textAlignment w:val="center"/>
              <w:rPr>
                <w:rFonts w:hint="default" w:ascii="Times New Roman" w:hAnsi="Times New Roman"/>
                <w:kern w:val="0"/>
                <w:sz w:val="21"/>
                <w:szCs w:val="21"/>
                <w:highlight w:val="none"/>
                <w:lang w:val="en-US"/>
              </w:rPr>
            </w:pPr>
            <w:r>
              <w:rPr>
                <w:rFonts w:hint="eastAsia" w:ascii="Times New Roman" w:hAnsi="Times New Roman"/>
                <w:sz w:val="21"/>
                <w:szCs w:val="21"/>
                <w:highlight w:val="none"/>
                <w:lang w:val="en-US" w:eastAsia="zh-CN"/>
              </w:rPr>
              <w:t>271</w:t>
            </w:r>
          </w:p>
        </w:tc>
        <w:tc>
          <w:tcPr>
            <w:tcW w:w="369" w:type="pct"/>
            <w:tcBorders>
              <w:left w:val="single" w:color="000000" w:sz="4" w:space="0"/>
              <w:right w:val="nil"/>
            </w:tcBorders>
            <w:noWrap w:val="0"/>
            <w:vAlign w:val="center"/>
          </w:tcPr>
          <w:p w14:paraId="0273941A">
            <w:pPr>
              <w:widowControl/>
              <w:spacing w:line="240" w:lineRule="auto"/>
              <w:ind w:firstLine="0" w:firstLineChars="0"/>
              <w:jc w:val="center"/>
              <w:textAlignment w:val="center"/>
              <w:rPr>
                <w:rFonts w:hint="default" w:ascii="Times New Roman" w:hAnsi="Times New Roman" w:eastAsia="宋体"/>
                <w:kern w:val="0"/>
                <w:sz w:val="21"/>
                <w:szCs w:val="21"/>
                <w:highlight w:val="none"/>
                <w:lang w:val="en-US" w:eastAsia="zh-CN"/>
              </w:rPr>
            </w:pPr>
            <w:r>
              <w:rPr>
                <w:rFonts w:hint="eastAsia" w:ascii="Times New Roman" w:hAnsi="Times New Roman"/>
                <w:sz w:val="21"/>
                <w:szCs w:val="21"/>
                <w:highlight w:val="none"/>
                <w:lang w:val="en-US" w:eastAsia="zh-CN"/>
              </w:rPr>
              <w:t>0.00219</w:t>
            </w:r>
          </w:p>
        </w:tc>
        <w:tc>
          <w:tcPr>
            <w:tcW w:w="341" w:type="pct"/>
            <w:tcBorders>
              <w:left w:val="single" w:color="000000" w:sz="4" w:space="0"/>
              <w:right w:val="nil"/>
            </w:tcBorders>
            <w:noWrap w:val="0"/>
            <w:vAlign w:val="center"/>
          </w:tcPr>
          <w:p w14:paraId="4388B4C3">
            <w:pPr>
              <w:widowControl/>
              <w:spacing w:line="240" w:lineRule="auto"/>
              <w:ind w:firstLine="0" w:firstLineChars="0"/>
              <w:jc w:val="center"/>
              <w:textAlignment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0.745</w:t>
            </w:r>
          </w:p>
        </w:tc>
      </w:tr>
    </w:tbl>
    <w:p w14:paraId="1AB628D3">
      <w:pPr>
        <w:spacing w:line="240" w:lineRule="auto"/>
        <w:ind w:firstLine="0" w:firstLineChars="0"/>
        <w:rPr>
          <w:rFonts w:hint="eastAsia" w:ascii="Times New Roman" w:hAnsi="Times New Roman"/>
          <w:b/>
          <w:bCs/>
          <w:color w:val="auto"/>
          <w:sz w:val="21"/>
          <w:highlight w:val="none"/>
        </w:rPr>
      </w:pPr>
      <w:r>
        <w:rPr>
          <w:rFonts w:hint="eastAsia" w:ascii="Times New Roman" w:hAnsi="Times New Roman"/>
          <w:b/>
          <w:bCs/>
          <w:color w:val="auto"/>
          <w:sz w:val="21"/>
          <w:highlight w:val="none"/>
        </w:rPr>
        <w:t>注：</w:t>
      </w:r>
      <w:r>
        <w:rPr>
          <w:rFonts w:hint="eastAsia" w:ascii="Times New Roman" w:hAnsi="Times New Roman"/>
          <w:b/>
          <w:bCs/>
          <w:color w:val="auto"/>
          <w:sz w:val="21"/>
          <w:highlight w:val="none"/>
          <w:lang w:val="en-US" w:eastAsia="zh-CN"/>
        </w:rPr>
        <w:t>①</w:t>
      </w:r>
      <w:r>
        <w:rPr>
          <w:rFonts w:hint="eastAsia" w:ascii="Times New Roman" w:hAnsi="Times New Roman"/>
          <w:b/>
          <w:bCs/>
          <w:color w:val="auto"/>
          <w:sz w:val="21"/>
          <w:highlight w:val="none"/>
        </w:rPr>
        <w:t>本次评价以项目厂址为环境空气预测评价的中心经纬度（0,0）坐标点，NO</w:t>
      </w:r>
      <w:r>
        <w:rPr>
          <w:rFonts w:hint="eastAsia" w:ascii="Times New Roman" w:hAnsi="Times New Roman"/>
          <w:b/>
          <w:bCs/>
          <w:color w:val="auto"/>
          <w:sz w:val="21"/>
          <w:highlight w:val="none"/>
          <w:vertAlign w:val="subscript"/>
        </w:rPr>
        <w:t>2</w:t>
      </w:r>
      <w:r>
        <w:rPr>
          <w:rFonts w:hint="eastAsia" w:ascii="Times New Roman" w:hAnsi="Times New Roman"/>
          <w:b/>
          <w:bCs/>
          <w:color w:val="auto"/>
          <w:sz w:val="21"/>
          <w:highlight w:val="none"/>
        </w:rPr>
        <w:t>=NO</w:t>
      </w:r>
      <w:r>
        <w:rPr>
          <w:rFonts w:hint="eastAsia" w:ascii="Times New Roman" w:hAnsi="Times New Roman"/>
          <w:b/>
          <w:bCs/>
          <w:color w:val="auto"/>
          <w:sz w:val="21"/>
          <w:highlight w:val="none"/>
          <w:vertAlign w:val="subscript"/>
        </w:rPr>
        <w:t>X</w:t>
      </w:r>
      <w:r>
        <w:rPr>
          <w:rFonts w:hint="eastAsia" w:ascii="Times New Roman" w:hAnsi="Times New Roman"/>
          <w:b/>
          <w:bCs/>
          <w:color w:val="auto"/>
          <w:sz w:val="21"/>
          <w:highlight w:val="none"/>
        </w:rPr>
        <w:t>×0.9。PM</w:t>
      </w:r>
      <w:r>
        <w:rPr>
          <w:rFonts w:hint="eastAsia" w:ascii="Times New Roman" w:hAnsi="Times New Roman"/>
          <w:b/>
          <w:bCs/>
          <w:color w:val="auto"/>
          <w:sz w:val="21"/>
          <w:highlight w:val="none"/>
          <w:vertAlign w:val="subscript"/>
        </w:rPr>
        <w:t>10</w:t>
      </w:r>
      <w:r>
        <w:rPr>
          <w:rFonts w:hint="eastAsia" w:ascii="Times New Roman" w:hAnsi="Times New Roman"/>
          <w:b/>
          <w:bCs/>
          <w:color w:val="auto"/>
          <w:sz w:val="21"/>
          <w:highlight w:val="none"/>
        </w:rPr>
        <w:t>排放速率按烟尘量计算。</w:t>
      </w:r>
    </w:p>
    <w:p w14:paraId="3314BEA9">
      <w:pPr>
        <w:spacing w:line="240" w:lineRule="auto"/>
        <w:ind w:firstLine="0" w:firstLineChars="0"/>
        <w:jc w:val="left"/>
        <w:rPr>
          <w:rFonts w:hint="default"/>
          <w:color w:val="auto"/>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b/>
          <w:bCs/>
          <w:color w:val="auto"/>
          <w:sz w:val="21"/>
          <w:highlight w:val="none"/>
          <w:lang w:val="en-US" w:eastAsia="zh-CN"/>
        </w:rPr>
        <w:t>②</w:t>
      </w:r>
      <w:r>
        <w:rPr>
          <w:rFonts w:hint="eastAsia" w:ascii="Times New Roman" w:hAnsi="Times New Roman"/>
          <w:b/>
          <w:color w:val="auto"/>
          <w:sz w:val="21"/>
          <w:highlight w:val="none"/>
        </w:rPr>
        <w:t>根据《燃煤锅炉烟气中细颗粒物的排放特征和控制现状》（环境工程技术学报2017.05），</w:t>
      </w:r>
      <w:r>
        <w:rPr>
          <w:rFonts w:hint="eastAsia" w:ascii="Times New Roman" w:hAnsi="Times New Roman"/>
          <w:b/>
          <w:color w:val="auto"/>
          <w:sz w:val="21"/>
          <w:highlight w:val="none"/>
          <w:lang w:val="en-US" w:eastAsia="zh-CN"/>
        </w:rPr>
        <w:t>“</w:t>
      </w:r>
      <w:r>
        <w:rPr>
          <w:rFonts w:hint="eastAsia" w:ascii="Times New Roman" w:hAnsi="Times New Roman"/>
          <w:b/>
          <w:color w:val="auto"/>
          <w:sz w:val="21"/>
          <w:highlight w:val="none"/>
        </w:rPr>
        <w:t>经过除尘效率相对较高的静电除尘器+湿法脱硫，颗粒物（PM</w:t>
      </w:r>
      <w:r>
        <w:rPr>
          <w:rFonts w:hint="eastAsia" w:ascii="Times New Roman" w:hAnsi="Times New Roman"/>
          <w:b/>
          <w:color w:val="auto"/>
          <w:sz w:val="21"/>
          <w:highlight w:val="none"/>
          <w:vertAlign w:val="subscript"/>
        </w:rPr>
        <w:t>2.5</w:t>
      </w:r>
      <w:r>
        <w:rPr>
          <w:rFonts w:hint="eastAsia" w:ascii="Times New Roman" w:hAnsi="Times New Roman"/>
          <w:b/>
          <w:color w:val="auto"/>
          <w:sz w:val="21"/>
          <w:highlight w:val="none"/>
        </w:rPr>
        <w:t>）占颗粒物总排放量的64.1%</w:t>
      </w:r>
      <w:r>
        <w:rPr>
          <w:rFonts w:hint="eastAsia" w:ascii="Times New Roman" w:hAnsi="Times New Roman"/>
          <w:b/>
          <w:color w:val="auto"/>
          <w:sz w:val="21"/>
          <w:highlight w:val="none"/>
          <w:lang w:eastAsia="zh-CN"/>
        </w:rPr>
        <w:t>，布袋除尘器对该粒径段颗粒物的去除率较静电除尘器更高</w:t>
      </w:r>
      <w:r>
        <w:rPr>
          <w:rFonts w:hint="eastAsia" w:ascii="Times New Roman" w:hAnsi="Times New Roman"/>
          <w:b/>
          <w:color w:val="auto"/>
          <w:sz w:val="21"/>
          <w:highlight w:val="none"/>
        </w:rPr>
        <w:t>。</w:t>
      </w:r>
      <w:r>
        <w:rPr>
          <w:rFonts w:hint="eastAsia" w:ascii="Times New Roman" w:hAnsi="Times New Roman"/>
          <w:b/>
          <w:color w:val="auto"/>
          <w:sz w:val="21"/>
          <w:highlight w:val="none"/>
          <w:lang w:val="en-US" w:eastAsia="zh-CN"/>
        </w:rPr>
        <w:t>”</w:t>
      </w:r>
      <w:r>
        <w:rPr>
          <w:rFonts w:hint="eastAsia" w:ascii="Times New Roman" w:hAnsi="Times New Roman"/>
          <w:b/>
          <w:color w:val="auto"/>
          <w:sz w:val="21"/>
          <w:highlight w:val="none"/>
        </w:rPr>
        <w:t>本次采用布袋除尘器（超细纤维滤袋，表面进行覆膜处理）。</w:t>
      </w:r>
      <w:r>
        <w:rPr>
          <w:rFonts w:hint="eastAsia" w:ascii="Times New Roman" w:hAnsi="Times New Roman" w:eastAsia="宋体" w:cs="Times New Roman"/>
          <w:b/>
          <w:bCs/>
          <w:color w:val="auto"/>
          <w:sz w:val="21"/>
          <w:highlight w:val="none"/>
          <w:lang w:val="en-US" w:eastAsia="zh-CN"/>
        </w:rPr>
        <w:t>③本项目锅炉烟囱污染物排放共用一根烟囱，因此本项目贡献值=</w:t>
      </w:r>
      <w:r>
        <w:rPr>
          <w:rFonts w:hint="eastAsia" w:ascii="Times New Roman" w:hAnsi="Times New Roman" w:eastAsia="宋体" w:cs="Times New Roman"/>
          <w:b/>
          <w:bCs/>
          <w:color w:val="auto"/>
          <w:sz w:val="21"/>
          <w:highlight w:val="none"/>
          <w:lang w:eastAsia="zh-CN"/>
        </w:rPr>
        <w:t>建成后锅炉</w:t>
      </w:r>
      <w:r>
        <w:rPr>
          <w:rFonts w:hint="eastAsia" w:ascii="Times New Roman" w:hAnsi="Times New Roman" w:eastAsia="宋体" w:cs="Times New Roman"/>
          <w:b/>
          <w:bCs/>
          <w:color w:val="auto"/>
          <w:sz w:val="21"/>
          <w:highlight w:val="none"/>
          <w:lang w:val="en-US" w:eastAsia="zh-CN"/>
        </w:rPr>
        <w:t>贡献值浓度。</w:t>
      </w:r>
    </w:p>
    <w:p w14:paraId="2A2A2827">
      <w:pPr>
        <w:ind w:firstLine="480"/>
        <w:rPr>
          <w:rFonts w:ascii="Times New Roman" w:hAnsi="Times New Roman"/>
          <w:color w:val="auto"/>
          <w:highlight w:val="none"/>
        </w:rPr>
      </w:pPr>
      <w:r>
        <w:rPr>
          <w:rFonts w:ascii="Times New Roman" w:hAnsi="Times New Roman"/>
          <w:color w:val="auto"/>
          <w:highlight w:val="none"/>
        </w:rPr>
        <w:t>二、大气环境影响结果</w:t>
      </w:r>
    </w:p>
    <w:p w14:paraId="69CBAFCB">
      <w:pPr>
        <w:ind w:firstLine="480"/>
        <w:rPr>
          <w:rFonts w:ascii="Times New Roman" w:hAnsi="Times New Roman"/>
          <w:color w:val="auto"/>
          <w:highlight w:val="none"/>
        </w:rPr>
      </w:pPr>
      <w:r>
        <w:rPr>
          <w:rFonts w:ascii="Times New Roman" w:hAnsi="Times New Roman"/>
          <w:color w:val="auto"/>
          <w:highlight w:val="none"/>
        </w:rPr>
        <w:t>1、新增污染源贡献浓度结果</w:t>
      </w:r>
    </w:p>
    <w:p w14:paraId="6ED732E2">
      <w:pPr>
        <w:ind w:firstLine="480"/>
        <w:rPr>
          <w:rFonts w:ascii="Times New Roman" w:hAnsi="Times New Roman"/>
          <w:color w:val="auto"/>
          <w:highlight w:val="none"/>
        </w:rPr>
      </w:pPr>
      <w:r>
        <w:rPr>
          <w:rFonts w:ascii="Times New Roman" w:hAnsi="Times New Roman"/>
          <w:color w:val="auto"/>
          <w:highlight w:val="none"/>
        </w:rPr>
        <w:t>（1）本项目SO</w:t>
      </w:r>
      <w:r>
        <w:rPr>
          <w:rFonts w:ascii="Times New Roman" w:hAnsi="Times New Roman"/>
          <w:color w:val="auto"/>
          <w:highlight w:val="none"/>
          <w:vertAlign w:val="subscript"/>
        </w:rPr>
        <w:t>2</w:t>
      </w:r>
      <w:r>
        <w:rPr>
          <w:rFonts w:ascii="Times New Roman" w:hAnsi="Times New Roman"/>
          <w:color w:val="auto"/>
          <w:highlight w:val="none"/>
        </w:rPr>
        <w:t>贡献浓度预测结果分析</w:t>
      </w:r>
    </w:p>
    <w:p w14:paraId="7F3E38C5">
      <w:pPr>
        <w:ind w:firstLine="480"/>
        <w:rPr>
          <w:rFonts w:ascii="Times New Roman" w:hAnsi="Times New Roman"/>
          <w:color w:val="auto"/>
          <w:highlight w:val="none"/>
        </w:rPr>
      </w:pPr>
      <w:r>
        <w:rPr>
          <w:rFonts w:ascii="Times New Roman" w:hAnsi="Times New Roman"/>
          <w:color w:val="auto"/>
          <w:highlight w:val="none"/>
        </w:rPr>
        <w:t>本项目SO</w:t>
      </w:r>
      <w:r>
        <w:rPr>
          <w:rFonts w:ascii="Times New Roman" w:hAnsi="Times New Roman"/>
          <w:color w:val="auto"/>
          <w:highlight w:val="none"/>
          <w:vertAlign w:val="subscript"/>
        </w:rPr>
        <w:t>2</w:t>
      </w:r>
      <w:r>
        <w:rPr>
          <w:rFonts w:ascii="Times New Roman" w:hAnsi="Times New Roman"/>
          <w:color w:val="auto"/>
          <w:highlight w:val="none"/>
        </w:rPr>
        <w:t>对环境空气敏感点及区域最大浓度点短期贡献浓度值及占标率见表5.2-1</w:t>
      </w:r>
      <w:r>
        <w:rPr>
          <w:rFonts w:hint="eastAsia" w:ascii="Times New Roman" w:hAnsi="Times New Roman"/>
          <w:color w:val="auto"/>
          <w:highlight w:val="none"/>
          <w:lang w:val="en-US" w:eastAsia="zh-CN"/>
        </w:rPr>
        <w:t>2</w:t>
      </w:r>
      <w:r>
        <w:rPr>
          <w:rFonts w:ascii="Times New Roman" w:hAnsi="Times New Roman"/>
          <w:color w:val="auto"/>
          <w:highlight w:val="none"/>
        </w:rPr>
        <w:t>。</w:t>
      </w:r>
    </w:p>
    <w:p w14:paraId="78A8A561">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5.2-1</w:t>
      </w:r>
      <w:r>
        <w:rPr>
          <w:rFonts w:hint="eastAsia" w:ascii="Times New Roman" w:hAnsi="Times New Roman"/>
          <w:color w:val="auto"/>
          <w:highlight w:val="none"/>
          <w:lang w:val="en-US" w:eastAsia="zh-CN"/>
        </w:rPr>
        <w:t>2</w:t>
      </w:r>
      <w:r>
        <w:rPr>
          <w:rFonts w:hint="eastAsia" w:ascii="黑体" w:hAnsi="黑体" w:eastAsia="黑体" w:cs="黑体"/>
          <w:color w:val="auto"/>
          <w:highlight w:val="none"/>
        </w:rPr>
        <w:t>本项目</w:t>
      </w:r>
      <w:r>
        <w:rPr>
          <w:rFonts w:ascii="Times New Roman" w:hAnsi="Times New Roman"/>
          <w:color w:val="auto"/>
          <w:highlight w:val="none"/>
        </w:rPr>
        <w:t>SO</w:t>
      </w:r>
      <w:r>
        <w:rPr>
          <w:rFonts w:ascii="Times New Roman" w:hAnsi="Times New Roman"/>
          <w:color w:val="auto"/>
          <w:highlight w:val="none"/>
          <w:vertAlign w:val="subscript"/>
        </w:rPr>
        <w:t>2</w:t>
      </w:r>
      <w:r>
        <w:rPr>
          <w:rFonts w:hint="eastAsia" w:ascii="黑体" w:hAnsi="黑体" w:eastAsia="黑体" w:cs="黑体"/>
          <w:color w:val="auto"/>
          <w:highlight w:val="none"/>
        </w:rPr>
        <w:t>贡献值预测结果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64"/>
        <w:gridCol w:w="1037"/>
        <w:gridCol w:w="1563"/>
        <w:gridCol w:w="1193"/>
        <w:gridCol w:w="1003"/>
        <w:gridCol w:w="1037"/>
      </w:tblGrid>
      <w:tr w14:paraId="65337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068A67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序号</w:t>
            </w:r>
          </w:p>
        </w:tc>
        <w:tc>
          <w:tcPr>
            <w:tcW w:w="1210" w:type="pct"/>
            <w:noWrap/>
            <w:vAlign w:val="center"/>
          </w:tcPr>
          <w:p w14:paraId="332C16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点名称</w:t>
            </w:r>
          </w:p>
        </w:tc>
        <w:tc>
          <w:tcPr>
            <w:tcW w:w="608" w:type="pct"/>
            <w:noWrap/>
            <w:vAlign w:val="center"/>
          </w:tcPr>
          <w:p w14:paraId="521116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浓度类型</w:t>
            </w:r>
          </w:p>
        </w:tc>
        <w:tc>
          <w:tcPr>
            <w:tcW w:w="917" w:type="pct"/>
            <w:noWrap/>
            <w:vAlign w:val="center"/>
          </w:tcPr>
          <w:p w14:paraId="489C7F0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浓度增量(mg/m3)</w:t>
            </w:r>
          </w:p>
        </w:tc>
        <w:tc>
          <w:tcPr>
            <w:tcW w:w="699" w:type="pct"/>
            <w:noWrap/>
            <w:vAlign w:val="center"/>
          </w:tcPr>
          <w:p w14:paraId="13B9D00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出现时间</w:t>
            </w:r>
          </w:p>
        </w:tc>
        <w:tc>
          <w:tcPr>
            <w:tcW w:w="588" w:type="pct"/>
            <w:noWrap/>
            <w:vAlign w:val="center"/>
          </w:tcPr>
          <w:p w14:paraId="55B496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占标率%</w:t>
            </w:r>
          </w:p>
        </w:tc>
        <w:tc>
          <w:tcPr>
            <w:tcW w:w="608" w:type="pct"/>
            <w:noWrap/>
            <w:vAlign w:val="center"/>
          </w:tcPr>
          <w:p w14:paraId="3BD759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是否超标</w:t>
            </w:r>
          </w:p>
        </w:tc>
      </w:tr>
      <w:tr w14:paraId="67C47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7D21B1C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w:t>
            </w:r>
          </w:p>
        </w:tc>
        <w:tc>
          <w:tcPr>
            <w:tcW w:w="1210" w:type="pct"/>
            <w:vMerge w:val="restart"/>
            <w:noWrap/>
            <w:vAlign w:val="center"/>
          </w:tcPr>
          <w:p w14:paraId="127D911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bidi="ar"/>
              </w:rPr>
            </w:pPr>
            <w:r>
              <w:rPr>
                <w:rFonts w:hint="eastAsia" w:ascii="Times New Roman" w:hAnsi="Times New Roman" w:eastAsia="宋体" w:cs="Times New Roman"/>
                <w:kern w:val="0"/>
                <w:sz w:val="21"/>
                <w:highlight w:val="none"/>
                <w:lang w:val="en-US" w:eastAsia="zh-CN" w:bidi="ar"/>
              </w:rPr>
              <w:t>绥芬河市政府</w:t>
            </w:r>
          </w:p>
        </w:tc>
        <w:tc>
          <w:tcPr>
            <w:tcW w:w="608" w:type="pct"/>
            <w:noWrap/>
            <w:vAlign w:val="center"/>
          </w:tcPr>
          <w:p w14:paraId="54B2652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B8BEB9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9.97E-04</w:t>
            </w:r>
          </w:p>
        </w:tc>
        <w:tc>
          <w:tcPr>
            <w:tcW w:w="699" w:type="pct"/>
            <w:noWrap/>
            <w:vAlign w:val="center"/>
          </w:tcPr>
          <w:p w14:paraId="1FA981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24041512</w:t>
            </w:r>
          </w:p>
        </w:tc>
        <w:tc>
          <w:tcPr>
            <w:tcW w:w="588" w:type="pct"/>
            <w:noWrap/>
            <w:vAlign w:val="center"/>
          </w:tcPr>
          <w:p w14:paraId="67238B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569F968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0E35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9F848C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15291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AAA34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E223F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2.29E-04</w:t>
            </w:r>
          </w:p>
        </w:tc>
        <w:tc>
          <w:tcPr>
            <w:tcW w:w="699" w:type="pct"/>
            <w:noWrap/>
            <w:vAlign w:val="center"/>
          </w:tcPr>
          <w:p w14:paraId="41089EF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532F77C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34574DC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6394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4185719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25386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6D3A18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726F0A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7.81E-06</w:t>
            </w:r>
          </w:p>
        </w:tc>
        <w:tc>
          <w:tcPr>
            <w:tcW w:w="699" w:type="pct"/>
            <w:noWrap/>
            <w:vAlign w:val="center"/>
          </w:tcPr>
          <w:p w14:paraId="65CA67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52E156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7F434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F5FF4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191629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2</w:t>
            </w:r>
          </w:p>
        </w:tc>
        <w:tc>
          <w:tcPr>
            <w:tcW w:w="1210" w:type="pct"/>
            <w:vMerge w:val="restart"/>
            <w:noWrap/>
            <w:vAlign w:val="center"/>
          </w:tcPr>
          <w:p w14:paraId="3F6711E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608" w:type="pct"/>
            <w:noWrap/>
            <w:vAlign w:val="center"/>
          </w:tcPr>
          <w:p w14:paraId="4E65466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F055A0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6.51E-04</w:t>
            </w:r>
          </w:p>
        </w:tc>
        <w:tc>
          <w:tcPr>
            <w:tcW w:w="699" w:type="pct"/>
            <w:noWrap/>
            <w:vAlign w:val="center"/>
          </w:tcPr>
          <w:p w14:paraId="69E937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24041609</w:t>
            </w:r>
          </w:p>
        </w:tc>
        <w:tc>
          <w:tcPr>
            <w:tcW w:w="588" w:type="pct"/>
            <w:noWrap/>
            <w:vAlign w:val="center"/>
          </w:tcPr>
          <w:p w14:paraId="7F0B31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04AA27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8E62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763A7E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35044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4FC17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0CF2E58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9.17E-05</w:t>
            </w:r>
          </w:p>
        </w:tc>
        <w:tc>
          <w:tcPr>
            <w:tcW w:w="699" w:type="pct"/>
            <w:noWrap/>
            <w:vAlign w:val="center"/>
          </w:tcPr>
          <w:p w14:paraId="708CBB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AA9EE3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63CF57B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F4485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58EEF0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431A7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63D5822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ADB9E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2.05E-06</w:t>
            </w:r>
          </w:p>
        </w:tc>
        <w:tc>
          <w:tcPr>
            <w:tcW w:w="699" w:type="pct"/>
            <w:noWrap/>
            <w:vAlign w:val="center"/>
          </w:tcPr>
          <w:p w14:paraId="35A60B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F8AA2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EC3FE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1E3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5AC9F9C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3</w:t>
            </w:r>
          </w:p>
        </w:tc>
        <w:tc>
          <w:tcPr>
            <w:tcW w:w="1210" w:type="pct"/>
            <w:vMerge w:val="restart"/>
            <w:noWrap/>
            <w:vAlign w:val="center"/>
          </w:tcPr>
          <w:p w14:paraId="0EBE7C7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608" w:type="pct"/>
            <w:noWrap/>
            <w:vAlign w:val="center"/>
          </w:tcPr>
          <w:p w14:paraId="5F91FA7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34801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1.04E-03</w:t>
            </w:r>
          </w:p>
        </w:tc>
        <w:tc>
          <w:tcPr>
            <w:tcW w:w="699" w:type="pct"/>
            <w:noWrap/>
            <w:vAlign w:val="center"/>
          </w:tcPr>
          <w:p w14:paraId="421ADF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24042314</w:t>
            </w:r>
          </w:p>
        </w:tc>
        <w:tc>
          <w:tcPr>
            <w:tcW w:w="588" w:type="pct"/>
            <w:noWrap/>
            <w:vAlign w:val="center"/>
          </w:tcPr>
          <w:p w14:paraId="08281DB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0.21</w:t>
            </w:r>
          </w:p>
        </w:tc>
        <w:tc>
          <w:tcPr>
            <w:tcW w:w="608" w:type="pct"/>
            <w:noWrap/>
            <w:vAlign w:val="center"/>
          </w:tcPr>
          <w:p w14:paraId="20738AA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B0347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49C4D0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DB76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0F0D14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073A4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2.99E-04</w:t>
            </w:r>
          </w:p>
        </w:tc>
        <w:tc>
          <w:tcPr>
            <w:tcW w:w="699" w:type="pct"/>
            <w:noWrap/>
            <w:vAlign w:val="center"/>
          </w:tcPr>
          <w:p w14:paraId="45DA14D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486320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65A3A9F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90E3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53BED73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82F00F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7E92F1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0E256E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1.06E-05</w:t>
            </w:r>
          </w:p>
        </w:tc>
        <w:tc>
          <w:tcPr>
            <w:tcW w:w="699" w:type="pct"/>
            <w:noWrap/>
            <w:vAlign w:val="center"/>
          </w:tcPr>
          <w:p w14:paraId="3F5A691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56A44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3A6223A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4611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52496F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4</w:t>
            </w:r>
          </w:p>
        </w:tc>
        <w:tc>
          <w:tcPr>
            <w:tcW w:w="1210" w:type="pct"/>
            <w:vMerge w:val="restart"/>
            <w:shd w:val="clear" w:color="auto" w:fill="auto"/>
            <w:noWrap/>
            <w:vAlign w:val="center"/>
          </w:tcPr>
          <w:p w14:paraId="3813BB93">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608" w:type="pct"/>
            <w:noWrap/>
            <w:vAlign w:val="center"/>
          </w:tcPr>
          <w:p w14:paraId="7C154E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C4D1B9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8.80E-04</w:t>
            </w:r>
          </w:p>
        </w:tc>
        <w:tc>
          <w:tcPr>
            <w:tcW w:w="699" w:type="pct"/>
            <w:noWrap/>
            <w:vAlign w:val="center"/>
          </w:tcPr>
          <w:p w14:paraId="2157C76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7334075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0.18</w:t>
            </w:r>
          </w:p>
        </w:tc>
        <w:tc>
          <w:tcPr>
            <w:tcW w:w="608" w:type="pct"/>
            <w:noWrap/>
            <w:vAlign w:val="center"/>
          </w:tcPr>
          <w:p w14:paraId="1E1A364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50D27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783C586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9EB003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F86B39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4C7D8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1.24E-04</w:t>
            </w:r>
          </w:p>
        </w:tc>
        <w:tc>
          <w:tcPr>
            <w:tcW w:w="699" w:type="pct"/>
            <w:noWrap/>
            <w:vAlign w:val="center"/>
          </w:tcPr>
          <w:p w14:paraId="64268A7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71E071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63524D9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F0F08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67C3A8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C6F624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CF092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49998B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3.08E-06</w:t>
            </w:r>
          </w:p>
        </w:tc>
        <w:tc>
          <w:tcPr>
            <w:tcW w:w="699" w:type="pct"/>
            <w:noWrap/>
            <w:vAlign w:val="center"/>
          </w:tcPr>
          <w:p w14:paraId="6DBE9F4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2FE4D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1B58F0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CB91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62148F7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5</w:t>
            </w:r>
          </w:p>
        </w:tc>
        <w:tc>
          <w:tcPr>
            <w:tcW w:w="1210" w:type="pct"/>
            <w:vMerge w:val="restart"/>
            <w:noWrap/>
            <w:vAlign w:val="center"/>
          </w:tcPr>
          <w:p w14:paraId="67E63F57">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608" w:type="pct"/>
            <w:noWrap/>
            <w:vAlign w:val="center"/>
          </w:tcPr>
          <w:p w14:paraId="32A6088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9DBFE6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9.47E-04</w:t>
            </w:r>
          </w:p>
        </w:tc>
        <w:tc>
          <w:tcPr>
            <w:tcW w:w="699" w:type="pct"/>
            <w:noWrap/>
            <w:vAlign w:val="center"/>
          </w:tcPr>
          <w:p w14:paraId="3ECAD77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6932AC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46904A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8508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7D91E0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5E9D301">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7B92AF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884FDD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1.30E-04</w:t>
            </w:r>
          </w:p>
        </w:tc>
        <w:tc>
          <w:tcPr>
            <w:tcW w:w="699" w:type="pct"/>
            <w:noWrap/>
            <w:vAlign w:val="center"/>
          </w:tcPr>
          <w:p w14:paraId="470DD2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C6C424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10129D3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9106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4FC3A4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9ED5DBC">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493F87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C29B2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3.52E-06</w:t>
            </w:r>
          </w:p>
        </w:tc>
        <w:tc>
          <w:tcPr>
            <w:tcW w:w="699" w:type="pct"/>
            <w:noWrap/>
            <w:vAlign w:val="center"/>
          </w:tcPr>
          <w:p w14:paraId="49145A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DE805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221C2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CC60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1DBCC6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6</w:t>
            </w:r>
          </w:p>
        </w:tc>
        <w:tc>
          <w:tcPr>
            <w:tcW w:w="1210" w:type="pct"/>
            <w:vMerge w:val="restart"/>
            <w:noWrap/>
            <w:vAlign w:val="center"/>
          </w:tcPr>
          <w:p w14:paraId="360DB0CF">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608" w:type="pct"/>
            <w:noWrap/>
            <w:vAlign w:val="center"/>
          </w:tcPr>
          <w:p w14:paraId="3F9259E3">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917" w:type="pct"/>
            <w:noWrap/>
            <w:vAlign w:val="center"/>
          </w:tcPr>
          <w:p w14:paraId="6837C4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6.49E-04</w:t>
            </w:r>
          </w:p>
        </w:tc>
        <w:tc>
          <w:tcPr>
            <w:tcW w:w="699" w:type="pct"/>
            <w:noWrap/>
            <w:vAlign w:val="center"/>
          </w:tcPr>
          <w:p w14:paraId="769E69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58EBA16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13B8FCE8">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7181B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31F83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DE3782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EA73D30">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917" w:type="pct"/>
            <w:noWrap/>
            <w:vAlign w:val="center"/>
          </w:tcPr>
          <w:p w14:paraId="611DA54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4.34E-05</w:t>
            </w:r>
          </w:p>
        </w:tc>
        <w:tc>
          <w:tcPr>
            <w:tcW w:w="699" w:type="pct"/>
            <w:noWrap/>
            <w:vAlign w:val="center"/>
          </w:tcPr>
          <w:p w14:paraId="1D0DF3A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1F37D203">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79113915">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7ED708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FE7670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2A6E1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657F61FA">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917" w:type="pct"/>
            <w:noWrap/>
            <w:vAlign w:val="center"/>
          </w:tcPr>
          <w:p w14:paraId="146A127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6.20E-07</w:t>
            </w:r>
          </w:p>
        </w:tc>
        <w:tc>
          <w:tcPr>
            <w:tcW w:w="699" w:type="pct"/>
            <w:noWrap/>
            <w:vAlign w:val="center"/>
          </w:tcPr>
          <w:p w14:paraId="4A92F4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B31E99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2D52FD">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1EE72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397F7B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1210" w:type="pct"/>
            <w:vMerge w:val="restart"/>
            <w:noWrap/>
            <w:vAlign w:val="center"/>
          </w:tcPr>
          <w:p w14:paraId="6D852A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绥芬河邮政管理局</w:t>
            </w:r>
          </w:p>
        </w:tc>
        <w:tc>
          <w:tcPr>
            <w:tcW w:w="608" w:type="pct"/>
            <w:noWrap/>
            <w:vAlign w:val="center"/>
          </w:tcPr>
          <w:p w14:paraId="2CE4D63F">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917" w:type="pct"/>
            <w:noWrap/>
            <w:vAlign w:val="center"/>
          </w:tcPr>
          <w:p w14:paraId="49CA47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6.16E-04</w:t>
            </w:r>
          </w:p>
        </w:tc>
        <w:tc>
          <w:tcPr>
            <w:tcW w:w="699" w:type="pct"/>
            <w:noWrap/>
            <w:vAlign w:val="center"/>
          </w:tcPr>
          <w:p w14:paraId="4532707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21A12D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56F6CA46">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13DC4F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88E67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AD7D97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2EAEE4F">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917" w:type="pct"/>
            <w:noWrap/>
            <w:vAlign w:val="center"/>
          </w:tcPr>
          <w:p w14:paraId="5A019E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4.12E-05</w:t>
            </w:r>
          </w:p>
        </w:tc>
        <w:tc>
          <w:tcPr>
            <w:tcW w:w="699" w:type="pct"/>
            <w:noWrap/>
            <w:vAlign w:val="center"/>
          </w:tcPr>
          <w:p w14:paraId="4C1E5A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3073A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504D458">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4256C7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50ACEC6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6BD610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4B4AC75A">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917" w:type="pct"/>
            <w:noWrap/>
            <w:vAlign w:val="center"/>
          </w:tcPr>
          <w:p w14:paraId="279E75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6.60E-07</w:t>
            </w:r>
          </w:p>
        </w:tc>
        <w:tc>
          <w:tcPr>
            <w:tcW w:w="699" w:type="pct"/>
            <w:noWrap/>
            <w:vAlign w:val="center"/>
          </w:tcPr>
          <w:p w14:paraId="5E392D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FF3BCE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06F19CF">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5CBC9E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59E1B7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1210" w:type="pct"/>
            <w:vMerge w:val="restart"/>
            <w:noWrap/>
            <w:vAlign w:val="center"/>
          </w:tcPr>
          <w:p w14:paraId="46F881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绥芬河市教育局</w:t>
            </w:r>
          </w:p>
        </w:tc>
        <w:tc>
          <w:tcPr>
            <w:tcW w:w="608" w:type="pct"/>
            <w:noWrap/>
            <w:vAlign w:val="center"/>
          </w:tcPr>
          <w:p w14:paraId="530911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3BEE7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7.05E-04</w:t>
            </w:r>
          </w:p>
        </w:tc>
        <w:tc>
          <w:tcPr>
            <w:tcW w:w="699" w:type="pct"/>
            <w:noWrap/>
            <w:vAlign w:val="center"/>
          </w:tcPr>
          <w:p w14:paraId="59C2BD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3EDCCDB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370B3E2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A9DCE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2ABDEEC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43C8E5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DE458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45C6F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3.58E-05</w:t>
            </w:r>
          </w:p>
        </w:tc>
        <w:tc>
          <w:tcPr>
            <w:tcW w:w="699" w:type="pct"/>
            <w:noWrap/>
            <w:vAlign w:val="center"/>
          </w:tcPr>
          <w:p w14:paraId="22D8E6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w:t>
            </w:r>
          </w:p>
        </w:tc>
        <w:tc>
          <w:tcPr>
            <w:tcW w:w="588" w:type="pct"/>
            <w:noWrap/>
            <w:vAlign w:val="center"/>
          </w:tcPr>
          <w:p w14:paraId="3D06B3A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7079AD1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B3E8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1B56961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4A917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31A9B2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709DB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6.70E-07</w:t>
            </w:r>
          </w:p>
        </w:tc>
        <w:tc>
          <w:tcPr>
            <w:tcW w:w="699" w:type="pct"/>
            <w:noWrap/>
            <w:vAlign w:val="center"/>
          </w:tcPr>
          <w:p w14:paraId="4B42DC9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40305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524A6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2ED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restart"/>
            <w:noWrap/>
            <w:vAlign w:val="center"/>
          </w:tcPr>
          <w:p w14:paraId="56350F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1210" w:type="pct"/>
            <w:vMerge w:val="restart"/>
            <w:noWrap/>
            <w:vAlign w:val="center"/>
          </w:tcPr>
          <w:p w14:paraId="6CF0EA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绥芬河市自然资源局</w:t>
            </w:r>
          </w:p>
        </w:tc>
        <w:tc>
          <w:tcPr>
            <w:tcW w:w="608" w:type="pct"/>
            <w:noWrap/>
            <w:vAlign w:val="center"/>
          </w:tcPr>
          <w:p w14:paraId="6D939DE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937B8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7.11E-04</w:t>
            </w:r>
          </w:p>
        </w:tc>
        <w:tc>
          <w:tcPr>
            <w:tcW w:w="699" w:type="pct"/>
            <w:noWrap/>
            <w:vAlign w:val="center"/>
          </w:tcPr>
          <w:p w14:paraId="773159D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432D1D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5D06B3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AF8E8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5724EC4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600FE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DAD9B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30FEA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4.92E-05</w:t>
            </w:r>
          </w:p>
        </w:tc>
        <w:tc>
          <w:tcPr>
            <w:tcW w:w="699" w:type="pct"/>
            <w:noWrap/>
            <w:vAlign w:val="center"/>
          </w:tcPr>
          <w:p w14:paraId="2E52A3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A03E9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B8A2BE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4EB5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366" w:type="pct"/>
            <w:vMerge w:val="continue"/>
            <w:noWrap/>
            <w:vAlign w:val="center"/>
          </w:tcPr>
          <w:p w14:paraId="5430F25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7D1980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42C8EF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81EDF5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7.30E-07</w:t>
            </w:r>
          </w:p>
        </w:tc>
        <w:tc>
          <w:tcPr>
            <w:tcW w:w="699" w:type="pct"/>
            <w:noWrap/>
            <w:vAlign w:val="center"/>
          </w:tcPr>
          <w:p w14:paraId="0EF2FD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FEFE85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AE146E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9702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restart"/>
            <w:noWrap/>
            <w:vAlign w:val="center"/>
          </w:tcPr>
          <w:p w14:paraId="2C551AF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1210" w:type="pct"/>
            <w:vMerge w:val="restart"/>
            <w:noWrap/>
            <w:vAlign w:val="center"/>
          </w:tcPr>
          <w:p w14:paraId="6DBA42E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绥芬河海关</w:t>
            </w:r>
          </w:p>
        </w:tc>
        <w:tc>
          <w:tcPr>
            <w:tcW w:w="608" w:type="pct"/>
            <w:noWrap/>
            <w:vAlign w:val="center"/>
          </w:tcPr>
          <w:p w14:paraId="13910B3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E0F68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7.75E-04</w:t>
            </w:r>
          </w:p>
        </w:tc>
        <w:tc>
          <w:tcPr>
            <w:tcW w:w="699" w:type="pct"/>
            <w:noWrap/>
            <w:vAlign w:val="center"/>
          </w:tcPr>
          <w:p w14:paraId="4ACE68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5331BF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1BC2A5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759E9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3C0ECF9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E018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DB035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99AE94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4.72E-05</w:t>
            </w:r>
          </w:p>
        </w:tc>
        <w:tc>
          <w:tcPr>
            <w:tcW w:w="699" w:type="pct"/>
            <w:noWrap/>
            <w:vAlign w:val="center"/>
          </w:tcPr>
          <w:p w14:paraId="30D6D57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6C9390A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7F4817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6C0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04214C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1296A8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05E46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3B6CBD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1.19E-06</w:t>
            </w:r>
          </w:p>
        </w:tc>
        <w:tc>
          <w:tcPr>
            <w:tcW w:w="699" w:type="pct"/>
            <w:noWrap/>
            <w:vAlign w:val="center"/>
          </w:tcPr>
          <w:p w14:paraId="275B76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1A623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B68E19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A1A1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2BCF84B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1210" w:type="pct"/>
            <w:vMerge w:val="restart"/>
            <w:noWrap/>
            <w:vAlign w:val="center"/>
          </w:tcPr>
          <w:p w14:paraId="279ABFD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608" w:type="pct"/>
            <w:noWrap/>
            <w:vAlign w:val="center"/>
          </w:tcPr>
          <w:p w14:paraId="304B4F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2E3D0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9.66E-04</w:t>
            </w:r>
          </w:p>
        </w:tc>
        <w:tc>
          <w:tcPr>
            <w:tcW w:w="699" w:type="pct"/>
            <w:noWrap/>
            <w:vAlign w:val="center"/>
          </w:tcPr>
          <w:p w14:paraId="05903E0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24041711</w:t>
            </w:r>
          </w:p>
        </w:tc>
        <w:tc>
          <w:tcPr>
            <w:tcW w:w="588" w:type="pct"/>
            <w:noWrap/>
            <w:vAlign w:val="center"/>
          </w:tcPr>
          <w:p w14:paraId="3EE45F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161608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C8A5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7C6C2C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AC339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C46E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C7135C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2.05E-04</w:t>
            </w:r>
          </w:p>
        </w:tc>
        <w:tc>
          <w:tcPr>
            <w:tcW w:w="699" w:type="pct"/>
            <w:noWrap/>
            <w:vAlign w:val="center"/>
          </w:tcPr>
          <w:p w14:paraId="123869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240430</w:t>
            </w:r>
          </w:p>
        </w:tc>
        <w:tc>
          <w:tcPr>
            <w:tcW w:w="588" w:type="pct"/>
            <w:noWrap/>
            <w:vAlign w:val="center"/>
          </w:tcPr>
          <w:p w14:paraId="6F69B78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034765B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33720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6" w:type="pct"/>
            <w:vMerge w:val="continue"/>
            <w:noWrap/>
            <w:vAlign w:val="center"/>
          </w:tcPr>
          <w:p w14:paraId="3EB8A9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9857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3C398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31941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1.33E-05</w:t>
            </w:r>
          </w:p>
        </w:tc>
        <w:tc>
          <w:tcPr>
            <w:tcW w:w="699" w:type="pct"/>
            <w:noWrap/>
            <w:vAlign w:val="center"/>
          </w:tcPr>
          <w:p w14:paraId="3CE9F3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9B9E9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4ED534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70C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66" w:type="pct"/>
            <w:vMerge w:val="restart"/>
            <w:noWrap/>
            <w:vAlign w:val="center"/>
          </w:tcPr>
          <w:p w14:paraId="2097922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1210" w:type="pct"/>
            <w:vMerge w:val="restart"/>
            <w:noWrap/>
            <w:vAlign w:val="center"/>
          </w:tcPr>
          <w:p w14:paraId="5E0244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绥芬河市生态环境局</w:t>
            </w:r>
          </w:p>
        </w:tc>
        <w:tc>
          <w:tcPr>
            <w:tcW w:w="608" w:type="pct"/>
            <w:noWrap/>
            <w:vAlign w:val="center"/>
          </w:tcPr>
          <w:p w14:paraId="702E6B1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6EDE881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8.22E-04</w:t>
            </w:r>
          </w:p>
        </w:tc>
        <w:tc>
          <w:tcPr>
            <w:tcW w:w="699" w:type="pct"/>
            <w:noWrap/>
            <w:vAlign w:val="center"/>
          </w:tcPr>
          <w:p w14:paraId="2AF6FA9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51B28A7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7C1E442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83B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482BDD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C8AD8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4FF961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9D299A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1.09E-04</w:t>
            </w:r>
          </w:p>
        </w:tc>
        <w:tc>
          <w:tcPr>
            <w:tcW w:w="699" w:type="pct"/>
            <w:noWrap/>
            <w:vAlign w:val="center"/>
          </w:tcPr>
          <w:p w14:paraId="76D6D23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22D0029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404D173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02213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366" w:type="pct"/>
            <w:vMerge w:val="continue"/>
            <w:noWrap/>
            <w:vAlign w:val="center"/>
          </w:tcPr>
          <w:p w14:paraId="68E253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5B31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1044AF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DF657E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2.47E-06</w:t>
            </w:r>
          </w:p>
        </w:tc>
        <w:tc>
          <w:tcPr>
            <w:tcW w:w="699" w:type="pct"/>
            <w:noWrap/>
            <w:vAlign w:val="center"/>
          </w:tcPr>
          <w:p w14:paraId="56F61E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4AF09F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D56EC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CF2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366" w:type="pct"/>
            <w:vMerge w:val="restart"/>
            <w:noWrap/>
            <w:vAlign w:val="center"/>
          </w:tcPr>
          <w:p w14:paraId="095CE86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1210" w:type="pct"/>
            <w:vMerge w:val="restart"/>
            <w:noWrap/>
            <w:vAlign w:val="center"/>
          </w:tcPr>
          <w:p w14:paraId="5542E47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绥芬河市民政局</w:t>
            </w:r>
          </w:p>
        </w:tc>
        <w:tc>
          <w:tcPr>
            <w:tcW w:w="608" w:type="pct"/>
            <w:noWrap/>
            <w:vAlign w:val="center"/>
          </w:tcPr>
          <w:p w14:paraId="2E0595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69268D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3.00E-04</w:t>
            </w:r>
          </w:p>
        </w:tc>
        <w:tc>
          <w:tcPr>
            <w:tcW w:w="699" w:type="pct"/>
            <w:noWrap/>
            <w:vAlign w:val="center"/>
          </w:tcPr>
          <w:p w14:paraId="6901A9F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254F00F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4574735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2D3F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562D24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423A0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E3CCE5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A4CF58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1.92E-05</w:t>
            </w:r>
          </w:p>
        </w:tc>
        <w:tc>
          <w:tcPr>
            <w:tcW w:w="699" w:type="pct"/>
            <w:noWrap/>
            <w:vAlign w:val="center"/>
          </w:tcPr>
          <w:p w14:paraId="00A496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527F84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C63FB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233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0DF9BE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D9A77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2A4DA4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E6EA0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3.40E-07</w:t>
            </w:r>
          </w:p>
        </w:tc>
        <w:tc>
          <w:tcPr>
            <w:tcW w:w="699" w:type="pct"/>
            <w:noWrap/>
            <w:vAlign w:val="center"/>
          </w:tcPr>
          <w:p w14:paraId="2D3BA70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B99A79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BB5E4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774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2B021B7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1210" w:type="pct"/>
            <w:vMerge w:val="restart"/>
            <w:noWrap/>
            <w:vAlign w:val="center"/>
          </w:tcPr>
          <w:p w14:paraId="7CDFC8F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绥芬河市公安局</w:t>
            </w:r>
          </w:p>
        </w:tc>
        <w:tc>
          <w:tcPr>
            <w:tcW w:w="608" w:type="pct"/>
            <w:noWrap/>
            <w:vAlign w:val="center"/>
          </w:tcPr>
          <w:p w14:paraId="2E400C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8F6368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4.51E-04</w:t>
            </w:r>
          </w:p>
        </w:tc>
        <w:tc>
          <w:tcPr>
            <w:tcW w:w="699" w:type="pct"/>
            <w:noWrap/>
            <w:vAlign w:val="center"/>
          </w:tcPr>
          <w:p w14:paraId="498B10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0A74D1E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44967C1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7CD6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31BC59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D4081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6951A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54FAC5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2.21E-05</w:t>
            </w:r>
          </w:p>
        </w:tc>
        <w:tc>
          <w:tcPr>
            <w:tcW w:w="699" w:type="pct"/>
            <w:noWrap/>
            <w:vAlign w:val="center"/>
          </w:tcPr>
          <w:p w14:paraId="6DB32E1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w:t>
            </w:r>
          </w:p>
        </w:tc>
        <w:tc>
          <w:tcPr>
            <w:tcW w:w="588" w:type="pct"/>
            <w:noWrap/>
            <w:vAlign w:val="center"/>
          </w:tcPr>
          <w:p w14:paraId="00D55ED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E6E9FD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1625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09E9842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A68178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6534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4D40FA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4.10E-07</w:t>
            </w:r>
          </w:p>
        </w:tc>
        <w:tc>
          <w:tcPr>
            <w:tcW w:w="699" w:type="pct"/>
            <w:noWrap/>
            <w:vAlign w:val="center"/>
          </w:tcPr>
          <w:p w14:paraId="5FECA6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DE034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1A561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81E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39A2F25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1210" w:type="pct"/>
            <w:vMerge w:val="restart"/>
            <w:noWrap/>
            <w:vAlign w:val="center"/>
          </w:tcPr>
          <w:p w14:paraId="7F4AD4E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阜宁镇人民政府</w:t>
            </w:r>
          </w:p>
        </w:tc>
        <w:tc>
          <w:tcPr>
            <w:tcW w:w="608" w:type="pct"/>
            <w:noWrap/>
            <w:vAlign w:val="center"/>
          </w:tcPr>
          <w:p w14:paraId="6C1F31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14A31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3.47E-04</w:t>
            </w:r>
          </w:p>
        </w:tc>
        <w:tc>
          <w:tcPr>
            <w:tcW w:w="699" w:type="pct"/>
            <w:noWrap/>
            <w:vAlign w:val="center"/>
          </w:tcPr>
          <w:p w14:paraId="5892F7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4B3B87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96D701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79A8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7A88A2B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FA4C72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3ED01A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683AF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1.49E-05</w:t>
            </w:r>
          </w:p>
        </w:tc>
        <w:tc>
          <w:tcPr>
            <w:tcW w:w="699" w:type="pct"/>
            <w:noWrap/>
            <w:vAlign w:val="center"/>
          </w:tcPr>
          <w:p w14:paraId="09EBFB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CACF99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61F664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D39D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continue"/>
            <w:noWrap/>
            <w:vAlign w:val="center"/>
          </w:tcPr>
          <w:p w14:paraId="59FF886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663CE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4EFC19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C3F4FF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2.30E-07</w:t>
            </w:r>
          </w:p>
        </w:tc>
        <w:tc>
          <w:tcPr>
            <w:tcW w:w="699" w:type="pct"/>
            <w:noWrap/>
            <w:vAlign w:val="center"/>
          </w:tcPr>
          <w:p w14:paraId="6412F8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6C590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5D993F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3EED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66" w:type="pct"/>
            <w:vMerge w:val="restart"/>
            <w:noWrap/>
            <w:vAlign w:val="center"/>
          </w:tcPr>
          <w:p w14:paraId="370C256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1210" w:type="pct"/>
            <w:vMerge w:val="restart"/>
            <w:noWrap/>
            <w:vAlign w:val="center"/>
          </w:tcPr>
          <w:p w14:paraId="18598D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绥芬河市广播电视局</w:t>
            </w:r>
          </w:p>
        </w:tc>
        <w:tc>
          <w:tcPr>
            <w:tcW w:w="608" w:type="pct"/>
            <w:noWrap/>
            <w:vAlign w:val="center"/>
          </w:tcPr>
          <w:p w14:paraId="6BF7685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CB8D0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8.18E-04</w:t>
            </w:r>
          </w:p>
        </w:tc>
        <w:tc>
          <w:tcPr>
            <w:tcW w:w="699" w:type="pct"/>
            <w:noWrap/>
            <w:vAlign w:val="center"/>
          </w:tcPr>
          <w:p w14:paraId="7AA36A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B05234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4C7F21A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0FC3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366" w:type="pct"/>
            <w:vMerge w:val="continue"/>
            <w:noWrap/>
            <w:vAlign w:val="center"/>
          </w:tcPr>
          <w:p w14:paraId="7BF11D0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28FD4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499B38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82683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5.55E-05</w:t>
            </w:r>
          </w:p>
        </w:tc>
        <w:tc>
          <w:tcPr>
            <w:tcW w:w="699" w:type="pct"/>
            <w:noWrap/>
            <w:vAlign w:val="center"/>
          </w:tcPr>
          <w:p w14:paraId="56FDFB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1CF36B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307F65D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4EA8F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2E49D51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906487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8259C4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B42CB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1.76E-06</w:t>
            </w:r>
          </w:p>
        </w:tc>
        <w:tc>
          <w:tcPr>
            <w:tcW w:w="699" w:type="pct"/>
            <w:noWrap/>
            <w:vAlign w:val="center"/>
          </w:tcPr>
          <w:p w14:paraId="4DBE67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7F6BD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90E1D6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D9D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66" w:type="pct"/>
            <w:vMerge w:val="restart"/>
            <w:noWrap/>
            <w:vAlign w:val="center"/>
          </w:tcPr>
          <w:p w14:paraId="3DB2D54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1210" w:type="pct"/>
            <w:vMerge w:val="restart"/>
            <w:noWrap/>
            <w:vAlign w:val="center"/>
          </w:tcPr>
          <w:p w14:paraId="5E84AF8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红太阳未来星幼儿园</w:t>
            </w:r>
          </w:p>
        </w:tc>
        <w:tc>
          <w:tcPr>
            <w:tcW w:w="608" w:type="pct"/>
            <w:noWrap/>
            <w:vAlign w:val="center"/>
          </w:tcPr>
          <w:p w14:paraId="3F2754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198BB2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8.00E-04</w:t>
            </w:r>
          </w:p>
        </w:tc>
        <w:tc>
          <w:tcPr>
            <w:tcW w:w="699" w:type="pct"/>
            <w:noWrap/>
            <w:vAlign w:val="center"/>
          </w:tcPr>
          <w:p w14:paraId="4F9B9A7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2C5B3EF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790588B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FECF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66" w:type="pct"/>
            <w:vMerge w:val="continue"/>
            <w:noWrap/>
            <w:vAlign w:val="center"/>
          </w:tcPr>
          <w:p w14:paraId="38B4AFA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D8CB2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58160F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035B86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1.18E-04</w:t>
            </w:r>
          </w:p>
        </w:tc>
        <w:tc>
          <w:tcPr>
            <w:tcW w:w="699" w:type="pct"/>
            <w:noWrap/>
            <w:vAlign w:val="center"/>
          </w:tcPr>
          <w:p w14:paraId="449610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B6192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4BA3EFB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4933F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58D2977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EF3B25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B786FD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F3898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3.18E-06</w:t>
            </w:r>
          </w:p>
        </w:tc>
        <w:tc>
          <w:tcPr>
            <w:tcW w:w="699" w:type="pct"/>
            <w:noWrap/>
            <w:vAlign w:val="center"/>
          </w:tcPr>
          <w:p w14:paraId="67C0D5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DCDE5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31DBC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20ED0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3395E01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1210" w:type="pct"/>
            <w:vMerge w:val="restart"/>
            <w:noWrap/>
            <w:vAlign w:val="center"/>
          </w:tcPr>
          <w:p w14:paraId="05C5FF6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金恒基小学</w:t>
            </w:r>
          </w:p>
        </w:tc>
        <w:tc>
          <w:tcPr>
            <w:tcW w:w="608" w:type="pct"/>
            <w:noWrap/>
            <w:vAlign w:val="center"/>
          </w:tcPr>
          <w:p w14:paraId="7679C7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3F9D38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6.54E-04</w:t>
            </w:r>
          </w:p>
        </w:tc>
        <w:tc>
          <w:tcPr>
            <w:tcW w:w="699" w:type="pct"/>
            <w:noWrap/>
            <w:vAlign w:val="center"/>
          </w:tcPr>
          <w:p w14:paraId="3A2D5D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5D32A6E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11A908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1774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4CC3B72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F2882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68BCA4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01FCF4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7.58E-05</w:t>
            </w:r>
          </w:p>
        </w:tc>
        <w:tc>
          <w:tcPr>
            <w:tcW w:w="699" w:type="pct"/>
            <w:noWrap/>
            <w:vAlign w:val="center"/>
          </w:tcPr>
          <w:p w14:paraId="75AC13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333E5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78A8F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6C5F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1A6584B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A57145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468B1A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E4D77D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9.80E-07</w:t>
            </w:r>
          </w:p>
        </w:tc>
        <w:tc>
          <w:tcPr>
            <w:tcW w:w="699" w:type="pct"/>
            <w:noWrap/>
            <w:vAlign w:val="center"/>
          </w:tcPr>
          <w:p w14:paraId="29014E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C03B1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6F5E7B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B518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5095953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1210" w:type="pct"/>
            <w:vMerge w:val="restart"/>
            <w:noWrap/>
            <w:vAlign w:val="center"/>
          </w:tcPr>
          <w:p w14:paraId="610A02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弘孟幼儿园</w:t>
            </w:r>
          </w:p>
        </w:tc>
        <w:tc>
          <w:tcPr>
            <w:tcW w:w="608" w:type="pct"/>
            <w:noWrap/>
            <w:vAlign w:val="center"/>
          </w:tcPr>
          <w:p w14:paraId="5892E64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6CEFAB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6.02E-04</w:t>
            </w:r>
          </w:p>
        </w:tc>
        <w:tc>
          <w:tcPr>
            <w:tcW w:w="699" w:type="pct"/>
            <w:noWrap/>
            <w:vAlign w:val="center"/>
          </w:tcPr>
          <w:p w14:paraId="4C6944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3AEE3F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6061267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664A0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236551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45871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A404B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F2F18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8.03E-05</w:t>
            </w:r>
          </w:p>
        </w:tc>
        <w:tc>
          <w:tcPr>
            <w:tcW w:w="699" w:type="pct"/>
            <w:noWrap/>
            <w:vAlign w:val="center"/>
          </w:tcPr>
          <w:p w14:paraId="1236D9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91900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7CC2A6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7834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0449A12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D26ECD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1D9838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944FD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1.08E-06</w:t>
            </w:r>
          </w:p>
        </w:tc>
        <w:tc>
          <w:tcPr>
            <w:tcW w:w="699" w:type="pct"/>
            <w:noWrap/>
            <w:vAlign w:val="center"/>
          </w:tcPr>
          <w:p w14:paraId="56C60B6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02171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A0D0FB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FD38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5B4C8FC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1210" w:type="pct"/>
            <w:vMerge w:val="restart"/>
            <w:noWrap/>
            <w:vAlign w:val="center"/>
          </w:tcPr>
          <w:p w14:paraId="4C10A0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红太阳幼儿园</w:t>
            </w:r>
          </w:p>
        </w:tc>
        <w:tc>
          <w:tcPr>
            <w:tcW w:w="608" w:type="pct"/>
            <w:noWrap/>
            <w:vAlign w:val="center"/>
          </w:tcPr>
          <w:p w14:paraId="6186660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C8E803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9.25E-04</w:t>
            </w:r>
          </w:p>
        </w:tc>
        <w:tc>
          <w:tcPr>
            <w:tcW w:w="699" w:type="pct"/>
            <w:noWrap/>
            <w:vAlign w:val="center"/>
          </w:tcPr>
          <w:p w14:paraId="43EC78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2986B2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22A618C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974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366" w:type="pct"/>
            <w:vMerge w:val="continue"/>
            <w:noWrap/>
            <w:vAlign w:val="center"/>
          </w:tcPr>
          <w:p w14:paraId="7A453A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FF817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E2AF83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CC59A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1.53E-04</w:t>
            </w:r>
          </w:p>
        </w:tc>
        <w:tc>
          <w:tcPr>
            <w:tcW w:w="699" w:type="pct"/>
            <w:noWrap/>
            <w:vAlign w:val="center"/>
          </w:tcPr>
          <w:p w14:paraId="79BDD4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629A3D7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6B7308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8EA38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continue"/>
            <w:noWrap/>
            <w:vAlign w:val="center"/>
          </w:tcPr>
          <w:p w14:paraId="768F0D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B616FA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0319E8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4351F1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3.86E-06</w:t>
            </w:r>
          </w:p>
        </w:tc>
        <w:tc>
          <w:tcPr>
            <w:tcW w:w="699" w:type="pct"/>
            <w:noWrap/>
            <w:vAlign w:val="center"/>
          </w:tcPr>
          <w:p w14:paraId="283468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B31CE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81D391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BA6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restart"/>
            <w:noWrap/>
            <w:vAlign w:val="center"/>
          </w:tcPr>
          <w:p w14:paraId="7B81FC6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1210" w:type="pct"/>
            <w:vMerge w:val="restart"/>
            <w:noWrap/>
            <w:vAlign w:val="center"/>
          </w:tcPr>
          <w:p w14:paraId="39FEF7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千里幼稚园</w:t>
            </w:r>
          </w:p>
        </w:tc>
        <w:tc>
          <w:tcPr>
            <w:tcW w:w="608" w:type="pct"/>
            <w:noWrap/>
            <w:vAlign w:val="center"/>
          </w:tcPr>
          <w:p w14:paraId="686DD48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A7EDE8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1.06E-03</w:t>
            </w:r>
          </w:p>
        </w:tc>
        <w:tc>
          <w:tcPr>
            <w:tcW w:w="699" w:type="pct"/>
            <w:noWrap/>
            <w:vAlign w:val="center"/>
          </w:tcPr>
          <w:p w14:paraId="669524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6EB754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0.21</w:t>
            </w:r>
          </w:p>
        </w:tc>
        <w:tc>
          <w:tcPr>
            <w:tcW w:w="608" w:type="pct"/>
            <w:noWrap/>
            <w:vAlign w:val="center"/>
          </w:tcPr>
          <w:p w14:paraId="4ED2A0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FE82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366" w:type="pct"/>
            <w:vMerge w:val="continue"/>
            <w:noWrap/>
            <w:vAlign w:val="center"/>
          </w:tcPr>
          <w:p w14:paraId="6CEA075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07C6D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59D189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0CFED6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1.22E-04</w:t>
            </w:r>
          </w:p>
        </w:tc>
        <w:tc>
          <w:tcPr>
            <w:tcW w:w="699" w:type="pct"/>
            <w:noWrap/>
            <w:vAlign w:val="center"/>
          </w:tcPr>
          <w:p w14:paraId="3CD05E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6868A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435456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F52D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1A4444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A2842A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91591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18834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4.84E-06</w:t>
            </w:r>
          </w:p>
        </w:tc>
        <w:tc>
          <w:tcPr>
            <w:tcW w:w="699" w:type="pct"/>
            <w:noWrap/>
            <w:vAlign w:val="center"/>
          </w:tcPr>
          <w:p w14:paraId="66BA8E9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A8C7F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C8B9E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9636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66" w:type="pct"/>
            <w:vMerge w:val="restart"/>
            <w:noWrap/>
            <w:vAlign w:val="center"/>
          </w:tcPr>
          <w:p w14:paraId="491C2E6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1210" w:type="pct"/>
            <w:vMerge w:val="restart"/>
            <w:noWrap/>
            <w:vAlign w:val="center"/>
          </w:tcPr>
          <w:p w14:paraId="2E5A405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绥芬河市第一中学</w:t>
            </w:r>
          </w:p>
        </w:tc>
        <w:tc>
          <w:tcPr>
            <w:tcW w:w="608" w:type="pct"/>
            <w:noWrap/>
            <w:vAlign w:val="center"/>
          </w:tcPr>
          <w:p w14:paraId="6DA25A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6549F08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8.69E-04</w:t>
            </w:r>
          </w:p>
        </w:tc>
        <w:tc>
          <w:tcPr>
            <w:tcW w:w="699" w:type="pct"/>
            <w:noWrap/>
            <w:vAlign w:val="center"/>
          </w:tcPr>
          <w:p w14:paraId="6FB2D5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6961B2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6017E4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1D27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16DA40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CB4D5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7EA703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E371A1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1.29E-04</w:t>
            </w:r>
          </w:p>
        </w:tc>
        <w:tc>
          <w:tcPr>
            <w:tcW w:w="699" w:type="pct"/>
            <w:noWrap/>
            <w:vAlign w:val="center"/>
          </w:tcPr>
          <w:p w14:paraId="0ABD84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45994C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1B67DF7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A269A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0236E3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E62E8A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6E45C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96EF2F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7.25E-06</w:t>
            </w:r>
          </w:p>
        </w:tc>
        <w:tc>
          <w:tcPr>
            <w:tcW w:w="699" w:type="pct"/>
            <w:noWrap/>
            <w:vAlign w:val="center"/>
          </w:tcPr>
          <w:p w14:paraId="60AE56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2C7735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BB311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BC5C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187670C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1210" w:type="pct"/>
            <w:vMerge w:val="restart"/>
            <w:noWrap/>
            <w:vAlign w:val="center"/>
          </w:tcPr>
          <w:p w14:paraId="3DCEBE1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商都幼儿园</w:t>
            </w:r>
          </w:p>
        </w:tc>
        <w:tc>
          <w:tcPr>
            <w:tcW w:w="608" w:type="pct"/>
            <w:noWrap/>
            <w:vAlign w:val="center"/>
          </w:tcPr>
          <w:p w14:paraId="7F1148A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BC4255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7.27E-04</w:t>
            </w:r>
          </w:p>
        </w:tc>
        <w:tc>
          <w:tcPr>
            <w:tcW w:w="699" w:type="pct"/>
            <w:noWrap/>
            <w:vAlign w:val="center"/>
          </w:tcPr>
          <w:p w14:paraId="5294EA0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30F1E0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0C38E4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20D6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66" w:type="pct"/>
            <w:vMerge w:val="continue"/>
            <w:noWrap/>
            <w:vAlign w:val="center"/>
          </w:tcPr>
          <w:p w14:paraId="52E4F7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A282B2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6948FB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07AA0C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1.21E-04</w:t>
            </w:r>
          </w:p>
        </w:tc>
        <w:tc>
          <w:tcPr>
            <w:tcW w:w="699" w:type="pct"/>
            <w:noWrap/>
            <w:vAlign w:val="center"/>
          </w:tcPr>
          <w:p w14:paraId="6882B74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5297B55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781A8A1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8841F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366" w:type="pct"/>
            <w:vMerge w:val="continue"/>
            <w:noWrap/>
            <w:vAlign w:val="center"/>
          </w:tcPr>
          <w:p w14:paraId="76636D8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D079BD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E05D03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4A8EF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8.03E-06</w:t>
            </w:r>
          </w:p>
        </w:tc>
        <w:tc>
          <w:tcPr>
            <w:tcW w:w="699" w:type="pct"/>
            <w:noWrap/>
            <w:vAlign w:val="center"/>
          </w:tcPr>
          <w:p w14:paraId="3B5497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5A9E1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234469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00850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6" w:type="pct"/>
            <w:vMerge w:val="restart"/>
            <w:noWrap/>
            <w:vAlign w:val="center"/>
          </w:tcPr>
          <w:p w14:paraId="2171367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1210" w:type="pct"/>
            <w:vMerge w:val="restart"/>
            <w:noWrap/>
            <w:vAlign w:val="center"/>
          </w:tcPr>
          <w:p w14:paraId="085042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608" w:type="pct"/>
            <w:noWrap/>
            <w:vAlign w:val="center"/>
          </w:tcPr>
          <w:p w14:paraId="295831B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C73F2D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4.25E-04</w:t>
            </w:r>
          </w:p>
        </w:tc>
        <w:tc>
          <w:tcPr>
            <w:tcW w:w="699" w:type="pct"/>
            <w:noWrap/>
            <w:vAlign w:val="center"/>
          </w:tcPr>
          <w:p w14:paraId="6DCC6BB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68853D5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19D2679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AFB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66" w:type="pct"/>
            <w:vMerge w:val="continue"/>
            <w:noWrap/>
            <w:vAlign w:val="center"/>
          </w:tcPr>
          <w:p w14:paraId="2CDBAB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1F4F5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DDA88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F8EB6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2.18E-05</w:t>
            </w:r>
          </w:p>
        </w:tc>
        <w:tc>
          <w:tcPr>
            <w:tcW w:w="699" w:type="pct"/>
            <w:noWrap/>
            <w:vAlign w:val="center"/>
          </w:tcPr>
          <w:p w14:paraId="0430DB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095A5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71F4F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684B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17688F7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BAAFD1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92D81B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48593E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2.90E-07</w:t>
            </w:r>
          </w:p>
        </w:tc>
        <w:tc>
          <w:tcPr>
            <w:tcW w:w="699" w:type="pct"/>
            <w:noWrap/>
            <w:vAlign w:val="center"/>
          </w:tcPr>
          <w:p w14:paraId="220B65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3825A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37D316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6F9A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restart"/>
            <w:noWrap/>
            <w:vAlign w:val="center"/>
          </w:tcPr>
          <w:p w14:paraId="35F94D1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1210" w:type="pct"/>
            <w:vMerge w:val="restart"/>
            <w:noWrap/>
            <w:vAlign w:val="center"/>
          </w:tcPr>
          <w:p w14:paraId="6F0B804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608" w:type="pct"/>
            <w:noWrap/>
            <w:vAlign w:val="center"/>
          </w:tcPr>
          <w:p w14:paraId="67BCDB8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2DCFC9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3.97E-04</w:t>
            </w:r>
          </w:p>
        </w:tc>
        <w:tc>
          <w:tcPr>
            <w:tcW w:w="699" w:type="pct"/>
            <w:noWrap/>
            <w:vAlign w:val="center"/>
          </w:tcPr>
          <w:p w14:paraId="515F5C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5EA679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02F3258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0B43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62823B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CA25F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93C4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655A2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1.72E-05</w:t>
            </w:r>
          </w:p>
        </w:tc>
        <w:tc>
          <w:tcPr>
            <w:tcW w:w="699" w:type="pct"/>
            <w:noWrap/>
            <w:vAlign w:val="center"/>
          </w:tcPr>
          <w:p w14:paraId="7E0CA9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B70EA0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FA7065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C868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0B71DC8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327F01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8AFD12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0665B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2.40E-07</w:t>
            </w:r>
          </w:p>
        </w:tc>
        <w:tc>
          <w:tcPr>
            <w:tcW w:w="699" w:type="pct"/>
            <w:noWrap/>
            <w:vAlign w:val="center"/>
          </w:tcPr>
          <w:p w14:paraId="5C7CE4D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F7AA5E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E19FC1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C3726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6B571BE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1210" w:type="pct"/>
            <w:vMerge w:val="restart"/>
            <w:noWrap/>
            <w:vAlign w:val="center"/>
          </w:tcPr>
          <w:p w14:paraId="01D5F5F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绥芬河市第三中学</w:t>
            </w:r>
          </w:p>
        </w:tc>
        <w:tc>
          <w:tcPr>
            <w:tcW w:w="608" w:type="pct"/>
            <w:noWrap/>
            <w:vAlign w:val="center"/>
          </w:tcPr>
          <w:p w14:paraId="1FB00B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5204DE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9.29E-04</w:t>
            </w:r>
          </w:p>
        </w:tc>
        <w:tc>
          <w:tcPr>
            <w:tcW w:w="699" w:type="pct"/>
            <w:noWrap/>
            <w:vAlign w:val="center"/>
          </w:tcPr>
          <w:p w14:paraId="2287C16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CAD4F9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1F9A86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BF03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5215BAB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85AA6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F6FA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C16BB3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6.74E-05</w:t>
            </w:r>
          </w:p>
        </w:tc>
        <w:tc>
          <w:tcPr>
            <w:tcW w:w="699" w:type="pct"/>
            <w:noWrap/>
            <w:vAlign w:val="center"/>
          </w:tcPr>
          <w:p w14:paraId="1A19508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A8FB95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729BDB7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299B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5BE575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73DD8F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9BB52F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2BB17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2.34E-06</w:t>
            </w:r>
          </w:p>
        </w:tc>
        <w:tc>
          <w:tcPr>
            <w:tcW w:w="699" w:type="pct"/>
            <w:noWrap/>
            <w:vAlign w:val="center"/>
          </w:tcPr>
          <w:p w14:paraId="0720AB7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5ADE9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3321F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A21A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7FC9140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1210" w:type="pct"/>
            <w:vMerge w:val="restart"/>
            <w:noWrap/>
            <w:vAlign w:val="center"/>
          </w:tcPr>
          <w:p w14:paraId="0A0918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旅游局家属楼</w:t>
            </w:r>
          </w:p>
        </w:tc>
        <w:tc>
          <w:tcPr>
            <w:tcW w:w="608" w:type="pct"/>
            <w:noWrap/>
            <w:vAlign w:val="center"/>
          </w:tcPr>
          <w:p w14:paraId="52B150F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1BFD5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3.68E-04</w:t>
            </w:r>
          </w:p>
        </w:tc>
        <w:tc>
          <w:tcPr>
            <w:tcW w:w="699" w:type="pct"/>
            <w:noWrap/>
            <w:vAlign w:val="center"/>
          </w:tcPr>
          <w:p w14:paraId="58A95A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24022814</w:t>
            </w:r>
          </w:p>
        </w:tc>
        <w:tc>
          <w:tcPr>
            <w:tcW w:w="588" w:type="pct"/>
            <w:noWrap/>
            <w:vAlign w:val="center"/>
          </w:tcPr>
          <w:p w14:paraId="313247C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5FFDAB0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27066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2D7A4A7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0EDCF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252612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24AC60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1.54E-05</w:t>
            </w:r>
          </w:p>
        </w:tc>
        <w:tc>
          <w:tcPr>
            <w:tcW w:w="699" w:type="pct"/>
            <w:noWrap/>
            <w:vAlign w:val="center"/>
          </w:tcPr>
          <w:p w14:paraId="550C4C9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240228</w:t>
            </w:r>
          </w:p>
        </w:tc>
        <w:tc>
          <w:tcPr>
            <w:tcW w:w="588" w:type="pct"/>
            <w:noWrap/>
            <w:vAlign w:val="center"/>
          </w:tcPr>
          <w:p w14:paraId="4FF84A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D66A44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8050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62DFC9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12265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D899E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585EC1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3.00E-07</w:t>
            </w:r>
          </w:p>
        </w:tc>
        <w:tc>
          <w:tcPr>
            <w:tcW w:w="699" w:type="pct"/>
            <w:noWrap/>
            <w:vAlign w:val="center"/>
          </w:tcPr>
          <w:p w14:paraId="02C844E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03D27F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C619C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DBDA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2789668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1210" w:type="pct"/>
            <w:vMerge w:val="restart"/>
            <w:noWrap/>
            <w:vAlign w:val="center"/>
          </w:tcPr>
          <w:p w14:paraId="4DA35C3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新安幸福嘉园</w:t>
            </w:r>
          </w:p>
        </w:tc>
        <w:tc>
          <w:tcPr>
            <w:tcW w:w="608" w:type="pct"/>
            <w:noWrap/>
            <w:vAlign w:val="center"/>
          </w:tcPr>
          <w:p w14:paraId="1166064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D191E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6.22E-04</w:t>
            </w:r>
          </w:p>
        </w:tc>
        <w:tc>
          <w:tcPr>
            <w:tcW w:w="699" w:type="pct"/>
            <w:noWrap/>
            <w:vAlign w:val="center"/>
          </w:tcPr>
          <w:p w14:paraId="3473787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24031912</w:t>
            </w:r>
          </w:p>
        </w:tc>
        <w:tc>
          <w:tcPr>
            <w:tcW w:w="588" w:type="pct"/>
            <w:noWrap/>
            <w:vAlign w:val="center"/>
          </w:tcPr>
          <w:p w14:paraId="6681F7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3941FE9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59A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734D09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D00121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C2F3D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E7EC9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4.47E-05</w:t>
            </w:r>
          </w:p>
        </w:tc>
        <w:tc>
          <w:tcPr>
            <w:tcW w:w="699" w:type="pct"/>
            <w:noWrap/>
            <w:vAlign w:val="center"/>
          </w:tcPr>
          <w:p w14:paraId="027B148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40FC6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6C5371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2C21F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continue"/>
            <w:noWrap/>
            <w:vAlign w:val="center"/>
          </w:tcPr>
          <w:p w14:paraId="65118E6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A3C2C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146B98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20EA5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9.30E-07</w:t>
            </w:r>
          </w:p>
        </w:tc>
        <w:tc>
          <w:tcPr>
            <w:tcW w:w="699" w:type="pct"/>
            <w:noWrap/>
            <w:vAlign w:val="center"/>
          </w:tcPr>
          <w:p w14:paraId="1E5B41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F5F1E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A58624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6F4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restart"/>
            <w:noWrap/>
            <w:vAlign w:val="center"/>
          </w:tcPr>
          <w:p w14:paraId="1FA5A59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1210" w:type="pct"/>
            <w:vMerge w:val="restart"/>
            <w:noWrap/>
            <w:vAlign w:val="center"/>
          </w:tcPr>
          <w:p w14:paraId="6FC83F5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中兴小区</w:t>
            </w:r>
          </w:p>
        </w:tc>
        <w:tc>
          <w:tcPr>
            <w:tcW w:w="608" w:type="pct"/>
            <w:noWrap/>
            <w:vAlign w:val="center"/>
          </w:tcPr>
          <w:p w14:paraId="68E342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6D5B4B2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6.32E-04</w:t>
            </w:r>
          </w:p>
        </w:tc>
        <w:tc>
          <w:tcPr>
            <w:tcW w:w="699" w:type="pct"/>
            <w:noWrap/>
            <w:vAlign w:val="center"/>
          </w:tcPr>
          <w:p w14:paraId="7E235D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72079C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68144A0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7D7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366" w:type="pct"/>
            <w:vMerge w:val="continue"/>
            <w:noWrap/>
            <w:vAlign w:val="center"/>
          </w:tcPr>
          <w:p w14:paraId="3B7BA2D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16CB75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20171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A4AD5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4.73E-05</w:t>
            </w:r>
          </w:p>
        </w:tc>
        <w:tc>
          <w:tcPr>
            <w:tcW w:w="699" w:type="pct"/>
            <w:noWrap/>
            <w:vAlign w:val="center"/>
          </w:tcPr>
          <w:p w14:paraId="7144F71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BB76D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2754D92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E2027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366" w:type="pct"/>
            <w:vMerge w:val="continue"/>
            <w:noWrap/>
            <w:vAlign w:val="center"/>
          </w:tcPr>
          <w:p w14:paraId="7A3BE7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FA8594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58265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B3D067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6.80E-07</w:t>
            </w:r>
          </w:p>
        </w:tc>
        <w:tc>
          <w:tcPr>
            <w:tcW w:w="699" w:type="pct"/>
            <w:noWrap/>
            <w:vAlign w:val="center"/>
          </w:tcPr>
          <w:p w14:paraId="7EED5CA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22A88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281AE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AC3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366" w:type="pct"/>
            <w:vMerge w:val="restart"/>
            <w:noWrap/>
            <w:vAlign w:val="center"/>
          </w:tcPr>
          <w:p w14:paraId="0F080B5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1210" w:type="pct"/>
            <w:vMerge w:val="restart"/>
            <w:noWrap/>
            <w:vAlign w:val="center"/>
          </w:tcPr>
          <w:p w14:paraId="707649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绥兴社区</w:t>
            </w:r>
          </w:p>
        </w:tc>
        <w:tc>
          <w:tcPr>
            <w:tcW w:w="608" w:type="pct"/>
            <w:noWrap/>
            <w:vAlign w:val="center"/>
          </w:tcPr>
          <w:p w14:paraId="20E6FC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1C414F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8.09E-04</w:t>
            </w:r>
          </w:p>
        </w:tc>
        <w:tc>
          <w:tcPr>
            <w:tcW w:w="699" w:type="pct"/>
            <w:noWrap/>
            <w:vAlign w:val="center"/>
          </w:tcPr>
          <w:p w14:paraId="55EFF1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3DF5E7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32D08B6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2903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66" w:type="pct"/>
            <w:vMerge w:val="continue"/>
            <w:noWrap/>
            <w:vAlign w:val="center"/>
          </w:tcPr>
          <w:p w14:paraId="7FCA83E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123588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075D2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54478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1.07E-04</w:t>
            </w:r>
          </w:p>
        </w:tc>
        <w:tc>
          <w:tcPr>
            <w:tcW w:w="699" w:type="pct"/>
            <w:noWrap/>
            <w:vAlign w:val="center"/>
          </w:tcPr>
          <w:p w14:paraId="4C6442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9F49F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30FE5EA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2E5AE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29F9F34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C1F68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B1423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2D07E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1.89E-06</w:t>
            </w:r>
          </w:p>
        </w:tc>
        <w:tc>
          <w:tcPr>
            <w:tcW w:w="699" w:type="pct"/>
            <w:noWrap/>
            <w:vAlign w:val="center"/>
          </w:tcPr>
          <w:p w14:paraId="305E20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C5DEA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5729FE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A98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restart"/>
            <w:noWrap/>
            <w:vAlign w:val="center"/>
          </w:tcPr>
          <w:p w14:paraId="7977FA3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1210" w:type="pct"/>
            <w:vMerge w:val="restart"/>
            <w:noWrap/>
            <w:vAlign w:val="center"/>
          </w:tcPr>
          <w:p w14:paraId="4892374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608" w:type="pct"/>
            <w:noWrap/>
            <w:vAlign w:val="center"/>
          </w:tcPr>
          <w:p w14:paraId="6B05E3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CB97F0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1.02E-03</w:t>
            </w:r>
          </w:p>
        </w:tc>
        <w:tc>
          <w:tcPr>
            <w:tcW w:w="699" w:type="pct"/>
            <w:noWrap/>
            <w:vAlign w:val="center"/>
          </w:tcPr>
          <w:p w14:paraId="0B56F2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24111911</w:t>
            </w:r>
          </w:p>
        </w:tc>
        <w:tc>
          <w:tcPr>
            <w:tcW w:w="588" w:type="pct"/>
            <w:noWrap/>
            <w:vAlign w:val="center"/>
          </w:tcPr>
          <w:p w14:paraId="46CF14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674AD51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F7FD9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60235D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AE1E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D723EF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EAB637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3.02E-04</w:t>
            </w:r>
          </w:p>
        </w:tc>
        <w:tc>
          <w:tcPr>
            <w:tcW w:w="699" w:type="pct"/>
            <w:noWrap/>
            <w:vAlign w:val="center"/>
          </w:tcPr>
          <w:p w14:paraId="5C8AE3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240301</w:t>
            </w:r>
          </w:p>
        </w:tc>
        <w:tc>
          <w:tcPr>
            <w:tcW w:w="588" w:type="pct"/>
            <w:noWrap/>
            <w:vAlign w:val="center"/>
          </w:tcPr>
          <w:p w14:paraId="28FDE0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3BFB22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466DB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2F6672E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DCA3A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A32074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3E33C7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3.41E-05</w:t>
            </w:r>
          </w:p>
        </w:tc>
        <w:tc>
          <w:tcPr>
            <w:tcW w:w="699" w:type="pct"/>
            <w:noWrap/>
            <w:vAlign w:val="center"/>
          </w:tcPr>
          <w:p w14:paraId="24A0F02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E6B95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7E7876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CC7B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28ABDD8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1210" w:type="pct"/>
            <w:vMerge w:val="restart"/>
            <w:noWrap/>
            <w:vAlign w:val="center"/>
          </w:tcPr>
          <w:p w14:paraId="37350A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凯丰小区</w:t>
            </w:r>
          </w:p>
        </w:tc>
        <w:tc>
          <w:tcPr>
            <w:tcW w:w="608" w:type="pct"/>
            <w:noWrap/>
            <w:vAlign w:val="center"/>
          </w:tcPr>
          <w:p w14:paraId="62B271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AACF3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1.12E-03</w:t>
            </w:r>
          </w:p>
        </w:tc>
        <w:tc>
          <w:tcPr>
            <w:tcW w:w="699" w:type="pct"/>
            <w:noWrap/>
            <w:vAlign w:val="center"/>
          </w:tcPr>
          <w:p w14:paraId="048C22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59DFB1E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0.22</w:t>
            </w:r>
          </w:p>
        </w:tc>
        <w:tc>
          <w:tcPr>
            <w:tcW w:w="608" w:type="pct"/>
            <w:noWrap/>
            <w:vAlign w:val="center"/>
          </w:tcPr>
          <w:p w14:paraId="7EBCC57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83E3A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366" w:type="pct"/>
            <w:vMerge w:val="continue"/>
            <w:noWrap/>
            <w:vAlign w:val="center"/>
          </w:tcPr>
          <w:p w14:paraId="5ECB7B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1C501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0F5C3C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2B30C0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1.85E-04</w:t>
            </w:r>
          </w:p>
        </w:tc>
        <w:tc>
          <w:tcPr>
            <w:tcW w:w="699" w:type="pct"/>
            <w:noWrap/>
            <w:vAlign w:val="center"/>
          </w:tcPr>
          <w:p w14:paraId="6DAA26A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6AB9B79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7CADD3A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A16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continue"/>
            <w:noWrap/>
            <w:vAlign w:val="center"/>
          </w:tcPr>
          <w:p w14:paraId="00592DB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4135B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2480FB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7BFFB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6.59E-06</w:t>
            </w:r>
          </w:p>
        </w:tc>
        <w:tc>
          <w:tcPr>
            <w:tcW w:w="699" w:type="pct"/>
            <w:noWrap/>
            <w:vAlign w:val="center"/>
          </w:tcPr>
          <w:p w14:paraId="4CAC310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1C7764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6269F0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F94C1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067297E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1210" w:type="pct"/>
            <w:vMerge w:val="restart"/>
            <w:noWrap/>
            <w:vAlign w:val="center"/>
          </w:tcPr>
          <w:p w14:paraId="1D9559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澳运阳光花园</w:t>
            </w:r>
          </w:p>
        </w:tc>
        <w:tc>
          <w:tcPr>
            <w:tcW w:w="608" w:type="pct"/>
            <w:noWrap/>
            <w:vAlign w:val="center"/>
          </w:tcPr>
          <w:p w14:paraId="250EE67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137F75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7.51E-04</w:t>
            </w:r>
          </w:p>
        </w:tc>
        <w:tc>
          <w:tcPr>
            <w:tcW w:w="699" w:type="pct"/>
            <w:noWrap/>
            <w:vAlign w:val="center"/>
          </w:tcPr>
          <w:p w14:paraId="059E15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24042017</w:t>
            </w:r>
          </w:p>
        </w:tc>
        <w:tc>
          <w:tcPr>
            <w:tcW w:w="588" w:type="pct"/>
            <w:noWrap/>
            <w:vAlign w:val="center"/>
          </w:tcPr>
          <w:p w14:paraId="47AFD1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0509E5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02B3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12F5F83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FF53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A2B2E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6C781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1.43E-04</w:t>
            </w:r>
          </w:p>
        </w:tc>
        <w:tc>
          <w:tcPr>
            <w:tcW w:w="699" w:type="pct"/>
            <w:noWrap/>
            <w:vAlign w:val="center"/>
          </w:tcPr>
          <w:p w14:paraId="76DDDF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771B2A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3229173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1C3D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6B6ED82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7E86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659D3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D5F08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5.58E-06</w:t>
            </w:r>
          </w:p>
        </w:tc>
        <w:tc>
          <w:tcPr>
            <w:tcW w:w="699" w:type="pct"/>
            <w:noWrap/>
            <w:vAlign w:val="center"/>
          </w:tcPr>
          <w:p w14:paraId="254F8DD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D9C2A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DA1B50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4A0E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0393E32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1210" w:type="pct"/>
            <w:vMerge w:val="restart"/>
            <w:noWrap/>
            <w:vAlign w:val="center"/>
          </w:tcPr>
          <w:p w14:paraId="5516F4D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朝阳村</w:t>
            </w:r>
          </w:p>
        </w:tc>
        <w:tc>
          <w:tcPr>
            <w:tcW w:w="608" w:type="pct"/>
            <w:noWrap/>
            <w:vAlign w:val="center"/>
          </w:tcPr>
          <w:p w14:paraId="2F7E04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5FCF0A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7.33E-04</w:t>
            </w:r>
          </w:p>
        </w:tc>
        <w:tc>
          <w:tcPr>
            <w:tcW w:w="699" w:type="pct"/>
            <w:noWrap/>
            <w:vAlign w:val="center"/>
          </w:tcPr>
          <w:p w14:paraId="121FA6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24042107</w:t>
            </w:r>
          </w:p>
        </w:tc>
        <w:tc>
          <w:tcPr>
            <w:tcW w:w="588" w:type="pct"/>
            <w:noWrap/>
            <w:vAlign w:val="center"/>
          </w:tcPr>
          <w:p w14:paraId="5D151C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7729ABA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57C9E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3773E5E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88CC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9E870C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7B798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1.19E-04</w:t>
            </w:r>
          </w:p>
        </w:tc>
        <w:tc>
          <w:tcPr>
            <w:tcW w:w="699" w:type="pct"/>
            <w:noWrap/>
            <w:vAlign w:val="center"/>
          </w:tcPr>
          <w:p w14:paraId="33C4B7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240327</w:t>
            </w:r>
          </w:p>
        </w:tc>
        <w:tc>
          <w:tcPr>
            <w:tcW w:w="588" w:type="pct"/>
            <w:noWrap/>
            <w:vAlign w:val="center"/>
          </w:tcPr>
          <w:p w14:paraId="33BBA3D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59EF25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9850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51E567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FC64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82C68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68D0EF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4.53E-06</w:t>
            </w:r>
          </w:p>
        </w:tc>
        <w:tc>
          <w:tcPr>
            <w:tcW w:w="699" w:type="pct"/>
            <w:noWrap/>
            <w:vAlign w:val="center"/>
          </w:tcPr>
          <w:p w14:paraId="3CACAC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C57269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37B11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4A79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366" w:type="pct"/>
            <w:vMerge w:val="restart"/>
            <w:noWrap/>
            <w:vAlign w:val="center"/>
          </w:tcPr>
          <w:p w14:paraId="03F0C2F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1210" w:type="pct"/>
            <w:vMerge w:val="restart"/>
            <w:noWrap/>
            <w:vAlign w:val="center"/>
          </w:tcPr>
          <w:p w14:paraId="36650EB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宏隆花园</w:t>
            </w:r>
          </w:p>
        </w:tc>
        <w:tc>
          <w:tcPr>
            <w:tcW w:w="608" w:type="pct"/>
            <w:noWrap/>
            <w:vAlign w:val="center"/>
          </w:tcPr>
          <w:p w14:paraId="534852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32F55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7.80E-04</w:t>
            </w:r>
          </w:p>
        </w:tc>
        <w:tc>
          <w:tcPr>
            <w:tcW w:w="699" w:type="pct"/>
            <w:noWrap/>
            <w:vAlign w:val="center"/>
          </w:tcPr>
          <w:p w14:paraId="3AB1346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4188D8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1DB07A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E75BD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366" w:type="pct"/>
            <w:vMerge w:val="continue"/>
            <w:noWrap/>
            <w:vAlign w:val="center"/>
          </w:tcPr>
          <w:p w14:paraId="1BBE8D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09E9F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4B9DE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D1927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1.07E-04</w:t>
            </w:r>
          </w:p>
        </w:tc>
        <w:tc>
          <w:tcPr>
            <w:tcW w:w="699" w:type="pct"/>
            <w:noWrap/>
            <w:vAlign w:val="center"/>
          </w:tcPr>
          <w:p w14:paraId="41831D7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317C8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3FD9E24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0D2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366" w:type="pct"/>
            <w:vMerge w:val="continue"/>
            <w:noWrap/>
            <w:vAlign w:val="center"/>
          </w:tcPr>
          <w:p w14:paraId="4838B9E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D5A19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9D15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7D31BA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2.10E-06</w:t>
            </w:r>
          </w:p>
        </w:tc>
        <w:tc>
          <w:tcPr>
            <w:tcW w:w="699" w:type="pct"/>
            <w:noWrap/>
            <w:vAlign w:val="center"/>
          </w:tcPr>
          <w:p w14:paraId="1A4D9C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47F96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6BE343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CB81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7EBE4F67">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1210" w:type="pct"/>
            <w:vMerge w:val="restart"/>
            <w:noWrap/>
            <w:vAlign w:val="center"/>
          </w:tcPr>
          <w:p w14:paraId="352FA76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中福名都花园</w:t>
            </w:r>
          </w:p>
        </w:tc>
        <w:tc>
          <w:tcPr>
            <w:tcW w:w="608" w:type="pct"/>
            <w:noWrap/>
            <w:vAlign w:val="center"/>
          </w:tcPr>
          <w:p w14:paraId="468833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A3E89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7.09E-04</w:t>
            </w:r>
          </w:p>
        </w:tc>
        <w:tc>
          <w:tcPr>
            <w:tcW w:w="699" w:type="pct"/>
            <w:noWrap/>
            <w:vAlign w:val="center"/>
          </w:tcPr>
          <w:p w14:paraId="5CCD1A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2382C5F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1BD247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ACE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702C0A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8DD4FE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A1F42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299E8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8.43E-05</w:t>
            </w:r>
          </w:p>
        </w:tc>
        <w:tc>
          <w:tcPr>
            <w:tcW w:w="699" w:type="pct"/>
            <w:noWrap/>
            <w:vAlign w:val="center"/>
          </w:tcPr>
          <w:p w14:paraId="164286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8D37F9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5255871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976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366" w:type="pct"/>
            <w:vMerge w:val="continue"/>
            <w:noWrap/>
            <w:vAlign w:val="center"/>
          </w:tcPr>
          <w:p w14:paraId="4A07FBC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D5B27A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E21AF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8B5B5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1.19E-06</w:t>
            </w:r>
          </w:p>
        </w:tc>
        <w:tc>
          <w:tcPr>
            <w:tcW w:w="699" w:type="pct"/>
            <w:noWrap/>
            <w:vAlign w:val="center"/>
          </w:tcPr>
          <w:p w14:paraId="2140F2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DEB85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06734C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D270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restart"/>
            <w:noWrap/>
            <w:vAlign w:val="center"/>
          </w:tcPr>
          <w:p w14:paraId="54B056C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1210" w:type="pct"/>
            <w:vMerge w:val="restart"/>
            <w:noWrap/>
            <w:vAlign w:val="center"/>
          </w:tcPr>
          <w:p w14:paraId="55FF3AB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康健花园</w:t>
            </w:r>
          </w:p>
        </w:tc>
        <w:tc>
          <w:tcPr>
            <w:tcW w:w="608" w:type="pct"/>
            <w:noWrap/>
            <w:vAlign w:val="center"/>
          </w:tcPr>
          <w:p w14:paraId="5B48D61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6C180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7.37E-04</w:t>
            </w:r>
          </w:p>
        </w:tc>
        <w:tc>
          <w:tcPr>
            <w:tcW w:w="699" w:type="pct"/>
            <w:noWrap/>
            <w:vAlign w:val="center"/>
          </w:tcPr>
          <w:p w14:paraId="33014B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E495F7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7ED34E2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0837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6AB36E1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C2AB55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3B38B6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62E080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9.58E-05</w:t>
            </w:r>
          </w:p>
        </w:tc>
        <w:tc>
          <w:tcPr>
            <w:tcW w:w="699" w:type="pct"/>
            <w:noWrap/>
            <w:vAlign w:val="center"/>
          </w:tcPr>
          <w:p w14:paraId="3D64B1D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7F133B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778A39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1F35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3BFF496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11A45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80C51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8425F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6.80E-06</w:t>
            </w:r>
          </w:p>
        </w:tc>
        <w:tc>
          <w:tcPr>
            <w:tcW w:w="699" w:type="pct"/>
            <w:noWrap/>
            <w:vAlign w:val="center"/>
          </w:tcPr>
          <w:p w14:paraId="0AF2B5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D73E5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AA355E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A5F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restart"/>
            <w:noWrap/>
            <w:vAlign w:val="center"/>
          </w:tcPr>
          <w:p w14:paraId="524ECB2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1210" w:type="pct"/>
            <w:vMerge w:val="restart"/>
            <w:noWrap/>
            <w:vAlign w:val="center"/>
          </w:tcPr>
          <w:p w14:paraId="283A37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海融安居里</w:t>
            </w:r>
          </w:p>
        </w:tc>
        <w:tc>
          <w:tcPr>
            <w:tcW w:w="608" w:type="pct"/>
            <w:noWrap/>
            <w:vAlign w:val="center"/>
          </w:tcPr>
          <w:p w14:paraId="574F256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173B13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1.37E-03</w:t>
            </w:r>
          </w:p>
        </w:tc>
        <w:tc>
          <w:tcPr>
            <w:tcW w:w="699" w:type="pct"/>
            <w:noWrap/>
            <w:vAlign w:val="center"/>
          </w:tcPr>
          <w:p w14:paraId="32BF02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11FCB92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0.27</w:t>
            </w:r>
          </w:p>
        </w:tc>
        <w:tc>
          <w:tcPr>
            <w:tcW w:w="608" w:type="pct"/>
            <w:noWrap/>
            <w:vAlign w:val="center"/>
          </w:tcPr>
          <w:p w14:paraId="083F88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3D1A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213A46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4129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4DA8C4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F5995E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1.18E-04</w:t>
            </w:r>
          </w:p>
        </w:tc>
        <w:tc>
          <w:tcPr>
            <w:tcW w:w="699" w:type="pct"/>
            <w:noWrap/>
            <w:vAlign w:val="center"/>
          </w:tcPr>
          <w:p w14:paraId="4510F3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595B067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20D0680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CCFB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11F098E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F6135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87656F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677AF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9.98E-06</w:t>
            </w:r>
          </w:p>
        </w:tc>
        <w:tc>
          <w:tcPr>
            <w:tcW w:w="699" w:type="pct"/>
            <w:noWrap/>
            <w:vAlign w:val="center"/>
          </w:tcPr>
          <w:p w14:paraId="4DCF40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EBC00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785A7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7BB77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restart"/>
            <w:noWrap/>
            <w:vAlign w:val="center"/>
          </w:tcPr>
          <w:p w14:paraId="48854C2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1210" w:type="pct"/>
            <w:vMerge w:val="restart"/>
            <w:noWrap/>
            <w:vAlign w:val="center"/>
          </w:tcPr>
          <w:p w14:paraId="281DF12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海融富华苑</w:t>
            </w:r>
          </w:p>
        </w:tc>
        <w:tc>
          <w:tcPr>
            <w:tcW w:w="608" w:type="pct"/>
            <w:noWrap/>
            <w:vAlign w:val="center"/>
          </w:tcPr>
          <w:p w14:paraId="258E56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609C69A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3.35E-04</w:t>
            </w:r>
          </w:p>
        </w:tc>
        <w:tc>
          <w:tcPr>
            <w:tcW w:w="699" w:type="pct"/>
            <w:noWrap/>
            <w:vAlign w:val="center"/>
          </w:tcPr>
          <w:p w14:paraId="082506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485CE8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3E515FE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70AF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38DE15B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F3428D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6C96B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E99A7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1.82E-05</w:t>
            </w:r>
          </w:p>
        </w:tc>
        <w:tc>
          <w:tcPr>
            <w:tcW w:w="699" w:type="pct"/>
            <w:noWrap/>
            <w:vAlign w:val="center"/>
          </w:tcPr>
          <w:p w14:paraId="4B0CB8D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3860730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8035C4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08A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75383FC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832AAD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F713E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2905C8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2.80E-07</w:t>
            </w:r>
          </w:p>
        </w:tc>
        <w:tc>
          <w:tcPr>
            <w:tcW w:w="699" w:type="pct"/>
            <w:noWrap/>
            <w:vAlign w:val="center"/>
          </w:tcPr>
          <w:p w14:paraId="25736B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A42F74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7F905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0548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366" w:type="pct"/>
            <w:vMerge w:val="restart"/>
            <w:noWrap/>
            <w:vAlign w:val="center"/>
          </w:tcPr>
          <w:p w14:paraId="5A55AB4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1210" w:type="pct"/>
            <w:vMerge w:val="restart"/>
            <w:noWrap/>
            <w:vAlign w:val="center"/>
          </w:tcPr>
          <w:p w14:paraId="74AF3BD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好景园小区</w:t>
            </w:r>
          </w:p>
        </w:tc>
        <w:tc>
          <w:tcPr>
            <w:tcW w:w="608" w:type="pct"/>
            <w:noWrap/>
            <w:vAlign w:val="center"/>
          </w:tcPr>
          <w:p w14:paraId="0894F04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17D3691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4.07E-04</w:t>
            </w:r>
          </w:p>
        </w:tc>
        <w:tc>
          <w:tcPr>
            <w:tcW w:w="699" w:type="pct"/>
            <w:noWrap/>
            <w:vAlign w:val="center"/>
          </w:tcPr>
          <w:p w14:paraId="451226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47B63AE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62D358E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C9E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continue"/>
            <w:noWrap/>
            <w:vAlign w:val="center"/>
          </w:tcPr>
          <w:p w14:paraId="5A184C8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09CEBE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A2AB29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6B697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1.93E-05</w:t>
            </w:r>
          </w:p>
        </w:tc>
        <w:tc>
          <w:tcPr>
            <w:tcW w:w="699" w:type="pct"/>
            <w:noWrap/>
            <w:vAlign w:val="center"/>
          </w:tcPr>
          <w:p w14:paraId="369E90C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8F7FBA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4E099C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2732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44E2387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F48A2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0BE73A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6CB7F9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3.00E-07</w:t>
            </w:r>
          </w:p>
        </w:tc>
        <w:tc>
          <w:tcPr>
            <w:tcW w:w="699" w:type="pct"/>
            <w:noWrap/>
            <w:vAlign w:val="center"/>
          </w:tcPr>
          <w:p w14:paraId="541773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EEDA5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0CCE4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A76B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restart"/>
            <w:noWrap/>
            <w:vAlign w:val="center"/>
          </w:tcPr>
          <w:p w14:paraId="0200E18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1210" w:type="pct"/>
            <w:vMerge w:val="restart"/>
            <w:noWrap/>
            <w:vAlign w:val="center"/>
          </w:tcPr>
          <w:p w14:paraId="1B0C853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旗苑家园</w:t>
            </w:r>
          </w:p>
        </w:tc>
        <w:tc>
          <w:tcPr>
            <w:tcW w:w="608" w:type="pct"/>
            <w:noWrap/>
            <w:vAlign w:val="center"/>
          </w:tcPr>
          <w:p w14:paraId="51F7ADF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9617E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3.62E-04</w:t>
            </w:r>
          </w:p>
        </w:tc>
        <w:tc>
          <w:tcPr>
            <w:tcW w:w="699" w:type="pct"/>
            <w:noWrap/>
            <w:vAlign w:val="center"/>
          </w:tcPr>
          <w:p w14:paraId="3BA9C6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71D9AE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6841C4A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9D0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0A5D699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022C8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68A4E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EBA4B4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1.51E-05</w:t>
            </w:r>
          </w:p>
        </w:tc>
        <w:tc>
          <w:tcPr>
            <w:tcW w:w="699" w:type="pct"/>
            <w:noWrap/>
            <w:vAlign w:val="center"/>
          </w:tcPr>
          <w:p w14:paraId="1D6895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w:t>
            </w:r>
          </w:p>
        </w:tc>
        <w:tc>
          <w:tcPr>
            <w:tcW w:w="588" w:type="pct"/>
            <w:noWrap/>
            <w:vAlign w:val="center"/>
          </w:tcPr>
          <w:p w14:paraId="7F1DBDE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965FD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B80E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366" w:type="pct"/>
            <w:vMerge w:val="continue"/>
            <w:noWrap/>
            <w:vAlign w:val="center"/>
          </w:tcPr>
          <w:p w14:paraId="5DE763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2AFC5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80938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194B3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2.20E-07</w:t>
            </w:r>
          </w:p>
        </w:tc>
        <w:tc>
          <w:tcPr>
            <w:tcW w:w="699" w:type="pct"/>
            <w:noWrap/>
            <w:vAlign w:val="center"/>
          </w:tcPr>
          <w:p w14:paraId="1FCAF5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94832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782980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8C62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27D23E8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1210" w:type="pct"/>
            <w:vMerge w:val="restart"/>
            <w:noWrap/>
            <w:vAlign w:val="center"/>
          </w:tcPr>
          <w:p w14:paraId="1F65AB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兴达家园</w:t>
            </w:r>
          </w:p>
        </w:tc>
        <w:tc>
          <w:tcPr>
            <w:tcW w:w="608" w:type="pct"/>
            <w:noWrap/>
            <w:vAlign w:val="center"/>
          </w:tcPr>
          <w:p w14:paraId="41739A5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203B38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2.56E-04</w:t>
            </w:r>
          </w:p>
        </w:tc>
        <w:tc>
          <w:tcPr>
            <w:tcW w:w="699" w:type="pct"/>
            <w:noWrap/>
            <w:vAlign w:val="center"/>
          </w:tcPr>
          <w:p w14:paraId="6DA36D2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202609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44C04E5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2DB4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5EF159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25415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068F7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2A48EF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1.20E-05</w:t>
            </w:r>
          </w:p>
        </w:tc>
        <w:tc>
          <w:tcPr>
            <w:tcW w:w="699" w:type="pct"/>
            <w:noWrap/>
            <w:vAlign w:val="center"/>
          </w:tcPr>
          <w:p w14:paraId="72047E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371CA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A1017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D049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71E751A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2B9D5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D5F8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D4EA85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3.20E-07</w:t>
            </w:r>
          </w:p>
        </w:tc>
        <w:tc>
          <w:tcPr>
            <w:tcW w:w="699" w:type="pct"/>
            <w:noWrap/>
            <w:vAlign w:val="center"/>
          </w:tcPr>
          <w:p w14:paraId="2724B8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D89655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450E4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CCBD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restart"/>
            <w:noWrap/>
            <w:vAlign w:val="center"/>
          </w:tcPr>
          <w:p w14:paraId="75E0B45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1210" w:type="pct"/>
            <w:vMerge w:val="restart"/>
            <w:noWrap/>
            <w:vAlign w:val="center"/>
          </w:tcPr>
          <w:p w14:paraId="7017E5D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协会大厦</w:t>
            </w:r>
          </w:p>
        </w:tc>
        <w:tc>
          <w:tcPr>
            <w:tcW w:w="608" w:type="pct"/>
            <w:noWrap/>
            <w:vAlign w:val="center"/>
          </w:tcPr>
          <w:p w14:paraId="5F93B57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3934B3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5.55E-04</w:t>
            </w:r>
          </w:p>
        </w:tc>
        <w:tc>
          <w:tcPr>
            <w:tcW w:w="699" w:type="pct"/>
            <w:noWrap/>
            <w:vAlign w:val="center"/>
          </w:tcPr>
          <w:p w14:paraId="0144E5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3CF847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5FA117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00BF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667A37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6F685F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C6EC76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19E22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3.54E-05</w:t>
            </w:r>
          </w:p>
        </w:tc>
        <w:tc>
          <w:tcPr>
            <w:tcW w:w="699" w:type="pct"/>
            <w:noWrap/>
            <w:vAlign w:val="center"/>
          </w:tcPr>
          <w:p w14:paraId="38FA5D0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4DBC72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23A7E6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7269B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2F051D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5A974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49256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E41816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7.40E-07</w:t>
            </w:r>
          </w:p>
        </w:tc>
        <w:tc>
          <w:tcPr>
            <w:tcW w:w="699" w:type="pct"/>
            <w:noWrap/>
            <w:vAlign w:val="center"/>
          </w:tcPr>
          <w:p w14:paraId="5FE4468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C7BC6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62BFAA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077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366" w:type="pct"/>
            <w:vMerge w:val="restart"/>
            <w:noWrap/>
            <w:vAlign w:val="center"/>
          </w:tcPr>
          <w:p w14:paraId="3810644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1210" w:type="pct"/>
            <w:vMerge w:val="restart"/>
            <w:noWrap/>
            <w:vAlign w:val="center"/>
          </w:tcPr>
          <w:p w14:paraId="79663E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数码港宾馆</w:t>
            </w:r>
          </w:p>
        </w:tc>
        <w:tc>
          <w:tcPr>
            <w:tcW w:w="608" w:type="pct"/>
            <w:noWrap/>
            <w:vAlign w:val="center"/>
          </w:tcPr>
          <w:p w14:paraId="010FA4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8652DD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9.08E-04</w:t>
            </w:r>
          </w:p>
        </w:tc>
        <w:tc>
          <w:tcPr>
            <w:tcW w:w="699" w:type="pct"/>
            <w:noWrap/>
            <w:vAlign w:val="center"/>
          </w:tcPr>
          <w:p w14:paraId="1F2B215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24032513</w:t>
            </w:r>
          </w:p>
        </w:tc>
        <w:tc>
          <w:tcPr>
            <w:tcW w:w="588" w:type="pct"/>
            <w:noWrap/>
            <w:vAlign w:val="center"/>
          </w:tcPr>
          <w:p w14:paraId="7A48336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0.18</w:t>
            </w:r>
          </w:p>
        </w:tc>
        <w:tc>
          <w:tcPr>
            <w:tcW w:w="608" w:type="pct"/>
            <w:noWrap/>
            <w:vAlign w:val="center"/>
          </w:tcPr>
          <w:p w14:paraId="1CE7AE4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9C1F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66" w:type="pct"/>
            <w:vMerge w:val="continue"/>
            <w:noWrap/>
            <w:vAlign w:val="center"/>
          </w:tcPr>
          <w:p w14:paraId="329A28C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02A56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65195D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E6FE4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1.80E-04</w:t>
            </w:r>
          </w:p>
        </w:tc>
        <w:tc>
          <w:tcPr>
            <w:tcW w:w="699" w:type="pct"/>
            <w:noWrap/>
            <w:vAlign w:val="center"/>
          </w:tcPr>
          <w:p w14:paraId="782091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69AE17B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2FE8C89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5F28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366" w:type="pct"/>
            <w:vMerge w:val="continue"/>
            <w:noWrap/>
            <w:vAlign w:val="center"/>
          </w:tcPr>
          <w:p w14:paraId="65B868A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6D2F7C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82249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40FF0B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7.86E-06</w:t>
            </w:r>
          </w:p>
        </w:tc>
        <w:tc>
          <w:tcPr>
            <w:tcW w:w="699" w:type="pct"/>
            <w:noWrap/>
            <w:vAlign w:val="center"/>
          </w:tcPr>
          <w:p w14:paraId="02D6FE5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DD012C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1AD021F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D1EE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696BD6D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1210" w:type="pct"/>
            <w:vMerge w:val="restart"/>
            <w:noWrap/>
            <w:vAlign w:val="center"/>
          </w:tcPr>
          <w:p w14:paraId="3B8C978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山水国际</w:t>
            </w:r>
          </w:p>
        </w:tc>
        <w:tc>
          <w:tcPr>
            <w:tcW w:w="608" w:type="pct"/>
            <w:noWrap/>
            <w:vAlign w:val="center"/>
          </w:tcPr>
          <w:p w14:paraId="1DAA87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142B6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1.20E-03</w:t>
            </w:r>
          </w:p>
        </w:tc>
        <w:tc>
          <w:tcPr>
            <w:tcW w:w="699" w:type="pct"/>
            <w:noWrap/>
            <w:vAlign w:val="center"/>
          </w:tcPr>
          <w:p w14:paraId="573988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24041612</w:t>
            </w:r>
          </w:p>
        </w:tc>
        <w:tc>
          <w:tcPr>
            <w:tcW w:w="588" w:type="pct"/>
            <w:noWrap/>
            <w:vAlign w:val="center"/>
          </w:tcPr>
          <w:p w14:paraId="520B4C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0.24</w:t>
            </w:r>
          </w:p>
        </w:tc>
        <w:tc>
          <w:tcPr>
            <w:tcW w:w="608" w:type="pct"/>
            <w:noWrap/>
            <w:vAlign w:val="center"/>
          </w:tcPr>
          <w:p w14:paraId="02589F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49D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230EC2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D13613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92E66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20FFDC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2.94E-04</w:t>
            </w:r>
          </w:p>
        </w:tc>
        <w:tc>
          <w:tcPr>
            <w:tcW w:w="699" w:type="pct"/>
            <w:noWrap/>
            <w:vAlign w:val="center"/>
          </w:tcPr>
          <w:p w14:paraId="2E243B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240408</w:t>
            </w:r>
          </w:p>
        </w:tc>
        <w:tc>
          <w:tcPr>
            <w:tcW w:w="588" w:type="pct"/>
            <w:noWrap/>
            <w:vAlign w:val="center"/>
          </w:tcPr>
          <w:p w14:paraId="1BB69E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15CD67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8AD65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2960B5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69061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7DD1E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1A20877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2.93E-05</w:t>
            </w:r>
          </w:p>
        </w:tc>
        <w:tc>
          <w:tcPr>
            <w:tcW w:w="699" w:type="pct"/>
            <w:noWrap/>
            <w:vAlign w:val="center"/>
          </w:tcPr>
          <w:p w14:paraId="4926BA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71988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6FD7E8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0033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366" w:type="pct"/>
            <w:vMerge w:val="restart"/>
            <w:noWrap/>
            <w:vAlign w:val="center"/>
          </w:tcPr>
          <w:p w14:paraId="1DB49A0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1210" w:type="pct"/>
            <w:vMerge w:val="restart"/>
            <w:noWrap/>
            <w:vAlign w:val="center"/>
          </w:tcPr>
          <w:p w14:paraId="7305F8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湖畔花园小区</w:t>
            </w:r>
          </w:p>
        </w:tc>
        <w:tc>
          <w:tcPr>
            <w:tcW w:w="608" w:type="pct"/>
            <w:noWrap/>
            <w:vAlign w:val="center"/>
          </w:tcPr>
          <w:p w14:paraId="0A458C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6ACCE4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8.93E-04</w:t>
            </w:r>
          </w:p>
        </w:tc>
        <w:tc>
          <w:tcPr>
            <w:tcW w:w="699" w:type="pct"/>
            <w:noWrap/>
            <w:vAlign w:val="center"/>
          </w:tcPr>
          <w:p w14:paraId="3C889D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38C5C1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0.18</w:t>
            </w:r>
          </w:p>
        </w:tc>
        <w:tc>
          <w:tcPr>
            <w:tcW w:w="608" w:type="pct"/>
            <w:noWrap/>
            <w:vAlign w:val="center"/>
          </w:tcPr>
          <w:p w14:paraId="0D8F87B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234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continue"/>
            <w:noWrap/>
            <w:vAlign w:val="center"/>
          </w:tcPr>
          <w:p w14:paraId="0C2B1A1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7712C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170179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20BD7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1.59E-04</w:t>
            </w:r>
          </w:p>
        </w:tc>
        <w:tc>
          <w:tcPr>
            <w:tcW w:w="699" w:type="pct"/>
            <w:noWrap/>
            <w:vAlign w:val="center"/>
          </w:tcPr>
          <w:p w14:paraId="0D260B9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514A42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0DB0140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C07C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continue"/>
            <w:noWrap/>
            <w:vAlign w:val="center"/>
          </w:tcPr>
          <w:p w14:paraId="33804CB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8A16F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0D36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4A30FD4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4.85E-06</w:t>
            </w:r>
          </w:p>
        </w:tc>
        <w:tc>
          <w:tcPr>
            <w:tcW w:w="699" w:type="pct"/>
            <w:noWrap/>
            <w:vAlign w:val="center"/>
          </w:tcPr>
          <w:p w14:paraId="04A6EE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6D3BC4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094EE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1E80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restart"/>
            <w:noWrap/>
            <w:vAlign w:val="center"/>
          </w:tcPr>
          <w:p w14:paraId="64D7773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1210" w:type="pct"/>
            <w:vMerge w:val="restart"/>
            <w:noWrap/>
            <w:vAlign w:val="center"/>
          </w:tcPr>
          <w:p w14:paraId="49288B3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湖滨小区</w:t>
            </w:r>
          </w:p>
        </w:tc>
        <w:tc>
          <w:tcPr>
            <w:tcW w:w="608" w:type="pct"/>
            <w:noWrap/>
            <w:vAlign w:val="center"/>
          </w:tcPr>
          <w:p w14:paraId="6CD03C3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0C1CD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8.45E-04</w:t>
            </w:r>
          </w:p>
        </w:tc>
        <w:tc>
          <w:tcPr>
            <w:tcW w:w="699" w:type="pct"/>
            <w:noWrap/>
            <w:vAlign w:val="center"/>
          </w:tcPr>
          <w:p w14:paraId="02A71D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627011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7DE12D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291A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232ADF3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E29A0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E99A0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788DFE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1.25E-04</w:t>
            </w:r>
          </w:p>
        </w:tc>
        <w:tc>
          <w:tcPr>
            <w:tcW w:w="699" w:type="pct"/>
            <w:noWrap/>
            <w:vAlign w:val="center"/>
          </w:tcPr>
          <w:p w14:paraId="3AE391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65B961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601CBF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3439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209A134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F825D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16EA2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C78F5C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2.91E-06</w:t>
            </w:r>
          </w:p>
        </w:tc>
        <w:tc>
          <w:tcPr>
            <w:tcW w:w="699" w:type="pct"/>
            <w:noWrap/>
            <w:vAlign w:val="center"/>
          </w:tcPr>
          <w:p w14:paraId="2DC89F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11DD2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C0061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9D93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restart"/>
            <w:noWrap/>
            <w:vAlign w:val="center"/>
          </w:tcPr>
          <w:p w14:paraId="4C521AD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1210" w:type="pct"/>
            <w:vMerge w:val="restart"/>
            <w:noWrap/>
            <w:vAlign w:val="center"/>
          </w:tcPr>
          <w:p w14:paraId="27FE5E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吉祥小区</w:t>
            </w:r>
          </w:p>
        </w:tc>
        <w:tc>
          <w:tcPr>
            <w:tcW w:w="608" w:type="pct"/>
            <w:noWrap/>
            <w:vAlign w:val="center"/>
          </w:tcPr>
          <w:p w14:paraId="341207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553580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2.85E-04</w:t>
            </w:r>
          </w:p>
        </w:tc>
        <w:tc>
          <w:tcPr>
            <w:tcW w:w="699" w:type="pct"/>
            <w:noWrap/>
            <w:vAlign w:val="center"/>
          </w:tcPr>
          <w:p w14:paraId="2FD16B1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17E22C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1187B66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769D3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49F714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BEC6B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B26715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20D86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1.77E-05</w:t>
            </w:r>
          </w:p>
        </w:tc>
        <w:tc>
          <w:tcPr>
            <w:tcW w:w="699" w:type="pct"/>
            <w:noWrap/>
            <w:vAlign w:val="center"/>
          </w:tcPr>
          <w:p w14:paraId="30AC3F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ED9A0B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401B6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2F7F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3E20A8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3B576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7910D8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C1C3A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3.00E-07</w:t>
            </w:r>
          </w:p>
        </w:tc>
        <w:tc>
          <w:tcPr>
            <w:tcW w:w="699" w:type="pct"/>
            <w:noWrap/>
            <w:vAlign w:val="center"/>
          </w:tcPr>
          <w:p w14:paraId="150097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15508C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DB768D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BDAA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3C9A6BB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1210" w:type="pct"/>
            <w:vMerge w:val="restart"/>
            <w:noWrap/>
            <w:vAlign w:val="center"/>
          </w:tcPr>
          <w:p w14:paraId="4C38F2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天佑国际</w:t>
            </w:r>
          </w:p>
        </w:tc>
        <w:tc>
          <w:tcPr>
            <w:tcW w:w="608" w:type="pct"/>
            <w:noWrap/>
            <w:vAlign w:val="center"/>
          </w:tcPr>
          <w:p w14:paraId="349DACB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C44FE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8.28E-04</w:t>
            </w:r>
          </w:p>
        </w:tc>
        <w:tc>
          <w:tcPr>
            <w:tcW w:w="699" w:type="pct"/>
            <w:noWrap/>
            <w:vAlign w:val="center"/>
          </w:tcPr>
          <w:p w14:paraId="420BFEA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76023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15B28E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00D7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10EA615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B90CA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62790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0B46E24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1.59E-04</w:t>
            </w:r>
          </w:p>
        </w:tc>
        <w:tc>
          <w:tcPr>
            <w:tcW w:w="699" w:type="pct"/>
            <w:noWrap/>
            <w:vAlign w:val="center"/>
          </w:tcPr>
          <w:p w14:paraId="745680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2B2F9A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2E89462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41210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42CE05A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EB7FA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71F21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45B68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1.01E-05</w:t>
            </w:r>
          </w:p>
        </w:tc>
        <w:tc>
          <w:tcPr>
            <w:tcW w:w="699" w:type="pct"/>
            <w:noWrap/>
            <w:vAlign w:val="center"/>
          </w:tcPr>
          <w:p w14:paraId="6B19DB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586EC0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3D962C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D5DE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392B527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1210" w:type="pct"/>
            <w:vMerge w:val="restart"/>
            <w:noWrap/>
            <w:vAlign w:val="center"/>
          </w:tcPr>
          <w:p w14:paraId="7256FDD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前进社区</w:t>
            </w:r>
          </w:p>
        </w:tc>
        <w:tc>
          <w:tcPr>
            <w:tcW w:w="608" w:type="pct"/>
            <w:noWrap/>
            <w:vAlign w:val="center"/>
          </w:tcPr>
          <w:p w14:paraId="18EAA89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4CDCBD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9.16E-04</w:t>
            </w:r>
          </w:p>
        </w:tc>
        <w:tc>
          <w:tcPr>
            <w:tcW w:w="699" w:type="pct"/>
            <w:noWrap/>
            <w:vAlign w:val="center"/>
          </w:tcPr>
          <w:p w14:paraId="3ACDF43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24101108</w:t>
            </w:r>
          </w:p>
        </w:tc>
        <w:tc>
          <w:tcPr>
            <w:tcW w:w="588" w:type="pct"/>
            <w:noWrap/>
            <w:vAlign w:val="center"/>
          </w:tcPr>
          <w:p w14:paraId="4AB755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0.18</w:t>
            </w:r>
          </w:p>
        </w:tc>
        <w:tc>
          <w:tcPr>
            <w:tcW w:w="608" w:type="pct"/>
            <w:noWrap/>
            <w:vAlign w:val="center"/>
          </w:tcPr>
          <w:p w14:paraId="47E4D4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AE622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366" w:type="pct"/>
            <w:vMerge w:val="continue"/>
            <w:noWrap/>
            <w:vAlign w:val="center"/>
          </w:tcPr>
          <w:p w14:paraId="271926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7A5E0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F9B922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6FBC4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7.63E-05</w:t>
            </w:r>
          </w:p>
        </w:tc>
        <w:tc>
          <w:tcPr>
            <w:tcW w:w="699" w:type="pct"/>
            <w:noWrap/>
            <w:vAlign w:val="center"/>
          </w:tcPr>
          <w:p w14:paraId="77471B4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D2E0CA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72EF49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A8B14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continue"/>
            <w:noWrap/>
            <w:vAlign w:val="center"/>
          </w:tcPr>
          <w:p w14:paraId="41BADD5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12468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1FE2ED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7FF7984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3.57E-06</w:t>
            </w:r>
          </w:p>
        </w:tc>
        <w:tc>
          <w:tcPr>
            <w:tcW w:w="699" w:type="pct"/>
            <w:noWrap/>
            <w:vAlign w:val="center"/>
          </w:tcPr>
          <w:p w14:paraId="7EA526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DE406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1C59D9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1258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66" w:type="pct"/>
            <w:vMerge w:val="restart"/>
            <w:noWrap/>
            <w:vAlign w:val="center"/>
          </w:tcPr>
          <w:p w14:paraId="6AE24F0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1210" w:type="pct"/>
            <w:vMerge w:val="restart"/>
            <w:noWrap/>
            <w:vAlign w:val="center"/>
          </w:tcPr>
          <w:p w14:paraId="375787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幸福家园</w:t>
            </w:r>
          </w:p>
        </w:tc>
        <w:tc>
          <w:tcPr>
            <w:tcW w:w="608" w:type="pct"/>
            <w:noWrap/>
            <w:vAlign w:val="center"/>
          </w:tcPr>
          <w:p w14:paraId="6E12BC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65AB4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1.36E-03</w:t>
            </w:r>
          </w:p>
        </w:tc>
        <w:tc>
          <w:tcPr>
            <w:tcW w:w="699" w:type="pct"/>
            <w:noWrap/>
            <w:vAlign w:val="center"/>
          </w:tcPr>
          <w:p w14:paraId="5C735F7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2692FF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0.27</w:t>
            </w:r>
          </w:p>
        </w:tc>
        <w:tc>
          <w:tcPr>
            <w:tcW w:w="608" w:type="pct"/>
            <w:noWrap/>
            <w:vAlign w:val="center"/>
          </w:tcPr>
          <w:p w14:paraId="45C0FD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B869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66" w:type="pct"/>
            <w:vMerge w:val="continue"/>
            <w:noWrap/>
            <w:vAlign w:val="center"/>
          </w:tcPr>
          <w:p w14:paraId="2CC6FE3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8AE2E9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9C1C02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CA386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1.50E-04</w:t>
            </w:r>
          </w:p>
        </w:tc>
        <w:tc>
          <w:tcPr>
            <w:tcW w:w="699" w:type="pct"/>
            <w:noWrap/>
            <w:vAlign w:val="center"/>
          </w:tcPr>
          <w:p w14:paraId="1B6387C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4BB540B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4D1ADEA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943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366" w:type="pct"/>
            <w:vMerge w:val="continue"/>
            <w:noWrap/>
            <w:vAlign w:val="center"/>
          </w:tcPr>
          <w:p w14:paraId="6BCC6E8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03C66A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92E9D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5AB61C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1.35E-05</w:t>
            </w:r>
          </w:p>
        </w:tc>
        <w:tc>
          <w:tcPr>
            <w:tcW w:w="699" w:type="pct"/>
            <w:noWrap/>
            <w:vAlign w:val="center"/>
          </w:tcPr>
          <w:p w14:paraId="675066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C9350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05D827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91DD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366" w:type="pct"/>
            <w:vMerge w:val="restart"/>
            <w:noWrap/>
            <w:vAlign w:val="center"/>
          </w:tcPr>
          <w:p w14:paraId="4FF474E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1210" w:type="pct"/>
            <w:vMerge w:val="restart"/>
            <w:noWrap/>
            <w:vAlign w:val="center"/>
          </w:tcPr>
          <w:p w14:paraId="20584FA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盛世嘉园</w:t>
            </w:r>
          </w:p>
        </w:tc>
        <w:tc>
          <w:tcPr>
            <w:tcW w:w="608" w:type="pct"/>
            <w:noWrap/>
            <w:vAlign w:val="center"/>
          </w:tcPr>
          <w:p w14:paraId="6D66D9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23683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6.36E-04</w:t>
            </w:r>
          </w:p>
        </w:tc>
        <w:tc>
          <w:tcPr>
            <w:tcW w:w="699" w:type="pct"/>
            <w:noWrap/>
            <w:vAlign w:val="center"/>
          </w:tcPr>
          <w:p w14:paraId="75F92C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75E8F68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6652B3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ECDE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2D782E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8DCEF0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A17B45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521D13C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8.57E-05</w:t>
            </w:r>
          </w:p>
        </w:tc>
        <w:tc>
          <w:tcPr>
            <w:tcW w:w="699" w:type="pct"/>
            <w:noWrap/>
            <w:vAlign w:val="center"/>
          </w:tcPr>
          <w:p w14:paraId="2A0B9B7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12B39C4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152A1A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C949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0C82E38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ED7AA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91066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FB83EF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1.28E-06</w:t>
            </w:r>
          </w:p>
        </w:tc>
        <w:tc>
          <w:tcPr>
            <w:tcW w:w="699" w:type="pct"/>
            <w:noWrap/>
            <w:vAlign w:val="center"/>
          </w:tcPr>
          <w:p w14:paraId="5279BA1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52D038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1491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B73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restart"/>
            <w:noWrap/>
            <w:vAlign w:val="center"/>
          </w:tcPr>
          <w:p w14:paraId="15FB231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1210" w:type="pct"/>
            <w:vMerge w:val="restart"/>
            <w:noWrap/>
            <w:vAlign w:val="center"/>
          </w:tcPr>
          <w:p w14:paraId="32F8A3A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兄弟花园</w:t>
            </w:r>
          </w:p>
        </w:tc>
        <w:tc>
          <w:tcPr>
            <w:tcW w:w="608" w:type="pct"/>
            <w:noWrap/>
            <w:vAlign w:val="center"/>
          </w:tcPr>
          <w:p w14:paraId="18A678F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5214B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5.16E-04</w:t>
            </w:r>
          </w:p>
        </w:tc>
        <w:tc>
          <w:tcPr>
            <w:tcW w:w="699" w:type="pct"/>
            <w:noWrap/>
            <w:vAlign w:val="center"/>
          </w:tcPr>
          <w:p w14:paraId="5DB263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722ADC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2ADB811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819CB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6220DA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CB939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5036D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1272F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6.95E-05</w:t>
            </w:r>
          </w:p>
        </w:tc>
        <w:tc>
          <w:tcPr>
            <w:tcW w:w="699" w:type="pct"/>
            <w:noWrap/>
            <w:vAlign w:val="center"/>
          </w:tcPr>
          <w:p w14:paraId="32C991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9C40D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1831893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3A47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366" w:type="pct"/>
            <w:vMerge w:val="continue"/>
            <w:noWrap/>
            <w:vAlign w:val="center"/>
          </w:tcPr>
          <w:p w14:paraId="0D182AF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2B5AB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3EC73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F2EE0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9.10E-07</w:t>
            </w:r>
          </w:p>
        </w:tc>
        <w:tc>
          <w:tcPr>
            <w:tcW w:w="699" w:type="pct"/>
            <w:noWrap/>
            <w:vAlign w:val="center"/>
          </w:tcPr>
          <w:p w14:paraId="46F6268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1B422D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647D0D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4F17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366" w:type="pct"/>
            <w:vMerge w:val="restart"/>
            <w:noWrap/>
            <w:vAlign w:val="center"/>
          </w:tcPr>
          <w:p w14:paraId="1A60808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1210" w:type="pct"/>
            <w:vMerge w:val="restart"/>
            <w:noWrap/>
            <w:vAlign w:val="center"/>
          </w:tcPr>
          <w:p w14:paraId="733E07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608" w:type="pct"/>
            <w:noWrap/>
            <w:vAlign w:val="center"/>
          </w:tcPr>
          <w:p w14:paraId="39069F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2B587E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6.33E-04</w:t>
            </w:r>
          </w:p>
        </w:tc>
        <w:tc>
          <w:tcPr>
            <w:tcW w:w="699" w:type="pct"/>
            <w:noWrap/>
            <w:vAlign w:val="center"/>
          </w:tcPr>
          <w:p w14:paraId="3B8F13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031F26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2955425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8741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366" w:type="pct"/>
            <w:vMerge w:val="continue"/>
            <w:noWrap/>
            <w:vAlign w:val="center"/>
          </w:tcPr>
          <w:p w14:paraId="0D0DF1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50B213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E69677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01394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6.28E-05</w:t>
            </w:r>
          </w:p>
        </w:tc>
        <w:tc>
          <w:tcPr>
            <w:tcW w:w="699" w:type="pct"/>
            <w:noWrap/>
            <w:vAlign w:val="center"/>
          </w:tcPr>
          <w:p w14:paraId="56F6CF2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25141C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2A5A44D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E666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66" w:type="pct"/>
            <w:vMerge w:val="continue"/>
            <w:noWrap/>
            <w:vAlign w:val="center"/>
          </w:tcPr>
          <w:p w14:paraId="50E788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B571E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F16AA5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4FC191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7.80E-07</w:t>
            </w:r>
          </w:p>
        </w:tc>
        <w:tc>
          <w:tcPr>
            <w:tcW w:w="699" w:type="pct"/>
            <w:noWrap/>
            <w:vAlign w:val="center"/>
          </w:tcPr>
          <w:p w14:paraId="0B84B0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59271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F1787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B0C2F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restart"/>
            <w:noWrap/>
            <w:vAlign w:val="center"/>
          </w:tcPr>
          <w:p w14:paraId="191C01E3">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1210" w:type="pct"/>
            <w:vMerge w:val="restart"/>
            <w:noWrap/>
            <w:vAlign w:val="center"/>
          </w:tcPr>
          <w:p w14:paraId="6B0C04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608" w:type="pct"/>
            <w:noWrap/>
            <w:vAlign w:val="center"/>
          </w:tcPr>
          <w:p w14:paraId="08CE92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39405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6.47E-04</w:t>
            </w:r>
          </w:p>
        </w:tc>
        <w:tc>
          <w:tcPr>
            <w:tcW w:w="699" w:type="pct"/>
            <w:noWrap/>
            <w:vAlign w:val="center"/>
          </w:tcPr>
          <w:p w14:paraId="25B912A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4968E4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77C509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BEE0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66" w:type="pct"/>
            <w:vMerge w:val="continue"/>
            <w:noWrap/>
            <w:vAlign w:val="center"/>
          </w:tcPr>
          <w:p w14:paraId="74A7CB8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AC233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738AC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3BB124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4.40E-05</w:t>
            </w:r>
          </w:p>
        </w:tc>
        <w:tc>
          <w:tcPr>
            <w:tcW w:w="699" w:type="pct"/>
            <w:noWrap/>
            <w:vAlign w:val="center"/>
          </w:tcPr>
          <w:p w14:paraId="1FA190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3DA18D0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6020255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DE1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366" w:type="pct"/>
            <w:vMerge w:val="continue"/>
            <w:noWrap/>
            <w:vAlign w:val="center"/>
          </w:tcPr>
          <w:p w14:paraId="0B89CCA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4217A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19B00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83B33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5.90E-07</w:t>
            </w:r>
          </w:p>
        </w:tc>
        <w:tc>
          <w:tcPr>
            <w:tcW w:w="699" w:type="pct"/>
            <w:noWrap/>
            <w:vAlign w:val="center"/>
          </w:tcPr>
          <w:p w14:paraId="228B3D0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284F91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18014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67AF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restart"/>
            <w:noWrap/>
            <w:vAlign w:val="center"/>
          </w:tcPr>
          <w:p w14:paraId="70D7A40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1210" w:type="pct"/>
            <w:vMerge w:val="restart"/>
            <w:noWrap/>
            <w:vAlign w:val="center"/>
          </w:tcPr>
          <w:p w14:paraId="190E5C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608" w:type="pct"/>
            <w:noWrap/>
            <w:vAlign w:val="center"/>
          </w:tcPr>
          <w:p w14:paraId="006FF8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4A37D3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6.50E-04</w:t>
            </w:r>
          </w:p>
        </w:tc>
        <w:tc>
          <w:tcPr>
            <w:tcW w:w="699" w:type="pct"/>
            <w:noWrap/>
            <w:vAlign w:val="center"/>
          </w:tcPr>
          <w:p w14:paraId="0FB682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5CCD8F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68EC014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907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continue"/>
            <w:noWrap/>
            <w:vAlign w:val="center"/>
          </w:tcPr>
          <w:p w14:paraId="398AB2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7096B7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0F8A09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6F2134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3.07E-05</w:t>
            </w:r>
          </w:p>
        </w:tc>
        <w:tc>
          <w:tcPr>
            <w:tcW w:w="699" w:type="pct"/>
            <w:noWrap/>
            <w:vAlign w:val="center"/>
          </w:tcPr>
          <w:p w14:paraId="596A4F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w:t>
            </w:r>
          </w:p>
        </w:tc>
        <w:tc>
          <w:tcPr>
            <w:tcW w:w="588" w:type="pct"/>
            <w:noWrap/>
            <w:vAlign w:val="center"/>
          </w:tcPr>
          <w:p w14:paraId="59B76D8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FFF24F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3953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66" w:type="pct"/>
            <w:vMerge w:val="continue"/>
            <w:noWrap/>
            <w:vAlign w:val="center"/>
          </w:tcPr>
          <w:p w14:paraId="29F5F5B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F40F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7707C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37ADA75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7.90E-07</w:t>
            </w:r>
          </w:p>
        </w:tc>
        <w:tc>
          <w:tcPr>
            <w:tcW w:w="699" w:type="pct"/>
            <w:noWrap/>
            <w:vAlign w:val="center"/>
          </w:tcPr>
          <w:p w14:paraId="5472CF0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3D728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D4220B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CFA3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restart"/>
            <w:noWrap/>
            <w:vAlign w:val="center"/>
          </w:tcPr>
          <w:p w14:paraId="1E18225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1210" w:type="pct"/>
            <w:vMerge w:val="restart"/>
            <w:noWrap/>
            <w:vAlign w:val="center"/>
          </w:tcPr>
          <w:p w14:paraId="4C1DE2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608" w:type="pct"/>
            <w:noWrap/>
            <w:vAlign w:val="center"/>
          </w:tcPr>
          <w:p w14:paraId="0E316D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1AD64A5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9.41E-04</w:t>
            </w:r>
          </w:p>
        </w:tc>
        <w:tc>
          <w:tcPr>
            <w:tcW w:w="699" w:type="pct"/>
            <w:noWrap/>
            <w:vAlign w:val="center"/>
          </w:tcPr>
          <w:p w14:paraId="11BE67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7F5441F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2619C1C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625A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66E084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2E6C8F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B0E049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22578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8.00E-05</w:t>
            </w:r>
          </w:p>
        </w:tc>
        <w:tc>
          <w:tcPr>
            <w:tcW w:w="699" w:type="pct"/>
            <w:noWrap/>
            <w:vAlign w:val="center"/>
          </w:tcPr>
          <w:p w14:paraId="48C6BD4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6DED6A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95643A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D72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45EDFF8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4E2A6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5EB8D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6CBDCD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2.54E-06</w:t>
            </w:r>
          </w:p>
        </w:tc>
        <w:tc>
          <w:tcPr>
            <w:tcW w:w="699" w:type="pct"/>
            <w:noWrap/>
            <w:vAlign w:val="center"/>
          </w:tcPr>
          <w:p w14:paraId="3D604E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D41C63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26CBEE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04C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restart"/>
            <w:noWrap/>
            <w:vAlign w:val="center"/>
          </w:tcPr>
          <w:p w14:paraId="36A2120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1210" w:type="pct"/>
            <w:vMerge w:val="restart"/>
            <w:noWrap/>
            <w:vAlign w:val="center"/>
          </w:tcPr>
          <w:p w14:paraId="5F49D9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608" w:type="pct"/>
            <w:noWrap/>
            <w:vAlign w:val="center"/>
          </w:tcPr>
          <w:p w14:paraId="2BF12FE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52BB97C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9.64E-04</w:t>
            </w:r>
          </w:p>
        </w:tc>
        <w:tc>
          <w:tcPr>
            <w:tcW w:w="699" w:type="pct"/>
            <w:noWrap/>
            <w:vAlign w:val="center"/>
          </w:tcPr>
          <w:p w14:paraId="4950A6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78C2210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6627732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CDAF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1A7E2E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1120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AC0D68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957C3C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1.39E-04</w:t>
            </w:r>
          </w:p>
        </w:tc>
        <w:tc>
          <w:tcPr>
            <w:tcW w:w="699" w:type="pct"/>
            <w:noWrap/>
            <w:vAlign w:val="center"/>
          </w:tcPr>
          <w:p w14:paraId="7C8EB0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65D129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76F9BA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99E7A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6095535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82DB7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1A6B2E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4F10E83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6.53E-06</w:t>
            </w:r>
          </w:p>
        </w:tc>
        <w:tc>
          <w:tcPr>
            <w:tcW w:w="699" w:type="pct"/>
            <w:noWrap/>
            <w:vAlign w:val="center"/>
          </w:tcPr>
          <w:p w14:paraId="69FF20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6F7D01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E1ADB6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16388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restart"/>
            <w:noWrap/>
            <w:vAlign w:val="center"/>
          </w:tcPr>
          <w:p w14:paraId="5F93DD2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1210" w:type="pct"/>
            <w:vMerge w:val="restart"/>
            <w:noWrap/>
            <w:vAlign w:val="center"/>
          </w:tcPr>
          <w:p w14:paraId="13C246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608" w:type="pct"/>
            <w:noWrap/>
            <w:vAlign w:val="center"/>
          </w:tcPr>
          <w:p w14:paraId="37DE3EB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2E0F57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6.77E-04</w:t>
            </w:r>
          </w:p>
        </w:tc>
        <w:tc>
          <w:tcPr>
            <w:tcW w:w="699" w:type="pct"/>
            <w:noWrap/>
            <w:vAlign w:val="center"/>
          </w:tcPr>
          <w:p w14:paraId="7AFD88F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6DFBAF0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6D74CF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F310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7BF535B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775EC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B6BA69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7140D8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6.83E-05</w:t>
            </w:r>
          </w:p>
        </w:tc>
        <w:tc>
          <w:tcPr>
            <w:tcW w:w="699" w:type="pct"/>
            <w:noWrap/>
            <w:vAlign w:val="center"/>
          </w:tcPr>
          <w:p w14:paraId="651C38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62B06E5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0E0E1C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07A9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595BDD9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853E0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09EBE8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2B7256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1.26E-06</w:t>
            </w:r>
          </w:p>
        </w:tc>
        <w:tc>
          <w:tcPr>
            <w:tcW w:w="699" w:type="pct"/>
            <w:noWrap/>
            <w:vAlign w:val="center"/>
          </w:tcPr>
          <w:p w14:paraId="6138A0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CC06A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DE319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C480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3FB288B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1210" w:type="pct"/>
            <w:vMerge w:val="restart"/>
            <w:noWrap/>
            <w:vAlign w:val="center"/>
          </w:tcPr>
          <w:p w14:paraId="4DEA38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608" w:type="pct"/>
            <w:noWrap/>
            <w:vAlign w:val="center"/>
          </w:tcPr>
          <w:p w14:paraId="57187A4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095DE9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3.29E-04</w:t>
            </w:r>
          </w:p>
        </w:tc>
        <w:tc>
          <w:tcPr>
            <w:tcW w:w="699" w:type="pct"/>
            <w:noWrap/>
            <w:vAlign w:val="center"/>
          </w:tcPr>
          <w:p w14:paraId="3D91E95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24041107</w:t>
            </w:r>
          </w:p>
        </w:tc>
        <w:tc>
          <w:tcPr>
            <w:tcW w:w="588" w:type="pct"/>
            <w:noWrap/>
            <w:vAlign w:val="center"/>
          </w:tcPr>
          <w:p w14:paraId="49BF0CC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BA0B9C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3EEC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043F00F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03A4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FB5A6C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421E7C0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2.51E-05</w:t>
            </w:r>
          </w:p>
        </w:tc>
        <w:tc>
          <w:tcPr>
            <w:tcW w:w="699" w:type="pct"/>
            <w:noWrap/>
            <w:vAlign w:val="center"/>
          </w:tcPr>
          <w:p w14:paraId="1CDB66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0468B6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6CF872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250D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5765A3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82EFA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FF9FB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04FA365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7.00E-07</w:t>
            </w:r>
          </w:p>
        </w:tc>
        <w:tc>
          <w:tcPr>
            <w:tcW w:w="699" w:type="pct"/>
            <w:noWrap/>
            <w:vAlign w:val="center"/>
          </w:tcPr>
          <w:p w14:paraId="67920C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3F096D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96D85C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20678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restart"/>
            <w:noWrap/>
            <w:vAlign w:val="center"/>
          </w:tcPr>
          <w:p w14:paraId="207DA71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1210" w:type="pct"/>
            <w:vMerge w:val="restart"/>
            <w:noWrap/>
            <w:vAlign w:val="center"/>
          </w:tcPr>
          <w:p w14:paraId="66AB19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608" w:type="pct"/>
            <w:noWrap/>
            <w:vAlign w:val="center"/>
          </w:tcPr>
          <w:p w14:paraId="60E8EFF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1563" w:type="dxa"/>
            <w:noWrap/>
            <w:vAlign w:val="center"/>
          </w:tcPr>
          <w:p w14:paraId="763ED1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7.60E-04</w:t>
            </w:r>
          </w:p>
        </w:tc>
        <w:tc>
          <w:tcPr>
            <w:tcW w:w="699" w:type="pct"/>
            <w:noWrap/>
            <w:vAlign w:val="center"/>
          </w:tcPr>
          <w:p w14:paraId="109857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14C5187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0.27</w:t>
            </w:r>
          </w:p>
        </w:tc>
        <w:tc>
          <w:tcPr>
            <w:tcW w:w="608" w:type="pct"/>
            <w:noWrap/>
            <w:vAlign w:val="center"/>
          </w:tcPr>
          <w:p w14:paraId="0416D52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E2F8E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366" w:type="pct"/>
            <w:vMerge w:val="continue"/>
            <w:noWrap/>
            <w:vAlign w:val="center"/>
          </w:tcPr>
          <w:p w14:paraId="0F1CCE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27EC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BC593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1563" w:type="dxa"/>
            <w:noWrap/>
            <w:vAlign w:val="center"/>
          </w:tcPr>
          <w:p w14:paraId="6B4CB10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8.80E-05</w:t>
            </w:r>
          </w:p>
        </w:tc>
        <w:tc>
          <w:tcPr>
            <w:tcW w:w="699" w:type="pct"/>
            <w:noWrap/>
            <w:vAlign w:val="center"/>
          </w:tcPr>
          <w:p w14:paraId="3B13307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w:t>
            </w:r>
          </w:p>
        </w:tc>
        <w:tc>
          <w:tcPr>
            <w:tcW w:w="588" w:type="pct"/>
            <w:noWrap/>
            <w:vAlign w:val="center"/>
          </w:tcPr>
          <w:p w14:paraId="3D42DE9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32DAEC9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EC7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1C4BBA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BEA0AD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72725A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1563" w:type="dxa"/>
            <w:noWrap/>
            <w:vAlign w:val="center"/>
          </w:tcPr>
          <w:p w14:paraId="7B7CB4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6.51E-06</w:t>
            </w:r>
          </w:p>
        </w:tc>
        <w:tc>
          <w:tcPr>
            <w:tcW w:w="699" w:type="pct"/>
            <w:noWrap/>
            <w:vAlign w:val="center"/>
          </w:tcPr>
          <w:p w14:paraId="40C9074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E4CD7D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FA6EB2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3D3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015678D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1210" w:type="pct"/>
            <w:vMerge w:val="restart"/>
            <w:noWrap/>
            <w:vAlign w:val="center"/>
          </w:tcPr>
          <w:p w14:paraId="0A74151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绥芬河市传染病医院</w:t>
            </w:r>
          </w:p>
        </w:tc>
        <w:tc>
          <w:tcPr>
            <w:tcW w:w="1037" w:type="dxa"/>
            <w:noWrap/>
            <w:vAlign w:val="center"/>
          </w:tcPr>
          <w:p w14:paraId="6EDF300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917" w:type="pct"/>
            <w:noWrap/>
            <w:vAlign w:val="center"/>
          </w:tcPr>
          <w:p w14:paraId="741961C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1.37E-03</w:t>
            </w:r>
          </w:p>
        </w:tc>
        <w:tc>
          <w:tcPr>
            <w:tcW w:w="699" w:type="pct"/>
            <w:noWrap/>
            <w:vAlign w:val="center"/>
          </w:tcPr>
          <w:p w14:paraId="4F35AF6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12357A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0.27</w:t>
            </w:r>
          </w:p>
        </w:tc>
        <w:tc>
          <w:tcPr>
            <w:tcW w:w="608" w:type="pct"/>
            <w:noWrap/>
            <w:vAlign w:val="center"/>
          </w:tcPr>
          <w:p w14:paraId="376C59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44719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03BFB0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FC94B9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63F7F16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917" w:type="pct"/>
            <w:noWrap/>
            <w:vAlign w:val="center"/>
          </w:tcPr>
          <w:p w14:paraId="1425677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1.14E-04</w:t>
            </w:r>
          </w:p>
        </w:tc>
        <w:tc>
          <w:tcPr>
            <w:tcW w:w="699" w:type="pct"/>
            <w:noWrap/>
            <w:vAlign w:val="center"/>
          </w:tcPr>
          <w:p w14:paraId="276DF99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w:t>
            </w:r>
          </w:p>
        </w:tc>
        <w:tc>
          <w:tcPr>
            <w:tcW w:w="588" w:type="pct"/>
            <w:noWrap/>
            <w:vAlign w:val="center"/>
          </w:tcPr>
          <w:p w14:paraId="63A9CB7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2E8D1B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CF44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54C4AB7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D48F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7DD1EBB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917" w:type="pct"/>
            <w:noWrap/>
            <w:vAlign w:val="center"/>
          </w:tcPr>
          <w:p w14:paraId="5778504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9.34E-06</w:t>
            </w:r>
          </w:p>
        </w:tc>
        <w:tc>
          <w:tcPr>
            <w:tcW w:w="699" w:type="pct"/>
            <w:noWrap/>
            <w:vAlign w:val="center"/>
          </w:tcPr>
          <w:p w14:paraId="5953B2A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2F47B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471AA5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6EC6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6" w:type="pct"/>
            <w:vMerge w:val="restart"/>
            <w:noWrap/>
            <w:vAlign w:val="center"/>
          </w:tcPr>
          <w:p w14:paraId="6E950C67">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w:t>
            </w:r>
          </w:p>
        </w:tc>
        <w:tc>
          <w:tcPr>
            <w:tcW w:w="1210" w:type="pct"/>
            <w:vMerge w:val="restart"/>
            <w:noWrap/>
            <w:vAlign w:val="center"/>
          </w:tcPr>
          <w:p w14:paraId="008E602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608" w:type="pct"/>
            <w:noWrap/>
            <w:vAlign w:val="center"/>
          </w:tcPr>
          <w:p w14:paraId="42CBE6D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1小时</w:t>
            </w:r>
          </w:p>
        </w:tc>
        <w:tc>
          <w:tcPr>
            <w:tcW w:w="917" w:type="pct"/>
            <w:noWrap/>
            <w:vAlign w:val="center"/>
          </w:tcPr>
          <w:p w14:paraId="58B769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1.23E-03</w:t>
            </w:r>
          </w:p>
        </w:tc>
        <w:tc>
          <w:tcPr>
            <w:tcW w:w="699" w:type="pct"/>
            <w:noWrap/>
            <w:vAlign w:val="center"/>
          </w:tcPr>
          <w:p w14:paraId="1D5D77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24101411</w:t>
            </w:r>
          </w:p>
        </w:tc>
        <w:tc>
          <w:tcPr>
            <w:tcW w:w="588" w:type="pct"/>
            <w:noWrap/>
            <w:vAlign w:val="center"/>
          </w:tcPr>
          <w:p w14:paraId="0E5C13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0.25</w:t>
            </w:r>
          </w:p>
        </w:tc>
        <w:tc>
          <w:tcPr>
            <w:tcW w:w="608" w:type="pct"/>
            <w:noWrap/>
            <w:vAlign w:val="center"/>
          </w:tcPr>
          <w:p w14:paraId="78BC820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7447F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19662C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6902E5D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B56197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917" w:type="pct"/>
            <w:noWrap/>
            <w:vAlign w:val="center"/>
          </w:tcPr>
          <w:p w14:paraId="677333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3.17E-04</w:t>
            </w:r>
          </w:p>
        </w:tc>
        <w:tc>
          <w:tcPr>
            <w:tcW w:w="699" w:type="pct"/>
            <w:noWrap/>
            <w:vAlign w:val="center"/>
          </w:tcPr>
          <w:p w14:paraId="325CEF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240426</w:t>
            </w:r>
          </w:p>
        </w:tc>
        <w:tc>
          <w:tcPr>
            <w:tcW w:w="588" w:type="pct"/>
            <w:noWrap/>
            <w:vAlign w:val="center"/>
          </w:tcPr>
          <w:p w14:paraId="0C14A2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0.21</w:t>
            </w:r>
          </w:p>
        </w:tc>
        <w:tc>
          <w:tcPr>
            <w:tcW w:w="608" w:type="pct"/>
            <w:noWrap/>
            <w:vAlign w:val="center"/>
          </w:tcPr>
          <w:p w14:paraId="5DE7AF8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90A2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4BF834A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1F7F1A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62735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917" w:type="pct"/>
            <w:noWrap/>
            <w:vAlign w:val="center"/>
          </w:tcPr>
          <w:p w14:paraId="28692E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4.00E-05</w:t>
            </w:r>
          </w:p>
        </w:tc>
        <w:tc>
          <w:tcPr>
            <w:tcW w:w="699" w:type="pct"/>
            <w:noWrap/>
            <w:vAlign w:val="center"/>
          </w:tcPr>
          <w:p w14:paraId="1F3841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45180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608" w:type="pct"/>
            <w:noWrap/>
            <w:vAlign w:val="center"/>
          </w:tcPr>
          <w:p w14:paraId="52ADF9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0B220A6F">
      <w:pPr>
        <w:ind w:firstLine="480"/>
        <w:rPr>
          <w:rFonts w:ascii="Times New Roman" w:hAnsi="Times New Roman"/>
          <w:color w:val="auto"/>
          <w:highlight w:val="none"/>
        </w:rPr>
      </w:pPr>
      <w:r>
        <w:rPr>
          <w:rFonts w:ascii="Times New Roman" w:hAnsi="Times New Roman"/>
          <w:color w:val="auto"/>
          <w:highlight w:val="none"/>
        </w:rPr>
        <w:t>本项目SO</w:t>
      </w:r>
      <w:r>
        <w:rPr>
          <w:rFonts w:ascii="Times New Roman" w:hAnsi="Times New Roman"/>
          <w:color w:val="auto"/>
          <w:highlight w:val="none"/>
          <w:vertAlign w:val="subscript"/>
        </w:rPr>
        <w:t>2</w:t>
      </w:r>
      <w:r>
        <w:rPr>
          <w:rFonts w:ascii="Times New Roman" w:hAnsi="Times New Roman"/>
          <w:color w:val="auto"/>
          <w:highlight w:val="none"/>
        </w:rPr>
        <w:t>短期贡献浓度占标率≤100%，年均浓度贡献浓度占标率≤30%。</w:t>
      </w:r>
    </w:p>
    <w:p w14:paraId="4789D901">
      <w:pPr>
        <w:ind w:firstLine="480"/>
        <w:rPr>
          <w:rFonts w:ascii="Times New Roman" w:hAnsi="Times New Roman"/>
          <w:color w:val="auto"/>
          <w:highlight w:val="none"/>
        </w:rPr>
      </w:pPr>
      <w:r>
        <w:rPr>
          <w:rFonts w:ascii="Times New Roman" w:hAnsi="Times New Roman"/>
          <w:color w:val="auto"/>
          <w:highlight w:val="none"/>
        </w:rPr>
        <w:t>（2）本项目NO</w:t>
      </w:r>
      <w:r>
        <w:rPr>
          <w:rFonts w:ascii="Times New Roman" w:hAnsi="Times New Roman"/>
          <w:color w:val="auto"/>
          <w:highlight w:val="none"/>
          <w:vertAlign w:val="subscript"/>
        </w:rPr>
        <w:t>2</w:t>
      </w:r>
      <w:r>
        <w:rPr>
          <w:rFonts w:ascii="Times New Roman" w:hAnsi="Times New Roman"/>
          <w:color w:val="auto"/>
          <w:highlight w:val="none"/>
        </w:rPr>
        <w:t>贡献浓度预测结果分析</w:t>
      </w:r>
    </w:p>
    <w:p w14:paraId="2A14367D">
      <w:pPr>
        <w:ind w:firstLine="480"/>
        <w:rPr>
          <w:rFonts w:ascii="Times New Roman" w:hAnsi="Times New Roman"/>
          <w:color w:val="auto"/>
          <w:highlight w:val="none"/>
        </w:rPr>
      </w:pPr>
      <w:r>
        <w:rPr>
          <w:rFonts w:ascii="Times New Roman" w:hAnsi="Times New Roman"/>
          <w:color w:val="auto"/>
          <w:highlight w:val="none"/>
        </w:rPr>
        <w:t>本项目NO</w:t>
      </w:r>
      <w:r>
        <w:rPr>
          <w:rFonts w:ascii="Times New Roman" w:hAnsi="Times New Roman"/>
          <w:color w:val="auto"/>
          <w:highlight w:val="none"/>
          <w:vertAlign w:val="subscript"/>
        </w:rPr>
        <w:t>2</w:t>
      </w:r>
      <w:r>
        <w:rPr>
          <w:rFonts w:ascii="Times New Roman" w:hAnsi="Times New Roman"/>
          <w:color w:val="auto"/>
          <w:highlight w:val="none"/>
        </w:rPr>
        <w:t>对环境空气敏感点及区域最大浓度点短期和长期贡献浓度值及占标率见表5.2-1</w:t>
      </w:r>
      <w:r>
        <w:rPr>
          <w:rFonts w:hint="eastAsia" w:ascii="Times New Roman" w:hAnsi="Times New Roman"/>
          <w:color w:val="auto"/>
          <w:highlight w:val="none"/>
          <w:lang w:val="en-US" w:eastAsia="zh-CN"/>
        </w:rPr>
        <w:t>3</w:t>
      </w:r>
      <w:r>
        <w:rPr>
          <w:rFonts w:ascii="Times New Roman" w:hAnsi="Times New Roman"/>
          <w:color w:val="auto"/>
          <w:highlight w:val="none"/>
        </w:rPr>
        <w:t>。</w:t>
      </w:r>
    </w:p>
    <w:p w14:paraId="675C6A0A">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5.2-1</w:t>
      </w:r>
      <w:r>
        <w:rPr>
          <w:rFonts w:hint="eastAsia" w:ascii="Times New Roman" w:hAnsi="Times New Roman"/>
          <w:color w:val="auto"/>
          <w:highlight w:val="none"/>
          <w:lang w:val="en-US" w:eastAsia="zh-CN"/>
        </w:rPr>
        <w:t>3</w:t>
      </w:r>
      <w:r>
        <w:rPr>
          <w:rFonts w:hint="eastAsia" w:ascii="黑体" w:hAnsi="黑体" w:eastAsia="黑体" w:cs="黑体"/>
          <w:color w:val="auto"/>
          <w:highlight w:val="none"/>
        </w:rPr>
        <w:t>本项目</w:t>
      </w:r>
      <w:r>
        <w:rPr>
          <w:rFonts w:ascii="Times New Roman" w:hAnsi="Times New Roman"/>
          <w:color w:val="auto"/>
          <w:highlight w:val="none"/>
        </w:rPr>
        <w:t>NO</w:t>
      </w:r>
      <w:r>
        <w:rPr>
          <w:rFonts w:ascii="Times New Roman" w:hAnsi="Times New Roman"/>
          <w:color w:val="auto"/>
          <w:highlight w:val="none"/>
          <w:vertAlign w:val="subscript"/>
        </w:rPr>
        <w:t>2</w:t>
      </w:r>
      <w:r>
        <w:rPr>
          <w:rFonts w:hint="eastAsia" w:ascii="黑体" w:hAnsi="黑体" w:eastAsia="黑体" w:cs="黑体"/>
          <w:color w:val="auto"/>
          <w:highlight w:val="none"/>
        </w:rPr>
        <w:t>贡献值预测结果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64"/>
        <w:gridCol w:w="1037"/>
        <w:gridCol w:w="1478"/>
        <w:gridCol w:w="1278"/>
        <w:gridCol w:w="1003"/>
        <w:gridCol w:w="1037"/>
      </w:tblGrid>
      <w:tr w14:paraId="697390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60EE07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序号</w:t>
            </w:r>
          </w:p>
        </w:tc>
        <w:tc>
          <w:tcPr>
            <w:tcW w:w="1210" w:type="pct"/>
            <w:noWrap/>
            <w:vAlign w:val="center"/>
          </w:tcPr>
          <w:p w14:paraId="323259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点名称</w:t>
            </w:r>
          </w:p>
        </w:tc>
        <w:tc>
          <w:tcPr>
            <w:tcW w:w="608" w:type="pct"/>
            <w:noWrap/>
            <w:vAlign w:val="center"/>
          </w:tcPr>
          <w:p w14:paraId="4358CD2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浓度类型</w:t>
            </w:r>
          </w:p>
        </w:tc>
        <w:tc>
          <w:tcPr>
            <w:tcW w:w="867" w:type="pct"/>
            <w:noWrap/>
            <w:vAlign w:val="center"/>
          </w:tcPr>
          <w:p w14:paraId="09A2B80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浓度增量(mg/m</w:t>
            </w:r>
            <w:r>
              <w:rPr>
                <w:rFonts w:ascii="Times New Roman" w:hAnsi="Times New Roman" w:eastAsia="宋体" w:cs="Times New Roman"/>
                <w:kern w:val="0"/>
                <w:sz w:val="21"/>
                <w:highlight w:val="none"/>
                <w:vertAlign w:val="superscript"/>
                <w:lang w:bidi="ar"/>
              </w:rPr>
              <w:t>3</w:t>
            </w:r>
            <w:r>
              <w:rPr>
                <w:rFonts w:ascii="Times New Roman" w:hAnsi="Times New Roman" w:eastAsia="宋体" w:cs="Times New Roman"/>
                <w:kern w:val="0"/>
                <w:sz w:val="21"/>
                <w:highlight w:val="none"/>
                <w:lang w:bidi="ar"/>
              </w:rPr>
              <w:t>)</w:t>
            </w:r>
          </w:p>
        </w:tc>
        <w:tc>
          <w:tcPr>
            <w:tcW w:w="749" w:type="pct"/>
            <w:noWrap/>
            <w:vAlign w:val="center"/>
          </w:tcPr>
          <w:p w14:paraId="1C5681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出现时间</w:t>
            </w:r>
          </w:p>
        </w:tc>
        <w:tc>
          <w:tcPr>
            <w:tcW w:w="588" w:type="pct"/>
            <w:noWrap/>
            <w:vAlign w:val="center"/>
          </w:tcPr>
          <w:p w14:paraId="73EC438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占标率%</w:t>
            </w:r>
          </w:p>
        </w:tc>
        <w:tc>
          <w:tcPr>
            <w:tcW w:w="608" w:type="pct"/>
            <w:noWrap/>
            <w:vAlign w:val="center"/>
          </w:tcPr>
          <w:p w14:paraId="74A823C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是否超标</w:t>
            </w:r>
          </w:p>
        </w:tc>
      </w:tr>
      <w:tr w14:paraId="0C8CF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399F8E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w:t>
            </w:r>
          </w:p>
        </w:tc>
        <w:tc>
          <w:tcPr>
            <w:tcW w:w="1210" w:type="pct"/>
            <w:vMerge w:val="restart"/>
            <w:noWrap/>
            <w:vAlign w:val="center"/>
          </w:tcPr>
          <w:p w14:paraId="668B323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bidi="ar"/>
              </w:rPr>
            </w:pPr>
            <w:r>
              <w:rPr>
                <w:rFonts w:hint="eastAsia" w:ascii="Times New Roman" w:hAnsi="Times New Roman" w:eastAsia="宋体" w:cs="Times New Roman"/>
                <w:kern w:val="0"/>
                <w:sz w:val="21"/>
                <w:highlight w:val="none"/>
                <w:lang w:val="en-US" w:eastAsia="zh-CN" w:bidi="ar"/>
              </w:rPr>
              <w:t>绥芬河市政府</w:t>
            </w:r>
          </w:p>
        </w:tc>
        <w:tc>
          <w:tcPr>
            <w:tcW w:w="608" w:type="pct"/>
            <w:noWrap/>
            <w:vAlign w:val="center"/>
          </w:tcPr>
          <w:p w14:paraId="68AEAA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F3BDB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4.66E-03</w:t>
            </w:r>
          </w:p>
        </w:tc>
        <w:tc>
          <w:tcPr>
            <w:tcW w:w="749" w:type="pct"/>
            <w:noWrap/>
            <w:vAlign w:val="center"/>
          </w:tcPr>
          <w:p w14:paraId="0385963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24041512</w:t>
            </w:r>
          </w:p>
        </w:tc>
        <w:tc>
          <w:tcPr>
            <w:tcW w:w="588" w:type="pct"/>
            <w:noWrap/>
            <w:vAlign w:val="center"/>
          </w:tcPr>
          <w:p w14:paraId="5B2691C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1.86</w:t>
            </w:r>
          </w:p>
        </w:tc>
        <w:tc>
          <w:tcPr>
            <w:tcW w:w="608" w:type="pct"/>
            <w:noWrap/>
            <w:vAlign w:val="center"/>
          </w:tcPr>
          <w:p w14:paraId="784870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C6181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F170E7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EC4D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4599C9A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08CA9E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1.07E-03</w:t>
            </w:r>
          </w:p>
        </w:tc>
        <w:tc>
          <w:tcPr>
            <w:tcW w:w="749" w:type="pct"/>
            <w:noWrap/>
            <w:vAlign w:val="center"/>
          </w:tcPr>
          <w:p w14:paraId="02972E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337EFA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1.07</w:t>
            </w:r>
          </w:p>
        </w:tc>
        <w:tc>
          <w:tcPr>
            <w:tcW w:w="608" w:type="pct"/>
            <w:noWrap/>
            <w:vAlign w:val="center"/>
          </w:tcPr>
          <w:p w14:paraId="59A67B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4BA4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437F2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484E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A359E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761A9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3.65E-05</w:t>
            </w:r>
          </w:p>
        </w:tc>
        <w:tc>
          <w:tcPr>
            <w:tcW w:w="749" w:type="pct"/>
            <w:noWrap/>
            <w:vAlign w:val="center"/>
          </w:tcPr>
          <w:p w14:paraId="47D45E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0DA94D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5DF7AF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827A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03795D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2</w:t>
            </w:r>
          </w:p>
        </w:tc>
        <w:tc>
          <w:tcPr>
            <w:tcW w:w="1210" w:type="pct"/>
            <w:vMerge w:val="restart"/>
            <w:noWrap/>
            <w:vAlign w:val="center"/>
          </w:tcPr>
          <w:p w14:paraId="08A64842">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608" w:type="pct"/>
            <w:noWrap/>
            <w:vAlign w:val="center"/>
          </w:tcPr>
          <w:p w14:paraId="1BF349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58459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3.04E-03</w:t>
            </w:r>
          </w:p>
        </w:tc>
        <w:tc>
          <w:tcPr>
            <w:tcW w:w="749" w:type="pct"/>
            <w:noWrap/>
            <w:vAlign w:val="center"/>
          </w:tcPr>
          <w:p w14:paraId="7AB2843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24041609</w:t>
            </w:r>
          </w:p>
        </w:tc>
        <w:tc>
          <w:tcPr>
            <w:tcW w:w="588" w:type="pct"/>
            <w:noWrap/>
            <w:vAlign w:val="center"/>
          </w:tcPr>
          <w:p w14:paraId="3C7BA88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1.22</w:t>
            </w:r>
          </w:p>
        </w:tc>
        <w:tc>
          <w:tcPr>
            <w:tcW w:w="608" w:type="pct"/>
            <w:noWrap/>
            <w:vAlign w:val="center"/>
          </w:tcPr>
          <w:p w14:paraId="08A59D1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F3CC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3035F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2B3798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018D6D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FB9797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4.29E-04</w:t>
            </w:r>
          </w:p>
        </w:tc>
        <w:tc>
          <w:tcPr>
            <w:tcW w:w="749" w:type="pct"/>
            <w:noWrap/>
            <w:vAlign w:val="center"/>
          </w:tcPr>
          <w:p w14:paraId="4B6D57A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D7C91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0.43</w:t>
            </w:r>
          </w:p>
        </w:tc>
        <w:tc>
          <w:tcPr>
            <w:tcW w:w="608" w:type="pct"/>
            <w:noWrap/>
            <w:vAlign w:val="center"/>
          </w:tcPr>
          <w:p w14:paraId="1EA601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AC97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0FB468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FD2A2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0B042C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063EF2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9.58E-06</w:t>
            </w:r>
          </w:p>
        </w:tc>
        <w:tc>
          <w:tcPr>
            <w:tcW w:w="749" w:type="pct"/>
            <w:noWrap/>
            <w:vAlign w:val="center"/>
          </w:tcPr>
          <w:p w14:paraId="38CF5D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9FE74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0CC68A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B43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0A70B2F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3</w:t>
            </w:r>
          </w:p>
        </w:tc>
        <w:tc>
          <w:tcPr>
            <w:tcW w:w="1210" w:type="pct"/>
            <w:vMerge w:val="restart"/>
            <w:noWrap/>
            <w:vAlign w:val="center"/>
          </w:tcPr>
          <w:p w14:paraId="7F05E2F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608" w:type="pct"/>
            <w:noWrap/>
            <w:vAlign w:val="center"/>
          </w:tcPr>
          <w:p w14:paraId="0C172E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F3EA6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4.88E-03</w:t>
            </w:r>
          </w:p>
        </w:tc>
        <w:tc>
          <w:tcPr>
            <w:tcW w:w="749" w:type="pct"/>
            <w:noWrap/>
            <w:vAlign w:val="center"/>
          </w:tcPr>
          <w:p w14:paraId="4DBC5DE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24042314</w:t>
            </w:r>
          </w:p>
        </w:tc>
        <w:tc>
          <w:tcPr>
            <w:tcW w:w="588" w:type="pct"/>
            <w:noWrap/>
            <w:vAlign w:val="center"/>
          </w:tcPr>
          <w:p w14:paraId="114D684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1.95</w:t>
            </w:r>
          </w:p>
        </w:tc>
        <w:tc>
          <w:tcPr>
            <w:tcW w:w="608" w:type="pct"/>
            <w:noWrap/>
            <w:vAlign w:val="center"/>
          </w:tcPr>
          <w:p w14:paraId="1938026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E9062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7A98C2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112EE2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494063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4E1B4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1.40E-03</w:t>
            </w:r>
          </w:p>
        </w:tc>
        <w:tc>
          <w:tcPr>
            <w:tcW w:w="749" w:type="pct"/>
            <w:noWrap/>
            <w:vAlign w:val="center"/>
          </w:tcPr>
          <w:p w14:paraId="28941B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23126A0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w:t>
            </w:r>
          </w:p>
        </w:tc>
        <w:tc>
          <w:tcPr>
            <w:tcW w:w="608" w:type="pct"/>
            <w:noWrap/>
            <w:vAlign w:val="center"/>
          </w:tcPr>
          <w:p w14:paraId="74DAAA6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F55E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72EADC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86B4C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3F68214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78AED1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4.97E-05</w:t>
            </w:r>
          </w:p>
        </w:tc>
        <w:tc>
          <w:tcPr>
            <w:tcW w:w="749" w:type="pct"/>
            <w:noWrap/>
            <w:vAlign w:val="center"/>
          </w:tcPr>
          <w:p w14:paraId="672549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EF77C2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28B3C59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F10D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4702231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4</w:t>
            </w:r>
          </w:p>
        </w:tc>
        <w:tc>
          <w:tcPr>
            <w:tcW w:w="1210" w:type="pct"/>
            <w:vMerge w:val="restart"/>
            <w:shd w:val="clear" w:color="auto" w:fill="auto"/>
            <w:noWrap/>
            <w:vAlign w:val="center"/>
          </w:tcPr>
          <w:p w14:paraId="13832C87">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608" w:type="pct"/>
            <w:noWrap/>
            <w:vAlign w:val="center"/>
          </w:tcPr>
          <w:p w14:paraId="274D624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4A566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4.11E-03</w:t>
            </w:r>
          </w:p>
        </w:tc>
        <w:tc>
          <w:tcPr>
            <w:tcW w:w="749" w:type="pct"/>
            <w:noWrap/>
            <w:vAlign w:val="center"/>
          </w:tcPr>
          <w:p w14:paraId="08F085E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42FD0A4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1.64</w:t>
            </w:r>
          </w:p>
        </w:tc>
        <w:tc>
          <w:tcPr>
            <w:tcW w:w="608" w:type="pct"/>
            <w:noWrap/>
            <w:vAlign w:val="center"/>
          </w:tcPr>
          <w:p w14:paraId="0B2813D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740F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428D743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C864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6EC0BA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ADE969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5.77E-04</w:t>
            </w:r>
          </w:p>
        </w:tc>
        <w:tc>
          <w:tcPr>
            <w:tcW w:w="749" w:type="pct"/>
            <w:noWrap/>
            <w:vAlign w:val="center"/>
          </w:tcPr>
          <w:p w14:paraId="7EDA2D7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199336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0.58</w:t>
            </w:r>
          </w:p>
        </w:tc>
        <w:tc>
          <w:tcPr>
            <w:tcW w:w="608" w:type="pct"/>
            <w:noWrap/>
            <w:vAlign w:val="center"/>
          </w:tcPr>
          <w:p w14:paraId="42B051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D556F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43FB183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9A52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0EA1CE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3AE1F1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1.44E-05</w:t>
            </w:r>
          </w:p>
        </w:tc>
        <w:tc>
          <w:tcPr>
            <w:tcW w:w="749" w:type="pct"/>
            <w:noWrap/>
            <w:vAlign w:val="center"/>
          </w:tcPr>
          <w:p w14:paraId="66E5B13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E04CF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2640946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8432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08190D1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5</w:t>
            </w:r>
          </w:p>
        </w:tc>
        <w:tc>
          <w:tcPr>
            <w:tcW w:w="1210" w:type="pct"/>
            <w:vMerge w:val="restart"/>
            <w:noWrap/>
            <w:vAlign w:val="center"/>
          </w:tcPr>
          <w:p w14:paraId="7A985D9A">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608" w:type="pct"/>
            <w:noWrap/>
            <w:vAlign w:val="center"/>
          </w:tcPr>
          <w:p w14:paraId="625F24A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9B1058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4.43E-03</w:t>
            </w:r>
          </w:p>
        </w:tc>
        <w:tc>
          <w:tcPr>
            <w:tcW w:w="749" w:type="pct"/>
            <w:noWrap/>
            <w:vAlign w:val="center"/>
          </w:tcPr>
          <w:p w14:paraId="307FA3D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6CC6AD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1.77</w:t>
            </w:r>
          </w:p>
        </w:tc>
        <w:tc>
          <w:tcPr>
            <w:tcW w:w="608" w:type="pct"/>
            <w:noWrap/>
            <w:vAlign w:val="center"/>
          </w:tcPr>
          <w:p w14:paraId="0041E4E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133F6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51DAAF0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9894C9B">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452E380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35E54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6.07E-04</w:t>
            </w:r>
          </w:p>
        </w:tc>
        <w:tc>
          <w:tcPr>
            <w:tcW w:w="749" w:type="pct"/>
            <w:noWrap/>
            <w:vAlign w:val="center"/>
          </w:tcPr>
          <w:p w14:paraId="2CECF6D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1A799F1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0.61</w:t>
            </w:r>
          </w:p>
        </w:tc>
        <w:tc>
          <w:tcPr>
            <w:tcW w:w="608" w:type="pct"/>
            <w:noWrap/>
            <w:vAlign w:val="center"/>
          </w:tcPr>
          <w:p w14:paraId="0EFD94A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5672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1BF7BC6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69E6BD8">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477396E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12000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1.65E-05</w:t>
            </w:r>
          </w:p>
        </w:tc>
        <w:tc>
          <w:tcPr>
            <w:tcW w:w="749" w:type="pct"/>
            <w:noWrap/>
            <w:vAlign w:val="center"/>
          </w:tcPr>
          <w:p w14:paraId="0B2862E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C4071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08A8942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ED129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2F537DB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6</w:t>
            </w:r>
          </w:p>
        </w:tc>
        <w:tc>
          <w:tcPr>
            <w:tcW w:w="1210" w:type="pct"/>
            <w:vMerge w:val="restart"/>
            <w:noWrap/>
            <w:vAlign w:val="center"/>
          </w:tcPr>
          <w:p w14:paraId="1696AADE">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608" w:type="pct"/>
            <w:noWrap/>
            <w:vAlign w:val="center"/>
          </w:tcPr>
          <w:p w14:paraId="136706C5">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6F81A3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3.03E-03</w:t>
            </w:r>
          </w:p>
        </w:tc>
        <w:tc>
          <w:tcPr>
            <w:tcW w:w="749" w:type="pct"/>
            <w:noWrap/>
            <w:vAlign w:val="center"/>
          </w:tcPr>
          <w:p w14:paraId="3657F5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7BA9F72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1.21</w:t>
            </w:r>
          </w:p>
        </w:tc>
        <w:tc>
          <w:tcPr>
            <w:tcW w:w="608" w:type="pct"/>
            <w:noWrap/>
            <w:vAlign w:val="center"/>
          </w:tcPr>
          <w:p w14:paraId="019DF8DD">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1A8B29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7BCC2C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80999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73FA011A">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867" w:type="pct"/>
            <w:noWrap/>
            <w:vAlign w:val="center"/>
          </w:tcPr>
          <w:p w14:paraId="251CA8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2.03E-04</w:t>
            </w:r>
          </w:p>
        </w:tc>
        <w:tc>
          <w:tcPr>
            <w:tcW w:w="749" w:type="pct"/>
            <w:noWrap/>
            <w:vAlign w:val="center"/>
          </w:tcPr>
          <w:p w14:paraId="2C6447C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51EFC7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02317E2D">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47BD2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7B81EE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9C997E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BD149ED">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867" w:type="pct"/>
            <w:noWrap/>
            <w:vAlign w:val="center"/>
          </w:tcPr>
          <w:p w14:paraId="6B9800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2.88E-06</w:t>
            </w:r>
          </w:p>
        </w:tc>
        <w:tc>
          <w:tcPr>
            <w:tcW w:w="749" w:type="pct"/>
            <w:noWrap/>
            <w:vAlign w:val="center"/>
          </w:tcPr>
          <w:p w14:paraId="4EAC4EB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B4E48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8C22866">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61B50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0F08AE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1210" w:type="pct"/>
            <w:vMerge w:val="restart"/>
            <w:noWrap/>
            <w:vAlign w:val="center"/>
          </w:tcPr>
          <w:p w14:paraId="060D4C4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绥芬河邮政管理局</w:t>
            </w:r>
          </w:p>
        </w:tc>
        <w:tc>
          <w:tcPr>
            <w:tcW w:w="608" w:type="pct"/>
            <w:noWrap/>
            <w:vAlign w:val="center"/>
          </w:tcPr>
          <w:p w14:paraId="7046ECB0">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5087AC3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2.88E-03</w:t>
            </w:r>
          </w:p>
        </w:tc>
        <w:tc>
          <w:tcPr>
            <w:tcW w:w="749" w:type="pct"/>
            <w:noWrap/>
            <w:vAlign w:val="center"/>
          </w:tcPr>
          <w:p w14:paraId="603A35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06A54EF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1.15</w:t>
            </w:r>
          </w:p>
        </w:tc>
        <w:tc>
          <w:tcPr>
            <w:tcW w:w="608" w:type="pct"/>
            <w:noWrap/>
            <w:vAlign w:val="center"/>
          </w:tcPr>
          <w:p w14:paraId="15F3D52D">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756910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3BB90A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B29EC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78CBEDA1">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867" w:type="pct"/>
            <w:noWrap/>
            <w:vAlign w:val="center"/>
          </w:tcPr>
          <w:p w14:paraId="292DAE3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1.92E-04</w:t>
            </w:r>
          </w:p>
        </w:tc>
        <w:tc>
          <w:tcPr>
            <w:tcW w:w="749" w:type="pct"/>
            <w:noWrap/>
            <w:vAlign w:val="center"/>
          </w:tcPr>
          <w:p w14:paraId="6AD890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282CB5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0.19</w:t>
            </w:r>
          </w:p>
        </w:tc>
        <w:tc>
          <w:tcPr>
            <w:tcW w:w="608" w:type="pct"/>
            <w:noWrap/>
            <w:vAlign w:val="center"/>
          </w:tcPr>
          <w:p w14:paraId="0CAF586B">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2BC63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370492C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4B291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723C3086">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867" w:type="pct"/>
            <w:noWrap/>
            <w:vAlign w:val="center"/>
          </w:tcPr>
          <w:p w14:paraId="18439D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3.10E-06</w:t>
            </w:r>
          </w:p>
        </w:tc>
        <w:tc>
          <w:tcPr>
            <w:tcW w:w="749" w:type="pct"/>
            <w:noWrap/>
            <w:vAlign w:val="center"/>
          </w:tcPr>
          <w:p w14:paraId="1F9D04D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56389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35157C0">
            <w:pPr>
              <w:widowControl/>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42CAB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34B4EB8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1210" w:type="pct"/>
            <w:vMerge w:val="restart"/>
            <w:noWrap/>
            <w:vAlign w:val="center"/>
          </w:tcPr>
          <w:p w14:paraId="5CFBCB7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绥芬河市教育局</w:t>
            </w:r>
          </w:p>
        </w:tc>
        <w:tc>
          <w:tcPr>
            <w:tcW w:w="608" w:type="pct"/>
            <w:noWrap/>
            <w:vAlign w:val="center"/>
          </w:tcPr>
          <w:p w14:paraId="42A99E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D7ABA6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3.29E-03</w:t>
            </w:r>
          </w:p>
        </w:tc>
        <w:tc>
          <w:tcPr>
            <w:tcW w:w="749" w:type="pct"/>
            <w:noWrap/>
            <w:vAlign w:val="center"/>
          </w:tcPr>
          <w:p w14:paraId="2D03CF1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660FF7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1.32</w:t>
            </w:r>
          </w:p>
        </w:tc>
        <w:tc>
          <w:tcPr>
            <w:tcW w:w="608" w:type="pct"/>
            <w:noWrap/>
            <w:vAlign w:val="center"/>
          </w:tcPr>
          <w:p w14:paraId="55A8D0A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4E318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374C086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0783C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B07175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5D836E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1.67E-04</w:t>
            </w:r>
          </w:p>
        </w:tc>
        <w:tc>
          <w:tcPr>
            <w:tcW w:w="749" w:type="pct"/>
            <w:noWrap/>
            <w:vAlign w:val="center"/>
          </w:tcPr>
          <w:p w14:paraId="5B0C2E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w:t>
            </w:r>
          </w:p>
        </w:tc>
        <w:tc>
          <w:tcPr>
            <w:tcW w:w="588" w:type="pct"/>
            <w:noWrap/>
            <w:vAlign w:val="center"/>
          </w:tcPr>
          <w:p w14:paraId="144D32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43D7EC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7AE9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03B47EF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660DB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B0BCC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28FF7A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3.12E-06</w:t>
            </w:r>
          </w:p>
        </w:tc>
        <w:tc>
          <w:tcPr>
            <w:tcW w:w="749" w:type="pct"/>
            <w:noWrap/>
            <w:vAlign w:val="center"/>
          </w:tcPr>
          <w:p w14:paraId="0F0924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EC9AB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192200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79E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restart"/>
            <w:noWrap/>
            <w:vAlign w:val="center"/>
          </w:tcPr>
          <w:p w14:paraId="114D08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1210" w:type="pct"/>
            <w:vMerge w:val="restart"/>
            <w:noWrap/>
            <w:vAlign w:val="center"/>
          </w:tcPr>
          <w:p w14:paraId="279117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绥芬河市自然资源局</w:t>
            </w:r>
          </w:p>
        </w:tc>
        <w:tc>
          <w:tcPr>
            <w:tcW w:w="608" w:type="pct"/>
            <w:noWrap/>
            <w:vAlign w:val="center"/>
          </w:tcPr>
          <w:p w14:paraId="0265785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BDB8C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3.32E-03</w:t>
            </w:r>
          </w:p>
        </w:tc>
        <w:tc>
          <w:tcPr>
            <w:tcW w:w="749" w:type="pct"/>
            <w:noWrap/>
            <w:vAlign w:val="center"/>
          </w:tcPr>
          <w:p w14:paraId="0D47EE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3B1E3E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1.33</w:t>
            </w:r>
          </w:p>
        </w:tc>
        <w:tc>
          <w:tcPr>
            <w:tcW w:w="608" w:type="pct"/>
            <w:noWrap/>
            <w:vAlign w:val="center"/>
          </w:tcPr>
          <w:p w14:paraId="7A8406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052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62E07D9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E504B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13135A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2CA124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2.30E-04</w:t>
            </w:r>
          </w:p>
        </w:tc>
        <w:tc>
          <w:tcPr>
            <w:tcW w:w="749" w:type="pct"/>
            <w:noWrap/>
            <w:vAlign w:val="center"/>
          </w:tcPr>
          <w:p w14:paraId="356FAA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029D5E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0.23</w:t>
            </w:r>
          </w:p>
        </w:tc>
        <w:tc>
          <w:tcPr>
            <w:tcW w:w="608" w:type="pct"/>
            <w:noWrap/>
            <w:vAlign w:val="center"/>
          </w:tcPr>
          <w:p w14:paraId="15CCE5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2C9B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366" w:type="pct"/>
            <w:vMerge w:val="continue"/>
            <w:noWrap/>
            <w:vAlign w:val="center"/>
          </w:tcPr>
          <w:p w14:paraId="5C1F0F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80FE0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ACA10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C60471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3.39E-06</w:t>
            </w:r>
          </w:p>
        </w:tc>
        <w:tc>
          <w:tcPr>
            <w:tcW w:w="749" w:type="pct"/>
            <w:noWrap/>
            <w:vAlign w:val="center"/>
          </w:tcPr>
          <w:p w14:paraId="3771AD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6C9BA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9E72F6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C6F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restart"/>
            <w:noWrap/>
            <w:vAlign w:val="center"/>
          </w:tcPr>
          <w:p w14:paraId="6F7E3D3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1210" w:type="pct"/>
            <w:vMerge w:val="restart"/>
            <w:noWrap/>
            <w:vAlign w:val="center"/>
          </w:tcPr>
          <w:p w14:paraId="08D793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绥芬河海关</w:t>
            </w:r>
          </w:p>
        </w:tc>
        <w:tc>
          <w:tcPr>
            <w:tcW w:w="608" w:type="pct"/>
            <w:noWrap/>
            <w:vAlign w:val="center"/>
          </w:tcPr>
          <w:p w14:paraId="4F46A7C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4D911A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3.62E-03</w:t>
            </w:r>
          </w:p>
        </w:tc>
        <w:tc>
          <w:tcPr>
            <w:tcW w:w="749" w:type="pct"/>
            <w:noWrap/>
            <w:vAlign w:val="center"/>
          </w:tcPr>
          <w:p w14:paraId="5605909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3B37FB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1.45</w:t>
            </w:r>
          </w:p>
        </w:tc>
        <w:tc>
          <w:tcPr>
            <w:tcW w:w="608" w:type="pct"/>
            <w:noWrap/>
            <w:vAlign w:val="center"/>
          </w:tcPr>
          <w:p w14:paraId="03AD4D8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B1A32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369EE89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A4E4D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34755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34DE8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2.21E-04</w:t>
            </w:r>
          </w:p>
        </w:tc>
        <w:tc>
          <w:tcPr>
            <w:tcW w:w="749" w:type="pct"/>
            <w:noWrap/>
            <w:vAlign w:val="center"/>
          </w:tcPr>
          <w:p w14:paraId="4BCA2F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65CDA8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0.22</w:t>
            </w:r>
          </w:p>
        </w:tc>
        <w:tc>
          <w:tcPr>
            <w:tcW w:w="608" w:type="pct"/>
            <w:noWrap/>
            <w:vAlign w:val="center"/>
          </w:tcPr>
          <w:p w14:paraId="5CA73E4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536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0F7288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83EC42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B75DC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A0257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5.57E-06</w:t>
            </w:r>
          </w:p>
        </w:tc>
        <w:tc>
          <w:tcPr>
            <w:tcW w:w="749" w:type="pct"/>
            <w:noWrap/>
            <w:vAlign w:val="center"/>
          </w:tcPr>
          <w:p w14:paraId="4994929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61F3C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663D61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FB89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01AF6C7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1210" w:type="pct"/>
            <w:vMerge w:val="restart"/>
            <w:noWrap/>
            <w:vAlign w:val="center"/>
          </w:tcPr>
          <w:p w14:paraId="22CEC0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608" w:type="pct"/>
            <w:noWrap/>
            <w:vAlign w:val="center"/>
          </w:tcPr>
          <w:p w14:paraId="72D4B4B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188DB9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4.51E-03</w:t>
            </w:r>
          </w:p>
        </w:tc>
        <w:tc>
          <w:tcPr>
            <w:tcW w:w="749" w:type="pct"/>
            <w:noWrap/>
            <w:vAlign w:val="center"/>
          </w:tcPr>
          <w:p w14:paraId="18BB24E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24041711</w:t>
            </w:r>
          </w:p>
        </w:tc>
        <w:tc>
          <w:tcPr>
            <w:tcW w:w="588" w:type="pct"/>
            <w:noWrap/>
            <w:vAlign w:val="center"/>
          </w:tcPr>
          <w:p w14:paraId="7E99080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1.81</w:t>
            </w:r>
          </w:p>
        </w:tc>
        <w:tc>
          <w:tcPr>
            <w:tcW w:w="608" w:type="pct"/>
            <w:noWrap/>
            <w:vAlign w:val="center"/>
          </w:tcPr>
          <w:p w14:paraId="3733DEA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4B81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7317CF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35BA8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3B179C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69196E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9.56E-04</w:t>
            </w:r>
          </w:p>
        </w:tc>
        <w:tc>
          <w:tcPr>
            <w:tcW w:w="749" w:type="pct"/>
            <w:noWrap/>
            <w:vAlign w:val="center"/>
          </w:tcPr>
          <w:p w14:paraId="165744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240430</w:t>
            </w:r>
          </w:p>
        </w:tc>
        <w:tc>
          <w:tcPr>
            <w:tcW w:w="588" w:type="pct"/>
            <w:noWrap/>
            <w:vAlign w:val="center"/>
          </w:tcPr>
          <w:p w14:paraId="405F2D0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0.96</w:t>
            </w:r>
          </w:p>
        </w:tc>
        <w:tc>
          <w:tcPr>
            <w:tcW w:w="608" w:type="pct"/>
            <w:noWrap/>
            <w:vAlign w:val="center"/>
          </w:tcPr>
          <w:p w14:paraId="32ABA9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5D99E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6" w:type="pct"/>
            <w:vMerge w:val="continue"/>
            <w:noWrap/>
            <w:vAlign w:val="center"/>
          </w:tcPr>
          <w:p w14:paraId="6ED0F9B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F092E5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C5A4E4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3E9E7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6.19E-05</w:t>
            </w:r>
          </w:p>
        </w:tc>
        <w:tc>
          <w:tcPr>
            <w:tcW w:w="749" w:type="pct"/>
            <w:noWrap/>
            <w:vAlign w:val="center"/>
          </w:tcPr>
          <w:p w14:paraId="59C52F7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CAFA1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0C35CDA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1414F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66" w:type="pct"/>
            <w:vMerge w:val="restart"/>
            <w:noWrap/>
            <w:vAlign w:val="center"/>
          </w:tcPr>
          <w:p w14:paraId="46B046E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1210" w:type="pct"/>
            <w:vMerge w:val="restart"/>
            <w:noWrap/>
            <w:vAlign w:val="center"/>
          </w:tcPr>
          <w:p w14:paraId="64A269B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绥芬河市生态环境局</w:t>
            </w:r>
          </w:p>
        </w:tc>
        <w:tc>
          <w:tcPr>
            <w:tcW w:w="608" w:type="pct"/>
            <w:noWrap/>
            <w:vAlign w:val="center"/>
          </w:tcPr>
          <w:p w14:paraId="45F9FCB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2522F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3.84E-03</w:t>
            </w:r>
          </w:p>
        </w:tc>
        <w:tc>
          <w:tcPr>
            <w:tcW w:w="749" w:type="pct"/>
            <w:noWrap/>
            <w:vAlign w:val="center"/>
          </w:tcPr>
          <w:p w14:paraId="0D2F9E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0C9CFE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1.54</w:t>
            </w:r>
          </w:p>
        </w:tc>
        <w:tc>
          <w:tcPr>
            <w:tcW w:w="608" w:type="pct"/>
            <w:noWrap/>
            <w:vAlign w:val="center"/>
          </w:tcPr>
          <w:p w14:paraId="6C9BB39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33FA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0CB41ED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E3BAC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15205A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A5E4B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5.07E-04</w:t>
            </w:r>
          </w:p>
        </w:tc>
        <w:tc>
          <w:tcPr>
            <w:tcW w:w="749" w:type="pct"/>
            <w:noWrap/>
            <w:vAlign w:val="center"/>
          </w:tcPr>
          <w:p w14:paraId="0FDA0F0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0DCF771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0.51</w:t>
            </w:r>
          </w:p>
        </w:tc>
        <w:tc>
          <w:tcPr>
            <w:tcW w:w="608" w:type="pct"/>
            <w:noWrap/>
            <w:vAlign w:val="center"/>
          </w:tcPr>
          <w:p w14:paraId="0D3674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E389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366" w:type="pct"/>
            <w:vMerge w:val="continue"/>
            <w:noWrap/>
            <w:vAlign w:val="center"/>
          </w:tcPr>
          <w:p w14:paraId="20E020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5ABA2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5532D5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5EB4B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1.15E-05</w:t>
            </w:r>
          </w:p>
        </w:tc>
        <w:tc>
          <w:tcPr>
            <w:tcW w:w="749" w:type="pct"/>
            <w:noWrap/>
            <w:vAlign w:val="center"/>
          </w:tcPr>
          <w:p w14:paraId="317CFE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5DD7E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0FCA9E7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EF2A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366" w:type="pct"/>
            <w:vMerge w:val="restart"/>
            <w:noWrap/>
            <w:vAlign w:val="center"/>
          </w:tcPr>
          <w:p w14:paraId="2CB4DCE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1210" w:type="pct"/>
            <w:vMerge w:val="restart"/>
            <w:noWrap/>
            <w:vAlign w:val="center"/>
          </w:tcPr>
          <w:p w14:paraId="7E9078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绥芬河市民政局</w:t>
            </w:r>
          </w:p>
        </w:tc>
        <w:tc>
          <w:tcPr>
            <w:tcW w:w="608" w:type="pct"/>
            <w:noWrap/>
            <w:vAlign w:val="center"/>
          </w:tcPr>
          <w:p w14:paraId="0D1C2B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10E6F1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1.40E-03</w:t>
            </w:r>
          </w:p>
        </w:tc>
        <w:tc>
          <w:tcPr>
            <w:tcW w:w="749" w:type="pct"/>
            <w:noWrap/>
            <w:vAlign w:val="center"/>
          </w:tcPr>
          <w:p w14:paraId="24C808E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53A79B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0.56</w:t>
            </w:r>
          </w:p>
        </w:tc>
        <w:tc>
          <w:tcPr>
            <w:tcW w:w="608" w:type="pct"/>
            <w:noWrap/>
            <w:vAlign w:val="center"/>
          </w:tcPr>
          <w:p w14:paraId="5BFB7A2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461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5C8D9EF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4886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1374F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36ECA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8.95E-05</w:t>
            </w:r>
          </w:p>
        </w:tc>
        <w:tc>
          <w:tcPr>
            <w:tcW w:w="749" w:type="pct"/>
            <w:noWrap/>
            <w:vAlign w:val="center"/>
          </w:tcPr>
          <w:p w14:paraId="781892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3D60A0C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60309E5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6FB6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3F6A452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67F6A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985A05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9C112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1.59E-06</w:t>
            </w:r>
          </w:p>
        </w:tc>
        <w:tc>
          <w:tcPr>
            <w:tcW w:w="749" w:type="pct"/>
            <w:noWrap/>
            <w:vAlign w:val="center"/>
          </w:tcPr>
          <w:p w14:paraId="377A4A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1A4AEC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C92EC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F01CB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11F0C8D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1210" w:type="pct"/>
            <w:vMerge w:val="restart"/>
            <w:noWrap/>
            <w:vAlign w:val="center"/>
          </w:tcPr>
          <w:p w14:paraId="449C1E0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绥芬河市公安局</w:t>
            </w:r>
          </w:p>
        </w:tc>
        <w:tc>
          <w:tcPr>
            <w:tcW w:w="608" w:type="pct"/>
            <w:noWrap/>
            <w:vAlign w:val="center"/>
          </w:tcPr>
          <w:p w14:paraId="11867D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E8E34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2.11E-03</w:t>
            </w:r>
          </w:p>
        </w:tc>
        <w:tc>
          <w:tcPr>
            <w:tcW w:w="749" w:type="pct"/>
            <w:noWrap/>
            <w:vAlign w:val="center"/>
          </w:tcPr>
          <w:p w14:paraId="034A2F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543579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0.84</w:t>
            </w:r>
          </w:p>
        </w:tc>
        <w:tc>
          <w:tcPr>
            <w:tcW w:w="608" w:type="pct"/>
            <w:noWrap/>
            <w:vAlign w:val="center"/>
          </w:tcPr>
          <w:p w14:paraId="41CA57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12E8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2FA83DB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5C21E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B1971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491E3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1.03E-04</w:t>
            </w:r>
          </w:p>
        </w:tc>
        <w:tc>
          <w:tcPr>
            <w:tcW w:w="749" w:type="pct"/>
            <w:noWrap/>
            <w:vAlign w:val="center"/>
          </w:tcPr>
          <w:p w14:paraId="635992F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w:t>
            </w:r>
          </w:p>
        </w:tc>
        <w:tc>
          <w:tcPr>
            <w:tcW w:w="588" w:type="pct"/>
            <w:noWrap/>
            <w:vAlign w:val="center"/>
          </w:tcPr>
          <w:p w14:paraId="0232D91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24814BE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04F34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253911B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90174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3A9189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B4988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1.93E-06</w:t>
            </w:r>
          </w:p>
        </w:tc>
        <w:tc>
          <w:tcPr>
            <w:tcW w:w="749" w:type="pct"/>
            <w:noWrap/>
            <w:vAlign w:val="center"/>
          </w:tcPr>
          <w:p w14:paraId="4227770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56A87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4F64D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D25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13FC1C4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1210" w:type="pct"/>
            <w:vMerge w:val="restart"/>
            <w:noWrap/>
            <w:vAlign w:val="center"/>
          </w:tcPr>
          <w:p w14:paraId="71DE2C1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阜宁镇人民政府</w:t>
            </w:r>
          </w:p>
        </w:tc>
        <w:tc>
          <w:tcPr>
            <w:tcW w:w="608" w:type="pct"/>
            <w:noWrap/>
            <w:vAlign w:val="center"/>
          </w:tcPr>
          <w:p w14:paraId="6B6BEF1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2F3A8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1.62E-03</w:t>
            </w:r>
          </w:p>
        </w:tc>
        <w:tc>
          <w:tcPr>
            <w:tcW w:w="749" w:type="pct"/>
            <w:noWrap/>
            <w:vAlign w:val="center"/>
          </w:tcPr>
          <w:p w14:paraId="70959E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470C4C3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0.65</w:t>
            </w:r>
          </w:p>
        </w:tc>
        <w:tc>
          <w:tcPr>
            <w:tcW w:w="608" w:type="pct"/>
            <w:noWrap/>
            <w:vAlign w:val="center"/>
          </w:tcPr>
          <w:p w14:paraId="722A409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14321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2CFAD16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4C3C8D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D8BA0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5A65C6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6.96E-05</w:t>
            </w:r>
          </w:p>
        </w:tc>
        <w:tc>
          <w:tcPr>
            <w:tcW w:w="749" w:type="pct"/>
            <w:noWrap/>
            <w:vAlign w:val="center"/>
          </w:tcPr>
          <w:p w14:paraId="36DCC7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989808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333311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746A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continue"/>
            <w:noWrap/>
            <w:vAlign w:val="center"/>
          </w:tcPr>
          <w:p w14:paraId="5C0068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DE26E7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F1D5F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8C6341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1.07E-06</w:t>
            </w:r>
          </w:p>
        </w:tc>
        <w:tc>
          <w:tcPr>
            <w:tcW w:w="749" w:type="pct"/>
            <w:noWrap/>
            <w:vAlign w:val="center"/>
          </w:tcPr>
          <w:p w14:paraId="0DA7695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57CCC1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BD22DC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AA725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66" w:type="pct"/>
            <w:vMerge w:val="restart"/>
            <w:noWrap/>
            <w:vAlign w:val="center"/>
          </w:tcPr>
          <w:p w14:paraId="31E78C42">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1210" w:type="pct"/>
            <w:vMerge w:val="restart"/>
            <w:noWrap/>
            <w:vAlign w:val="center"/>
          </w:tcPr>
          <w:p w14:paraId="7A2F30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绥芬河市广播电视局</w:t>
            </w:r>
          </w:p>
        </w:tc>
        <w:tc>
          <w:tcPr>
            <w:tcW w:w="608" w:type="pct"/>
            <w:noWrap/>
            <w:vAlign w:val="center"/>
          </w:tcPr>
          <w:p w14:paraId="032B530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A4D90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3.82E-03</w:t>
            </w:r>
          </w:p>
        </w:tc>
        <w:tc>
          <w:tcPr>
            <w:tcW w:w="749" w:type="pct"/>
            <w:noWrap/>
            <w:vAlign w:val="center"/>
          </w:tcPr>
          <w:p w14:paraId="09C2A5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69E9FC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1.53</w:t>
            </w:r>
          </w:p>
        </w:tc>
        <w:tc>
          <w:tcPr>
            <w:tcW w:w="608" w:type="pct"/>
            <w:noWrap/>
            <w:vAlign w:val="center"/>
          </w:tcPr>
          <w:p w14:paraId="54C2176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E884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366" w:type="pct"/>
            <w:vMerge w:val="continue"/>
            <w:noWrap/>
            <w:vAlign w:val="center"/>
          </w:tcPr>
          <w:p w14:paraId="5DECB3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BC5A56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982A4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94CE6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2.59E-04</w:t>
            </w:r>
          </w:p>
        </w:tc>
        <w:tc>
          <w:tcPr>
            <w:tcW w:w="749" w:type="pct"/>
            <w:noWrap/>
            <w:vAlign w:val="center"/>
          </w:tcPr>
          <w:p w14:paraId="181FC1A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20D81C5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0.26</w:t>
            </w:r>
          </w:p>
        </w:tc>
        <w:tc>
          <w:tcPr>
            <w:tcW w:w="608" w:type="pct"/>
            <w:noWrap/>
            <w:vAlign w:val="center"/>
          </w:tcPr>
          <w:p w14:paraId="1F519B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88D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12E2C72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816EA9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EBCAE4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5445C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8.25E-06</w:t>
            </w:r>
          </w:p>
        </w:tc>
        <w:tc>
          <w:tcPr>
            <w:tcW w:w="749" w:type="pct"/>
            <w:noWrap/>
            <w:vAlign w:val="center"/>
          </w:tcPr>
          <w:p w14:paraId="5F04EF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6B180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2FD1128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BAEE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66" w:type="pct"/>
            <w:vMerge w:val="restart"/>
            <w:noWrap/>
            <w:vAlign w:val="center"/>
          </w:tcPr>
          <w:p w14:paraId="574EE6A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1210" w:type="pct"/>
            <w:vMerge w:val="restart"/>
            <w:noWrap/>
            <w:vAlign w:val="center"/>
          </w:tcPr>
          <w:p w14:paraId="01E6BF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红太阳未来星幼儿园</w:t>
            </w:r>
          </w:p>
        </w:tc>
        <w:tc>
          <w:tcPr>
            <w:tcW w:w="608" w:type="pct"/>
            <w:noWrap/>
            <w:vAlign w:val="center"/>
          </w:tcPr>
          <w:p w14:paraId="40F9CE4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226B0B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3.74E-03</w:t>
            </w:r>
          </w:p>
        </w:tc>
        <w:tc>
          <w:tcPr>
            <w:tcW w:w="749" w:type="pct"/>
            <w:noWrap/>
            <w:vAlign w:val="center"/>
          </w:tcPr>
          <w:p w14:paraId="2910AE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487FB6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1.50</w:t>
            </w:r>
          </w:p>
        </w:tc>
        <w:tc>
          <w:tcPr>
            <w:tcW w:w="608" w:type="pct"/>
            <w:noWrap/>
            <w:vAlign w:val="center"/>
          </w:tcPr>
          <w:p w14:paraId="0819BD2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F98D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66" w:type="pct"/>
            <w:vMerge w:val="continue"/>
            <w:noWrap/>
            <w:vAlign w:val="center"/>
          </w:tcPr>
          <w:p w14:paraId="3CA8E5A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9B056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1459D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08329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5.53E-04</w:t>
            </w:r>
          </w:p>
        </w:tc>
        <w:tc>
          <w:tcPr>
            <w:tcW w:w="749" w:type="pct"/>
            <w:noWrap/>
            <w:vAlign w:val="center"/>
          </w:tcPr>
          <w:p w14:paraId="4ABC12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E40F5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0.55</w:t>
            </w:r>
          </w:p>
        </w:tc>
        <w:tc>
          <w:tcPr>
            <w:tcW w:w="608" w:type="pct"/>
            <w:noWrap/>
            <w:vAlign w:val="center"/>
          </w:tcPr>
          <w:p w14:paraId="60539A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B8B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486B56E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76EB58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0D1291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F158E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1.49E-05</w:t>
            </w:r>
          </w:p>
        </w:tc>
        <w:tc>
          <w:tcPr>
            <w:tcW w:w="749" w:type="pct"/>
            <w:noWrap/>
            <w:vAlign w:val="center"/>
          </w:tcPr>
          <w:p w14:paraId="3C477A0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CA4F8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056250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5567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0351C33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1210" w:type="pct"/>
            <w:vMerge w:val="restart"/>
            <w:noWrap/>
            <w:vAlign w:val="center"/>
          </w:tcPr>
          <w:p w14:paraId="5E91ADF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金恒基小学</w:t>
            </w:r>
          </w:p>
        </w:tc>
        <w:tc>
          <w:tcPr>
            <w:tcW w:w="608" w:type="pct"/>
            <w:noWrap/>
            <w:vAlign w:val="center"/>
          </w:tcPr>
          <w:p w14:paraId="5C65151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BB3D38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3.06E-03</w:t>
            </w:r>
          </w:p>
        </w:tc>
        <w:tc>
          <w:tcPr>
            <w:tcW w:w="749" w:type="pct"/>
            <w:noWrap/>
            <w:vAlign w:val="center"/>
          </w:tcPr>
          <w:p w14:paraId="241552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7F3A72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1.22</w:t>
            </w:r>
          </w:p>
        </w:tc>
        <w:tc>
          <w:tcPr>
            <w:tcW w:w="608" w:type="pct"/>
            <w:noWrap/>
            <w:vAlign w:val="center"/>
          </w:tcPr>
          <w:p w14:paraId="65D80E0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23A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770AD1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21031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61E93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343FAD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3.54E-04</w:t>
            </w:r>
          </w:p>
        </w:tc>
        <w:tc>
          <w:tcPr>
            <w:tcW w:w="749" w:type="pct"/>
            <w:noWrap/>
            <w:vAlign w:val="center"/>
          </w:tcPr>
          <w:p w14:paraId="4CE31A1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F59F6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0.35</w:t>
            </w:r>
          </w:p>
        </w:tc>
        <w:tc>
          <w:tcPr>
            <w:tcW w:w="608" w:type="pct"/>
            <w:noWrap/>
            <w:vAlign w:val="center"/>
          </w:tcPr>
          <w:p w14:paraId="4F04330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7983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221D36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FF49F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B3D84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F973D5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4.60E-06</w:t>
            </w:r>
          </w:p>
        </w:tc>
        <w:tc>
          <w:tcPr>
            <w:tcW w:w="749" w:type="pct"/>
            <w:noWrap/>
            <w:vAlign w:val="center"/>
          </w:tcPr>
          <w:p w14:paraId="5DD956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B243CF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2E2CC9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FA3F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78636F0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1210" w:type="pct"/>
            <w:vMerge w:val="restart"/>
            <w:noWrap/>
            <w:vAlign w:val="center"/>
          </w:tcPr>
          <w:p w14:paraId="0223E7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弘孟幼儿园</w:t>
            </w:r>
          </w:p>
        </w:tc>
        <w:tc>
          <w:tcPr>
            <w:tcW w:w="608" w:type="pct"/>
            <w:noWrap/>
            <w:vAlign w:val="center"/>
          </w:tcPr>
          <w:p w14:paraId="06362D8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BE926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2.81E-03</w:t>
            </w:r>
          </w:p>
        </w:tc>
        <w:tc>
          <w:tcPr>
            <w:tcW w:w="749" w:type="pct"/>
            <w:noWrap/>
            <w:vAlign w:val="center"/>
          </w:tcPr>
          <w:p w14:paraId="55F82C1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055CA2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1.13</w:t>
            </w:r>
          </w:p>
        </w:tc>
        <w:tc>
          <w:tcPr>
            <w:tcW w:w="608" w:type="pct"/>
            <w:noWrap/>
            <w:vAlign w:val="center"/>
          </w:tcPr>
          <w:p w14:paraId="2277100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15C16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560825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F1F02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53201E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365972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3.75E-04</w:t>
            </w:r>
          </w:p>
        </w:tc>
        <w:tc>
          <w:tcPr>
            <w:tcW w:w="749" w:type="pct"/>
            <w:noWrap/>
            <w:vAlign w:val="center"/>
          </w:tcPr>
          <w:p w14:paraId="53CA03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7AAA4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0.38</w:t>
            </w:r>
          </w:p>
        </w:tc>
        <w:tc>
          <w:tcPr>
            <w:tcW w:w="608" w:type="pct"/>
            <w:noWrap/>
            <w:vAlign w:val="center"/>
          </w:tcPr>
          <w:p w14:paraId="6C3E22A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DB9C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05AF58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D8BB1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D608BC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9D7D5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5.04E-06</w:t>
            </w:r>
          </w:p>
        </w:tc>
        <w:tc>
          <w:tcPr>
            <w:tcW w:w="749" w:type="pct"/>
            <w:noWrap/>
            <w:vAlign w:val="center"/>
          </w:tcPr>
          <w:p w14:paraId="5B456B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0CF59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04264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BA166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7BB659F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1210" w:type="pct"/>
            <w:vMerge w:val="restart"/>
            <w:noWrap/>
            <w:vAlign w:val="center"/>
          </w:tcPr>
          <w:p w14:paraId="2E04822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红太阳幼儿园</w:t>
            </w:r>
          </w:p>
        </w:tc>
        <w:tc>
          <w:tcPr>
            <w:tcW w:w="608" w:type="pct"/>
            <w:noWrap/>
            <w:vAlign w:val="center"/>
          </w:tcPr>
          <w:p w14:paraId="55EBD5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E2BF3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4.32E-03</w:t>
            </w:r>
          </w:p>
        </w:tc>
        <w:tc>
          <w:tcPr>
            <w:tcW w:w="749" w:type="pct"/>
            <w:noWrap/>
            <w:vAlign w:val="center"/>
          </w:tcPr>
          <w:p w14:paraId="0058EE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6857C2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1.73</w:t>
            </w:r>
          </w:p>
        </w:tc>
        <w:tc>
          <w:tcPr>
            <w:tcW w:w="608" w:type="pct"/>
            <w:noWrap/>
            <w:vAlign w:val="center"/>
          </w:tcPr>
          <w:p w14:paraId="22DB8B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300C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366" w:type="pct"/>
            <w:vMerge w:val="continue"/>
            <w:noWrap/>
            <w:vAlign w:val="center"/>
          </w:tcPr>
          <w:p w14:paraId="504209B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DA042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5A2FB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779ED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7.14E-04</w:t>
            </w:r>
          </w:p>
        </w:tc>
        <w:tc>
          <w:tcPr>
            <w:tcW w:w="749" w:type="pct"/>
            <w:noWrap/>
            <w:vAlign w:val="center"/>
          </w:tcPr>
          <w:p w14:paraId="589FED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401406F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0.71</w:t>
            </w:r>
          </w:p>
        </w:tc>
        <w:tc>
          <w:tcPr>
            <w:tcW w:w="608" w:type="pct"/>
            <w:noWrap/>
            <w:vAlign w:val="center"/>
          </w:tcPr>
          <w:p w14:paraId="488BAF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4FF24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continue"/>
            <w:noWrap/>
            <w:vAlign w:val="center"/>
          </w:tcPr>
          <w:p w14:paraId="0B74EDE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F68F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E90689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F64C7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1.80E-05</w:t>
            </w:r>
          </w:p>
        </w:tc>
        <w:tc>
          <w:tcPr>
            <w:tcW w:w="749" w:type="pct"/>
            <w:noWrap/>
            <w:vAlign w:val="center"/>
          </w:tcPr>
          <w:p w14:paraId="528281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867DE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6CEAEC9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A7CC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restart"/>
            <w:noWrap/>
            <w:vAlign w:val="center"/>
          </w:tcPr>
          <w:p w14:paraId="1E0D260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1210" w:type="pct"/>
            <w:vMerge w:val="restart"/>
            <w:noWrap/>
            <w:vAlign w:val="center"/>
          </w:tcPr>
          <w:p w14:paraId="49C0AC2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千里幼稚园</w:t>
            </w:r>
          </w:p>
        </w:tc>
        <w:tc>
          <w:tcPr>
            <w:tcW w:w="608" w:type="pct"/>
            <w:noWrap/>
            <w:vAlign w:val="center"/>
          </w:tcPr>
          <w:p w14:paraId="0E2D6EA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99597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4.96E-03</w:t>
            </w:r>
          </w:p>
        </w:tc>
        <w:tc>
          <w:tcPr>
            <w:tcW w:w="749" w:type="pct"/>
            <w:noWrap/>
            <w:vAlign w:val="center"/>
          </w:tcPr>
          <w:p w14:paraId="6171A31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52C7278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1.98</w:t>
            </w:r>
          </w:p>
        </w:tc>
        <w:tc>
          <w:tcPr>
            <w:tcW w:w="608" w:type="pct"/>
            <w:noWrap/>
            <w:vAlign w:val="center"/>
          </w:tcPr>
          <w:p w14:paraId="1ED112A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5A7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366" w:type="pct"/>
            <w:vMerge w:val="continue"/>
            <w:noWrap/>
            <w:vAlign w:val="center"/>
          </w:tcPr>
          <w:p w14:paraId="4451222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CD2C2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9A3A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2E1559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5.69E-04</w:t>
            </w:r>
          </w:p>
        </w:tc>
        <w:tc>
          <w:tcPr>
            <w:tcW w:w="749" w:type="pct"/>
            <w:noWrap/>
            <w:vAlign w:val="center"/>
          </w:tcPr>
          <w:p w14:paraId="4378D4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CCACB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0.57</w:t>
            </w:r>
          </w:p>
        </w:tc>
        <w:tc>
          <w:tcPr>
            <w:tcW w:w="608" w:type="pct"/>
            <w:noWrap/>
            <w:vAlign w:val="center"/>
          </w:tcPr>
          <w:p w14:paraId="253F35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0A4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57EA8B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61021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A57887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212861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2.26E-05</w:t>
            </w:r>
          </w:p>
        </w:tc>
        <w:tc>
          <w:tcPr>
            <w:tcW w:w="749" w:type="pct"/>
            <w:noWrap/>
            <w:vAlign w:val="center"/>
          </w:tcPr>
          <w:p w14:paraId="72007EE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025C5C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DECF94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8824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66" w:type="pct"/>
            <w:vMerge w:val="restart"/>
            <w:noWrap/>
            <w:vAlign w:val="center"/>
          </w:tcPr>
          <w:p w14:paraId="5FE91B22">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1210" w:type="pct"/>
            <w:vMerge w:val="restart"/>
            <w:noWrap/>
            <w:vAlign w:val="center"/>
          </w:tcPr>
          <w:p w14:paraId="23DACD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绥芬河市第一中学</w:t>
            </w:r>
          </w:p>
        </w:tc>
        <w:tc>
          <w:tcPr>
            <w:tcW w:w="608" w:type="pct"/>
            <w:noWrap/>
            <w:vAlign w:val="center"/>
          </w:tcPr>
          <w:p w14:paraId="48FB5A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E872F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4.06E-03</w:t>
            </w:r>
          </w:p>
        </w:tc>
        <w:tc>
          <w:tcPr>
            <w:tcW w:w="749" w:type="pct"/>
            <w:noWrap/>
            <w:vAlign w:val="center"/>
          </w:tcPr>
          <w:p w14:paraId="6A3DBDE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2F23E0C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1.62</w:t>
            </w:r>
          </w:p>
        </w:tc>
        <w:tc>
          <w:tcPr>
            <w:tcW w:w="608" w:type="pct"/>
            <w:noWrap/>
            <w:vAlign w:val="center"/>
          </w:tcPr>
          <w:p w14:paraId="7449997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5D54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679BC87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6A10F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1D2CEF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3CB1A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6.02E-04</w:t>
            </w:r>
          </w:p>
        </w:tc>
        <w:tc>
          <w:tcPr>
            <w:tcW w:w="749" w:type="pct"/>
            <w:noWrap/>
            <w:vAlign w:val="center"/>
          </w:tcPr>
          <w:p w14:paraId="26A05E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FA016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0.60</w:t>
            </w:r>
          </w:p>
        </w:tc>
        <w:tc>
          <w:tcPr>
            <w:tcW w:w="608" w:type="pct"/>
            <w:noWrap/>
            <w:vAlign w:val="center"/>
          </w:tcPr>
          <w:p w14:paraId="111F08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C1A1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13CE397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FDCAD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665B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27E387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3.39E-05</w:t>
            </w:r>
          </w:p>
        </w:tc>
        <w:tc>
          <w:tcPr>
            <w:tcW w:w="749" w:type="pct"/>
            <w:noWrap/>
            <w:vAlign w:val="center"/>
          </w:tcPr>
          <w:p w14:paraId="4767EE3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ED73DC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88C53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DA13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6A29973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1210" w:type="pct"/>
            <w:vMerge w:val="restart"/>
            <w:noWrap/>
            <w:vAlign w:val="center"/>
          </w:tcPr>
          <w:p w14:paraId="2C2C3EA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商都幼儿园</w:t>
            </w:r>
          </w:p>
        </w:tc>
        <w:tc>
          <w:tcPr>
            <w:tcW w:w="608" w:type="pct"/>
            <w:noWrap/>
            <w:vAlign w:val="center"/>
          </w:tcPr>
          <w:p w14:paraId="389C60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879A1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3.40E-03</w:t>
            </w:r>
          </w:p>
        </w:tc>
        <w:tc>
          <w:tcPr>
            <w:tcW w:w="749" w:type="pct"/>
            <w:noWrap/>
            <w:vAlign w:val="center"/>
          </w:tcPr>
          <w:p w14:paraId="20375D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6DD993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1.36</w:t>
            </w:r>
          </w:p>
        </w:tc>
        <w:tc>
          <w:tcPr>
            <w:tcW w:w="608" w:type="pct"/>
            <w:noWrap/>
            <w:vAlign w:val="center"/>
          </w:tcPr>
          <w:p w14:paraId="7B2D60D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69871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66" w:type="pct"/>
            <w:vMerge w:val="continue"/>
            <w:noWrap/>
            <w:vAlign w:val="center"/>
          </w:tcPr>
          <w:p w14:paraId="7A91E58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B53EC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3DF271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1E1E13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5.66E-04</w:t>
            </w:r>
          </w:p>
        </w:tc>
        <w:tc>
          <w:tcPr>
            <w:tcW w:w="749" w:type="pct"/>
            <w:noWrap/>
            <w:vAlign w:val="center"/>
          </w:tcPr>
          <w:p w14:paraId="4847E9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7F5DD51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0.57</w:t>
            </w:r>
          </w:p>
        </w:tc>
        <w:tc>
          <w:tcPr>
            <w:tcW w:w="608" w:type="pct"/>
            <w:noWrap/>
            <w:vAlign w:val="center"/>
          </w:tcPr>
          <w:p w14:paraId="3A0B9A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09620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366" w:type="pct"/>
            <w:vMerge w:val="continue"/>
            <w:noWrap/>
            <w:vAlign w:val="center"/>
          </w:tcPr>
          <w:p w14:paraId="05735FF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13664F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E2129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1632B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3.75E-05</w:t>
            </w:r>
          </w:p>
        </w:tc>
        <w:tc>
          <w:tcPr>
            <w:tcW w:w="749" w:type="pct"/>
            <w:noWrap/>
            <w:vAlign w:val="center"/>
          </w:tcPr>
          <w:p w14:paraId="41832C0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8F483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3BC2F77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4FE7D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6" w:type="pct"/>
            <w:vMerge w:val="restart"/>
            <w:noWrap/>
            <w:vAlign w:val="center"/>
          </w:tcPr>
          <w:p w14:paraId="1C67945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1210" w:type="pct"/>
            <w:vMerge w:val="restart"/>
            <w:noWrap/>
            <w:vAlign w:val="center"/>
          </w:tcPr>
          <w:p w14:paraId="48452DE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608" w:type="pct"/>
            <w:noWrap/>
            <w:vAlign w:val="center"/>
          </w:tcPr>
          <w:p w14:paraId="2719CEB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384795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1.99E-03</w:t>
            </w:r>
          </w:p>
        </w:tc>
        <w:tc>
          <w:tcPr>
            <w:tcW w:w="749" w:type="pct"/>
            <w:noWrap/>
            <w:vAlign w:val="center"/>
          </w:tcPr>
          <w:p w14:paraId="7FCAD9F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3CE4AB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0.79</w:t>
            </w:r>
          </w:p>
        </w:tc>
        <w:tc>
          <w:tcPr>
            <w:tcW w:w="608" w:type="pct"/>
            <w:noWrap/>
            <w:vAlign w:val="center"/>
          </w:tcPr>
          <w:p w14:paraId="76D87E6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E682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66" w:type="pct"/>
            <w:vMerge w:val="continue"/>
            <w:noWrap/>
            <w:vAlign w:val="center"/>
          </w:tcPr>
          <w:p w14:paraId="7BD60C0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AF88E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BECC9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72B71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1.02E-04</w:t>
            </w:r>
          </w:p>
        </w:tc>
        <w:tc>
          <w:tcPr>
            <w:tcW w:w="749" w:type="pct"/>
            <w:noWrap/>
            <w:vAlign w:val="center"/>
          </w:tcPr>
          <w:p w14:paraId="4FDA59C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1D48E8C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459DE8D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85D5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69A837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61A570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C5B18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AA8B4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1.35E-06</w:t>
            </w:r>
          </w:p>
        </w:tc>
        <w:tc>
          <w:tcPr>
            <w:tcW w:w="749" w:type="pct"/>
            <w:noWrap/>
            <w:vAlign w:val="center"/>
          </w:tcPr>
          <w:p w14:paraId="45E188C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447031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2002E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9BEC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restart"/>
            <w:noWrap/>
            <w:vAlign w:val="center"/>
          </w:tcPr>
          <w:p w14:paraId="42940DB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1210" w:type="pct"/>
            <w:vMerge w:val="restart"/>
            <w:noWrap/>
            <w:vAlign w:val="center"/>
          </w:tcPr>
          <w:p w14:paraId="0EDC185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608" w:type="pct"/>
            <w:noWrap/>
            <w:vAlign w:val="center"/>
          </w:tcPr>
          <w:p w14:paraId="51F306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A44528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1.86E-03</w:t>
            </w:r>
          </w:p>
        </w:tc>
        <w:tc>
          <w:tcPr>
            <w:tcW w:w="749" w:type="pct"/>
            <w:noWrap/>
            <w:vAlign w:val="center"/>
          </w:tcPr>
          <w:p w14:paraId="0DD3AC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23B685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0.74</w:t>
            </w:r>
          </w:p>
        </w:tc>
        <w:tc>
          <w:tcPr>
            <w:tcW w:w="608" w:type="pct"/>
            <w:noWrap/>
            <w:vAlign w:val="center"/>
          </w:tcPr>
          <w:p w14:paraId="7753D4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B9D80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3D59DD1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2A9C1D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DDA59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0BB3B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8.02E-05</w:t>
            </w:r>
          </w:p>
        </w:tc>
        <w:tc>
          <w:tcPr>
            <w:tcW w:w="749" w:type="pct"/>
            <w:noWrap/>
            <w:vAlign w:val="center"/>
          </w:tcPr>
          <w:p w14:paraId="2F08110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12BAF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56C3C3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999D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1C2FABB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9D024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9C1B50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FB8CA7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1.13E-06</w:t>
            </w:r>
          </w:p>
        </w:tc>
        <w:tc>
          <w:tcPr>
            <w:tcW w:w="749" w:type="pct"/>
            <w:noWrap/>
            <w:vAlign w:val="center"/>
          </w:tcPr>
          <w:p w14:paraId="2883FD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D0CE3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D79E93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2E1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645E5D5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1210" w:type="pct"/>
            <w:vMerge w:val="restart"/>
            <w:noWrap/>
            <w:vAlign w:val="center"/>
          </w:tcPr>
          <w:p w14:paraId="1D93AE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绥芬河市第三中学</w:t>
            </w:r>
          </w:p>
        </w:tc>
        <w:tc>
          <w:tcPr>
            <w:tcW w:w="608" w:type="pct"/>
            <w:noWrap/>
            <w:vAlign w:val="center"/>
          </w:tcPr>
          <w:p w14:paraId="20866EB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1FFE73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4.34E-03</w:t>
            </w:r>
          </w:p>
        </w:tc>
        <w:tc>
          <w:tcPr>
            <w:tcW w:w="749" w:type="pct"/>
            <w:noWrap/>
            <w:vAlign w:val="center"/>
          </w:tcPr>
          <w:p w14:paraId="0FB2E6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B9DCC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1.74</w:t>
            </w:r>
          </w:p>
        </w:tc>
        <w:tc>
          <w:tcPr>
            <w:tcW w:w="608" w:type="pct"/>
            <w:noWrap/>
            <w:vAlign w:val="center"/>
          </w:tcPr>
          <w:p w14:paraId="057747C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028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0E3AD2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636F91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B62A51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603185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3.15E-04</w:t>
            </w:r>
          </w:p>
        </w:tc>
        <w:tc>
          <w:tcPr>
            <w:tcW w:w="749" w:type="pct"/>
            <w:noWrap/>
            <w:vAlign w:val="center"/>
          </w:tcPr>
          <w:p w14:paraId="6D93E2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D7C0A1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0.31</w:t>
            </w:r>
          </w:p>
        </w:tc>
        <w:tc>
          <w:tcPr>
            <w:tcW w:w="608" w:type="pct"/>
            <w:noWrap/>
            <w:vAlign w:val="center"/>
          </w:tcPr>
          <w:p w14:paraId="5C2AF3E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9C7A4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2D0A531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97C9EF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CF9E26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F109D7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1.09E-05</w:t>
            </w:r>
          </w:p>
        </w:tc>
        <w:tc>
          <w:tcPr>
            <w:tcW w:w="749" w:type="pct"/>
            <w:noWrap/>
            <w:vAlign w:val="center"/>
          </w:tcPr>
          <w:p w14:paraId="7DE0AF0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5822E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C6FB0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16B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7369E64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1210" w:type="pct"/>
            <w:vMerge w:val="restart"/>
            <w:noWrap/>
            <w:vAlign w:val="center"/>
          </w:tcPr>
          <w:p w14:paraId="5266F9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旅游局家属楼</w:t>
            </w:r>
          </w:p>
        </w:tc>
        <w:tc>
          <w:tcPr>
            <w:tcW w:w="608" w:type="pct"/>
            <w:noWrap/>
            <w:vAlign w:val="center"/>
          </w:tcPr>
          <w:p w14:paraId="7D58BAF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1C7CE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1.72E-03</w:t>
            </w:r>
          </w:p>
        </w:tc>
        <w:tc>
          <w:tcPr>
            <w:tcW w:w="749" w:type="pct"/>
            <w:noWrap/>
            <w:vAlign w:val="center"/>
          </w:tcPr>
          <w:p w14:paraId="6F84312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24022814</w:t>
            </w:r>
          </w:p>
        </w:tc>
        <w:tc>
          <w:tcPr>
            <w:tcW w:w="588" w:type="pct"/>
            <w:noWrap/>
            <w:vAlign w:val="center"/>
          </w:tcPr>
          <w:p w14:paraId="745712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0.69</w:t>
            </w:r>
          </w:p>
        </w:tc>
        <w:tc>
          <w:tcPr>
            <w:tcW w:w="608" w:type="pct"/>
            <w:noWrap/>
            <w:vAlign w:val="center"/>
          </w:tcPr>
          <w:p w14:paraId="41A8272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EF15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6749E33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67710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364B11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B4EF6F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7.18E-05</w:t>
            </w:r>
          </w:p>
        </w:tc>
        <w:tc>
          <w:tcPr>
            <w:tcW w:w="749" w:type="pct"/>
            <w:noWrap/>
            <w:vAlign w:val="center"/>
          </w:tcPr>
          <w:p w14:paraId="6AE6C46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240228</w:t>
            </w:r>
          </w:p>
        </w:tc>
        <w:tc>
          <w:tcPr>
            <w:tcW w:w="588" w:type="pct"/>
            <w:noWrap/>
            <w:vAlign w:val="center"/>
          </w:tcPr>
          <w:p w14:paraId="07F2D9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0F4D6A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EB8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6A0FC1F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3C3D8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BCA6D9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E7062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1.40E-06</w:t>
            </w:r>
          </w:p>
        </w:tc>
        <w:tc>
          <w:tcPr>
            <w:tcW w:w="749" w:type="pct"/>
            <w:noWrap/>
            <w:vAlign w:val="center"/>
          </w:tcPr>
          <w:p w14:paraId="7958D5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97DE00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A6AA9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66D3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0A7D28DE">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1210" w:type="pct"/>
            <w:vMerge w:val="restart"/>
            <w:noWrap/>
            <w:vAlign w:val="center"/>
          </w:tcPr>
          <w:p w14:paraId="3DB34AC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新安幸福嘉园</w:t>
            </w:r>
          </w:p>
        </w:tc>
        <w:tc>
          <w:tcPr>
            <w:tcW w:w="608" w:type="pct"/>
            <w:noWrap/>
            <w:vAlign w:val="center"/>
          </w:tcPr>
          <w:p w14:paraId="5FAC83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70567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2.91E-03</w:t>
            </w:r>
          </w:p>
        </w:tc>
        <w:tc>
          <w:tcPr>
            <w:tcW w:w="749" w:type="pct"/>
            <w:noWrap/>
            <w:vAlign w:val="center"/>
          </w:tcPr>
          <w:p w14:paraId="02D393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24031912</w:t>
            </w:r>
          </w:p>
        </w:tc>
        <w:tc>
          <w:tcPr>
            <w:tcW w:w="588" w:type="pct"/>
            <w:noWrap/>
            <w:vAlign w:val="center"/>
          </w:tcPr>
          <w:p w14:paraId="37D928F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1.16</w:t>
            </w:r>
          </w:p>
        </w:tc>
        <w:tc>
          <w:tcPr>
            <w:tcW w:w="608" w:type="pct"/>
            <w:noWrap/>
            <w:vAlign w:val="center"/>
          </w:tcPr>
          <w:p w14:paraId="3BA03B3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4325D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1990D5A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5D07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6F19CB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CBA0B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2.09E-04</w:t>
            </w:r>
          </w:p>
        </w:tc>
        <w:tc>
          <w:tcPr>
            <w:tcW w:w="749" w:type="pct"/>
            <w:noWrap/>
            <w:vAlign w:val="center"/>
          </w:tcPr>
          <w:p w14:paraId="3F2F4CD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C3DAB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0.21</w:t>
            </w:r>
          </w:p>
        </w:tc>
        <w:tc>
          <w:tcPr>
            <w:tcW w:w="608" w:type="pct"/>
            <w:noWrap/>
            <w:vAlign w:val="center"/>
          </w:tcPr>
          <w:p w14:paraId="472B9E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2448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continue"/>
            <w:noWrap/>
            <w:vAlign w:val="center"/>
          </w:tcPr>
          <w:p w14:paraId="70DD6EA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47F1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10CF60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310CFF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4.36E-06</w:t>
            </w:r>
          </w:p>
        </w:tc>
        <w:tc>
          <w:tcPr>
            <w:tcW w:w="749" w:type="pct"/>
            <w:noWrap/>
            <w:vAlign w:val="center"/>
          </w:tcPr>
          <w:p w14:paraId="10008D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205E3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2926B7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0EE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restart"/>
            <w:noWrap/>
            <w:vAlign w:val="center"/>
          </w:tcPr>
          <w:p w14:paraId="2A2F1C1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1210" w:type="pct"/>
            <w:vMerge w:val="restart"/>
            <w:noWrap/>
            <w:vAlign w:val="center"/>
          </w:tcPr>
          <w:p w14:paraId="0BCB936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中兴小区</w:t>
            </w:r>
          </w:p>
        </w:tc>
        <w:tc>
          <w:tcPr>
            <w:tcW w:w="608" w:type="pct"/>
            <w:noWrap/>
            <w:vAlign w:val="center"/>
          </w:tcPr>
          <w:p w14:paraId="67C3BAD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B0B57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2.95E-03</w:t>
            </w:r>
          </w:p>
        </w:tc>
        <w:tc>
          <w:tcPr>
            <w:tcW w:w="749" w:type="pct"/>
            <w:noWrap/>
            <w:vAlign w:val="center"/>
          </w:tcPr>
          <w:p w14:paraId="484448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4CD8D7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1.18</w:t>
            </w:r>
          </w:p>
        </w:tc>
        <w:tc>
          <w:tcPr>
            <w:tcW w:w="608" w:type="pct"/>
            <w:noWrap/>
            <w:vAlign w:val="center"/>
          </w:tcPr>
          <w:p w14:paraId="13AF990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A1BC7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366" w:type="pct"/>
            <w:vMerge w:val="continue"/>
            <w:noWrap/>
            <w:vAlign w:val="center"/>
          </w:tcPr>
          <w:p w14:paraId="2973EE7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55D18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3B8788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8F15A5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2.21E-04</w:t>
            </w:r>
          </w:p>
        </w:tc>
        <w:tc>
          <w:tcPr>
            <w:tcW w:w="749" w:type="pct"/>
            <w:noWrap/>
            <w:vAlign w:val="center"/>
          </w:tcPr>
          <w:p w14:paraId="37B8ED6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60F64E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0.22</w:t>
            </w:r>
          </w:p>
        </w:tc>
        <w:tc>
          <w:tcPr>
            <w:tcW w:w="608" w:type="pct"/>
            <w:noWrap/>
            <w:vAlign w:val="center"/>
          </w:tcPr>
          <w:p w14:paraId="735A256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253E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366" w:type="pct"/>
            <w:vMerge w:val="continue"/>
            <w:noWrap/>
            <w:vAlign w:val="center"/>
          </w:tcPr>
          <w:p w14:paraId="3B6EBD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D1C953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358959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B4D4F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3.20E-06</w:t>
            </w:r>
          </w:p>
        </w:tc>
        <w:tc>
          <w:tcPr>
            <w:tcW w:w="749" w:type="pct"/>
            <w:noWrap/>
            <w:vAlign w:val="center"/>
          </w:tcPr>
          <w:p w14:paraId="3C7136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2A4F5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1446BD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1B5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366" w:type="pct"/>
            <w:vMerge w:val="restart"/>
            <w:noWrap/>
            <w:vAlign w:val="center"/>
          </w:tcPr>
          <w:p w14:paraId="412EDFE1">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1210" w:type="pct"/>
            <w:vMerge w:val="restart"/>
            <w:noWrap/>
            <w:vAlign w:val="center"/>
          </w:tcPr>
          <w:p w14:paraId="65C73C3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绥兴社区</w:t>
            </w:r>
          </w:p>
        </w:tc>
        <w:tc>
          <w:tcPr>
            <w:tcW w:w="608" w:type="pct"/>
            <w:noWrap/>
            <w:vAlign w:val="center"/>
          </w:tcPr>
          <w:p w14:paraId="3A75010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A2FE25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3.78E-03</w:t>
            </w:r>
          </w:p>
        </w:tc>
        <w:tc>
          <w:tcPr>
            <w:tcW w:w="749" w:type="pct"/>
            <w:noWrap/>
            <w:vAlign w:val="center"/>
          </w:tcPr>
          <w:p w14:paraId="24B75C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62893E1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1.51</w:t>
            </w:r>
          </w:p>
        </w:tc>
        <w:tc>
          <w:tcPr>
            <w:tcW w:w="608" w:type="pct"/>
            <w:noWrap/>
            <w:vAlign w:val="center"/>
          </w:tcPr>
          <w:p w14:paraId="28269BE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096B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66" w:type="pct"/>
            <w:vMerge w:val="continue"/>
            <w:noWrap/>
            <w:vAlign w:val="center"/>
          </w:tcPr>
          <w:p w14:paraId="4225DA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CB318A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7DCE62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AFF27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5.00E-04</w:t>
            </w:r>
          </w:p>
        </w:tc>
        <w:tc>
          <w:tcPr>
            <w:tcW w:w="749" w:type="pct"/>
            <w:noWrap/>
            <w:vAlign w:val="center"/>
          </w:tcPr>
          <w:p w14:paraId="7912FE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73227D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0.50</w:t>
            </w:r>
          </w:p>
        </w:tc>
        <w:tc>
          <w:tcPr>
            <w:tcW w:w="608" w:type="pct"/>
            <w:noWrap/>
            <w:vAlign w:val="center"/>
          </w:tcPr>
          <w:p w14:paraId="5E893C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778A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2E40F8F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2500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97F7D7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57524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8.84E-06</w:t>
            </w:r>
          </w:p>
        </w:tc>
        <w:tc>
          <w:tcPr>
            <w:tcW w:w="749" w:type="pct"/>
            <w:noWrap/>
            <w:vAlign w:val="center"/>
          </w:tcPr>
          <w:p w14:paraId="50629B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7A4CFF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419630E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F10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restart"/>
            <w:noWrap/>
            <w:vAlign w:val="center"/>
          </w:tcPr>
          <w:p w14:paraId="716ED93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1210" w:type="pct"/>
            <w:vMerge w:val="restart"/>
            <w:noWrap/>
            <w:vAlign w:val="center"/>
          </w:tcPr>
          <w:p w14:paraId="26AAD66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608" w:type="pct"/>
            <w:noWrap/>
            <w:vAlign w:val="center"/>
          </w:tcPr>
          <w:p w14:paraId="628D08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3BCEF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4.78E-03</w:t>
            </w:r>
          </w:p>
        </w:tc>
        <w:tc>
          <w:tcPr>
            <w:tcW w:w="749" w:type="pct"/>
            <w:noWrap/>
            <w:vAlign w:val="center"/>
          </w:tcPr>
          <w:p w14:paraId="4357D9E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24111911</w:t>
            </w:r>
          </w:p>
        </w:tc>
        <w:tc>
          <w:tcPr>
            <w:tcW w:w="588" w:type="pct"/>
            <w:noWrap/>
            <w:vAlign w:val="center"/>
          </w:tcPr>
          <w:p w14:paraId="6E2EDB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1.91</w:t>
            </w:r>
          </w:p>
        </w:tc>
        <w:tc>
          <w:tcPr>
            <w:tcW w:w="608" w:type="pct"/>
            <w:noWrap/>
            <w:vAlign w:val="center"/>
          </w:tcPr>
          <w:p w14:paraId="78F96CB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7C9D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5FEAD89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97B30D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04FFCB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016C9A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1.41E-03</w:t>
            </w:r>
          </w:p>
        </w:tc>
        <w:tc>
          <w:tcPr>
            <w:tcW w:w="749" w:type="pct"/>
            <w:noWrap/>
            <w:vAlign w:val="center"/>
          </w:tcPr>
          <w:p w14:paraId="60CE4C7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240301</w:t>
            </w:r>
          </w:p>
        </w:tc>
        <w:tc>
          <w:tcPr>
            <w:tcW w:w="588" w:type="pct"/>
            <w:noWrap/>
            <w:vAlign w:val="center"/>
          </w:tcPr>
          <w:p w14:paraId="47402B2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1.41</w:t>
            </w:r>
          </w:p>
        </w:tc>
        <w:tc>
          <w:tcPr>
            <w:tcW w:w="608" w:type="pct"/>
            <w:noWrap/>
            <w:vAlign w:val="center"/>
          </w:tcPr>
          <w:p w14:paraId="05F538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8FBF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36D1782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6CE460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69892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729F4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1.59E-04</w:t>
            </w:r>
          </w:p>
        </w:tc>
        <w:tc>
          <w:tcPr>
            <w:tcW w:w="749" w:type="pct"/>
            <w:noWrap/>
            <w:vAlign w:val="center"/>
          </w:tcPr>
          <w:p w14:paraId="6077910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1D1DCC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0.32</w:t>
            </w:r>
          </w:p>
        </w:tc>
        <w:tc>
          <w:tcPr>
            <w:tcW w:w="608" w:type="pct"/>
            <w:noWrap/>
            <w:vAlign w:val="center"/>
          </w:tcPr>
          <w:p w14:paraId="10CF72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50B29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1550ECB7">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1210" w:type="pct"/>
            <w:vMerge w:val="restart"/>
            <w:noWrap/>
            <w:vAlign w:val="center"/>
          </w:tcPr>
          <w:p w14:paraId="6B4AF0F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凯丰小区</w:t>
            </w:r>
          </w:p>
        </w:tc>
        <w:tc>
          <w:tcPr>
            <w:tcW w:w="608" w:type="pct"/>
            <w:noWrap/>
            <w:vAlign w:val="center"/>
          </w:tcPr>
          <w:p w14:paraId="3F52737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C860FC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5.24E-03</w:t>
            </w:r>
          </w:p>
        </w:tc>
        <w:tc>
          <w:tcPr>
            <w:tcW w:w="749" w:type="pct"/>
            <w:noWrap/>
            <w:vAlign w:val="center"/>
          </w:tcPr>
          <w:p w14:paraId="6D45FA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2F4877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2.10</w:t>
            </w:r>
          </w:p>
        </w:tc>
        <w:tc>
          <w:tcPr>
            <w:tcW w:w="608" w:type="pct"/>
            <w:noWrap/>
            <w:vAlign w:val="center"/>
          </w:tcPr>
          <w:p w14:paraId="17951E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D361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366" w:type="pct"/>
            <w:vMerge w:val="continue"/>
            <w:noWrap/>
            <w:vAlign w:val="center"/>
          </w:tcPr>
          <w:p w14:paraId="00E7BCD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0189D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A95B12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C972C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8.64E-04</w:t>
            </w:r>
          </w:p>
        </w:tc>
        <w:tc>
          <w:tcPr>
            <w:tcW w:w="749" w:type="pct"/>
            <w:noWrap/>
            <w:vAlign w:val="center"/>
          </w:tcPr>
          <w:p w14:paraId="155D173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7E384B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0.86</w:t>
            </w:r>
          </w:p>
        </w:tc>
        <w:tc>
          <w:tcPr>
            <w:tcW w:w="608" w:type="pct"/>
            <w:noWrap/>
            <w:vAlign w:val="center"/>
          </w:tcPr>
          <w:p w14:paraId="2E271C8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EDDC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continue"/>
            <w:noWrap/>
            <w:vAlign w:val="center"/>
          </w:tcPr>
          <w:p w14:paraId="334672F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4BEEE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5BFD2E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C732AA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3.08E-05</w:t>
            </w:r>
          </w:p>
        </w:tc>
        <w:tc>
          <w:tcPr>
            <w:tcW w:w="749" w:type="pct"/>
            <w:noWrap/>
            <w:vAlign w:val="center"/>
          </w:tcPr>
          <w:p w14:paraId="40070B7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AF845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07BCA2E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03DEB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5AD8453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1210" w:type="pct"/>
            <w:vMerge w:val="restart"/>
            <w:noWrap/>
            <w:vAlign w:val="center"/>
          </w:tcPr>
          <w:p w14:paraId="75F982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澳运阳光花园</w:t>
            </w:r>
          </w:p>
        </w:tc>
        <w:tc>
          <w:tcPr>
            <w:tcW w:w="608" w:type="pct"/>
            <w:noWrap/>
            <w:vAlign w:val="center"/>
          </w:tcPr>
          <w:p w14:paraId="2211C8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D4732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3.51E-03</w:t>
            </w:r>
          </w:p>
        </w:tc>
        <w:tc>
          <w:tcPr>
            <w:tcW w:w="749" w:type="pct"/>
            <w:noWrap/>
            <w:vAlign w:val="center"/>
          </w:tcPr>
          <w:p w14:paraId="1D080A3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24042017</w:t>
            </w:r>
          </w:p>
        </w:tc>
        <w:tc>
          <w:tcPr>
            <w:tcW w:w="588" w:type="pct"/>
            <w:noWrap/>
            <w:vAlign w:val="center"/>
          </w:tcPr>
          <w:p w14:paraId="75CD1BE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w:t>
            </w:r>
          </w:p>
        </w:tc>
        <w:tc>
          <w:tcPr>
            <w:tcW w:w="608" w:type="pct"/>
            <w:noWrap/>
            <w:vAlign w:val="center"/>
          </w:tcPr>
          <w:p w14:paraId="7485EC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9730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2A90520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CE170F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7C517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57F2B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6.70E-04</w:t>
            </w:r>
          </w:p>
        </w:tc>
        <w:tc>
          <w:tcPr>
            <w:tcW w:w="749" w:type="pct"/>
            <w:noWrap/>
            <w:vAlign w:val="center"/>
          </w:tcPr>
          <w:p w14:paraId="7AAADD6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712ECA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0.67</w:t>
            </w:r>
          </w:p>
        </w:tc>
        <w:tc>
          <w:tcPr>
            <w:tcW w:w="608" w:type="pct"/>
            <w:noWrap/>
            <w:vAlign w:val="center"/>
          </w:tcPr>
          <w:p w14:paraId="4CDE25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0ABB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6014BB8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90E6F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19E8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5D00D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2.61E-05</w:t>
            </w:r>
          </w:p>
        </w:tc>
        <w:tc>
          <w:tcPr>
            <w:tcW w:w="749" w:type="pct"/>
            <w:noWrap/>
            <w:vAlign w:val="center"/>
          </w:tcPr>
          <w:p w14:paraId="60BF463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FC9F4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6349706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080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7C9A1469">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1210" w:type="pct"/>
            <w:vMerge w:val="restart"/>
            <w:noWrap/>
            <w:vAlign w:val="center"/>
          </w:tcPr>
          <w:p w14:paraId="00CEE6F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朝阳村</w:t>
            </w:r>
          </w:p>
        </w:tc>
        <w:tc>
          <w:tcPr>
            <w:tcW w:w="608" w:type="pct"/>
            <w:noWrap/>
            <w:vAlign w:val="center"/>
          </w:tcPr>
          <w:p w14:paraId="60E1734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B849BA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3.43E-03</w:t>
            </w:r>
          </w:p>
        </w:tc>
        <w:tc>
          <w:tcPr>
            <w:tcW w:w="749" w:type="pct"/>
            <w:noWrap/>
            <w:vAlign w:val="center"/>
          </w:tcPr>
          <w:p w14:paraId="628B09E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24042107</w:t>
            </w:r>
          </w:p>
        </w:tc>
        <w:tc>
          <w:tcPr>
            <w:tcW w:w="588" w:type="pct"/>
            <w:noWrap/>
            <w:vAlign w:val="center"/>
          </w:tcPr>
          <w:p w14:paraId="717502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1.37</w:t>
            </w:r>
          </w:p>
        </w:tc>
        <w:tc>
          <w:tcPr>
            <w:tcW w:w="608" w:type="pct"/>
            <w:noWrap/>
            <w:vAlign w:val="center"/>
          </w:tcPr>
          <w:p w14:paraId="0625239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C1DC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2FB42DB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AE6BD8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55B363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101793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5.55E-04</w:t>
            </w:r>
          </w:p>
        </w:tc>
        <w:tc>
          <w:tcPr>
            <w:tcW w:w="749" w:type="pct"/>
            <w:noWrap/>
            <w:vAlign w:val="center"/>
          </w:tcPr>
          <w:p w14:paraId="4C053A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240327</w:t>
            </w:r>
          </w:p>
        </w:tc>
        <w:tc>
          <w:tcPr>
            <w:tcW w:w="588" w:type="pct"/>
            <w:noWrap/>
            <w:vAlign w:val="center"/>
          </w:tcPr>
          <w:p w14:paraId="75CC1CF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0.56</w:t>
            </w:r>
          </w:p>
        </w:tc>
        <w:tc>
          <w:tcPr>
            <w:tcW w:w="608" w:type="pct"/>
            <w:noWrap/>
            <w:vAlign w:val="center"/>
          </w:tcPr>
          <w:p w14:paraId="367850C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87A0B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2F0AF3C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885A1A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1D6005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CB518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2.12E-05</w:t>
            </w:r>
          </w:p>
        </w:tc>
        <w:tc>
          <w:tcPr>
            <w:tcW w:w="749" w:type="pct"/>
            <w:noWrap/>
            <w:vAlign w:val="center"/>
          </w:tcPr>
          <w:p w14:paraId="51E22B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CABD2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024468C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AA1A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366" w:type="pct"/>
            <w:vMerge w:val="restart"/>
            <w:noWrap/>
            <w:vAlign w:val="center"/>
          </w:tcPr>
          <w:p w14:paraId="2E56449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1210" w:type="pct"/>
            <w:vMerge w:val="restart"/>
            <w:noWrap/>
            <w:vAlign w:val="center"/>
          </w:tcPr>
          <w:p w14:paraId="07C94AD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宏隆花园</w:t>
            </w:r>
          </w:p>
        </w:tc>
        <w:tc>
          <w:tcPr>
            <w:tcW w:w="608" w:type="pct"/>
            <w:noWrap/>
            <w:vAlign w:val="center"/>
          </w:tcPr>
          <w:p w14:paraId="65C5C81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673338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3.64E-03</w:t>
            </w:r>
          </w:p>
        </w:tc>
        <w:tc>
          <w:tcPr>
            <w:tcW w:w="749" w:type="pct"/>
            <w:noWrap/>
            <w:vAlign w:val="center"/>
          </w:tcPr>
          <w:p w14:paraId="5223E6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02232EB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1.46</w:t>
            </w:r>
          </w:p>
        </w:tc>
        <w:tc>
          <w:tcPr>
            <w:tcW w:w="608" w:type="pct"/>
            <w:noWrap/>
            <w:vAlign w:val="center"/>
          </w:tcPr>
          <w:p w14:paraId="37813A4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CC1B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366" w:type="pct"/>
            <w:vMerge w:val="continue"/>
            <w:noWrap/>
            <w:vAlign w:val="center"/>
          </w:tcPr>
          <w:p w14:paraId="0647A1B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783F8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F1884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86C827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5.00E-04</w:t>
            </w:r>
          </w:p>
        </w:tc>
        <w:tc>
          <w:tcPr>
            <w:tcW w:w="749" w:type="pct"/>
            <w:noWrap/>
            <w:vAlign w:val="center"/>
          </w:tcPr>
          <w:p w14:paraId="602C34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E3BDC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0.50</w:t>
            </w:r>
          </w:p>
        </w:tc>
        <w:tc>
          <w:tcPr>
            <w:tcW w:w="608" w:type="pct"/>
            <w:noWrap/>
            <w:vAlign w:val="center"/>
          </w:tcPr>
          <w:p w14:paraId="0644BE9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36B5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366" w:type="pct"/>
            <w:vMerge w:val="continue"/>
            <w:noWrap/>
            <w:vAlign w:val="center"/>
          </w:tcPr>
          <w:p w14:paraId="3CB1306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D8045C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53A1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F2FAC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9.83E-06</w:t>
            </w:r>
          </w:p>
        </w:tc>
        <w:tc>
          <w:tcPr>
            <w:tcW w:w="749" w:type="pct"/>
            <w:noWrap/>
            <w:vAlign w:val="center"/>
          </w:tcPr>
          <w:p w14:paraId="4BE90D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7CC686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3C53E7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0AC5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191AC27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1210" w:type="pct"/>
            <w:vMerge w:val="restart"/>
            <w:noWrap/>
            <w:vAlign w:val="center"/>
          </w:tcPr>
          <w:p w14:paraId="4121E9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中福名都花园</w:t>
            </w:r>
          </w:p>
        </w:tc>
        <w:tc>
          <w:tcPr>
            <w:tcW w:w="608" w:type="pct"/>
            <w:noWrap/>
            <w:vAlign w:val="center"/>
          </w:tcPr>
          <w:p w14:paraId="789A23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313C9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3.31E-03</w:t>
            </w:r>
          </w:p>
        </w:tc>
        <w:tc>
          <w:tcPr>
            <w:tcW w:w="749" w:type="pct"/>
            <w:noWrap/>
            <w:vAlign w:val="center"/>
          </w:tcPr>
          <w:p w14:paraId="6653478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549593E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1.33</w:t>
            </w:r>
          </w:p>
        </w:tc>
        <w:tc>
          <w:tcPr>
            <w:tcW w:w="608" w:type="pct"/>
            <w:noWrap/>
            <w:vAlign w:val="center"/>
          </w:tcPr>
          <w:p w14:paraId="6C7B805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DDDC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3C3EEDF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E1B8E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C89280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C8FC2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3.94E-04</w:t>
            </w:r>
          </w:p>
        </w:tc>
        <w:tc>
          <w:tcPr>
            <w:tcW w:w="749" w:type="pct"/>
            <w:noWrap/>
            <w:vAlign w:val="center"/>
          </w:tcPr>
          <w:p w14:paraId="2DADA64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A11335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0.39</w:t>
            </w:r>
          </w:p>
        </w:tc>
        <w:tc>
          <w:tcPr>
            <w:tcW w:w="608" w:type="pct"/>
            <w:noWrap/>
            <w:vAlign w:val="center"/>
          </w:tcPr>
          <w:p w14:paraId="223EEF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D321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366" w:type="pct"/>
            <w:vMerge w:val="continue"/>
            <w:noWrap/>
            <w:vAlign w:val="center"/>
          </w:tcPr>
          <w:p w14:paraId="32001FA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9E517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D704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CE2A77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5.55E-06</w:t>
            </w:r>
          </w:p>
        </w:tc>
        <w:tc>
          <w:tcPr>
            <w:tcW w:w="749" w:type="pct"/>
            <w:noWrap/>
            <w:vAlign w:val="center"/>
          </w:tcPr>
          <w:p w14:paraId="0ADBBF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BDC7EF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AA2EA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2F8F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restart"/>
            <w:noWrap/>
            <w:vAlign w:val="center"/>
          </w:tcPr>
          <w:p w14:paraId="1BC9B024">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1210" w:type="pct"/>
            <w:vMerge w:val="restart"/>
            <w:noWrap/>
            <w:vAlign w:val="center"/>
          </w:tcPr>
          <w:p w14:paraId="555CB9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康健花园</w:t>
            </w:r>
          </w:p>
        </w:tc>
        <w:tc>
          <w:tcPr>
            <w:tcW w:w="608" w:type="pct"/>
            <w:noWrap/>
            <w:vAlign w:val="center"/>
          </w:tcPr>
          <w:p w14:paraId="0157DC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A2C9F9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3.44E-03</w:t>
            </w:r>
          </w:p>
        </w:tc>
        <w:tc>
          <w:tcPr>
            <w:tcW w:w="749" w:type="pct"/>
            <w:noWrap/>
            <w:vAlign w:val="center"/>
          </w:tcPr>
          <w:p w14:paraId="0BDB2D3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0F511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1.38</w:t>
            </w:r>
          </w:p>
        </w:tc>
        <w:tc>
          <w:tcPr>
            <w:tcW w:w="608" w:type="pct"/>
            <w:noWrap/>
            <w:vAlign w:val="center"/>
          </w:tcPr>
          <w:p w14:paraId="38DD101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B6BD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0E86F9F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151F16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A6A887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704AF9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4.48E-04</w:t>
            </w:r>
          </w:p>
        </w:tc>
        <w:tc>
          <w:tcPr>
            <w:tcW w:w="749" w:type="pct"/>
            <w:noWrap/>
            <w:vAlign w:val="center"/>
          </w:tcPr>
          <w:p w14:paraId="37BCC06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944731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0.45</w:t>
            </w:r>
          </w:p>
        </w:tc>
        <w:tc>
          <w:tcPr>
            <w:tcW w:w="608" w:type="pct"/>
            <w:noWrap/>
            <w:vAlign w:val="center"/>
          </w:tcPr>
          <w:p w14:paraId="0198D2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CB323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37DB510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8EBDB9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265A5C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FFF88A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3.18E-05</w:t>
            </w:r>
          </w:p>
        </w:tc>
        <w:tc>
          <w:tcPr>
            <w:tcW w:w="749" w:type="pct"/>
            <w:noWrap/>
            <w:vAlign w:val="center"/>
          </w:tcPr>
          <w:p w14:paraId="13A318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638AB0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6F1A6D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DC53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restart"/>
            <w:noWrap/>
            <w:vAlign w:val="center"/>
          </w:tcPr>
          <w:p w14:paraId="3D311D17">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1210" w:type="pct"/>
            <w:vMerge w:val="restart"/>
            <w:noWrap/>
            <w:vAlign w:val="center"/>
          </w:tcPr>
          <w:p w14:paraId="6525DF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海融安居里</w:t>
            </w:r>
          </w:p>
        </w:tc>
        <w:tc>
          <w:tcPr>
            <w:tcW w:w="608" w:type="pct"/>
            <w:noWrap/>
            <w:vAlign w:val="center"/>
          </w:tcPr>
          <w:p w14:paraId="4152D48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768956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6.41E-03</w:t>
            </w:r>
          </w:p>
        </w:tc>
        <w:tc>
          <w:tcPr>
            <w:tcW w:w="749" w:type="pct"/>
            <w:noWrap/>
            <w:vAlign w:val="center"/>
          </w:tcPr>
          <w:p w14:paraId="277E1F7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21BE165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2.56</w:t>
            </w:r>
          </w:p>
        </w:tc>
        <w:tc>
          <w:tcPr>
            <w:tcW w:w="608" w:type="pct"/>
            <w:noWrap/>
            <w:vAlign w:val="center"/>
          </w:tcPr>
          <w:p w14:paraId="0079D7D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ED372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4F2440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A48B1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1CB474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37CAA3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5.50E-04</w:t>
            </w:r>
          </w:p>
        </w:tc>
        <w:tc>
          <w:tcPr>
            <w:tcW w:w="749" w:type="pct"/>
            <w:noWrap/>
            <w:vAlign w:val="center"/>
          </w:tcPr>
          <w:p w14:paraId="685804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46C528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0.55</w:t>
            </w:r>
          </w:p>
        </w:tc>
        <w:tc>
          <w:tcPr>
            <w:tcW w:w="608" w:type="pct"/>
            <w:noWrap/>
            <w:vAlign w:val="center"/>
          </w:tcPr>
          <w:p w14:paraId="780100E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78F5B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3FF84C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82397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F838BE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1086B1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4.66E-05</w:t>
            </w:r>
          </w:p>
        </w:tc>
        <w:tc>
          <w:tcPr>
            <w:tcW w:w="749" w:type="pct"/>
            <w:noWrap/>
            <w:vAlign w:val="center"/>
          </w:tcPr>
          <w:p w14:paraId="22F05A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BFE16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371B553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A8E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restart"/>
            <w:noWrap/>
            <w:vAlign w:val="center"/>
          </w:tcPr>
          <w:p w14:paraId="636E644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1210" w:type="pct"/>
            <w:vMerge w:val="restart"/>
            <w:noWrap/>
            <w:vAlign w:val="center"/>
          </w:tcPr>
          <w:p w14:paraId="3DB6F1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海融富华苑</w:t>
            </w:r>
          </w:p>
        </w:tc>
        <w:tc>
          <w:tcPr>
            <w:tcW w:w="608" w:type="pct"/>
            <w:noWrap/>
            <w:vAlign w:val="center"/>
          </w:tcPr>
          <w:p w14:paraId="5D109D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F84E2F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1.57E-03</w:t>
            </w:r>
          </w:p>
        </w:tc>
        <w:tc>
          <w:tcPr>
            <w:tcW w:w="749" w:type="pct"/>
            <w:noWrap/>
            <w:vAlign w:val="center"/>
          </w:tcPr>
          <w:p w14:paraId="5755AE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7559F7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0.63</w:t>
            </w:r>
          </w:p>
        </w:tc>
        <w:tc>
          <w:tcPr>
            <w:tcW w:w="608" w:type="pct"/>
            <w:noWrap/>
            <w:vAlign w:val="center"/>
          </w:tcPr>
          <w:p w14:paraId="4C91016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C5DA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141A994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228C1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A1DBAE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D6650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8.50E-05</w:t>
            </w:r>
          </w:p>
        </w:tc>
        <w:tc>
          <w:tcPr>
            <w:tcW w:w="749" w:type="pct"/>
            <w:noWrap/>
            <w:vAlign w:val="center"/>
          </w:tcPr>
          <w:p w14:paraId="4C8F13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1FA4F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0066CA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BCD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68103A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410DED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A5A6C4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9CA04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1.32E-06</w:t>
            </w:r>
          </w:p>
        </w:tc>
        <w:tc>
          <w:tcPr>
            <w:tcW w:w="749" w:type="pct"/>
            <w:noWrap/>
            <w:vAlign w:val="center"/>
          </w:tcPr>
          <w:p w14:paraId="556CAB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ED4450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6E31BE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C3F66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366" w:type="pct"/>
            <w:vMerge w:val="restart"/>
            <w:noWrap/>
            <w:vAlign w:val="center"/>
          </w:tcPr>
          <w:p w14:paraId="2F4DCF3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1210" w:type="pct"/>
            <w:vMerge w:val="restart"/>
            <w:noWrap/>
            <w:vAlign w:val="center"/>
          </w:tcPr>
          <w:p w14:paraId="4C34131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好景园小区</w:t>
            </w:r>
          </w:p>
        </w:tc>
        <w:tc>
          <w:tcPr>
            <w:tcW w:w="608" w:type="pct"/>
            <w:noWrap/>
            <w:vAlign w:val="center"/>
          </w:tcPr>
          <w:p w14:paraId="2B34EB7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3C410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1.90E-03</w:t>
            </w:r>
          </w:p>
        </w:tc>
        <w:tc>
          <w:tcPr>
            <w:tcW w:w="749" w:type="pct"/>
            <w:noWrap/>
            <w:vAlign w:val="center"/>
          </w:tcPr>
          <w:p w14:paraId="5B648A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367AE2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0.76</w:t>
            </w:r>
          </w:p>
        </w:tc>
        <w:tc>
          <w:tcPr>
            <w:tcW w:w="608" w:type="pct"/>
            <w:noWrap/>
            <w:vAlign w:val="center"/>
          </w:tcPr>
          <w:p w14:paraId="5F979C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62B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continue"/>
            <w:noWrap/>
            <w:vAlign w:val="center"/>
          </w:tcPr>
          <w:p w14:paraId="29D3B6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4BCEE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864DB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C8202F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9.02E-05</w:t>
            </w:r>
          </w:p>
        </w:tc>
        <w:tc>
          <w:tcPr>
            <w:tcW w:w="749" w:type="pct"/>
            <w:noWrap/>
            <w:vAlign w:val="center"/>
          </w:tcPr>
          <w:p w14:paraId="5F6E687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6B2DE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51DB6B1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5AD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1D8FB6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771A33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975A5C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FEE09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1.40E-06</w:t>
            </w:r>
          </w:p>
        </w:tc>
        <w:tc>
          <w:tcPr>
            <w:tcW w:w="749" w:type="pct"/>
            <w:noWrap/>
            <w:vAlign w:val="center"/>
          </w:tcPr>
          <w:p w14:paraId="7BA446D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FD8BAD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8DC903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8F07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restart"/>
            <w:noWrap/>
            <w:vAlign w:val="center"/>
          </w:tcPr>
          <w:p w14:paraId="6B0F8C73">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1210" w:type="pct"/>
            <w:vMerge w:val="restart"/>
            <w:noWrap/>
            <w:vAlign w:val="center"/>
          </w:tcPr>
          <w:p w14:paraId="273FEEC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旗苑家园</w:t>
            </w:r>
          </w:p>
        </w:tc>
        <w:tc>
          <w:tcPr>
            <w:tcW w:w="608" w:type="pct"/>
            <w:noWrap/>
            <w:vAlign w:val="center"/>
          </w:tcPr>
          <w:p w14:paraId="713370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0B3DD9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1.69E-03</w:t>
            </w:r>
          </w:p>
        </w:tc>
        <w:tc>
          <w:tcPr>
            <w:tcW w:w="749" w:type="pct"/>
            <w:noWrap/>
            <w:vAlign w:val="center"/>
          </w:tcPr>
          <w:p w14:paraId="3456D5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3C546B9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0.68</w:t>
            </w:r>
          </w:p>
        </w:tc>
        <w:tc>
          <w:tcPr>
            <w:tcW w:w="608" w:type="pct"/>
            <w:noWrap/>
            <w:vAlign w:val="center"/>
          </w:tcPr>
          <w:p w14:paraId="25B6FA5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9063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6C25984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545B9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B00456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32B588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7.05E-05</w:t>
            </w:r>
          </w:p>
        </w:tc>
        <w:tc>
          <w:tcPr>
            <w:tcW w:w="749" w:type="pct"/>
            <w:noWrap/>
            <w:vAlign w:val="center"/>
          </w:tcPr>
          <w:p w14:paraId="5C6033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w:t>
            </w:r>
          </w:p>
        </w:tc>
        <w:tc>
          <w:tcPr>
            <w:tcW w:w="588" w:type="pct"/>
            <w:noWrap/>
            <w:vAlign w:val="center"/>
          </w:tcPr>
          <w:p w14:paraId="71382CD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73BF543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24E4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366" w:type="pct"/>
            <w:vMerge w:val="continue"/>
            <w:noWrap/>
            <w:vAlign w:val="center"/>
          </w:tcPr>
          <w:p w14:paraId="30FAB49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A3E255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C9D6FB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539EC3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1.04E-06</w:t>
            </w:r>
          </w:p>
        </w:tc>
        <w:tc>
          <w:tcPr>
            <w:tcW w:w="749" w:type="pct"/>
            <w:noWrap/>
            <w:vAlign w:val="center"/>
          </w:tcPr>
          <w:p w14:paraId="7BFA9D4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C0DE6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B1FB08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FEE79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10B2CD5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1210" w:type="pct"/>
            <w:vMerge w:val="restart"/>
            <w:noWrap/>
            <w:vAlign w:val="center"/>
          </w:tcPr>
          <w:p w14:paraId="6FDB57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兴达家园</w:t>
            </w:r>
          </w:p>
        </w:tc>
        <w:tc>
          <w:tcPr>
            <w:tcW w:w="608" w:type="pct"/>
            <w:noWrap/>
            <w:vAlign w:val="center"/>
          </w:tcPr>
          <w:p w14:paraId="338C8CC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417207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1.19E-03</w:t>
            </w:r>
          </w:p>
        </w:tc>
        <w:tc>
          <w:tcPr>
            <w:tcW w:w="749" w:type="pct"/>
            <w:noWrap/>
            <w:vAlign w:val="center"/>
          </w:tcPr>
          <w:p w14:paraId="0EC204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2B6E345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0.48</w:t>
            </w:r>
          </w:p>
        </w:tc>
        <w:tc>
          <w:tcPr>
            <w:tcW w:w="608" w:type="pct"/>
            <w:noWrap/>
            <w:vAlign w:val="center"/>
          </w:tcPr>
          <w:p w14:paraId="5D62C71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AE30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7BA5645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7EE4A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DE3B01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6B5B45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5.59E-05</w:t>
            </w:r>
          </w:p>
        </w:tc>
        <w:tc>
          <w:tcPr>
            <w:tcW w:w="749" w:type="pct"/>
            <w:noWrap/>
            <w:vAlign w:val="center"/>
          </w:tcPr>
          <w:p w14:paraId="1C8975C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74150F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9082A0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E48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315F6B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758F8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AD636C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E3698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1.48E-06</w:t>
            </w:r>
          </w:p>
        </w:tc>
        <w:tc>
          <w:tcPr>
            <w:tcW w:w="749" w:type="pct"/>
            <w:noWrap/>
            <w:vAlign w:val="center"/>
          </w:tcPr>
          <w:p w14:paraId="6C391D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0892A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A6E39F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F6AF9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restart"/>
            <w:noWrap/>
            <w:vAlign w:val="center"/>
          </w:tcPr>
          <w:p w14:paraId="42029E6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1210" w:type="pct"/>
            <w:vMerge w:val="restart"/>
            <w:noWrap/>
            <w:vAlign w:val="center"/>
          </w:tcPr>
          <w:p w14:paraId="32C7F9D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协会大厦</w:t>
            </w:r>
          </w:p>
        </w:tc>
        <w:tc>
          <w:tcPr>
            <w:tcW w:w="608" w:type="pct"/>
            <w:noWrap/>
            <w:vAlign w:val="center"/>
          </w:tcPr>
          <w:p w14:paraId="0E97EB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3C4E20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2.59E-03</w:t>
            </w:r>
          </w:p>
        </w:tc>
        <w:tc>
          <w:tcPr>
            <w:tcW w:w="749" w:type="pct"/>
            <w:noWrap/>
            <w:vAlign w:val="center"/>
          </w:tcPr>
          <w:p w14:paraId="2E81ECD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561481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1.04</w:t>
            </w:r>
          </w:p>
        </w:tc>
        <w:tc>
          <w:tcPr>
            <w:tcW w:w="608" w:type="pct"/>
            <w:noWrap/>
            <w:vAlign w:val="center"/>
          </w:tcPr>
          <w:p w14:paraId="6C804E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DBD9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69620E5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6EA614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2CB88A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0C6BF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1.65E-04</w:t>
            </w:r>
          </w:p>
        </w:tc>
        <w:tc>
          <w:tcPr>
            <w:tcW w:w="749" w:type="pct"/>
            <w:noWrap/>
            <w:vAlign w:val="center"/>
          </w:tcPr>
          <w:p w14:paraId="3883C3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7A5C955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58026AE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F776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59C0AFC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F6CEA9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761E28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59A45B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3.46E-06</w:t>
            </w:r>
          </w:p>
        </w:tc>
        <w:tc>
          <w:tcPr>
            <w:tcW w:w="749" w:type="pct"/>
            <w:noWrap/>
            <w:vAlign w:val="center"/>
          </w:tcPr>
          <w:p w14:paraId="1D665C7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8917AD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3E5978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29F1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366" w:type="pct"/>
            <w:vMerge w:val="restart"/>
            <w:noWrap/>
            <w:vAlign w:val="center"/>
          </w:tcPr>
          <w:p w14:paraId="45AE79A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1210" w:type="pct"/>
            <w:vMerge w:val="restart"/>
            <w:noWrap/>
            <w:vAlign w:val="center"/>
          </w:tcPr>
          <w:p w14:paraId="705D34A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数码港宾馆</w:t>
            </w:r>
          </w:p>
        </w:tc>
        <w:tc>
          <w:tcPr>
            <w:tcW w:w="608" w:type="pct"/>
            <w:noWrap/>
            <w:vAlign w:val="center"/>
          </w:tcPr>
          <w:p w14:paraId="0530F1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53CC2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4.24E-03</w:t>
            </w:r>
          </w:p>
        </w:tc>
        <w:tc>
          <w:tcPr>
            <w:tcW w:w="749" w:type="pct"/>
            <w:noWrap/>
            <w:vAlign w:val="center"/>
          </w:tcPr>
          <w:p w14:paraId="2FBF04C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24032513</w:t>
            </w:r>
          </w:p>
        </w:tc>
        <w:tc>
          <w:tcPr>
            <w:tcW w:w="588" w:type="pct"/>
            <w:noWrap/>
            <w:vAlign w:val="center"/>
          </w:tcPr>
          <w:p w14:paraId="2530C1C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1.70</w:t>
            </w:r>
          </w:p>
        </w:tc>
        <w:tc>
          <w:tcPr>
            <w:tcW w:w="608" w:type="pct"/>
            <w:noWrap/>
            <w:vAlign w:val="center"/>
          </w:tcPr>
          <w:p w14:paraId="58D0048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4BE0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66" w:type="pct"/>
            <w:vMerge w:val="continue"/>
            <w:noWrap/>
            <w:vAlign w:val="center"/>
          </w:tcPr>
          <w:p w14:paraId="073E8B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DBA8D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67A39B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DBDD8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8.42E-04</w:t>
            </w:r>
          </w:p>
        </w:tc>
        <w:tc>
          <w:tcPr>
            <w:tcW w:w="749" w:type="pct"/>
            <w:noWrap/>
            <w:vAlign w:val="center"/>
          </w:tcPr>
          <w:p w14:paraId="1033A78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FAB52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0.84</w:t>
            </w:r>
          </w:p>
        </w:tc>
        <w:tc>
          <w:tcPr>
            <w:tcW w:w="608" w:type="pct"/>
            <w:noWrap/>
            <w:vAlign w:val="center"/>
          </w:tcPr>
          <w:p w14:paraId="50B7CA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366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366" w:type="pct"/>
            <w:vMerge w:val="continue"/>
            <w:noWrap/>
            <w:vAlign w:val="center"/>
          </w:tcPr>
          <w:p w14:paraId="06C9C86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E6AB4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E97CB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769A24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3.67E-05</w:t>
            </w:r>
          </w:p>
        </w:tc>
        <w:tc>
          <w:tcPr>
            <w:tcW w:w="749" w:type="pct"/>
            <w:noWrap/>
            <w:vAlign w:val="center"/>
          </w:tcPr>
          <w:p w14:paraId="1130B31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7C2D4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2E7EF1D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A268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4B0D1B8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1210" w:type="pct"/>
            <w:vMerge w:val="restart"/>
            <w:noWrap/>
            <w:vAlign w:val="center"/>
          </w:tcPr>
          <w:p w14:paraId="46AFF52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山水国际</w:t>
            </w:r>
          </w:p>
        </w:tc>
        <w:tc>
          <w:tcPr>
            <w:tcW w:w="608" w:type="pct"/>
            <w:noWrap/>
            <w:vAlign w:val="center"/>
          </w:tcPr>
          <w:p w14:paraId="41CDEC6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6C174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5.59E-03</w:t>
            </w:r>
          </w:p>
        </w:tc>
        <w:tc>
          <w:tcPr>
            <w:tcW w:w="749" w:type="pct"/>
            <w:noWrap/>
            <w:vAlign w:val="center"/>
          </w:tcPr>
          <w:p w14:paraId="505BDB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24041612</w:t>
            </w:r>
          </w:p>
        </w:tc>
        <w:tc>
          <w:tcPr>
            <w:tcW w:w="588" w:type="pct"/>
            <w:noWrap/>
            <w:vAlign w:val="center"/>
          </w:tcPr>
          <w:p w14:paraId="13E5AA5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2.24</w:t>
            </w:r>
          </w:p>
        </w:tc>
        <w:tc>
          <w:tcPr>
            <w:tcW w:w="608" w:type="pct"/>
            <w:noWrap/>
            <w:vAlign w:val="center"/>
          </w:tcPr>
          <w:p w14:paraId="4CD138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4BCC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62036FE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DCFF60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203C2B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4B88A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1.38E-03</w:t>
            </w:r>
          </w:p>
        </w:tc>
        <w:tc>
          <w:tcPr>
            <w:tcW w:w="749" w:type="pct"/>
            <w:noWrap/>
            <w:vAlign w:val="center"/>
          </w:tcPr>
          <w:p w14:paraId="5065E53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240408</w:t>
            </w:r>
          </w:p>
        </w:tc>
        <w:tc>
          <w:tcPr>
            <w:tcW w:w="588" w:type="pct"/>
            <w:noWrap/>
            <w:vAlign w:val="center"/>
          </w:tcPr>
          <w:p w14:paraId="2D67CE5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1.38</w:t>
            </w:r>
          </w:p>
        </w:tc>
        <w:tc>
          <w:tcPr>
            <w:tcW w:w="608" w:type="pct"/>
            <w:noWrap/>
            <w:vAlign w:val="center"/>
          </w:tcPr>
          <w:p w14:paraId="4614F08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903C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42112E5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1EACC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C5815C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1F94C2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1.37E-04</w:t>
            </w:r>
          </w:p>
        </w:tc>
        <w:tc>
          <w:tcPr>
            <w:tcW w:w="749" w:type="pct"/>
            <w:noWrap/>
            <w:vAlign w:val="center"/>
          </w:tcPr>
          <w:p w14:paraId="34C0B02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79D42A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0.27</w:t>
            </w:r>
          </w:p>
        </w:tc>
        <w:tc>
          <w:tcPr>
            <w:tcW w:w="608" w:type="pct"/>
            <w:noWrap/>
            <w:vAlign w:val="center"/>
          </w:tcPr>
          <w:p w14:paraId="7782489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5F57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366" w:type="pct"/>
            <w:vMerge w:val="restart"/>
            <w:noWrap/>
            <w:vAlign w:val="center"/>
          </w:tcPr>
          <w:p w14:paraId="512A609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1210" w:type="pct"/>
            <w:vMerge w:val="restart"/>
            <w:noWrap/>
            <w:vAlign w:val="center"/>
          </w:tcPr>
          <w:p w14:paraId="5212FF8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湖畔花园小区</w:t>
            </w:r>
          </w:p>
        </w:tc>
        <w:tc>
          <w:tcPr>
            <w:tcW w:w="608" w:type="pct"/>
            <w:noWrap/>
            <w:vAlign w:val="center"/>
          </w:tcPr>
          <w:p w14:paraId="7B71903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2FDA6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4.18E-03</w:t>
            </w:r>
          </w:p>
        </w:tc>
        <w:tc>
          <w:tcPr>
            <w:tcW w:w="749" w:type="pct"/>
            <w:noWrap/>
            <w:vAlign w:val="center"/>
          </w:tcPr>
          <w:p w14:paraId="657500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3AD693B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1.67</w:t>
            </w:r>
          </w:p>
        </w:tc>
        <w:tc>
          <w:tcPr>
            <w:tcW w:w="608" w:type="pct"/>
            <w:noWrap/>
            <w:vAlign w:val="center"/>
          </w:tcPr>
          <w:p w14:paraId="77D6721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97738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continue"/>
            <w:noWrap/>
            <w:vAlign w:val="center"/>
          </w:tcPr>
          <w:p w14:paraId="293B21A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A7FA87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AA639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469B7F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7.45E-04</w:t>
            </w:r>
          </w:p>
        </w:tc>
        <w:tc>
          <w:tcPr>
            <w:tcW w:w="749" w:type="pct"/>
            <w:noWrap/>
            <w:vAlign w:val="center"/>
          </w:tcPr>
          <w:p w14:paraId="70D71A0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46F4DE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0.75</w:t>
            </w:r>
          </w:p>
        </w:tc>
        <w:tc>
          <w:tcPr>
            <w:tcW w:w="608" w:type="pct"/>
            <w:noWrap/>
            <w:vAlign w:val="center"/>
          </w:tcPr>
          <w:p w14:paraId="6C25B45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767C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continue"/>
            <w:noWrap/>
            <w:vAlign w:val="center"/>
          </w:tcPr>
          <w:p w14:paraId="395210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BC02A3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33879F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DA60B2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2.27E-05</w:t>
            </w:r>
          </w:p>
        </w:tc>
        <w:tc>
          <w:tcPr>
            <w:tcW w:w="749" w:type="pct"/>
            <w:noWrap/>
            <w:vAlign w:val="center"/>
          </w:tcPr>
          <w:p w14:paraId="5FE8294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CCE768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63F241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851F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restart"/>
            <w:noWrap/>
            <w:vAlign w:val="center"/>
          </w:tcPr>
          <w:p w14:paraId="78E14F6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1210" w:type="pct"/>
            <w:vMerge w:val="restart"/>
            <w:noWrap/>
            <w:vAlign w:val="center"/>
          </w:tcPr>
          <w:p w14:paraId="2DAA6BF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湖滨小区</w:t>
            </w:r>
          </w:p>
        </w:tc>
        <w:tc>
          <w:tcPr>
            <w:tcW w:w="608" w:type="pct"/>
            <w:noWrap/>
            <w:vAlign w:val="center"/>
          </w:tcPr>
          <w:p w14:paraId="146D4A1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79639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3.95E-03</w:t>
            </w:r>
          </w:p>
        </w:tc>
        <w:tc>
          <w:tcPr>
            <w:tcW w:w="749" w:type="pct"/>
            <w:noWrap/>
            <w:vAlign w:val="center"/>
          </w:tcPr>
          <w:p w14:paraId="5305440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7ADED6B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1.58</w:t>
            </w:r>
          </w:p>
        </w:tc>
        <w:tc>
          <w:tcPr>
            <w:tcW w:w="608" w:type="pct"/>
            <w:noWrap/>
            <w:vAlign w:val="center"/>
          </w:tcPr>
          <w:p w14:paraId="4E8123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011C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40E2459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FA93A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5A10EF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363B72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5.86E-04</w:t>
            </w:r>
          </w:p>
        </w:tc>
        <w:tc>
          <w:tcPr>
            <w:tcW w:w="749" w:type="pct"/>
            <w:noWrap/>
            <w:vAlign w:val="center"/>
          </w:tcPr>
          <w:p w14:paraId="2978BD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683442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0.59</w:t>
            </w:r>
          </w:p>
        </w:tc>
        <w:tc>
          <w:tcPr>
            <w:tcW w:w="608" w:type="pct"/>
            <w:noWrap/>
            <w:vAlign w:val="center"/>
          </w:tcPr>
          <w:p w14:paraId="5331C02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9BD6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3D8CC64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70210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A165CA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2DFDB3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1.36E-05</w:t>
            </w:r>
          </w:p>
        </w:tc>
        <w:tc>
          <w:tcPr>
            <w:tcW w:w="749" w:type="pct"/>
            <w:noWrap/>
            <w:vAlign w:val="center"/>
          </w:tcPr>
          <w:p w14:paraId="2D24C20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9F7BD6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149C0D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719D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restart"/>
            <w:noWrap/>
            <w:vAlign w:val="center"/>
          </w:tcPr>
          <w:p w14:paraId="5DE0465A">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1210" w:type="pct"/>
            <w:vMerge w:val="restart"/>
            <w:noWrap/>
            <w:vAlign w:val="center"/>
          </w:tcPr>
          <w:p w14:paraId="4B5971F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吉祥小区</w:t>
            </w:r>
          </w:p>
        </w:tc>
        <w:tc>
          <w:tcPr>
            <w:tcW w:w="608" w:type="pct"/>
            <w:noWrap/>
            <w:vAlign w:val="center"/>
          </w:tcPr>
          <w:p w14:paraId="2DB69BA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EBA53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1.33E-03</w:t>
            </w:r>
          </w:p>
        </w:tc>
        <w:tc>
          <w:tcPr>
            <w:tcW w:w="749" w:type="pct"/>
            <w:noWrap/>
            <w:vAlign w:val="center"/>
          </w:tcPr>
          <w:p w14:paraId="5A600CD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2F34EA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0.53</w:t>
            </w:r>
          </w:p>
        </w:tc>
        <w:tc>
          <w:tcPr>
            <w:tcW w:w="608" w:type="pct"/>
            <w:noWrap/>
            <w:vAlign w:val="center"/>
          </w:tcPr>
          <w:p w14:paraId="7B89B4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B9EB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6402927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6F975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134A2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DD6DB4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8.25E-05</w:t>
            </w:r>
          </w:p>
        </w:tc>
        <w:tc>
          <w:tcPr>
            <w:tcW w:w="749" w:type="pct"/>
            <w:noWrap/>
            <w:vAlign w:val="center"/>
          </w:tcPr>
          <w:p w14:paraId="479425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3B5D1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77B3D6F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0C5C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10F4AD5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7D1B8B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F27D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FB2B3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1.42E-06</w:t>
            </w:r>
          </w:p>
        </w:tc>
        <w:tc>
          <w:tcPr>
            <w:tcW w:w="749" w:type="pct"/>
            <w:noWrap/>
            <w:vAlign w:val="center"/>
          </w:tcPr>
          <w:p w14:paraId="7F35263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352168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E3D14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DF8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24B45F8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1210" w:type="pct"/>
            <w:vMerge w:val="restart"/>
            <w:noWrap/>
            <w:vAlign w:val="center"/>
          </w:tcPr>
          <w:p w14:paraId="3EA2FBF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天佑国际</w:t>
            </w:r>
          </w:p>
        </w:tc>
        <w:tc>
          <w:tcPr>
            <w:tcW w:w="608" w:type="pct"/>
            <w:noWrap/>
            <w:vAlign w:val="center"/>
          </w:tcPr>
          <w:p w14:paraId="36F69BC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DE8171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3.87E-03</w:t>
            </w:r>
          </w:p>
        </w:tc>
        <w:tc>
          <w:tcPr>
            <w:tcW w:w="749" w:type="pct"/>
            <w:noWrap/>
            <w:vAlign w:val="center"/>
          </w:tcPr>
          <w:p w14:paraId="1869E5E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0D2259E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1.55</w:t>
            </w:r>
          </w:p>
        </w:tc>
        <w:tc>
          <w:tcPr>
            <w:tcW w:w="608" w:type="pct"/>
            <w:noWrap/>
            <w:vAlign w:val="center"/>
          </w:tcPr>
          <w:p w14:paraId="34C7E16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CA12B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23C0E0D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75772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F08B87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2DC146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7.45E-04</w:t>
            </w:r>
          </w:p>
        </w:tc>
        <w:tc>
          <w:tcPr>
            <w:tcW w:w="749" w:type="pct"/>
            <w:noWrap/>
            <w:vAlign w:val="center"/>
          </w:tcPr>
          <w:p w14:paraId="274AEE9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33EF3EC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0.75</w:t>
            </w:r>
          </w:p>
        </w:tc>
        <w:tc>
          <w:tcPr>
            <w:tcW w:w="608" w:type="pct"/>
            <w:noWrap/>
            <w:vAlign w:val="center"/>
          </w:tcPr>
          <w:p w14:paraId="3CFC8C0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510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03409BF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CBA5E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3204F8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AB51E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4.71E-05</w:t>
            </w:r>
          </w:p>
        </w:tc>
        <w:tc>
          <w:tcPr>
            <w:tcW w:w="749" w:type="pct"/>
            <w:noWrap/>
            <w:vAlign w:val="center"/>
          </w:tcPr>
          <w:p w14:paraId="269E8F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A6BBE1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2A632C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E61F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5141FA6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1210" w:type="pct"/>
            <w:vMerge w:val="restart"/>
            <w:noWrap/>
            <w:vAlign w:val="center"/>
          </w:tcPr>
          <w:p w14:paraId="6939D60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前进社区</w:t>
            </w:r>
          </w:p>
        </w:tc>
        <w:tc>
          <w:tcPr>
            <w:tcW w:w="608" w:type="pct"/>
            <w:noWrap/>
            <w:vAlign w:val="center"/>
          </w:tcPr>
          <w:p w14:paraId="3D98667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1F8918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4.28E-03</w:t>
            </w:r>
          </w:p>
        </w:tc>
        <w:tc>
          <w:tcPr>
            <w:tcW w:w="749" w:type="pct"/>
            <w:noWrap/>
            <w:vAlign w:val="center"/>
          </w:tcPr>
          <w:p w14:paraId="349AAE6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24101108</w:t>
            </w:r>
          </w:p>
        </w:tc>
        <w:tc>
          <w:tcPr>
            <w:tcW w:w="588" w:type="pct"/>
            <w:noWrap/>
            <w:vAlign w:val="center"/>
          </w:tcPr>
          <w:p w14:paraId="216B060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1.71</w:t>
            </w:r>
          </w:p>
        </w:tc>
        <w:tc>
          <w:tcPr>
            <w:tcW w:w="608" w:type="pct"/>
            <w:noWrap/>
            <w:vAlign w:val="center"/>
          </w:tcPr>
          <w:p w14:paraId="75DF77C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5E9A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366" w:type="pct"/>
            <w:vMerge w:val="continue"/>
            <w:noWrap/>
            <w:vAlign w:val="center"/>
          </w:tcPr>
          <w:p w14:paraId="5D42FC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99923E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7DAA3C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ED83A7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3.57E-04</w:t>
            </w:r>
          </w:p>
        </w:tc>
        <w:tc>
          <w:tcPr>
            <w:tcW w:w="749" w:type="pct"/>
            <w:noWrap/>
            <w:vAlign w:val="center"/>
          </w:tcPr>
          <w:p w14:paraId="2E9B535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29E8A1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0.36</w:t>
            </w:r>
          </w:p>
        </w:tc>
        <w:tc>
          <w:tcPr>
            <w:tcW w:w="608" w:type="pct"/>
            <w:noWrap/>
            <w:vAlign w:val="center"/>
          </w:tcPr>
          <w:p w14:paraId="0CE26A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9364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continue"/>
            <w:noWrap/>
            <w:vAlign w:val="center"/>
          </w:tcPr>
          <w:p w14:paraId="6F979CF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E7DBEA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2A9ADE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499FE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1.67E-05</w:t>
            </w:r>
          </w:p>
        </w:tc>
        <w:tc>
          <w:tcPr>
            <w:tcW w:w="749" w:type="pct"/>
            <w:noWrap/>
            <w:vAlign w:val="center"/>
          </w:tcPr>
          <w:p w14:paraId="1B8C6EB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E5E6EB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05A5E03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7FE8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66" w:type="pct"/>
            <w:vMerge w:val="restart"/>
            <w:noWrap/>
            <w:vAlign w:val="center"/>
          </w:tcPr>
          <w:p w14:paraId="71828E12">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1210" w:type="pct"/>
            <w:vMerge w:val="restart"/>
            <w:noWrap/>
            <w:vAlign w:val="center"/>
          </w:tcPr>
          <w:p w14:paraId="6CC0F19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幸福家园</w:t>
            </w:r>
          </w:p>
        </w:tc>
        <w:tc>
          <w:tcPr>
            <w:tcW w:w="608" w:type="pct"/>
            <w:noWrap/>
            <w:vAlign w:val="center"/>
          </w:tcPr>
          <w:p w14:paraId="05A99E6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F48E82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6.34E-03</w:t>
            </w:r>
          </w:p>
        </w:tc>
        <w:tc>
          <w:tcPr>
            <w:tcW w:w="749" w:type="pct"/>
            <w:noWrap/>
            <w:vAlign w:val="center"/>
          </w:tcPr>
          <w:p w14:paraId="3CF6E5E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4281F0C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2.53</w:t>
            </w:r>
          </w:p>
        </w:tc>
        <w:tc>
          <w:tcPr>
            <w:tcW w:w="608" w:type="pct"/>
            <w:noWrap/>
            <w:vAlign w:val="center"/>
          </w:tcPr>
          <w:p w14:paraId="32B6BCE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E6A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66" w:type="pct"/>
            <w:vMerge w:val="continue"/>
            <w:noWrap/>
            <w:vAlign w:val="center"/>
          </w:tcPr>
          <w:p w14:paraId="797FF24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E0A5B6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3920B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2B668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7.00E-04</w:t>
            </w:r>
          </w:p>
        </w:tc>
        <w:tc>
          <w:tcPr>
            <w:tcW w:w="749" w:type="pct"/>
            <w:noWrap/>
            <w:vAlign w:val="center"/>
          </w:tcPr>
          <w:p w14:paraId="5A1E643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7746C8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0.70</w:t>
            </w:r>
          </w:p>
        </w:tc>
        <w:tc>
          <w:tcPr>
            <w:tcW w:w="608" w:type="pct"/>
            <w:noWrap/>
            <w:vAlign w:val="center"/>
          </w:tcPr>
          <w:p w14:paraId="3B86B1C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C53C1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366" w:type="pct"/>
            <w:vMerge w:val="continue"/>
            <w:noWrap/>
            <w:vAlign w:val="center"/>
          </w:tcPr>
          <w:p w14:paraId="005DB74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AEB4C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051EEA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8C3E98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6.32E-05</w:t>
            </w:r>
          </w:p>
        </w:tc>
        <w:tc>
          <w:tcPr>
            <w:tcW w:w="749" w:type="pct"/>
            <w:noWrap/>
            <w:vAlign w:val="center"/>
          </w:tcPr>
          <w:p w14:paraId="6552B94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6098F0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274A8F1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02E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366" w:type="pct"/>
            <w:vMerge w:val="restart"/>
            <w:noWrap/>
            <w:vAlign w:val="center"/>
          </w:tcPr>
          <w:p w14:paraId="06687A0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1210" w:type="pct"/>
            <w:vMerge w:val="restart"/>
            <w:noWrap/>
            <w:vAlign w:val="center"/>
          </w:tcPr>
          <w:p w14:paraId="7001B82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盛世嘉园</w:t>
            </w:r>
          </w:p>
        </w:tc>
        <w:tc>
          <w:tcPr>
            <w:tcW w:w="608" w:type="pct"/>
            <w:noWrap/>
            <w:vAlign w:val="center"/>
          </w:tcPr>
          <w:p w14:paraId="6570247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D4C267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2.97E-03</w:t>
            </w:r>
          </w:p>
        </w:tc>
        <w:tc>
          <w:tcPr>
            <w:tcW w:w="749" w:type="pct"/>
            <w:noWrap/>
            <w:vAlign w:val="center"/>
          </w:tcPr>
          <w:p w14:paraId="71946A1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112D06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w:t>
            </w:r>
          </w:p>
        </w:tc>
        <w:tc>
          <w:tcPr>
            <w:tcW w:w="608" w:type="pct"/>
            <w:noWrap/>
            <w:vAlign w:val="center"/>
          </w:tcPr>
          <w:p w14:paraId="5D7C2FE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AA6C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19EE7E4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975C08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46C2C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B8B7A0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4.00E-04</w:t>
            </w:r>
          </w:p>
        </w:tc>
        <w:tc>
          <w:tcPr>
            <w:tcW w:w="749" w:type="pct"/>
            <w:noWrap/>
            <w:vAlign w:val="center"/>
          </w:tcPr>
          <w:p w14:paraId="402CC7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066432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0.40</w:t>
            </w:r>
          </w:p>
        </w:tc>
        <w:tc>
          <w:tcPr>
            <w:tcW w:w="608" w:type="pct"/>
            <w:noWrap/>
            <w:vAlign w:val="center"/>
          </w:tcPr>
          <w:p w14:paraId="3F66C2B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6CBE7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0581EDF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44D18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D27B0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BC27B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5.98E-06</w:t>
            </w:r>
          </w:p>
        </w:tc>
        <w:tc>
          <w:tcPr>
            <w:tcW w:w="749" w:type="pct"/>
            <w:noWrap/>
            <w:vAlign w:val="center"/>
          </w:tcPr>
          <w:p w14:paraId="3CD956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504EC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2CF1A0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BDCEB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restart"/>
            <w:noWrap/>
            <w:vAlign w:val="center"/>
          </w:tcPr>
          <w:p w14:paraId="0B1F824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1210" w:type="pct"/>
            <w:vMerge w:val="restart"/>
            <w:noWrap/>
            <w:vAlign w:val="center"/>
          </w:tcPr>
          <w:p w14:paraId="3025B00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兄弟花园</w:t>
            </w:r>
          </w:p>
        </w:tc>
        <w:tc>
          <w:tcPr>
            <w:tcW w:w="608" w:type="pct"/>
            <w:noWrap/>
            <w:vAlign w:val="center"/>
          </w:tcPr>
          <w:p w14:paraId="0B40346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A3727A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2.41E-03</w:t>
            </w:r>
          </w:p>
        </w:tc>
        <w:tc>
          <w:tcPr>
            <w:tcW w:w="749" w:type="pct"/>
            <w:noWrap/>
            <w:vAlign w:val="center"/>
          </w:tcPr>
          <w:p w14:paraId="0E14D5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5168F6F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0.96</w:t>
            </w:r>
          </w:p>
        </w:tc>
        <w:tc>
          <w:tcPr>
            <w:tcW w:w="608" w:type="pct"/>
            <w:noWrap/>
            <w:vAlign w:val="center"/>
          </w:tcPr>
          <w:p w14:paraId="0D52A59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B0A5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387A54A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D79683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4E795D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AA32C5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3.25E-04</w:t>
            </w:r>
          </w:p>
        </w:tc>
        <w:tc>
          <w:tcPr>
            <w:tcW w:w="749" w:type="pct"/>
            <w:noWrap/>
            <w:vAlign w:val="center"/>
          </w:tcPr>
          <w:p w14:paraId="4E5A2DD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702BD6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0.32</w:t>
            </w:r>
          </w:p>
        </w:tc>
        <w:tc>
          <w:tcPr>
            <w:tcW w:w="608" w:type="pct"/>
            <w:noWrap/>
            <w:vAlign w:val="center"/>
          </w:tcPr>
          <w:p w14:paraId="2ED074C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1CC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366" w:type="pct"/>
            <w:vMerge w:val="continue"/>
            <w:noWrap/>
            <w:vAlign w:val="center"/>
          </w:tcPr>
          <w:p w14:paraId="344AD93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3439C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32EECA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F91055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4.27E-06</w:t>
            </w:r>
          </w:p>
        </w:tc>
        <w:tc>
          <w:tcPr>
            <w:tcW w:w="749" w:type="pct"/>
            <w:noWrap/>
            <w:vAlign w:val="center"/>
          </w:tcPr>
          <w:p w14:paraId="6FDA7AD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436FDF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1C776DF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10E8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366" w:type="pct"/>
            <w:vMerge w:val="restart"/>
            <w:noWrap/>
            <w:vAlign w:val="center"/>
          </w:tcPr>
          <w:p w14:paraId="4D48A62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1210" w:type="pct"/>
            <w:vMerge w:val="restart"/>
            <w:noWrap/>
            <w:vAlign w:val="center"/>
          </w:tcPr>
          <w:p w14:paraId="08E14C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608" w:type="pct"/>
            <w:noWrap/>
            <w:vAlign w:val="center"/>
          </w:tcPr>
          <w:p w14:paraId="1ED6DBA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CE799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2.96E-03</w:t>
            </w:r>
          </w:p>
        </w:tc>
        <w:tc>
          <w:tcPr>
            <w:tcW w:w="749" w:type="pct"/>
            <w:noWrap/>
            <w:vAlign w:val="center"/>
          </w:tcPr>
          <w:p w14:paraId="0F9A21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198FD37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1.18</w:t>
            </w:r>
          </w:p>
        </w:tc>
        <w:tc>
          <w:tcPr>
            <w:tcW w:w="608" w:type="pct"/>
            <w:noWrap/>
            <w:vAlign w:val="center"/>
          </w:tcPr>
          <w:p w14:paraId="15B9E20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5A11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366" w:type="pct"/>
            <w:vMerge w:val="continue"/>
            <w:noWrap/>
            <w:vAlign w:val="center"/>
          </w:tcPr>
          <w:p w14:paraId="6D593FA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BF7451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36283E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C42445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2.94E-04</w:t>
            </w:r>
          </w:p>
        </w:tc>
        <w:tc>
          <w:tcPr>
            <w:tcW w:w="749" w:type="pct"/>
            <w:noWrap/>
            <w:vAlign w:val="center"/>
          </w:tcPr>
          <w:p w14:paraId="38D26C1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E087B1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0.29</w:t>
            </w:r>
          </w:p>
        </w:tc>
        <w:tc>
          <w:tcPr>
            <w:tcW w:w="608" w:type="pct"/>
            <w:noWrap/>
            <w:vAlign w:val="center"/>
          </w:tcPr>
          <w:p w14:paraId="36DF313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21C1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66" w:type="pct"/>
            <w:vMerge w:val="continue"/>
            <w:noWrap/>
            <w:vAlign w:val="center"/>
          </w:tcPr>
          <w:p w14:paraId="5D47CD5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FB36CD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86E110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AC3C68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3.65E-06</w:t>
            </w:r>
          </w:p>
        </w:tc>
        <w:tc>
          <w:tcPr>
            <w:tcW w:w="749" w:type="pct"/>
            <w:noWrap/>
            <w:vAlign w:val="center"/>
          </w:tcPr>
          <w:p w14:paraId="2460E0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3A64E4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F0FB59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E4CC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restart"/>
            <w:noWrap/>
            <w:vAlign w:val="center"/>
          </w:tcPr>
          <w:p w14:paraId="2CBEF843">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1210" w:type="pct"/>
            <w:vMerge w:val="restart"/>
            <w:noWrap/>
            <w:vAlign w:val="center"/>
          </w:tcPr>
          <w:p w14:paraId="33E9FB7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608" w:type="pct"/>
            <w:noWrap/>
            <w:vAlign w:val="center"/>
          </w:tcPr>
          <w:p w14:paraId="587A1EE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DC33DF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3.02E-03</w:t>
            </w:r>
          </w:p>
        </w:tc>
        <w:tc>
          <w:tcPr>
            <w:tcW w:w="749" w:type="pct"/>
            <w:noWrap/>
            <w:vAlign w:val="center"/>
          </w:tcPr>
          <w:p w14:paraId="74B6F7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1CB0B36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1.21</w:t>
            </w:r>
          </w:p>
        </w:tc>
        <w:tc>
          <w:tcPr>
            <w:tcW w:w="608" w:type="pct"/>
            <w:noWrap/>
            <w:vAlign w:val="center"/>
          </w:tcPr>
          <w:p w14:paraId="74F299B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64E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66" w:type="pct"/>
            <w:vMerge w:val="continue"/>
            <w:noWrap/>
            <w:vAlign w:val="center"/>
          </w:tcPr>
          <w:p w14:paraId="4EA75A3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050FA4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D6D616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22E87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2.06E-04</w:t>
            </w:r>
          </w:p>
        </w:tc>
        <w:tc>
          <w:tcPr>
            <w:tcW w:w="749" w:type="pct"/>
            <w:noWrap/>
            <w:vAlign w:val="center"/>
          </w:tcPr>
          <w:p w14:paraId="6A519D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26660C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0.21</w:t>
            </w:r>
          </w:p>
        </w:tc>
        <w:tc>
          <w:tcPr>
            <w:tcW w:w="608" w:type="pct"/>
            <w:noWrap/>
            <w:vAlign w:val="center"/>
          </w:tcPr>
          <w:p w14:paraId="5717B01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FA1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366" w:type="pct"/>
            <w:vMerge w:val="continue"/>
            <w:noWrap/>
            <w:vAlign w:val="center"/>
          </w:tcPr>
          <w:p w14:paraId="38E00B42">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5CAF5F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EC4DBA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8F5676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2.78E-06</w:t>
            </w:r>
          </w:p>
        </w:tc>
        <w:tc>
          <w:tcPr>
            <w:tcW w:w="749" w:type="pct"/>
            <w:noWrap/>
            <w:vAlign w:val="center"/>
          </w:tcPr>
          <w:p w14:paraId="2A11E8A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63F48F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3F04AA3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E10F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restart"/>
            <w:noWrap/>
            <w:vAlign w:val="center"/>
          </w:tcPr>
          <w:p w14:paraId="7CBC221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1210" w:type="pct"/>
            <w:vMerge w:val="restart"/>
            <w:noWrap/>
            <w:vAlign w:val="center"/>
          </w:tcPr>
          <w:p w14:paraId="4554A0B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608" w:type="pct"/>
            <w:noWrap/>
            <w:vAlign w:val="center"/>
          </w:tcPr>
          <w:p w14:paraId="5FFD23D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C570E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3.04E-03</w:t>
            </w:r>
          </w:p>
        </w:tc>
        <w:tc>
          <w:tcPr>
            <w:tcW w:w="749" w:type="pct"/>
            <w:noWrap/>
            <w:vAlign w:val="center"/>
          </w:tcPr>
          <w:p w14:paraId="155187E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2460493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1.21</w:t>
            </w:r>
          </w:p>
        </w:tc>
        <w:tc>
          <w:tcPr>
            <w:tcW w:w="608" w:type="pct"/>
            <w:noWrap/>
            <w:vAlign w:val="center"/>
          </w:tcPr>
          <w:p w14:paraId="6C6A842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C9B34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continue"/>
            <w:noWrap/>
            <w:vAlign w:val="center"/>
          </w:tcPr>
          <w:p w14:paraId="6F9574D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9894FB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96ACC1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35F612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1.43E-04</w:t>
            </w:r>
          </w:p>
        </w:tc>
        <w:tc>
          <w:tcPr>
            <w:tcW w:w="749" w:type="pct"/>
            <w:noWrap/>
            <w:vAlign w:val="center"/>
          </w:tcPr>
          <w:p w14:paraId="2AA6D80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w:t>
            </w:r>
          </w:p>
        </w:tc>
        <w:tc>
          <w:tcPr>
            <w:tcW w:w="588" w:type="pct"/>
            <w:noWrap/>
            <w:vAlign w:val="center"/>
          </w:tcPr>
          <w:p w14:paraId="0F7AF8A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7DC4172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CB8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66" w:type="pct"/>
            <w:vMerge w:val="continue"/>
            <w:noWrap/>
            <w:vAlign w:val="center"/>
          </w:tcPr>
          <w:p w14:paraId="2CA7983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D6EA0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BD5392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E687C7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3.70E-06</w:t>
            </w:r>
          </w:p>
        </w:tc>
        <w:tc>
          <w:tcPr>
            <w:tcW w:w="749" w:type="pct"/>
            <w:noWrap/>
            <w:vAlign w:val="center"/>
          </w:tcPr>
          <w:p w14:paraId="7B4100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4427CA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03904C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3189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restart"/>
            <w:noWrap/>
            <w:vAlign w:val="center"/>
          </w:tcPr>
          <w:p w14:paraId="1AF0D25C">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1210" w:type="pct"/>
            <w:vMerge w:val="restart"/>
            <w:noWrap/>
            <w:vAlign w:val="center"/>
          </w:tcPr>
          <w:p w14:paraId="35AB1B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608" w:type="pct"/>
            <w:noWrap/>
            <w:vAlign w:val="center"/>
          </w:tcPr>
          <w:p w14:paraId="7A24604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E44602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4.40E-03</w:t>
            </w:r>
          </w:p>
        </w:tc>
        <w:tc>
          <w:tcPr>
            <w:tcW w:w="749" w:type="pct"/>
            <w:noWrap/>
            <w:vAlign w:val="center"/>
          </w:tcPr>
          <w:p w14:paraId="620E531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5C50D2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1.76</w:t>
            </w:r>
          </w:p>
        </w:tc>
        <w:tc>
          <w:tcPr>
            <w:tcW w:w="608" w:type="pct"/>
            <w:noWrap/>
            <w:vAlign w:val="center"/>
          </w:tcPr>
          <w:p w14:paraId="4445918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D8D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6C5B183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BEE10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E4867C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29D573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3.74E-04</w:t>
            </w:r>
          </w:p>
        </w:tc>
        <w:tc>
          <w:tcPr>
            <w:tcW w:w="749" w:type="pct"/>
            <w:noWrap/>
            <w:vAlign w:val="center"/>
          </w:tcPr>
          <w:p w14:paraId="792574B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71BFEEC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0.37</w:t>
            </w:r>
          </w:p>
        </w:tc>
        <w:tc>
          <w:tcPr>
            <w:tcW w:w="608" w:type="pct"/>
            <w:noWrap/>
            <w:vAlign w:val="center"/>
          </w:tcPr>
          <w:p w14:paraId="07AFCB8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43C3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03D6781C">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ABB0B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75DE51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D3C98F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1.19E-05</w:t>
            </w:r>
          </w:p>
        </w:tc>
        <w:tc>
          <w:tcPr>
            <w:tcW w:w="749" w:type="pct"/>
            <w:noWrap/>
            <w:vAlign w:val="center"/>
          </w:tcPr>
          <w:p w14:paraId="075A9D3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5A7214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EB5638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59DE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restart"/>
            <w:noWrap/>
            <w:vAlign w:val="center"/>
          </w:tcPr>
          <w:p w14:paraId="4B0DC9A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1210" w:type="pct"/>
            <w:vMerge w:val="restart"/>
            <w:noWrap/>
            <w:vAlign w:val="center"/>
          </w:tcPr>
          <w:p w14:paraId="08E36B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608" w:type="pct"/>
            <w:noWrap/>
            <w:vAlign w:val="center"/>
          </w:tcPr>
          <w:p w14:paraId="649F217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9D382F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4.50E-03</w:t>
            </w:r>
          </w:p>
        </w:tc>
        <w:tc>
          <w:tcPr>
            <w:tcW w:w="749" w:type="pct"/>
            <w:noWrap/>
            <w:vAlign w:val="center"/>
          </w:tcPr>
          <w:p w14:paraId="24A1D6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2672E5A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1.80</w:t>
            </w:r>
          </w:p>
        </w:tc>
        <w:tc>
          <w:tcPr>
            <w:tcW w:w="608" w:type="pct"/>
            <w:noWrap/>
            <w:vAlign w:val="center"/>
          </w:tcPr>
          <w:p w14:paraId="0A4BA90D">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C81C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361FF95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F5EE4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4A36B0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7F697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6.48E-04</w:t>
            </w:r>
          </w:p>
        </w:tc>
        <w:tc>
          <w:tcPr>
            <w:tcW w:w="749" w:type="pct"/>
            <w:noWrap/>
            <w:vAlign w:val="center"/>
          </w:tcPr>
          <w:p w14:paraId="7AB549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8DB72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0.65</w:t>
            </w:r>
          </w:p>
        </w:tc>
        <w:tc>
          <w:tcPr>
            <w:tcW w:w="608" w:type="pct"/>
            <w:noWrap/>
            <w:vAlign w:val="center"/>
          </w:tcPr>
          <w:p w14:paraId="43DA365B">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A253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6B7F275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0791D9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F94EE05">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D66951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3.05E-05</w:t>
            </w:r>
          </w:p>
        </w:tc>
        <w:tc>
          <w:tcPr>
            <w:tcW w:w="749" w:type="pct"/>
            <w:noWrap/>
            <w:vAlign w:val="center"/>
          </w:tcPr>
          <w:p w14:paraId="5A2EF0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3324E6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0D160878">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160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restart"/>
            <w:noWrap/>
            <w:vAlign w:val="center"/>
          </w:tcPr>
          <w:p w14:paraId="3496CBBF">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1210" w:type="pct"/>
            <w:vMerge w:val="restart"/>
            <w:noWrap/>
            <w:vAlign w:val="center"/>
          </w:tcPr>
          <w:p w14:paraId="66BC2E6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608" w:type="pct"/>
            <w:noWrap/>
            <w:vAlign w:val="center"/>
          </w:tcPr>
          <w:p w14:paraId="663B4350">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5324BA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3.16E-03</w:t>
            </w:r>
          </w:p>
        </w:tc>
        <w:tc>
          <w:tcPr>
            <w:tcW w:w="749" w:type="pct"/>
            <w:noWrap/>
            <w:vAlign w:val="center"/>
          </w:tcPr>
          <w:p w14:paraId="42024DF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726AFE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1.27</w:t>
            </w:r>
          </w:p>
        </w:tc>
        <w:tc>
          <w:tcPr>
            <w:tcW w:w="608" w:type="pct"/>
            <w:noWrap/>
            <w:vAlign w:val="center"/>
          </w:tcPr>
          <w:p w14:paraId="2C19733F">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D3F6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5E33BEE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D45F1E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21C5BD3">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53D06A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3.19E-04</w:t>
            </w:r>
          </w:p>
        </w:tc>
        <w:tc>
          <w:tcPr>
            <w:tcW w:w="749" w:type="pct"/>
            <w:noWrap/>
            <w:vAlign w:val="center"/>
          </w:tcPr>
          <w:p w14:paraId="0421096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D8687B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0.32</w:t>
            </w:r>
          </w:p>
        </w:tc>
        <w:tc>
          <w:tcPr>
            <w:tcW w:w="608" w:type="pct"/>
            <w:noWrap/>
            <w:vAlign w:val="center"/>
          </w:tcPr>
          <w:p w14:paraId="54DA7AC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0171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557E5D97">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0816EF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261165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4F3F02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5.88E-06</w:t>
            </w:r>
          </w:p>
        </w:tc>
        <w:tc>
          <w:tcPr>
            <w:tcW w:w="749" w:type="pct"/>
            <w:noWrap/>
            <w:vAlign w:val="center"/>
          </w:tcPr>
          <w:p w14:paraId="25058EC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985FB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4FCF044">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56CD4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03EBFF30">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1210" w:type="pct"/>
            <w:vMerge w:val="restart"/>
            <w:noWrap/>
            <w:vAlign w:val="center"/>
          </w:tcPr>
          <w:p w14:paraId="6E37964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608" w:type="pct"/>
            <w:noWrap/>
            <w:vAlign w:val="center"/>
          </w:tcPr>
          <w:p w14:paraId="471660B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9F97B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1.54E-03</w:t>
            </w:r>
          </w:p>
        </w:tc>
        <w:tc>
          <w:tcPr>
            <w:tcW w:w="749" w:type="pct"/>
            <w:noWrap/>
            <w:vAlign w:val="center"/>
          </w:tcPr>
          <w:p w14:paraId="2470338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24041107</w:t>
            </w:r>
          </w:p>
        </w:tc>
        <w:tc>
          <w:tcPr>
            <w:tcW w:w="588" w:type="pct"/>
            <w:noWrap/>
            <w:vAlign w:val="center"/>
          </w:tcPr>
          <w:p w14:paraId="7C0F578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0.62</w:t>
            </w:r>
          </w:p>
        </w:tc>
        <w:tc>
          <w:tcPr>
            <w:tcW w:w="608" w:type="pct"/>
            <w:noWrap/>
            <w:vAlign w:val="center"/>
          </w:tcPr>
          <w:p w14:paraId="2F3CC32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6B865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66E47BB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6A393E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3BA2FE">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3AB712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1.17E-04</w:t>
            </w:r>
          </w:p>
        </w:tc>
        <w:tc>
          <w:tcPr>
            <w:tcW w:w="749" w:type="pct"/>
            <w:noWrap/>
            <w:vAlign w:val="center"/>
          </w:tcPr>
          <w:p w14:paraId="767286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3D805ABE">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5B0A6FDA">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6635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5521CDD6">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9837333">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39A8B9">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A29A97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3.29E-06</w:t>
            </w:r>
          </w:p>
        </w:tc>
        <w:tc>
          <w:tcPr>
            <w:tcW w:w="749" w:type="pct"/>
            <w:noWrap/>
            <w:vAlign w:val="center"/>
          </w:tcPr>
          <w:p w14:paraId="07A7FAD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811EB5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14199831">
            <w:pPr>
              <w:widowControl/>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4B10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restart"/>
            <w:noWrap/>
            <w:vAlign w:val="center"/>
          </w:tcPr>
          <w:p w14:paraId="00B83016">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1210" w:type="pct"/>
            <w:vMerge w:val="restart"/>
            <w:noWrap/>
            <w:vAlign w:val="center"/>
          </w:tcPr>
          <w:p w14:paraId="0A6D96E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608" w:type="pct"/>
            <w:noWrap/>
            <w:vAlign w:val="center"/>
          </w:tcPr>
          <w:p w14:paraId="17B20D2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1小时</w:t>
            </w:r>
          </w:p>
        </w:tc>
        <w:tc>
          <w:tcPr>
            <w:tcW w:w="867" w:type="pct"/>
            <w:noWrap/>
            <w:vAlign w:val="center"/>
          </w:tcPr>
          <w:p w14:paraId="1B025C0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3.55E-03</w:t>
            </w:r>
          </w:p>
        </w:tc>
        <w:tc>
          <w:tcPr>
            <w:tcW w:w="749" w:type="pct"/>
            <w:noWrap/>
            <w:vAlign w:val="center"/>
          </w:tcPr>
          <w:p w14:paraId="7E455896">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24111910</w:t>
            </w:r>
          </w:p>
        </w:tc>
        <w:tc>
          <w:tcPr>
            <w:tcW w:w="588" w:type="pct"/>
            <w:noWrap/>
            <w:vAlign w:val="center"/>
          </w:tcPr>
          <w:p w14:paraId="200AB68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1.42</w:t>
            </w:r>
          </w:p>
        </w:tc>
        <w:tc>
          <w:tcPr>
            <w:tcW w:w="608" w:type="pct"/>
            <w:noWrap/>
            <w:vAlign w:val="center"/>
          </w:tcPr>
          <w:p w14:paraId="6BD7BD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0564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366" w:type="pct"/>
            <w:vMerge w:val="continue"/>
            <w:noWrap/>
            <w:vAlign w:val="center"/>
          </w:tcPr>
          <w:p w14:paraId="4880C57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59CFE79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179F8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867" w:type="pct"/>
            <w:noWrap/>
            <w:vAlign w:val="center"/>
          </w:tcPr>
          <w:p w14:paraId="479CB714">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4.11E-04</w:t>
            </w:r>
          </w:p>
        </w:tc>
        <w:tc>
          <w:tcPr>
            <w:tcW w:w="749" w:type="pct"/>
            <w:noWrap/>
            <w:vAlign w:val="center"/>
          </w:tcPr>
          <w:p w14:paraId="6308107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241119</w:t>
            </w:r>
          </w:p>
        </w:tc>
        <w:tc>
          <w:tcPr>
            <w:tcW w:w="588" w:type="pct"/>
            <w:noWrap/>
            <w:vAlign w:val="center"/>
          </w:tcPr>
          <w:p w14:paraId="4D1430B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0.41</w:t>
            </w:r>
          </w:p>
        </w:tc>
        <w:tc>
          <w:tcPr>
            <w:tcW w:w="608" w:type="pct"/>
            <w:noWrap/>
            <w:vAlign w:val="center"/>
          </w:tcPr>
          <w:p w14:paraId="506E04A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A6B6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4C8C9F4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220951B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FE1674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E5EB80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3.04E-05</w:t>
            </w:r>
          </w:p>
        </w:tc>
        <w:tc>
          <w:tcPr>
            <w:tcW w:w="749" w:type="pct"/>
            <w:noWrap/>
            <w:vAlign w:val="center"/>
          </w:tcPr>
          <w:p w14:paraId="5D6AC83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5B5B20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608" w:type="pct"/>
            <w:noWrap/>
            <w:vAlign w:val="center"/>
          </w:tcPr>
          <w:p w14:paraId="4279AA9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F5EBE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42484698">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1210" w:type="pct"/>
            <w:vMerge w:val="restart"/>
            <w:noWrap/>
            <w:vAlign w:val="center"/>
          </w:tcPr>
          <w:p w14:paraId="0969526B">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绥芬河市传染病医院</w:t>
            </w:r>
          </w:p>
        </w:tc>
        <w:tc>
          <w:tcPr>
            <w:tcW w:w="1037" w:type="dxa"/>
            <w:noWrap/>
            <w:vAlign w:val="center"/>
          </w:tcPr>
          <w:p w14:paraId="005DA67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1小时</w:t>
            </w:r>
          </w:p>
        </w:tc>
        <w:tc>
          <w:tcPr>
            <w:tcW w:w="867" w:type="pct"/>
            <w:noWrap/>
            <w:vAlign w:val="center"/>
          </w:tcPr>
          <w:p w14:paraId="3B1F43B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6.39E-03</w:t>
            </w:r>
          </w:p>
        </w:tc>
        <w:tc>
          <w:tcPr>
            <w:tcW w:w="1278" w:type="dxa"/>
            <w:noWrap/>
            <w:vAlign w:val="center"/>
          </w:tcPr>
          <w:p w14:paraId="3F85D42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24111910</w:t>
            </w:r>
          </w:p>
        </w:tc>
        <w:tc>
          <w:tcPr>
            <w:tcW w:w="1003" w:type="dxa"/>
            <w:noWrap/>
            <w:vAlign w:val="center"/>
          </w:tcPr>
          <w:p w14:paraId="237A1F5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2.55</w:t>
            </w:r>
          </w:p>
        </w:tc>
        <w:tc>
          <w:tcPr>
            <w:tcW w:w="1037" w:type="dxa"/>
            <w:noWrap/>
            <w:vAlign w:val="center"/>
          </w:tcPr>
          <w:p w14:paraId="74B1EE9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A40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133668F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6F9D0A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0794A9A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867" w:type="pct"/>
            <w:noWrap/>
            <w:vAlign w:val="center"/>
          </w:tcPr>
          <w:p w14:paraId="156ACD9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5.32E-04</w:t>
            </w:r>
          </w:p>
        </w:tc>
        <w:tc>
          <w:tcPr>
            <w:tcW w:w="1278" w:type="dxa"/>
            <w:noWrap/>
            <w:vAlign w:val="center"/>
          </w:tcPr>
          <w:p w14:paraId="49B3B70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241119</w:t>
            </w:r>
          </w:p>
        </w:tc>
        <w:tc>
          <w:tcPr>
            <w:tcW w:w="1003" w:type="dxa"/>
            <w:noWrap/>
            <w:vAlign w:val="center"/>
          </w:tcPr>
          <w:p w14:paraId="7C1BBFE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0.53</w:t>
            </w:r>
          </w:p>
        </w:tc>
        <w:tc>
          <w:tcPr>
            <w:tcW w:w="1037" w:type="dxa"/>
            <w:noWrap/>
            <w:vAlign w:val="center"/>
          </w:tcPr>
          <w:p w14:paraId="71BCAE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99ACB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1568AE4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6382E02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051B3A0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9B6AD9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4.37E-05</w:t>
            </w:r>
          </w:p>
        </w:tc>
        <w:tc>
          <w:tcPr>
            <w:tcW w:w="1278" w:type="dxa"/>
            <w:noWrap/>
            <w:vAlign w:val="center"/>
          </w:tcPr>
          <w:p w14:paraId="065AB46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1003" w:type="dxa"/>
            <w:noWrap/>
            <w:vAlign w:val="center"/>
          </w:tcPr>
          <w:p w14:paraId="450AFDB8">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0.09</w:t>
            </w:r>
          </w:p>
        </w:tc>
        <w:tc>
          <w:tcPr>
            <w:tcW w:w="1037" w:type="dxa"/>
            <w:noWrap/>
            <w:vAlign w:val="center"/>
          </w:tcPr>
          <w:p w14:paraId="5C242AC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A400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48FCB315">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w:t>
            </w:r>
          </w:p>
        </w:tc>
        <w:tc>
          <w:tcPr>
            <w:tcW w:w="1210" w:type="pct"/>
            <w:vMerge w:val="restart"/>
            <w:noWrap/>
            <w:vAlign w:val="center"/>
          </w:tcPr>
          <w:p w14:paraId="305D85FD">
            <w:pPr>
              <w:widowControl/>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608" w:type="pct"/>
            <w:noWrap/>
            <w:vAlign w:val="center"/>
          </w:tcPr>
          <w:p w14:paraId="6A90192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1小时</w:t>
            </w:r>
          </w:p>
        </w:tc>
        <w:tc>
          <w:tcPr>
            <w:tcW w:w="867" w:type="pct"/>
            <w:noWrap/>
            <w:vAlign w:val="center"/>
          </w:tcPr>
          <w:p w14:paraId="7AF9FF51">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5.77E-03</w:t>
            </w:r>
          </w:p>
        </w:tc>
        <w:tc>
          <w:tcPr>
            <w:tcW w:w="749" w:type="pct"/>
            <w:noWrap/>
            <w:vAlign w:val="center"/>
          </w:tcPr>
          <w:p w14:paraId="101B6677">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24101411</w:t>
            </w:r>
          </w:p>
        </w:tc>
        <w:tc>
          <w:tcPr>
            <w:tcW w:w="588" w:type="pct"/>
            <w:noWrap/>
            <w:vAlign w:val="center"/>
          </w:tcPr>
          <w:p w14:paraId="246F858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2.31</w:t>
            </w:r>
          </w:p>
        </w:tc>
        <w:tc>
          <w:tcPr>
            <w:tcW w:w="608" w:type="pct"/>
            <w:noWrap/>
            <w:vAlign w:val="center"/>
          </w:tcPr>
          <w:p w14:paraId="4406553B">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22F8E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4812525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07B3ADFF">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65F5BC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867" w:type="pct"/>
            <w:noWrap/>
            <w:vAlign w:val="center"/>
          </w:tcPr>
          <w:p w14:paraId="0867F76A">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1.48E-03</w:t>
            </w:r>
          </w:p>
        </w:tc>
        <w:tc>
          <w:tcPr>
            <w:tcW w:w="749" w:type="pct"/>
            <w:noWrap/>
            <w:vAlign w:val="center"/>
          </w:tcPr>
          <w:p w14:paraId="399274E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240426</w:t>
            </w:r>
          </w:p>
        </w:tc>
        <w:tc>
          <w:tcPr>
            <w:tcW w:w="588" w:type="pct"/>
            <w:noWrap/>
            <w:vAlign w:val="center"/>
          </w:tcPr>
          <w:p w14:paraId="45F5C829">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1.48</w:t>
            </w:r>
          </w:p>
        </w:tc>
        <w:tc>
          <w:tcPr>
            <w:tcW w:w="608" w:type="pct"/>
            <w:noWrap/>
            <w:vAlign w:val="center"/>
          </w:tcPr>
          <w:p w14:paraId="5420B66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6477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65C5C77C">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210" w:type="pct"/>
            <w:vMerge w:val="continue"/>
            <w:noWrap/>
            <w:vAlign w:val="center"/>
          </w:tcPr>
          <w:p w14:paraId="358F825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D4FEA1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96950FD">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1.87E-04</w:t>
            </w:r>
          </w:p>
        </w:tc>
        <w:tc>
          <w:tcPr>
            <w:tcW w:w="749" w:type="pct"/>
            <w:noWrap/>
            <w:vAlign w:val="center"/>
          </w:tcPr>
          <w:p w14:paraId="12204C32">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09E38E5">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0.37</w:t>
            </w:r>
          </w:p>
        </w:tc>
        <w:tc>
          <w:tcPr>
            <w:tcW w:w="608" w:type="pct"/>
            <w:noWrap/>
            <w:vAlign w:val="center"/>
          </w:tcPr>
          <w:p w14:paraId="10E29340">
            <w:pPr>
              <w:widowControl/>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4057CFD2">
      <w:pPr>
        <w:ind w:firstLine="480"/>
        <w:rPr>
          <w:rFonts w:ascii="Times New Roman" w:hAnsi="Times New Roman"/>
          <w:color w:val="auto"/>
          <w:highlight w:val="none"/>
        </w:rPr>
      </w:pPr>
      <w:r>
        <w:rPr>
          <w:rFonts w:ascii="Times New Roman" w:hAnsi="Times New Roman"/>
          <w:color w:val="auto"/>
          <w:highlight w:val="none"/>
        </w:rPr>
        <w:t>本项目NO</w:t>
      </w:r>
      <w:r>
        <w:rPr>
          <w:rFonts w:ascii="Times New Roman" w:hAnsi="Times New Roman"/>
          <w:color w:val="auto"/>
          <w:highlight w:val="none"/>
          <w:vertAlign w:val="subscript"/>
        </w:rPr>
        <w:t>2</w:t>
      </w:r>
      <w:r>
        <w:rPr>
          <w:rFonts w:ascii="Times New Roman" w:hAnsi="Times New Roman"/>
          <w:color w:val="auto"/>
          <w:highlight w:val="none"/>
        </w:rPr>
        <w:t>短期贡献浓度占标率≤100%，年均浓度贡献浓度占标率≤30%。</w:t>
      </w:r>
    </w:p>
    <w:p w14:paraId="52FD63E7">
      <w:pPr>
        <w:ind w:firstLine="480"/>
        <w:rPr>
          <w:rFonts w:ascii="Times New Roman" w:hAnsi="Times New Roman"/>
          <w:color w:val="auto"/>
          <w:highlight w:val="none"/>
        </w:rPr>
      </w:pPr>
      <w:r>
        <w:rPr>
          <w:rFonts w:ascii="Times New Roman" w:hAnsi="Times New Roman"/>
          <w:color w:val="auto"/>
          <w:highlight w:val="none"/>
        </w:rPr>
        <w:t>（3）本项目PM</w:t>
      </w:r>
      <w:r>
        <w:rPr>
          <w:rFonts w:ascii="Times New Roman" w:hAnsi="Times New Roman"/>
          <w:color w:val="auto"/>
          <w:highlight w:val="none"/>
          <w:vertAlign w:val="subscript"/>
        </w:rPr>
        <w:t>10</w:t>
      </w:r>
      <w:r>
        <w:rPr>
          <w:rFonts w:ascii="Times New Roman" w:hAnsi="Times New Roman"/>
          <w:color w:val="auto"/>
          <w:highlight w:val="none"/>
        </w:rPr>
        <w:t>贡献浓度预测结果分析</w:t>
      </w:r>
    </w:p>
    <w:p w14:paraId="01A0F786">
      <w:pPr>
        <w:ind w:firstLine="480"/>
        <w:rPr>
          <w:rFonts w:ascii="Times New Roman" w:hAnsi="Times New Roman"/>
          <w:color w:val="auto"/>
          <w:highlight w:val="none"/>
        </w:rPr>
      </w:pPr>
      <w:r>
        <w:rPr>
          <w:rFonts w:ascii="Times New Roman" w:hAnsi="Times New Roman"/>
          <w:color w:val="auto"/>
          <w:highlight w:val="none"/>
        </w:rPr>
        <w:t>本项目PM</w:t>
      </w:r>
      <w:r>
        <w:rPr>
          <w:rFonts w:ascii="Times New Roman" w:hAnsi="Times New Roman"/>
          <w:color w:val="auto"/>
          <w:highlight w:val="none"/>
          <w:vertAlign w:val="subscript"/>
        </w:rPr>
        <w:t>10</w:t>
      </w:r>
      <w:r>
        <w:rPr>
          <w:rFonts w:ascii="Times New Roman" w:hAnsi="Times New Roman"/>
          <w:color w:val="auto"/>
          <w:highlight w:val="none"/>
        </w:rPr>
        <w:t>对环境空气敏感点及区域最大浓度点短期和长期贡献浓度值及占标率见表5.2-1</w:t>
      </w:r>
      <w:r>
        <w:rPr>
          <w:rFonts w:hint="eastAsia" w:ascii="Times New Roman" w:hAnsi="Times New Roman"/>
          <w:color w:val="auto"/>
          <w:highlight w:val="none"/>
          <w:lang w:val="en-US" w:eastAsia="zh-CN"/>
        </w:rPr>
        <w:t>4</w:t>
      </w:r>
      <w:r>
        <w:rPr>
          <w:rFonts w:ascii="Times New Roman" w:hAnsi="Times New Roman"/>
          <w:color w:val="auto"/>
          <w:highlight w:val="none"/>
        </w:rPr>
        <w:t>。</w:t>
      </w:r>
    </w:p>
    <w:p w14:paraId="6315C3A9">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5.2-1</w:t>
      </w:r>
      <w:r>
        <w:rPr>
          <w:rFonts w:hint="eastAsia" w:ascii="Times New Roman" w:hAnsi="Times New Roman"/>
          <w:color w:val="auto"/>
          <w:highlight w:val="none"/>
          <w:lang w:val="en-US" w:eastAsia="zh-CN"/>
        </w:rPr>
        <w:t>4</w:t>
      </w:r>
      <w:r>
        <w:rPr>
          <w:rFonts w:hint="eastAsia" w:ascii="黑体" w:hAnsi="黑体" w:eastAsia="黑体" w:cs="黑体"/>
          <w:color w:val="auto"/>
          <w:highlight w:val="none"/>
        </w:rPr>
        <w:t>本项目</w:t>
      </w:r>
      <w:r>
        <w:rPr>
          <w:rFonts w:ascii="Times New Roman" w:hAnsi="Times New Roman"/>
          <w:color w:val="auto"/>
          <w:highlight w:val="none"/>
        </w:rPr>
        <w:t>PM</w:t>
      </w:r>
      <w:r>
        <w:rPr>
          <w:rFonts w:ascii="Times New Roman" w:hAnsi="Times New Roman"/>
          <w:color w:val="auto"/>
          <w:highlight w:val="none"/>
          <w:vertAlign w:val="subscript"/>
        </w:rPr>
        <w:t>10</w:t>
      </w:r>
      <w:r>
        <w:rPr>
          <w:rFonts w:hint="eastAsia" w:ascii="黑体" w:hAnsi="黑体" w:eastAsia="黑体" w:cs="黑体"/>
          <w:color w:val="auto"/>
          <w:highlight w:val="none"/>
        </w:rPr>
        <w:t>贡献值预测结果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64"/>
        <w:gridCol w:w="1037"/>
        <w:gridCol w:w="1478"/>
        <w:gridCol w:w="1278"/>
        <w:gridCol w:w="1003"/>
        <w:gridCol w:w="1037"/>
      </w:tblGrid>
      <w:tr w14:paraId="1F6AF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1A5EE8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序号</w:t>
            </w:r>
          </w:p>
        </w:tc>
        <w:tc>
          <w:tcPr>
            <w:tcW w:w="1210" w:type="pct"/>
            <w:noWrap/>
            <w:vAlign w:val="center"/>
          </w:tcPr>
          <w:p w14:paraId="0501D3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点名称</w:t>
            </w:r>
          </w:p>
        </w:tc>
        <w:tc>
          <w:tcPr>
            <w:tcW w:w="608" w:type="pct"/>
            <w:noWrap/>
            <w:vAlign w:val="center"/>
          </w:tcPr>
          <w:p w14:paraId="52E0FD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浓度类型</w:t>
            </w:r>
          </w:p>
        </w:tc>
        <w:tc>
          <w:tcPr>
            <w:tcW w:w="867" w:type="pct"/>
            <w:noWrap/>
            <w:vAlign w:val="center"/>
          </w:tcPr>
          <w:p w14:paraId="571FF0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浓度增量(mg/m3)</w:t>
            </w:r>
          </w:p>
        </w:tc>
        <w:tc>
          <w:tcPr>
            <w:tcW w:w="749" w:type="pct"/>
            <w:noWrap/>
            <w:vAlign w:val="center"/>
          </w:tcPr>
          <w:p w14:paraId="2EDDC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出现时间</w:t>
            </w:r>
          </w:p>
        </w:tc>
        <w:tc>
          <w:tcPr>
            <w:tcW w:w="588" w:type="pct"/>
            <w:noWrap/>
            <w:vAlign w:val="center"/>
          </w:tcPr>
          <w:p w14:paraId="29E469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占标率%</w:t>
            </w:r>
          </w:p>
        </w:tc>
        <w:tc>
          <w:tcPr>
            <w:tcW w:w="608" w:type="pct"/>
            <w:noWrap/>
            <w:vAlign w:val="center"/>
          </w:tcPr>
          <w:p w14:paraId="261134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是否超标</w:t>
            </w:r>
          </w:p>
        </w:tc>
      </w:tr>
      <w:tr w14:paraId="04FC8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34CD66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w:t>
            </w:r>
          </w:p>
        </w:tc>
        <w:tc>
          <w:tcPr>
            <w:tcW w:w="1210" w:type="pct"/>
            <w:vMerge w:val="restart"/>
            <w:noWrap/>
            <w:vAlign w:val="center"/>
          </w:tcPr>
          <w:p w14:paraId="26C563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bidi="ar"/>
              </w:rPr>
            </w:pPr>
            <w:r>
              <w:rPr>
                <w:rFonts w:hint="eastAsia" w:ascii="Times New Roman" w:hAnsi="Times New Roman" w:eastAsia="宋体" w:cs="Times New Roman"/>
                <w:kern w:val="0"/>
                <w:sz w:val="21"/>
                <w:highlight w:val="none"/>
                <w:lang w:val="en-US" w:eastAsia="zh-CN" w:bidi="ar"/>
              </w:rPr>
              <w:t>绥芬河市政府</w:t>
            </w:r>
          </w:p>
        </w:tc>
        <w:tc>
          <w:tcPr>
            <w:tcW w:w="608" w:type="pct"/>
            <w:noWrap/>
            <w:vAlign w:val="center"/>
          </w:tcPr>
          <w:p w14:paraId="4A3522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06D69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4.17E-04</w:t>
            </w:r>
          </w:p>
        </w:tc>
        <w:tc>
          <w:tcPr>
            <w:tcW w:w="749" w:type="pct"/>
            <w:noWrap/>
            <w:vAlign w:val="center"/>
          </w:tcPr>
          <w:p w14:paraId="1CA319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24071219</w:t>
            </w:r>
          </w:p>
        </w:tc>
        <w:tc>
          <w:tcPr>
            <w:tcW w:w="588" w:type="pct"/>
            <w:noWrap/>
            <w:vAlign w:val="center"/>
          </w:tcPr>
          <w:p w14:paraId="637B77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5EA495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5621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2F6E0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855B9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72E4C7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47AD8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9.70E-05</w:t>
            </w:r>
          </w:p>
        </w:tc>
        <w:tc>
          <w:tcPr>
            <w:tcW w:w="749" w:type="pct"/>
            <w:noWrap/>
            <w:vAlign w:val="center"/>
          </w:tcPr>
          <w:p w14:paraId="1A1F56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25C76E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4EBA7C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E34D1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6BA3CF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0D2E3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3E5758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8B63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7.77E-06</w:t>
            </w:r>
          </w:p>
        </w:tc>
        <w:tc>
          <w:tcPr>
            <w:tcW w:w="749" w:type="pct"/>
            <w:noWrap/>
            <w:vAlign w:val="center"/>
          </w:tcPr>
          <w:p w14:paraId="3FFC8D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2A2EB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4AFBE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94D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2CECEC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2</w:t>
            </w:r>
          </w:p>
        </w:tc>
        <w:tc>
          <w:tcPr>
            <w:tcW w:w="1210" w:type="pct"/>
            <w:vMerge w:val="restart"/>
            <w:noWrap/>
            <w:vAlign w:val="center"/>
          </w:tcPr>
          <w:p w14:paraId="52BB0B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608" w:type="pct"/>
            <w:noWrap/>
            <w:vAlign w:val="center"/>
          </w:tcPr>
          <w:p w14:paraId="39C4B7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CBC8A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2.59E-04</w:t>
            </w:r>
          </w:p>
        </w:tc>
        <w:tc>
          <w:tcPr>
            <w:tcW w:w="749" w:type="pct"/>
            <w:noWrap/>
            <w:vAlign w:val="center"/>
          </w:tcPr>
          <w:p w14:paraId="03710C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24041609</w:t>
            </w:r>
          </w:p>
        </w:tc>
        <w:tc>
          <w:tcPr>
            <w:tcW w:w="588" w:type="pct"/>
            <w:noWrap/>
            <w:vAlign w:val="center"/>
          </w:tcPr>
          <w:p w14:paraId="2A3E88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1B83CC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4856B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30FB9C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7826B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1CAF3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76600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3.97E-05</w:t>
            </w:r>
          </w:p>
        </w:tc>
        <w:tc>
          <w:tcPr>
            <w:tcW w:w="749" w:type="pct"/>
            <w:noWrap/>
            <w:vAlign w:val="center"/>
          </w:tcPr>
          <w:p w14:paraId="79CCC6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AF8D7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EB573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21B3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2B5C46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02FC5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6C6CA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9D60B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1.83E-06</w:t>
            </w:r>
          </w:p>
        </w:tc>
        <w:tc>
          <w:tcPr>
            <w:tcW w:w="749" w:type="pct"/>
            <w:noWrap/>
            <w:vAlign w:val="center"/>
          </w:tcPr>
          <w:p w14:paraId="395AD1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10131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EB39A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1E1E7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4C7C3B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3</w:t>
            </w:r>
          </w:p>
        </w:tc>
        <w:tc>
          <w:tcPr>
            <w:tcW w:w="1210" w:type="pct"/>
            <w:vMerge w:val="restart"/>
            <w:noWrap/>
            <w:vAlign w:val="center"/>
          </w:tcPr>
          <w:p w14:paraId="6FA2E7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608" w:type="pct"/>
            <w:noWrap/>
            <w:vAlign w:val="center"/>
          </w:tcPr>
          <w:p w14:paraId="2DE65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C931B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3.55E-04</w:t>
            </w:r>
          </w:p>
        </w:tc>
        <w:tc>
          <w:tcPr>
            <w:tcW w:w="749" w:type="pct"/>
            <w:noWrap/>
            <w:vAlign w:val="center"/>
          </w:tcPr>
          <w:p w14:paraId="1F3F58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24042314</w:t>
            </w:r>
          </w:p>
        </w:tc>
        <w:tc>
          <w:tcPr>
            <w:tcW w:w="588" w:type="pct"/>
            <w:noWrap/>
            <w:vAlign w:val="center"/>
          </w:tcPr>
          <w:p w14:paraId="0DEAA4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0833D3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7CBD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BF2E5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F4E36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68A552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FA023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1.04E-04</w:t>
            </w:r>
          </w:p>
        </w:tc>
        <w:tc>
          <w:tcPr>
            <w:tcW w:w="749" w:type="pct"/>
            <w:noWrap/>
            <w:vAlign w:val="center"/>
          </w:tcPr>
          <w:p w14:paraId="54F1C1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w:t>
            </w:r>
          </w:p>
        </w:tc>
        <w:tc>
          <w:tcPr>
            <w:tcW w:w="588" w:type="pct"/>
            <w:noWrap/>
            <w:vAlign w:val="center"/>
          </w:tcPr>
          <w:p w14:paraId="7BB4D4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7AE234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B183E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E69EB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41EF9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0EC8C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CB052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4.86E-06</w:t>
            </w:r>
          </w:p>
        </w:tc>
        <w:tc>
          <w:tcPr>
            <w:tcW w:w="749" w:type="pct"/>
            <w:noWrap/>
            <w:vAlign w:val="center"/>
          </w:tcPr>
          <w:p w14:paraId="50B6F3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978EA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E84DC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FB0C4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647478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4</w:t>
            </w:r>
          </w:p>
        </w:tc>
        <w:tc>
          <w:tcPr>
            <w:tcW w:w="1210" w:type="pct"/>
            <w:vMerge w:val="restart"/>
            <w:shd w:val="clear" w:color="auto" w:fill="auto"/>
            <w:noWrap/>
            <w:vAlign w:val="center"/>
          </w:tcPr>
          <w:p w14:paraId="1ED1C8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608" w:type="pct"/>
            <w:noWrap/>
            <w:vAlign w:val="center"/>
          </w:tcPr>
          <w:p w14:paraId="729A6E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365FC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3.13E-04</w:t>
            </w:r>
          </w:p>
        </w:tc>
        <w:tc>
          <w:tcPr>
            <w:tcW w:w="749" w:type="pct"/>
            <w:noWrap/>
            <w:vAlign w:val="center"/>
          </w:tcPr>
          <w:p w14:paraId="1BAE58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2A59D8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116244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C3A3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47D288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BC6C5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37A962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9BC0D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4.49E-05</w:t>
            </w:r>
          </w:p>
        </w:tc>
        <w:tc>
          <w:tcPr>
            <w:tcW w:w="749" w:type="pct"/>
            <w:noWrap/>
            <w:vAlign w:val="center"/>
          </w:tcPr>
          <w:p w14:paraId="38FD10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67896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F84DE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57894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1A8FC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18047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DEF72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B6E7C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1.61E-06</w:t>
            </w:r>
          </w:p>
        </w:tc>
        <w:tc>
          <w:tcPr>
            <w:tcW w:w="749" w:type="pct"/>
            <w:noWrap/>
            <w:vAlign w:val="center"/>
          </w:tcPr>
          <w:p w14:paraId="3BAF21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E824E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D3C6E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0203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67CA2A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5</w:t>
            </w:r>
          </w:p>
        </w:tc>
        <w:tc>
          <w:tcPr>
            <w:tcW w:w="1210" w:type="pct"/>
            <w:vMerge w:val="restart"/>
            <w:noWrap/>
            <w:vAlign w:val="center"/>
          </w:tcPr>
          <w:p w14:paraId="290BB6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608" w:type="pct"/>
            <w:noWrap/>
            <w:vAlign w:val="center"/>
          </w:tcPr>
          <w:p w14:paraId="5C0447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82D7A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3.26E-04</w:t>
            </w:r>
          </w:p>
        </w:tc>
        <w:tc>
          <w:tcPr>
            <w:tcW w:w="749" w:type="pct"/>
            <w:noWrap/>
            <w:vAlign w:val="center"/>
          </w:tcPr>
          <w:p w14:paraId="089930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77A9AB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2D4DF5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084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2AE38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46DCE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5BCDE8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C4081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4.64E-05</w:t>
            </w:r>
          </w:p>
        </w:tc>
        <w:tc>
          <w:tcPr>
            <w:tcW w:w="749" w:type="pct"/>
            <w:noWrap/>
            <w:vAlign w:val="center"/>
          </w:tcPr>
          <w:p w14:paraId="49B1F7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A7DE8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7F7BA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ECCA3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200565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4EC1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p>
        </w:tc>
        <w:tc>
          <w:tcPr>
            <w:tcW w:w="608" w:type="pct"/>
            <w:noWrap/>
            <w:vAlign w:val="center"/>
          </w:tcPr>
          <w:p w14:paraId="29170C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C5E8C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1.72E-06</w:t>
            </w:r>
          </w:p>
        </w:tc>
        <w:tc>
          <w:tcPr>
            <w:tcW w:w="749" w:type="pct"/>
            <w:noWrap/>
            <w:vAlign w:val="center"/>
          </w:tcPr>
          <w:p w14:paraId="0EF41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FD928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AD2B0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43D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63B314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6</w:t>
            </w:r>
          </w:p>
        </w:tc>
        <w:tc>
          <w:tcPr>
            <w:tcW w:w="1210" w:type="pct"/>
            <w:vMerge w:val="restart"/>
            <w:noWrap/>
            <w:vAlign w:val="center"/>
          </w:tcPr>
          <w:p w14:paraId="23FAA6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608" w:type="pct"/>
            <w:noWrap/>
            <w:vAlign w:val="center"/>
          </w:tcPr>
          <w:p w14:paraId="180688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2628E5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2.29E-04</w:t>
            </w:r>
          </w:p>
        </w:tc>
        <w:tc>
          <w:tcPr>
            <w:tcW w:w="749" w:type="pct"/>
            <w:noWrap/>
            <w:vAlign w:val="center"/>
          </w:tcPr>
          <w:p w14:paraId="581802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08C5AA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0683C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0ACC38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22DD12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3EE0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2082EC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867" w:type="pct"/>
            <w:noWrap/>
            <w:vAlign w:val="center"/>
          </w:tcPr>
          <w:p w14:paraId="6B56A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1.51E-05</w:t>
            </w:r>
          </w:p>
        </w:tc>
        <w:tc>
          <w:tcPr>
            <w:tcW w:w="749" w:type="pct"/>
            <w:noWrap/>
            <w:vAlign w:val="center"/>
          </w:tcPr>
          <w:p w14:paraId="4B718E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351E0F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D1BEC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499873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109AC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BBD26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4E6A18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867" w:type="pct"/>
            <w:noWrap/>
            <w:vAlign w:val="center"/>
          </w:tcPr>
          <w:p w14:paraId="6E1222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2.89E-07</w:t>
            </w:r>
          </w:p>
        </w:tc>
        <w:tc>
          <w:tcPr>
            <w:tcW w:w="749" w:type="pct"/>
            <w:noWrap/>
            <w:vAlign w:val="center"/>
          </w:tcPr>
          <w:p w14:paraId="2DFFCF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5E4C2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D3C4D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30FD82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restart"/>
            <w:noWrap/>
            <w:vAlign w:val="center"/>
          </w:tcPr>
          <w:p w14:paraId="27B35F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1210" w:type="pct"/>
            <w:vMerge w:val="restart"/>
            <w:noWrap/>
            <w:vAlign w:val="center"/>
          </w:tcPr>
          <w:p w14:paraId="36591B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绥芬河邮政管理局</w:t>
            </w:r>
          </w:p>
        </w:tc>
        <w:tc>
          <w:tcPr>
            <w:tcW w:w="608" w:type="pct"/>
            <w:noWrap/>
            <w:vAlign w:val="center"/>
          </w:tcPr>
          <w:p w14:paraId="289D71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7BE5E4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2.21E-04</w:t>
            </w:r>
          </w:p>
        </w:tc>
        <w:tc>
          <w:tcPr>
            <w:tcW w:w="749" w:type="pct"/>
            <w:noWrap/>
            <w:vAlign w:val="center"/>
          </w:tcPr>
          <w:p w14:paraId="5B78C3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4FEC79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81178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56ED42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086350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C23B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50BE01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日平均</w:t>
            </w:r>
          </w:p>
        </w:tc>
        <w:tc>
          <w:tcPr>
            <w:tcW w:w="867" w:type="pct"/>
            <w:noWrap/>
            <w:vAlign w:val="center"/>
          </w:tcPr>
          <w:p w14:paraId="654339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1.46E-05</w:t>
            </w:r>
          </w:p>
        </w:tc>
        <w:tc>
          <w:tcPr>
            <w:tcW w:w="749" w:type="pct"/>
            <w:noWrap/>
            <w:vAlign w:val="center"/>
          </w:tcPr>
          <w:p w14:paraId="29EDA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4A2007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FF14A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3778C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vMerge w:val="continue"/>
            <w:noWrap/>
            <w:vAlign w:val="center"/>
          </w:tcPr>
          <w:p w14:paraId="4D4932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3A788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608" w:type="pct"/>
            <w:noWrap/>
            <w:vAlign w:val="center"/>
          </w:tcPr>
          <w:p w14:paraId="154496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年平均</w:t>
            </w:r>
          </w:p>
        </w:tc>
        <w:tc>
          <w:tcPr>
            <w:tcW w:w="867" w:type="pct"/>
            <w:noWrap/>
            <w:vAlign w:val="center"/>
          </w:tcPr>
          <w:p w14:paraId="06F21F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3.31E-07</w:t>
            </w:r>
          </w:p>
        </w:tc>
        <w:tc>
          <w:tcPr>
            <w:tcW w:w="749" w:type="pct"/>
            <w:noWrap/>
            <w:vAlign w:val="center"/>
          </w:tcPr>
          <w:p w14:paraId="35F560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8EC07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5A3FC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12EF2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5CFB04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1210" w:type="pct"/>
            <w:vMerge w:val="restart"/>
            <w:noWrap/>
            <w:vAlign w:val="center"/>
          </w:tcPr>
          <w:p w14:paraId="4FBAEE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绥芬河市教育局</w:t>
            </w:r>
          </w:p>
        </w:tc>
        <w:tc>
          <w:tcPr>
            <w:tcW w:w="608" w:type="pct"/>
            <w:noWrap/>
            <w:vAlign w:val="center"/>
          </w:tcPr>
          <w:p w14:paraId="4E2F28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6040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2.42E-04</w:t>
            </w:r>
          </w:p>
        </w:tc>
        <w:tc>
          <w:tcPr>
            <w:tcW w:w="749" w:type="pct"/>
            <w:noWrap/>
            <w:vAlign w:val="center"/>
          </w:tcPr>
          <w:p w14:paraId="0E0639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445410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01CB05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EBC5E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56ECB8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FE32C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823F3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C4379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1.21E-05</w:t>
            </w:r>
          </w:p>
        </w:tc>
        <w:tc>
          <w:tcPr>
            <w:tcW w:w="749" w:type="pct"/>
            <w:noWrap/>
            <w:vAlign w:val="center"/>
          </w:tcPr>
          <w:p w14:paraId="269E07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w:t>
            </w:r>
          </w:p>
        </w:tc>
        <w:tc>
          <w:tcPr>
            <w:tcW w:w="588" w:type="pct"/>
            <w:noWrap/>
            <w:vAlign w:val="center"/>
          </w:tcPr>
          <w:p w14:paraId="5E5D4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1C477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C3A5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2A3550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FA886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C0D72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D0171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3.38E-07</w:t>
            </w:r>
          </w:p>
        </w:tc>
        <w:tc>
          <w:tcPr>
            <w:tcW w:w="749" w:type="pct"/>
            <w:noWrap/>
            <w:vAlign w:val="center"/>
          </w:tcPr>
          <w:p w14:paraId="26B968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29FEA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1C22D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7DE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restart"/>
            <w:noWrap/>
            <w:vAlign w:val="center"/>
          </w:tcPr>
          <w:p w14:paraId="4EA25D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1210" w:type="pct"/>
            <w:vMerge w:val="restart"/>
            <w:noWrap/>
            <w:vAlign w:val="center"/>
          </w:tcPr>
          <w:p w14:paraId="732FF9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绥芬河市自然资源局</w:t>
            </w:r>
          </w:p>
        </w:tc>
        <w:tc>
          <w:tcPr>
            <w:tcW w:w="608" w:type="pct"/>
            <w:noWrap/>
            <w:vAlign w:val="center"/>
          </w:tcPr>
          <w:p w14:paraId="782A30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84C84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2.61E-04</w:t>
            </w:r>
          </w:p>
        </w:tc>
        <w:tc>
          <w:tcPr>
            <w:tcW w:w="749" w:type="pct"/>
            <w:noWrap/>
            <w:vAlign w:val="center"/>
          </w:tcPr>
          <w:p w14:paraId="56019E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30487B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559DBD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804F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798073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BC9B2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6D666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C6ACD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1.88E-05</w:t>
            </w:r>
          </w:p>
        </w:tc>
        <w:tc>
          <w:tcPr>
            <w:tcW w:w="749" w:type="pct"/>
            <w:noWrap/>
            <w:vAlign w:val="center"/>
          </w:tcPr>
          <w:p w14:paraId="66CE99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11222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244FD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3E89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366" w:type="pct"/>
            <w:vMerge w:val="continue"/>
            <w:noWrap/>
            <w:vAlign w:val="center"/>
          </w:tcPr>
          <w:p w14:paraId="5E6621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4E8E5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88264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1B8C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4.42E-07</w:t>
            </w:r>
          </w:p>
        </w:tc>
        <w:tc>
          <w:tcPr>
            <w:tcW w:w="749" w:type="pct"/>
            <w:noWrap/>
            <w:vAlign w:val="center"/>
          </w:tcPr>
          <w:p w14:paraId="3C576F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D5D74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4FEAF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4781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restart"/>
            <w:noWrap/>
            <w:vAlign w:val="center"/>
          </w:tcPr>
          <w:p w14:paraId="4A674A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1210" w:type="pct"/>
            <w:vMerge w:val="restart"/>
            <w:noWrap/>
            <w:vAlign w:val="center"/>
          </w:tcPr>
          <w:p w14:paraId="42C900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绥芬河海关</w:t>
            </w:r>
          </w:p>
        </w:tc>
        <w:tc>
          <w:tcPr>
            <w:tcW w:w="608" w:type="pct"/>
            <w:noWrap/>
            <w:vAlign w:val="center"/>
          </w:tcPr>
          <w:p w14:paraId="322DA2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B3F91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3.25E-04</w:t>
            </w:r>
          </w:p>
        </w:tc>
        <w:tc>
          <w:tcPr>
            <w:tcW w:w="749" w:type="pct"/>
            <w:noWrap/>
            <w:vAlign w:val="center"/>
          </w:tcPr>
          <w:p w14:paraId="781C30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24042818</w:t>
            </w:r>
          </w:p>
        </w:tc>
        <w:tc>
          <w:tcPr>
            <w:tcW w:w="588" w:type="pct"/>
            <w:noWrap/>
            <w:vAlign w:val="center"/>
          </w:tcPr>
          <w:p w14:paraId="2F5D3D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95282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C4A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7D9E24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A074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77CDF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50757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1.68E-05</w:t>
            </w:r>
          </w:p>
        </w:tc>
        <w:tc>
          <w:tcPr>
            <w:tcW w:w="749" w:type="pct"/>
            <w:noWrap/>
            <w:vAlign w:val="center"/>
          </w:tcPr>
          <w:p w14:paraId="2950D2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013F5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CB4D1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F294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3704C5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C8BE4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96159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B01B7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7.56E-07</w:t>
            </w:r>
          </w:p>
        </w:tc>
        <w:tc>
          <w:tcPr>
            <w:tcW w:w="749" w:type="pct"/>
            <w:noWrap/>
            <w:vAlign w:val="center"/>
          </w:tcPr>
          <w:p w14:paraId="30D4F7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38EFC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6CBFA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AF5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1D4D84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1210" w:type="pct"/>
            <w:vMerge w:val="restart"/>
            <w:noWrap/>
            <w:vAlign w:val="center"/>
          </w:tcPr>
          <w:p w14:paraId="4D5489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608" w:type="pct"/>
            <w:noWrap/>
            <w:vAlign w:val="center"/>
          </w:tcPr>
          <w:p w14:paraId="74E6B4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56620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3.55E-04</w:t>
            </w:r>
          </w:p>
        </w:tc>
        <w:tc>
          <w:tcPr>
            <w:tcW w:w="749" w:type="pct"/>
            <w:noWrap/>
            <w:vAlign w:val="center"/>
          </w:tcPr>
          <w:p w14:paraId="456F39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24041711</w:t>
            </w:r>
          </w:p>
        </w:tc>
        <w:tc>
          <w:tcPr>
            <w:tcW w:w="588" w:type="pct"/>
            <w:noWrap/>
            <w:vAlign w:val="center"/>
          </w:tcPr>
          <w:p w14:paraId="33444E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315B8D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4953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6E6971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48E0F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BC679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BF670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7.48E-05</w:t>
            </w:r>
          </w:p>
        </w:tc>
        <w:tc>
          <w:tcPr>
            <w:tcW w:w="749" w:type="pct"/>
            <w:noWrap/>
            <w:vAlign w:val="center"/>
          </w:tcPr>
          <w:p w14:paraId="550C17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240430</w:t>
            </w:r>
          </w:p>
        </w:tc>
        <w:tc>
          <w:tcPr>
            <w:tcW w:w="588" w:type="pct"/>
            <w:noWrap/>
            <w:vAlign w:val="center"/>
          </w:tcPr>
          <w:p w14:paraId="56CF6E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6390FE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1944C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366" w:type="pct"/>
            <w:vMerge w:val="continue"/>
            <w:noWrap/>
            <w:vAlign w:val="center"/>
          </w:tcPr>
          <w:p w14:paraId="06F18C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B496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CB17B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CE99D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7.48E-06</w:t>
            </w:r>
          </w:p>
        </w:tc>
        <w:tc>
          <w:tcPr>
            <w:tcW w:w="749" w:type="pct"/>
            <w:noWrap/>
            <w:vAlign w:val="center"/>
          </w:tcPr>
          <w:p w14:paraId="286945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47DFB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034B81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CC65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66" w:type="pct"/>
            <w:vMerge w:val="restart"/>
            <w:noWrap/>
            <w:vAlign w:val="center"/>
          </w:tcPr>
          <w:p w14:paraId="133966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1210" w:type="pct"/>
            <w:vMerge w:val="restart"/>
            <w:noWrap/>
            <w:vAlign w:val="center"/>
          </w:tcPr>
          <w:p w14:paraId="03CAD9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绥芬河市生态环境局</w:t>
            </w:r>
          </w:p>
        </w:tc>
        <w:tc>
          <w:tcPr>
            <w:tcW w:w="608" w:type="pct"/>
            <w:noWrap/>
            <w:vAlign w:val="center"/>
          </w:tcPr>
          <w:p w14:paraId="5FA628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7BC9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2.78E-04</w:t>
            </w:r>
          </w:p>
        </w:tc>
        <w:tc>
          <w:tcPr>
            <w:tcW w:w="749" w:type="pct"/>
            <w:noWrap/>
            <w:vAlign w:val="center"/>
          </w:tcPr>
          <w:p w14:paraId="0EDC9C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2627EF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1D34B1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AF75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26CB2D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256F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1E27B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A8FEB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3.66E-05</w:t>
            </w:r>
          </w:p>
        </w:tc>
        <w:tc>
          <w:tcPr>
            <w:tcW w:w="749" w:type="pct"/>
            <w:noWrap/>
            <w:vAlign w:val="center"/>
          </w:tcPr>
          <w:p w14:paraId="19BB13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22BC68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6381CA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33FB7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366" w:type="pct"/>
            <w:vMerge w:val="continue"/>
            <w:noWrap/>
            <w:vAlign w:val="center"/>
          </w:tcPr>
          <w:p w14:paraId="7039AF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7CD57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8C2B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D6CE0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9.62E-07</w:t>
            </w:r>
          </w:p>
        </w:tc>
        <w:tc>
          <w:tcPr>
            <w:tcW w:w="749" w:type="pct"/>
            <w:noWrap/>
            <w:vAlign w:val="center"/>
          </w:tcPr>
          <w:p w14:paraId="59EE2B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BBF88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A9A2E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61FA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366" w:type="pct"/>
            <w:vMerge w:val="restart"/>
            <w:noWrap/>
            <w:vAlign w:val="center"/>
          </w:tcPr>
          <w:p w14:paraId="740242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1210" w:type="pct"/>
            <w:vMerge w:val="restart"/>
            <w:noWrap/>
            <w:vAlign w:val="center"/>
          </w:tcPr>
          <w:p w14:paraId="33C2E3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绥芬河市民政局</w:t>
            </w:r>
          </w:p>
        </w:tc>
        <w:tc>
          <w:tcPr>
            <w:tcW w:w="608" w:type="pct"/>
            <w:noWrap/>
            <w:vAlign w:val="center"/>
          </w:tcPr>
          <w:p w14:paraId="2D554D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1FBC5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9.95E-05</w:t>
            </w:r>
          </w:p>
        </w:tc>
        <w:tc>
          <w:tcPr>
            <w:tcW w:w="749" w:type="pct"/>
            <w:noWrap/>
            <w:vAlign w:val="center"/>
          </w:tcPr>
          <w:p w14:paraId="046984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7F0B0C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413542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31C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07F5CA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9EF59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E4F1E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C7771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6.44E-06</w:t>
            </w:r>
          </w:p>
        </w:tc>
        <w:tc>
          <w:tcPr>
            <w:tcW w:w="749" w:type="pct"/>
            <w:noWrap/>
            <w:vAlign w:val="center"/>
          </w:tcPr>
          <w:p w14:paraId="7DB56A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38F4A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87147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8D7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7ADB2A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C9D8B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E1331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FACAC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1.27E-07</w:t>
            </w:r>
          </w:p>
        </w:tc>
        <w:tc>
          <w:tcPr>
            <w:tcW w:w="749" w:type="pct"/>
            <w:noWrap/>
            <w:vAlign w:val="center"/>
          </w:tcPr>
          <w:p w14:paraId="54B83A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8672E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D8A47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0A62A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468389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1210" w:type="pct"/>
            <w:vMerge w:val="restart"/>
            <w:noWrap/>
            <w:vAlign w:val="center"/>
          </w:tcPr>
          <w:p w14:paraId="051B4F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绥芬河市公安局</w:t>
            </w:r>
          </w:p>
        </w:tc>
        <w:tc>
          <w:tcPr>
            <w:tcW w:w="608" w:type="pct"/>
            <w:noWrap/>
            <w:vAlign w:val="center"/>
          </w:tcPr>
          <w:p w14:paraId="126ECF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CA419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1.54E-04</w:t>
            </w:r>
          </w:p>
        </w:tc>
        <w:tc>
          <w:tcPr>
            <w:tcW w:w="749" w:type="pct"/>
            <w:noWrap/>
            <w:vAlign w:val="center"/>
          </w:tcPr>
          <w:p w14:paraId="5D976C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68099B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7D651E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E06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0C6429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882DD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75EC1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B2C06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7.27E-06</w:t>
            </w:r>
          </w:p>
        </w:tc>
        <w:tc>
          <w:tcPr>
            <w:tcW w:w="749" w:type="pct"/>
            <w:noWrap/>
            <w:vAlign w:val="center"/>
          </w:tcPr>
          <w:p w14:paraId="321F54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w:t>
            </w:r>
          </w:p>
        </w:tc>
        <w:tc>
          <w:tcPr>
            <w:tcW w:w="588" w:type="pct"/>
            <w:noWrap/>
            <w:vAlign w:val="center"/>
          </w:tcPr>
          <w:p w14:paraId="1EF5B2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80FE0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E5B6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42F06C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A57D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F4D8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91076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1.53E-07</w:t>
            </w:r>
          </w:p>
        </w:tc>
        <w:tc>
          <w:tcPr>
            <w:tcW w:w="749" w:type="pct"/>
            <w:noWrap/>
            <w:vAlign w:val="center"/>
          </w:tcPr>
          <w:p w14:paraId="7CAF65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3AF97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9C50A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F0E6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5ED103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1210" w:type="pct"/>
            <w:vMerge w:val="restart"/>
            <w:noWrap/>
            <w:vAlign w:val="center"/>
          </w:tcPr>
          <w:p w14:paraId="7047B0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阜宁镇人民政府</w:t>
            </w:r>
          </w:p>
        </w:tc>
        <w:tc>
          <w:tcPr>
            <w:tcW w:w="608" w:type="pct"/>
            <w:noWrap/>
            <w:vAlign w:val="center"/>
          </w:tcPr>
          <w:p w14:paraId="0FD4D3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8ED1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1.19E-04</w:t>
            </w:r>
          </w:p>
        </w:tc>
        <w:tc>
          <w:tcPr>
            <w:tcW w:w="749" w:type="pct"/>
            <w:noWrap/>
            <w:vAlign w:val="center"/>
          </w:tcPr>
          <w:p w14:paraId="6A6DF8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18F10B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AAF3E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BF1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491222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F94E6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6728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6CD30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5.05E-06</w:t>
            </w:r>
          </w:p>
        </w:tc>
        <w:tc>
          <w:tcPr>
            <w:tcW w:w="749" w:type="pct"/>
            <w:noWrap/>
            <w:vAlign w:val="center"/>
          </w:tcPr>
          <w:p w14:paraId="0AD275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w:t>
            </w:r>
          </w:p>
        </w:tc>
        <w:tc>
          <w:tcPr>
            <w:tcW w:w="588" w:type="pct"/>
            <w:noWrap/>
            <w:vAlign w:val="center"/>
          </w:tcPr>
          <w:p w14:paraId="5BD636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B381A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76228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continue"/>
            <w:noWrap/>
            <w:vAlign w:val="center"/>
          </w:tcPr>
          <w:p w14:paraId="56F1FC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334DF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7F4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FAEE6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8.68E-08</w:t>
            </w:r>
          </w:p>
        </w:tc>
        <w:tc>
          <w:tcPr>
            <w:tcW w:w="749" w:type="pct"/>
            <w:noWrap/>
            <w:vAlign w:val="center"/>
          </w:tcPr>
          <w:p w14:paraId="3FF34A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20485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E8E5D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245D8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66" w:type="pct"/>
            <w:vMerge w:val="restart"/>
            <w:noWrap/>
            <w:vAlign w:val="center"/>
          </w:tcPr>
          <w:p w14:paraId="03D10B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1210" w:type="pct"/>
            <w:vMerge w:val="restart"/>
            <w:noWrap/>
            <w:vAlign w:val="center"/>
          </w:tcPr>
          <w:p w14:paraId="39B4FC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绥芬河市广播电视局</w:t>
            </w:r>
          </w:p>
        </w:tc>
        <w:tc>
          <w:tcPr>
            <w:tcW w:w="608" w:type="pct"/>
            <w:noWrap/>
            <w:vAlign w:val="center"/>
          </w:tcPr>
          <w:p w14:paraId="48F1C8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D20F8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2.74E-04</w:t>
            </w:r>
          </w:p>
        </w:tc>
        <w:tc>
          <w:tcPr>
            <w:tcW w:w="749" w:type="pct"/>
            <w:noWrap/>
            <w:vAlign w:val="center"/>
          </w:tcPr>
          <w:p w14:paraId="1BC727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9B26A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3EA05B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9B4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366" w:type="pct"/>
            <w:vMerge w:val="continue"/>
            <w:noWrap/>
            <w:vAlign w:val="center"/>
          </w:tcPr>
          <w:p w14:paraId="0F8B4C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5E4D4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EFBFE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87719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1.87E-05</w:t>
            </w:r>
          </w:p>
        </w:tc>
        <w:tc>
          <w:tcPr>
            <w:tcW w:w="749" w:type="pct"/>
            <w:noWrap/>
            <w:vAlign w:val="center"/>
          </w:tcPr>
          <w:p w14:paraId="3E8509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7AAB03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22438C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6DE57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614553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C290A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8A3B2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5D408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6.51E-07</w:t>
            </w:r>
          </w:p>
        </w:tc>
        <w:tc>
          <w:tcPr>
            <w:tcW w:w="749" w:type="pct"/>
            <w:noWrap/>
            <w:vAlign w:val="center"/>
          </w:tcPr>
          <w:p w14:paraId="7D711B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261C6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ED3E7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1E437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66" w:type="pct"/>
            <w:vMerge w:val="restart"/>
            <w:noWrap/>
            <w:vAlign w:val="center"/>
          </w:tcPr>
          <w:p w14:paraId="3E581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1210" w:type="pct"/>
            <w:vMerge w:val="restart"/>
            <w:noWrap/>
            <w:vAlign w:val="center"/>
          </w:tcPr>
          <w:p w14:paraId="73D728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红太阳未来星幼儿园</w:t>
            </w:r>
          </w:p>
        </w:tc>
        <w:tc>
          <w:tcPr>
            <w:tcW w:w="608" w:type="pct"/>
            <w:noWrap/>
            <w:vAlign w:val="center"/>
          </w:tcPr>
          <w:p w14:paraId="5E67B3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EE986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2.69E-04</w:t>
            </w:r>
          </w:p>
        </w:tc>
        <w:tc>
          <w:tcPr>
            <w:tcW w:w="749" w:type="pct"/>
            <w:noWrap/>
            <w:vAlign w:val="center"/>
          </w:tcPr>
          <w:p w14:paraId="4146F8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09AC01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17F76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18F26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66" w:type="pct"/>
            <w:vMerge w:val="continue"/>
            <w:noWrap/>
            <w:vAlign w:val="center"/>
          </w:tcPr>
          <w:p w14:paraId="243294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BB054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6F1B2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444A5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4.07E-05</w:t>
            </w:r>
          </w:p>
        </w:tc>
        <w:tc>
          <w:tcPr>
            <w:tcW w:w="749" w:type="pct"/>
            <w:noWrap/>
            <w:vAlign w:val="center"/>
          </w:tcPr>
          <w:p w14:paraId="050555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22069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509610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E79F6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155111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41833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F914B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134DA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1.31E-06</w:t>
            </w:r>
          </w:p>
        </w:tc>
        <w:tc>
          <w:tcPr>
            <w:tcW w:w="749" w:type="pct"/>
            <w:noWrap/>
            <w:vAlign w:val="center"/>
          </w:tcPr>
          <w:p w14:paraId="650B1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921E5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DF03E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7FED2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5A480C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1210" w:type="pct"/>
            <w:vMerge w:val="restart"/>
            <w:noWrap/>
            <w:vAlign w:val="center"/>
          </w:tcPr>
          <w:p w14:paraId="11EFDA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金恒基小学</w:t>
            </w:r>
          </w:p>
        </w:tc>
        <w:tc>
          <w:tcPr>
            <w:tcW w:w="608" w:type="pct"/>
            <w:noWrap/>
            <w:vAlign w:val="center"/>
          </w:tcPr>
          <w:p w14:paraId="54ABAA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6B225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2.30E-04</w:t>
            </w:r>
          </w:p>
        </w:tc>
        <w:tc>
          <w:tcPr>
            <w:tcW w:w="749" w:type="pct"/>
            <w:noWrap/>
            <w:vAlign w:val="center"/>
          </w:tcPr>
          <w:p w14:paraId="2539DA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06461C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195D0C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CC14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22C61F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BDCDF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827F6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0A49A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2.61E-05</w:t>
            </w:r>
          </w:p>
        </w:tc>
        <w:tc>
          <w:tcPr>
            <w:tcW w:w="749" w:type="pct"/>
            <w:noWrap/>
            <w:vAlign w:val="center"/>
          </w:tcPr>
          <w:p w14:paraId="21EFF6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67106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230020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8001F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52C8D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BC06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B9FB3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D40C1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4.41E-07</w:t>
            </w:r>
          </w:p>
        </w:tc>
        <w:tc>
          <w:tcPr>
            <w:tcW w:w="749" w:type="pct"/>
            <w:noWrap/>
            <w:vAlign w:val="center"/>
          </w:tcPr>
          <w:p w14:paraId="0EE067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413BC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148D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892E3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6532CF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1210" w:type="pct"/>
            <w:vMerge w:val="restart"/>
            <w:noWrap/>
            <w:vAlign w:val="center"/>
          </w:tcPr>
          <w:p w14:paraId="023CC2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弘孟幼儿园</w:t>
            </w:r>
          </w:p>
        </w:tc>
        <w:tc>
          <w:tcPr>
            <w:tcW w:w="608" w:type="pct"/>
            <w:noWrap/>
            <w:vAlign w:val="center"/>
          </w:tcPr>
          <w:p w14:paraId="71ADD4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3AA6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2.10E-04</w:t>
            </w:r>
          </w:p>
        </w:tc>
        <w:tc>
          <w:tcPr>
            <w:tcW w:w="749" w:type="pct"/>
            <w:noWrap/>
            <w:vAlign w:val="center"/>
          </w:tcPr>
          <w:p w14:paraId="789D3D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69FABD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567DDE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B21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continue"/>
            <w:noWrap/>
            <w:vAlign w:val="center"/>
          </w:tcPr>
          <w:p w14:paraId="426B9A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FF326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A6422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1EB48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2.75E-05</w:t>
            </w:r>
          </w:p>
        </w:tc>
        <w:tc>
          <w:tcPr>
            <w:tcW w:w="749" w:type="pct"/>
            <w:noWrap/>
            <w:vAlign w:val="center"/>
          </w:tcPr>
          <w:p w14:paraId="661627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82717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FA9B2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40BA7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continue"/>
            <w:noWrap/>
            <w:vAlign w:val="center"/>
          </w:tcPr>
          <w:p w14:paraId="0AAF2B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CDDDB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37188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77F16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4.63E-07</w:t>
            </w:r>
          </w:p>
        </w:tc>
        <w:tc>
          <w:tcPr>
            <w:tcW w:w="749" w:type="pct"/>
            <w:noWrap/>
            <w:vAlign w:val="center"/>
          </w:tcPr>
          <w:p w14:paraId="28C8E0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E550B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0BC01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7645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7B22D3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1210" w:type="pct"/>
            <w:vMerge w:val="restart"/>
            <w:noWrap/>
            <w:vAlign w:val="center"/>
          </w:tcPr>
          <w:p w14:paraId="2FFE16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红太阳幼儿园</w:t>
            </w:r>
          </w:p>
        </w:tc>
        <w:tc>
          <w:tcPr>
            <w:tcW w:w="608" w:type="pct"/>
            <w:noWrap/>
            <w:vAlign w:val="center"/>
          </w:tcPr>
          <w:p w14:paraId="257F01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7EC1A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3.13E-04</w:t>
            </w:r>
          </w:p>
        </w:tc>
        <w:tc>
          <w:tcPr>
            <w:tcW w:w="749" w:type="pct"/>
            <w:noWrap/>
            <w:vAlign w:val="center"/>
          </w:tcPr>
          <w:p w14:paraId="0252B5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2F31F9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06A285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044A2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366" w:type="pct"/>
            <w:vMerge w:val="continue"/>
            <w:noWrap/>
            <w:vAlign w:val="center"/>
          </w:tcPr>
          <w:p w14:paraId="31F26F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EE24F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353D5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4BFBA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5.16E-05</w:t>
            </w:r>
          </w:p>
        </w:tc>
        <w:tc>
          <w:tcPr>
            <w:tcW w:w="749" w:type="pct"/>
            <w:noWrap/>
            <w:vAlign w:val="center"/>
          </w:tcPr>
          <w:p w14:paraId="3634EF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3130DC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4EDA1E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B9467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continue"/>
            <w:noWrap/>
            <w:vAlign w:val="center"/>
          </w:tcPr>
          <w:p w14:paraId="5E4769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5A944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4AC33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F31C8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1.52E-06</w:t>
            </w:r>
          </w:p>
        </w:tc>
        <w:tc>
          <w:tcPr>
            <w:tcW w:w="749" w:type="pct"/>
            <w:noWrap/>
            <w:vAlign w:val="center"/>
          </w:tcPr>
          <w:p w14:paraId="6CCC62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96C15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7A4AE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311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restart"/>
            <w:noWrap/>
            <w:vAlign w:val="center"/>
          </w:tcPr>
          <w:p w14:paraId="25C46E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1210" w:type="pct"/>
            <w:vMerge w:val="restart"/>
            <w:noWrap/>
            <w:vAlign w:val="center"/>
          </w:tcPr>
          <w:p w14:paraId="56187D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千里幼稚园</w:t>
            </w:r>
          </w:p>
        </w:tc>
        <w:tc>
          <w:tcPr>
            <w:tcW w:w="608" w:type="pct"/>
            <w:noWrap/>
            <w:vAlign w:val="center"/>
          </w:tcPr>
          <w:p w14:paraId="7D02DD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3CC5C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3.67E-04</w:t>
            </w:r>
          </w:p>
        </w:tc>
        <w:tc>
          <w:tcPr>
            <w:tcW w:w="749" w:type="pct"/>
            <w:noWrap/>
            <w:vAlign w:val="center"/>
          </w:tcPr>
          <w:p w14:paraId="6BE27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69A10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6126A0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119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366" w:type="pct"/>
            <w:vMerge w:val="continue"/>
            <w:noWrap/>
            <w:vAlign w:val="center"/>
          </w:tcPr>
          <w:p w14:paraId="77265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5E331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BFDAA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B0169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4.22E-05</w:t>
            </w:r>
          </w:p>
        </w:tc>
        <w:tc>
          <w:tcPr>
            <w:tcW w:w="749" w:type="pct"/>
            <w:noWrap/>
            <w:vAlign w:val="center"/>
          </w:tcPr>
          <w:p w14:paraId="73FBEF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44BCE7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370DA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770E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366" w:type="pct"/>
            <w:vMerge w:val="continue"/>
            <w:noWrap/>
            <w:vAlign w:val="center"/>
          </w:tcPr>
          <w:p w14:paraId="522A57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20214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6189E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3050D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1.85E-06</w:t>
            </w:r>
          </w:p>
        </w:tc>
        <w:tc>
          <w:tcPr>
            <w:tcW w:w="749" w:type="pct"/>
            <w:noWrap/>
            <w:vAlign w:val="center"/>
          </w:tcPr>
          <w:p w14:paraId="5874F7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3339B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C3513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EE3D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66" w:type="pct"/>
            <w:vMerge w:val="restart"/>
            <w:noWrap/>
            <w:vAlign w:val="center"/>
          </w:tcPr>
          <w:p w14:paraId="7BBE77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1210" w:type="pct"/>
            <w:vMerge w:val="restart"/>
            <w:noWrap/>
            <w:vAlign w:val="center"/>
          </w:tcPr>
          <w:p w14:paraId="2EEDBA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绥芬河市第一中学</w:t>
            </w:r>
          </w:p>
        </w:tc>
        <w:tc>
          <w:tcPr>
            <w:tcW w:w="608" w:type="pct"/>
            <w:noWrap/>
            <w:vAlign w:val="center"/>
          </w:tcPr>
          <w:p w14:paraId="30E3FA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B3ED9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2.94E-04</w:t>
            </w:r>
          </w:p>
        </w:tc>
        <w:tc>
          <w:tcPr>
            <w:tcW w:w="749" w:type="pct"/>
            <w:noWrap/>
            <w:vAlign w:val="center"/>
          </w:tcPr>
          <w:p w14:paraId="001D5F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A9CE2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6829CC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BA1C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366" w:type="pct"/>
            <w:vMerge w:val="continue"/>
            <w:noWrap/>
            <w:vAlign w:val="center"/>
          </w:tcPr>
          <w:p w14:paraId="1FA6CF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EB19C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76DD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7A57E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4.48E-05</w:t>
            </w:r>
          </w:p>
        </w:tc>
        <w:tc>
          <w:tcPr>
            <w:tcW w:w="749" w:type="pct"/>
            <w:noWrap/>
            <w:vAlign w:val="center"/>
          </w:tcPr>
          <w:p w14:paraId="62E53E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5A659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F57BC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EB930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continue"/>
            <w:noWrap/>
            <w:vAlign w:val="center"/>
          </w:tcPr>
          <w:p w14:paraId="57021B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34577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70F7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AA425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2.82E-06</w:t>
            </w:r>
          </w:p>
        </w:tc>
        <w:tc>
          <w:tcPr>
            <w:tcW w:w="749" w:type="pct"/>
            <w:noWrap/>
            <w:vAlign w:val="center"/>
          </w:tcPr>
          <w:p w14:paraId="014A58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FCB0F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6C691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410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7E9CB3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1210" w:type="pct"/>
            <w:vMerge w:val="restart"/>
            <w:noWrap/>
            <w:vAlign w:val="center"/>
          </w:tcPr>
          <w:p w14:paraId="4C6203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商都幼儿园</w:t>
            </w:r>
          </w:p>
        </w:tc>
        <w:tc>
          <w:tcPr>
            <w:tcW w:w="608" w:type="pct"/>
            <w:noWrap/>
            <w:vAlign w:val="center"/>
          </w:tcPr>
          <w:p w14:paraId="765D81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74775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2.40E-04</w:t>
            </w:r>
          </w:p>
        </w:tc>
        <w:tc>
          <w:tcPr>
            <w:tcW w:w="749" w:type="pct"/>
            <w:noWrap/>
            <w:vAlign w:val="center"/>
          </w:tcPr>
          <w:p w14:paraId="44B37D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24103110</w:t>
            </w:r>
          </w:p>
        </w:tc>
        <w:tc>
          <w:tcPr>
            <w:tcW w:w="588" w:type="pct"/>
            <w:noWrap/>
            <w:vAlign w:val="center"/>
          </w:tcPr>
          <w:p w14:paraId="240EA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7483E9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719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366" w:type="pct"/>
            <w:vMerge w:val="continue"/>
            <w:noWrap/>
            <w:vAlign w:val="center"/>
          </w:tcPr>
          <w:p w14:paraId="14AF91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41956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C85E3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60ABC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4.13E-05</w:t>
            </w:r>
          </w:p>
        </w:tc>
        <w:tc>
          <w:tcPr>
            <w:tcW w:w="749" w:type="pct"/>
            <w:noWrap/>
            <w:vAlign w:val="center"/>
          </w:tcPr>
          <w:p w14:paraId="20A6EC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397DF1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219A42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34B9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366" w:type="pct"/>
            <w:vMerge w:val="continue"/>
            <w:noWrap/>
            <w:vAlign w:val="center"/>
          </w:tcPr>
          <w:p w14:paraId="4F0D23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121CF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6353F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045DE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3.08E-06</w:t>
            </w:r>
          </w:p>
        </w:tc>
        <w:tc>
          <w:tcPr>
            <w:tcW w:w="749" w:type="pct"/>
            <w:noWrap/>
            <w:vAlign w:val="center"/>
          </w:tcPr>
          <w:p w14:paraId="56EBE4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24C0C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4FBFD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833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6" w:type="pct"/>
            <w:vMerge w:val="restart"/>
            <w:noWrap/>
            <w:vAlign w:val="center"/>
          </w:tcPr>
          <w:p w14:paraId="307C50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1210" w:type="pct"/>
            <w:vMerge w:val="restart"/>
            <w:noWrap/>
            <w:vAlign w:val="center"/>
          </w:tcPr>
          <w:p w14:paraId="1DB839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608" w:type="pct"/>
            <w:noWrap/>
            <w:vAlign w:val="center"/>
          </w:tcPr>
          <w:p w14:paraId="3A84A7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A2DD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1.50E-04</w:t>
            </w:r>
          </w:p>
        </w:tc>
        <w:tc>
          <w:tcPr>
            <w:tcW w:w="749" w:type="pct"/>
            <w:noWrap/>
            <w:vAlign w:val="center"/>
          </w:tcPr>
          <w:p w14:paraId="3AF349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7BC15C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585346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DB7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366" w:type="pct"/>
            <w:vMerge w:val="continue"/>
            <w:noWrap/>
            <w:vAlign w:val="center"/>
          </w:tcPr>
          <w:p w14:paraId="068A2C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7A6D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D445C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6B86B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7.37E-06</w:t>
            </w:r>
          </w:p>
        </w:tc>
        <w:tc>
          <w:tcPr>
            <w:tcW w:w="749" w:type="pct"/>
            <w:noWrap/>
            <w:vAlign w:val="center"/>
          </w:tcPr>
          <w:p w14:paraId="6A2FCE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2E0A0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36542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2C0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54DF3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1CA06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C74B6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F219F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1.18E-07</w:t>
            </w:r>
          </w:p>
        </w:tc>
        <w:tc>
          <w:tcPr>
            <w:tcW w:w="749" w:type="pct"/>
            <w:noWrap/>
            <w:vAlign w:val="center"/>
          </w:tcPr>
          <w:p w14:paraId="7677DF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CF21D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8B748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7AD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restart"/>
            <w:noWrap/>
            <w:vAlign w:val="center"/>
          </w:tcPr>
          <w:p w14:paraId="26EB13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1210" w:type="pct"/>
            <w:vMerge w:val="restart"/>
            <w:noWrap/>
            <w:vAlign w:val="center"/>
          </w:tcPr>
          <w:p w14:paraId="305826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608" w:type="pct"/>
            <w:noWrap/>
            <w:vAlign w:val="center"/>
          </w:tcPr>
          <w:p w14:paraId="34904F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194CB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1.39E-04</w:t>
            </w:r>
          </w:p>
        </w:tc>
        <w:tc>
          <w:tcPr>
            <w:tcW w:w="749" w:type="pct"/>
            <w:noWrap/>
            <w:vAlign w:val="center"/>
          </w:tcPr>
          <w:p w14:paraId="6D4009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42459E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2A1E2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0C6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72B897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F041A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22A57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01021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5.82E-06</w:t>
            </w:r>
          </w:p>
        </w:tc>
        <w:tc>
          <w:tcPr>
            <w:tcW w:w="749" w:type="pct"/>
            <w:noWrap/>
            <w:vAlign w:val="center"/>
          </w:tcPr>
          <w:p w14:paraId="150CEA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w:t>
            </w:r>
          </w:p>
        </w:tc>
        <w:tc>
          <w:tcPr>
            <w:tcW w:w="588" w:type="pct"/>
            <w:noWrap/>
            <w:vAlign w:val="center"/>
          </w:tcPr>
          <w:p w14:paraId="6ACC2F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5A4EA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3DF1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vMerge w:val="continue"/>
            <w:noWrap/>
            <w:vAlign w:val="center"/>
          </w:tcPr>
          <w:p w14:paraId="22A447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89D75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61486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A6F89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9.62E-08</w:t>
            </w:r>
          </w:p>
        </w:tc>
        <w:tc>
          <w:tcPr>
            <w:tcW w:w="749" w:type="pct"/>
            <w:noWrap/>
            <w:vAlign w:val="center"/>
          </w:tcPr>
          <w:p w14:paraId="2A6AE7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965C5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B7594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63477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vMerge w:val="restart"/>
            <w:noWrap/>
            <w:vAlign w:val="center"/>
          </w:tcPr>
          <w:p w14:paraId="7E24F6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1210" w:type="pct"/>
            <w:vMerge w:val="restart"/>
            <w:noWrap/>
            <w:vAlign w:val="center"/>
          </w:tcPr>
          <w:p w14:paraId="349156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绥芬河市第三中学</w:t>
            </w:r>
          </w:p>
        </w:tc>
        <w:tc>
          <w:tcPr>
            <w:tcW w:w="608" w:type="pct"/>
            <w:noWrap/>
            <w:vAlign w:val="center"/>
          </w:tcPr>
          <w:p w14:paraId="2E9E09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2457D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3.16E-04</w:t>
            </w:r>
          </w:p>
        </w:tc>
        <w:tc>
          <w:tcPr>
            <w:tcW w:w="749" w:type="pct"/>
            <w:noWrap/>
            <w:vAlign w:val="center"/>
          </w:tcPr>
          <w:p w14:paraId="70A014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2FE03D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610EE8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39B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2AEA44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1F66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AFFCD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ABE5D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2.29E-05</w:t>
            </w:r>
          </w:p>
        </w:tc>
        <w:tc>
          <w:tcPr>
            <w:tcW w:w="749" w:type="pct"/>
            <w:noWrap/>
            <w:vAlign w:val="center"/>
          </w:tcPr>
          <w:p w14:paraId="33E657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195DB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43B87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64D9F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68C88A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D551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CF181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DB665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8.63E-07</w:t>
            </w:r>
          </w:p>
        </w:tc>
        <w:tc>
          <w:tcPr>
            <w:tcW w:w="749" w:type="pct"/>
            <w:noWrap/>
            <w:vAlign w:val="center"/>
          </w:tcPr>
          <w:p w14:paraId="6C8F81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34348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37FFD7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D3AC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214165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1210" w:type="pct"/>
            <w:vMerge w:val="restart"/>
            <w:noWrap/>
            <w:vAlign w:val="center"/>
          </w:tcPr>
          <w:p w14:paraId="2C5C50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旅游局家属楼</w:t>
            </w:r>
          </w:p>
        </w:tc>
        <w:tc>
          <w:tcPr>
            <w:tcW w:w="608" w:type="pct"/>
            <w:noWrap/>
            <w:vAlign w:val="center"/>
          </w:tcPr>
          <w:p w14:paraId="73D6C5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66AE6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4.10E-03</w:t>
            </w:r>
          </w:p>
        </w:tc>
        <w:tc>
          <w:tcPr>
            <w:tcW w:w="749" w:type="pct"/>
            <w:noWrap/>
            <w:vAlign w:val="center"/>
          </w:tcPr>
          <w:p w14:paraId="3147F2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24081206</w:t>
            </w:r>
          </w:p>
        </w:tc>
        <w:tc>
          <w:tcPr>
            <w:tcW w:w="588" w:type="pct"/>
            <w:noWrap/>
            <w:vAlign w:val="center"/>
          </w:tcPr>
          <w:p w14:paraId="6EE7CB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0.91</w:t>
            </w:r>
          </w:p>
        </w:tc>
        <w:tc>
          <w:tcPr>
            <w:tcW w:w="608" w:type="pct"/>
            <w:noWrap/>
            <w:vAlign w:val="center"/>
          </w:tcPr>
          <w:p w14:paraId="343D48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C82A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6955BD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3EB6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29AE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236C1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2.13E-04</w:t>
            </w:r>
          </w:p>
        </w:tc>
        <w:tc>
          <w:tcPr>
            <w:tcW w:w="749" w:type="pct"/>
            <w:noWrap/>
            <w:vAlign w:val="center"/>
          </w:tcPr>
          <w:p w14:paraId="162768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68D4DC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2209B1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4C6B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4A11EE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B4A56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4316A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3CCA3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2.64E-05</w:t>
            </w:r>
          </w:p>
        </w:tc>
        <w:tc>
          <w:tcPr>
            <w:tcW w:w="749" w:type="pct"/>
            <w:noWrap/>
            <w:vAlign w:val="center"/>
          </w:tcPr>
          <w:p w14:paraId="3F6285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5CD4E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7EA9F4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AE82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restart"/>
            <w:noWrap/>
            <w:vAlign w:val="center"/>
          </w:tcPr>
          <w:p w14:paraId="337AAD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1210" w:type="pct"/>
            <w:vMerge w:val="restart"/>
            <w:noWrap/>
            <w:vAlign w:val="center"/>
          </w:tcPr>
          <w:p w14:paraId="0FE3A0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新安幸福嘉园</w:t>
            </w:r>
          </w:p>
        </w:tc>
        <w:tc>
          <w:tcPr>
            <w:tcW w:w="608" w:type="pct"/>
            <w:noWrap/>
            <w:vAlign w:val="center"/>
          </w:tcPr>
          <w:p w14:paraId="2CFBA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320A4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7.84E-04</w:t>
            </w:r>
          </w:p>
        </w:tc>
        <w:tc>
          <w:tcPr>
            <w:tcW w:w="749" w:type="pct"/>
            <w:noWrap/>
            <w:vAlign w:val="center"/>
          </w:tcPr>
          <w:p w14:paraId="74E73B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24062319</w:t>
            </w:r>
          </w:p>
        </w:tc>
        <w:tc>
          <w:tcPr>
            <w:tcW w:w="588" w:type="pct"/>
            <w:noWrap/>
            <w:vAlign w:val="center"/>
          </w:tcPr>
          <w:p w14:paraId="19534C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69FFDF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1FB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66" w:type="pct"/>
            <w:vMerge w:val="continue"/>
            <w:noWrap/>
            <w:vAlign w:val="center"/>
          </w:tcPr>
          <w:p w14:paraId="52E067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F5921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69896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E880C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7.53E-05</w:t>
            </w:r>
          </w:p>
        </w:tc>
        <w:tc>
          <w:tcPr>
            <w:tcW w:w="749" w:type="pct"/>
            <w:noWrap/>
            <w:vAlign w:val="center"/>
          </w:tcPr>
          <w:p w14:paraId="7B3974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240819</w:t>
            </w:r>
          </w:p>
        </w:tc>
        <w:tc>
          <w:tcPr>
            <w:tcW w:w="588" w:type="pct"/>
            <w:noWrap/>
            <w:vAlign w:val="center"/>
          </w:tcPr>
          <w:p w14:paraId="5B2819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0C3799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5019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continue"/>
            <w:noWrap/>
            <w:vAlign w:val="center"/>
          </w:tcPr>
          <w:p w14:paraId="2A5E82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7D6C8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900DC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890ED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6.17E-06</w:t>
            </w:r>
          </w:p>
        </w:tc>
        <w:tc>
          <w:tcPr>
            <w:tcW w:w="749" w:type="pct"/>
            <w:noWrap/>
            <w:vAlign w:val="center"/>
          </w:tcPr>
          <w:p w14:paraId="21D84F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DFA3D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11A46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40614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vMerge w:val="restart"/>
            <w:noWrap/>
            <w:vAlign w:val="center"/>
          </w:tcPr>
          <w:p w14:paraId="2A339C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1210" w:type="pct"/>
            <w:vMerge w:val="restart"/>
            <w:noWrap/>
            <w:vAlign w:val="center"/>
          </w:tcPr>
          <w:p w14:paraId="3DF509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中兴小区</w:t>
            </w:r>
          </w:p>
        </w:tc>
        <w:tc>
          <w:tcPr>
            <w:tcW w:w="608" w:type="pct"/>
            <w:noWrap/>
            <w:vAlign w:val="center"/>
          </w:tcPr>
          <w:p w14:paraId="1276EE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06AAE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2.71E-04</w:t>
            </w:r>
          </w:p>
        </w:tc>
        <w:tc>
          <w:tcPr>
            <w:tcW w:w="749" w:type="pct"/>
            <w:noWrap/>
            <w:vAlign w:val="center"/>
          </w:tcPr>
          <w:p w14:paraId="5E683B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3C4FD8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6413F4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E2E4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366" w:type="pct"/>
            <w:vMerge w:val="continue"/>
            <w:noWrap/>
            <w:vAlign w:val="center"/>
          </w:tcPr>
          <w:p w14:paraId="27B23B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296A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F55B4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81E41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2.27E-05</w:t>
            </w:r>
          </w:p>
        </w:tc>
        <w:tc>
          <w:tcPr>
            <w:tcW w:w="749" w:type="pct"/>
            <w:noWrap/>
            <w:vAlign w:val="center"/>
          </w:tcPr>
          <w:p w14:paraId="59BF9C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1E3E90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2F0EB0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08B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366" w:type="pct"/>
            <w:vMerge w:val="continue"/>
            <w:noWrap/>
            <w:vAlign w:val="center"/>
          </w:tcPr>
          <w:p w14:paraId="073626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C8FF3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F4B8D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3CCC4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7.11E-07</w:t>
            </w:r>
          </w:p>
        </w:tc>
        <w:tc>
          <w:tcPr>
            <w:tcW w:w="749" w:type="pct"/>
            <w:noWrap/>
            <w:vAlign w:val="center"/>
          </w:tcPr>
          <w:p w14:paraId="3200BB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F656F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E9215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72F3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366" w:type="pct"/>
            <w:vMerge w:val="restart"/>
            <w:noWrap/>
            <w:vAlign w:val="center"/>
          </w:tcPr>
          <w:p w14:paraId="0E133E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1210" w:type="pct"/>
            <w:vMerge w:val="restart"/>
            <w:noWrap/>
            <w:vAlign w:val="center"/>
          </w:tcPr>
          <w:p w14:paraId="0B8BA8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绥兴社区</w:t>
            </w:r>
          </w:p>
        </w:tc>
        <w:tc>
          <w:tcPr>
            <w:tcW w:w="608" w:type="pct"/>
            <w:noWrap/>
            <w:vAlign w:val="center"/>
          </w:tcPr>
          <w:p w14:paraId="492784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F7001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2.77E-04</w:t>
            </w:r>
          </w:p>
        </w:tc>
        <w:tc>
          <w:tcPr>
            <w:tcW w:w="749" w:type="pct"/>
            <w:noWrap/>
            <w:vAlign w:val="center"/>
          </w:tcPr>
          <w:p w14:paraId="04C5AD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65099B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3D75CB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EDD3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66" w:type="pct"/>
            <w:vMerge w:val="continue"/>
            <w:noWrap/>
            <w:vAlign w:val="center"/>
          </w:tcPr>
          <w:p w14:paraId="2B9CCE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5DC3B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9F503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83083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3.70E-05</w:t>
            </w:r>
          </w:p>
        </w:tc>
        <w:tc>
          <w:tcPr>
            <w:tcW w:w="749" w:type="pct"/>
            <w:noWrap/>
            <w:vAlign w:val="center"/>
          </w:tcPr>
          <w:p w14:paraId="2CA6C4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631C4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7C1287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2157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2C65CD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D9BB9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AA2DA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12588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8.11E-07</w:t>
            </w:r>
          </w:p>
        </w:tc>
        <w:tc>
          <w:tcPr>
            <w:tcW w:w="749" w:type="pct"/>
            <w:noWrap/>
            <w:vAlign w:val="center"/>
          </w:tcPr>
          <w:p w14:paraId="141D9F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55F50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BD2D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687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restart"/>
            <w:noWrap/>
            <w:vAlign w:val="center"/>
          </w:tcPr>
          <w:p w14:paraId="13A66B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1210" w:type="pct"/>
            <w:vMerge w:val="restart"/>
            <w:noWrap/>
            <w:vAlign w:val="center"/>
          </w:tcPr>
          <w:p w14:paraId="4C34F8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608" w:type="pct"/>
            <w:noWrap/>
            <w:vAlign w:val="center"/>
          </w:tcPr>
          <w:p w14:paraId="3B8570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59E0C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3.50E-04</w:t>
            </w:r>
          </w:p>
        </w:tc>
        <w:tc>
          <w:tcPr>
            <w:tcW w:w="749" w:type="pct"/>
            <w:noWrap/>
            <w:vAlign w:val="center"/>
          </w:tcPr>
          <w:p w14:paraId="38B473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24111911</w:t>
            </w:r>
          </w:p>
        </w:tc>
        <w:tc>
          <w:tcPr>
            <w:tcW w:w="588" w:type="pct"/>
            <w:noWrap/>
            <w:vAlign w:val="center"/>
          </w:tcPr>
          <w:p w14:paraId="5C2F0B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37AB4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5B8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3A27B9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127B9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8C69A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80E3B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1.06E-04</w:t>
            </w:r>
          </w:p>
        </w:tc>
        <w:tc>
          <w:tcPr>
            <w:tcW w:w="749" w:type="pct"/>
            <w:noWrap/>
            <w:vAlign w:val="center"/>
          </w:tcPr>
          <w:p w14:paraId="4C7828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240301</w:t>
            </w:r>
          </w:p>
        </w:tc>
        <w:tc>
          <w:tcPr>
            <w:tcW w:w="588" w:type="pct"/>
            <w:noWrap/>
            <w:vAlign w:val="center"/>
          </w:tcPr>
          <w:p w14:paraId="7E7F6F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55827F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618F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vMerge w:val="continue"/>
            <w:noWrap/>
            <w:vAlign w:val="center"/>
          </w:tcPr>
          <w:p w14:paraId="49EBE4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694FE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63185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DA2E1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1.41E-05</w:t>
            </w:r>
          </w:p>
        </w:tc>
        <w:tc>
          <w:tcPr>
            <w:tcW w:w="749" w:type="pct"/>
            <w:noWrap/>
            <w:vAlign w:val="center"/>
          </w:tcPr>
          <w:p w14:paraId="7619E8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A4C0A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7E9188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E442E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restart"/>
            <w:noWrap/>
            <w:vAlign w:val="center"/>
          </w:tcPr>
          <w:p w14:paraId="501568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1210" w:type="pct"/>
            <w:vMerge w:val="restart"/>
            <w:noWrap/>
            <w:vAlign w:val="center"/>
          </w:tcPr>
          <w:p w14:paraId="12F38B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凯丰小区</w:t>
            </w:r>
          </w:p>
        </w:tc>
        <w:tc>
          <w:tcPr>
            <w:tcW w:w="608" w:type="pct"/>
            <w:noWrap/>
            <w:vAlign w:val="center"/>
          </w:tcPr>
          <w:p w14:paraId="6B9286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B1D5B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3.89E-04</w:t>
            </w:r>
          </w:p>
        </w:tc>
        <w:tc>
          <w:tcPr>
            <w:tcW w:w="749" w:type="pct"/>
            <w:noWrap/>
            <w:vAlign w:val="center"/>
          </w:tcPr>
          <w:p w14:paraId="140231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0436D0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0EE1E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14A2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366" w:type="pct"/>
            <w:vMerge w:val="continue"/>
            <w:noWrap/>
            <w:vAlign w:val="center"/>
          </w:tcPr>
          <w:p w14:paraId="73FF88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3FB96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D1D8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17D68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6.53E-05</w:t>
            </w:r>
          </w:p>
        </w:tc>
        <w:tc>
          <w:tcPr>
            <w:tcW w:w="749" w:type="pct"/>
            <w:noWrap/>
            <w:vAlign w:val="center"/>
          </w:tcPr>
          <w:p w14:paraId="6EAD3B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200FD6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5D1942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9409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continue"/>
            <w:noWrap/>
            <w:vAlign w:val="center"/>
          </w:tcPr>
          <w:p w14:paraId="5B5C19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2D23D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0B5E8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A1491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3.33E-06</w:t>
            </w:r>
          </w:p>
        </w:tc>
        <w:tc>
          <w:tcPr>
            <w:tcW w:w="749" w:type="pct"/>
            <w:noWrap/>
            <w:vAlign w:val="center"/>
          </w:tcPr>
          <w:p w14:paraId="457DCB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8B87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E066E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28E3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vMerge w:val="restart"/>
            <w:noWrap/>
            <w:vAlign w:val="center"/>
          </w:tcPr>
          <w:p w14:paraId="66506B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1210" w:type="pct"/>
            <w:vMerge w:val="restart"/>
            <w:noWrap/>
            <w:vAlign w:val="center"/>
          </w:tcPr>
          <w:p w14:paraId="62ABEC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澳运阳光花园</w:t>
            </w:r>
          </w:p>
        </w:tc>
        <w:tc>
          <w:tcPr>
            <w:tcW w:w="608" w:type="pct"/>
            <w:noWrap/>
            <w:vAlign w:val="center"/>
          </w:tcPr>
          <w:p w14:paraId="3A1C19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197E3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2.54E-04</w:t>
            </w:r>
          </w:p>
        </w:tc>
        <w:tc>
          <w:tcPr>
            <w:tcW w:w="749" w:type="pct"/>
            <w:noWrap/>
            <w:vAlign w:val="center"/>
          </w:tcPr>
          <w:p w14:paraId="0C15DE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24042017</w:t>
            </w:r>
          </w:p>
        </w:tc>
        <w:tc>
          <w:tcPr>
            <w:tcW w:w="588" w:type="pct"/>
            <w:noWrap/>
            <w:vAlign w:val="center"/>
          </w:tcPr>
          <w:p w14:paraId="41E767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6BCF9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DE04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64E91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536A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AD04F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8128A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4.85E-05</w:t>
            </w:r>
          </w:p>
        </w:tc>
        <w:tc>
          <w:tcPr>
            <w:tcW w:w="749" w:type="pct"/>
            <w:noWrap/>
            <w:vAlign w:val="center"/>
          </w:tcPr>
          <w:p w14:paraId="3A81FC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w:t>
            </w:r>
          </w:p>
        </w:tc>
        <w:tc>
          <w:tcPr>
            <w:tcW w:w="588" w:type="pct"/>
            <w:noWrap/>
            <w:vAlign w:val="center"/>
          </w:tcPr>
          <w:p w14:paraId="668D19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02C172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809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45489E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A5635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E8A1C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ADF14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2.22E-06</w:t>
            </w:r>
          </w:p>
        </w:tc>
        <w:tc>
          <w:tcPr>
            <w:tcW w:w="749" w:type="pct"/>
            <w:noWrap/>
            <w:vAlign w:val="center"/>
          </w:tcPr>
          <w:p w14:paraId="6897A4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1022E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A2453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E8D74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vMerge w:val="restart"/>
            <w:noWrap/>
            <w:vAlign w:val="center"/>
          </w:tcPr>
          <w:p w14:paraId="69B6F8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1210" w:type="pct"/>
            <w:vMerge w:val="restart"/>
            <w:noWrap/>
            <w:vAlign w:val="center"/>
          </w:tcPr>
          <w:p w14:paraId="377DB6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朝阳村</w:t>
            </w:r>
          </w:p>
        </w:tc>
        <w:tc>
          <w:tcPr>
            <w:tcW w:w="608" w:type="pct"/>
            <w:noWrap/>
            <w:vAlign w:val="center"/>
          </w:tcPr>
          <w:p w14:paraId="78EE8F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665C6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2.43E-04</w:t>
            </w:r>
          </w:p>
        </w:tc>
        <w:tc>
          <w:tcPr>
            <w:tcW w:w="749" w:type="pct"/>
            <w:noWrap/>
            <w:vAlign w:val="center"/>
          </w:tcPr>
          <w:p w14:paraId="39BCC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24042107</w:t>
            </w:r>
          </w:p>
        </w:tc>
        <w:tc>
          <w:tcPr>
            <w:tcW w:w="588" w:type="pct"/>
            <w:noWrap/>
            <w:vAlign w:val="center"/>
          </w:tcPr>
          <w:p w14:paraId="5CF3A2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6088B2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42781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61BA0A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79A8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F9AF3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368CC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4.04E-05</w:t>
            </w:r>
          </w:p>
        </w:tc>
        <w:tc>
          <w:tcPr>
            <w:tcW w:w="749" w:type="pct"/>
            <w:noWrap/>
            <w:vAlign w:val="center"/>
          </w:tcPr>
          <w:p w14:paraId="4E3435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240327</w:t>
            </w:r>
          </w:p>
        </w:tc>
        <w:tc>
          <w:tcPr>
            <w:tcW w:w="588" w:type="pct"/>
            <w:noWrap/>
            <w:vAlign w:val="center"/>
          </w:tcPr>
          <w:p w14:paraId="5C75E0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C03B4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95E9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445A95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62218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5AEC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20FB6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1.65E-06</w:t>
            </w:r>
          </w:p>
        </w:tc>
        <w:tc>
          <w:tcPr>
            <w:tcW w:w="749" w:type="pct"/>
            <w:noWrap/>
            <w:vAlign w:val="center"/>
          </w:tcPr>
          <w:p w14:paraId="05D6E5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1EFAF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6A6D7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8982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366" w:type="pct"/>
            <w:vMerge w:val="restart"/>
            <w:noWrap/>
            <w:vAlign w:val="center"/>
          </w:tcPr>
          <w:p w14:paraId="0B2C4E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1210" w:type="pct"/>
            <w:vMerge w:val="restart"/>
            <w:noWrap/>
            <w:vAlign w:val="center"/>
          </w:tcPr>
          <w:p w14:paraId="53C6F1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宏隆花园</w:t>
            </w:r>
          </w:p>
        </w:tc>
        <w:tc>
          <w:tcPr>
            <w:tcW w:w="608" w:type="pct"/>
            <w:noWrap/>
            <w:vAlign w:val="center"/>
          </w:tcPr>
          <w:p w14:paraId="45CFCF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02770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2.69E-04</w:t>
            </w:r>
          </w:p>
        </w:tc>
        <w:tc>
          <w:tcPr>
            <w:tcW w:w="749" w:type="pct"/>
            <w:noWrap/>
            <w:vAlign w:val="center"/>
          </w:tcPr>
          <w:p w14:paraId="3FD624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24031909</w:t>
            </w:r>
          </w:p>
        </w:tc>
        <w:tc>
          <w:tcPr>
            <w:tcW w:w="588" w:type="pct"/>
            <w:noWrap/>
            <w:vAlign w:val="center"/>
          </w:tcPr>
          <w:p w14:paraId="12336C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5ACBE6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4E30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366" w:type="pct"/>
            <w:vMerge w:val="continue"/>
            <w:noWrap/>
            <w:vAlign w:val="center"/>
          </w:tcPr>
          <w:p w14:paraId="3666A4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3A2F8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35F24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67A65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3.68E-05</w:t>
            </w:r>
          </w:p>
        </w:tc>
        <w:tc>
          <w:tcPr>
            <w:tcW w:w="749" w:type="pct"/>
            <w:noWrap/>
            <w:vAlign w:val="center"/>
          </w:tcPr>
          <w:p w14:paraId="65A1A3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36913B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25B32A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8E23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366" w:type="pct"/>
            <w:vMerge w:val="continue"/>
            <w:noWrap/>
            <w:vAlign w:val="center"/>
          </w:tcPr>
          <w:p w14:paraId="4C6C87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90E5F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49731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A2D34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8.70E-07</w:t>
            </w:r>
          </w:p>
        </w:tc>
        <w:tc>
          <w:tcPr>
            <w:tcW w:w="749" w:type="pct"/>
            <w:noWrap/>
            <w:vAlign w:val="center"/>
          </w:tcPr>
          <w:p w14:paraId="56A1AB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462894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8D3BB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CD959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021B1A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1210" w:type="pct"/>
            <w:vMerge w:val="restart"/>
            <w:noWrap/>
            <w:vAlign w:val="center"/>
          </w:tcPr>
          <w:p w14:paraId="3EF8A1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中福名都花园</w:t>
            </w:r>
          </w:p>
        </w:tc>
        <w:tc>
          <w:tcPr>
            <w:tcW w:w="608" w:type="pct"/>
            <w:noWrap/>
            <w:vAlign w:val="center"/>
          </w:tcPr>
          <w:p w14:paraId="4B78A4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0B391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2.53E-04</w:t>
            </w:r>
          </w:p>
        </w:tc>
        <w:tc>
          <w:tcPr>
            <w:tcW w:w="749" w:type="pct"/>
            <w:noWrap/>
            <w:vAlign w:val="center"/>
          </w:tcPr>
          <w:p w14:paraId="0542CA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1EDD59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6ED5F4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AC5C4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366" w:type="pct"/>
            <w:vMerge w:val="continue"/>
            <w:noWrap/>
            <w:vAlign w:val="center"/>
          </w:tcPr>
          <w:p w14:paraId="6776B4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BB162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EDC45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CF839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2.98E-05</w:t>
            </w:r>
          </w:p>
        </w:tc>
        <w:tc>
          <w:tcPr>
            <w:tcW w:w="749" w:type="pct"/>
            <w:noWrap/>
            <w:vAlign w:val="center"/>
          </w:tcPr>
          <w:p w14:paraId="38FC47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120EE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0B379E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322C8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366" w:type="pct"/>
            <w:vMerge w:val="continue"/>
            <w:noWrap/>
            <w:vAlign w:val="center"/>
          </w:tcPr>
          <w:p w14:paraId="4D62DD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1047D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DBA8E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C711C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5.81E-07</w:t>
            </w:r>
          </w:p>
        </w:tc>
        <w:tc>
          <w:tcPr>
            <w:tcW w:w="749" w:type="pct"/>
            <w:noWrap/>
            <w:vAlign w:val="center"/>
          </w:tcPr>
          <w:p w14:paraId="480F7D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01059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F4E74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30C9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vMerge w:val="restart"/>
            <w:noWrap/>
            <w:vAlign w:val="center"/>
          </w:tcPr>
          <w:p w14:paraId="7E636F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1210" w:type="pct"/>
            <w:vMerge w:val="restart"/>
            <w:noWrap/>
            <w:vAlign w:val="center"/>
          </w:tcPr>
          <w:p w14:paraId="2A53D4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康健花园</w:t>
            </w:r>
          </w:p>
        </w:tc>
        <w:tc>
          <w:tcPr>
            <w:tcW w:w="608" w:type="pct"/>
            <w:noWrap/>
            <w:vAlign w:val="center"/>
          </w:tcPr>
          <w:p w14:paraId="0F06F2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14A80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2.43E-04</w:t>
            </w:r>
          </w:p>
        </w:tc>
        <w:tc>
          <w:tcPr>
            <w:tcW w:w="749" w:type="pct"/>
            <w:noWrap/>
            <w:vAlign w:val="center"/>
          </w:tcPr>
          <w:p w14:paraId="406560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41C0B9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02211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58D4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718B3F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AE98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21380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6A722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3.32E-05</w:t>
            </w:r>
          </w:p>
        </w:tc>
        <w:tc>
          <w:tcPr>
            <w:tcW w:w="749" w:type="pct"/>
            <w:noWrap/>
            <w:vAlign w:val="center"/>
          </w:tcPr>
          <w:p w14:paraId="12087E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2D81CF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428D3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9887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046951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DD1E7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9DEDA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046CF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2.59E-06</w:t>
            </w:r>
          </w:p>
        </w:tc>
        <w:tc>
          <w:tcPr>
            <w:tcW w:w="749" w:type="pct"/>
            <w:noWrap/>
            <w:vAlign w:val="center"/>
          </w:tcPr>
          <w:p w14:paraId="7BDBB2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7BAAF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8BD03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1707D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vMerge w:val="restart"/>
            <w:noWrap/>
            <w:vAlign w:val="center"/>
          </w:tcPr>
          <w:p w14:paraId="198E7A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1210" w:type="pct"/>
            <w:vMerge w:val="restart"/>
            <w:noWrap/>
            <w:vAlign w:val="center"/>
          </w:tcPr>
          <w:p w14:paraId="6756A8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海融安居里</w:t>
            </w:r>
          </w:p>
        </w:tc>
        <w:tc>
          <w:tcPr>
            <w:tcW w:w="608" w:type="pct"/>
            <w:noWrap/>
            <w:vAlign w:val="center"/>
          </w:tcPr>
          <w:p w14:paraId="27EB5D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5BDFE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4.68E-04</w:t>
            </w:r>
          </w:p>
        </w:tc>
        <w:tc>
          <w:tcPr>
            <w:tcW w:w="749" w:type="pct"/>
            <w:noWrap/>
            <w:vAlign w:val="center"/>
          </w:tcPr>
          <w:p w14:paraId="186299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34281A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6A0A01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19AF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vMerge w:val="continue"/>
            <w:noWrap/>
            <w:vAlign w:val="center"/>
          </w:tcPr>
          <w:p w14:paraId="4AFE2F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0C069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44232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6CC08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4.28E-05</w:t>
            </w:r>
          </w:p>
        </w:tc>
        <w:tc>
          <w:tcPr>
            <w:tcW w:w="749" w:type="pct"/>
            <w:noWrap/>
            <w:vAlign w:val="center"/>
          </w:tcPr>
          <w:p w14:paraId="3EE92A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31C111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112B75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AEC23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366" w:type="pct"/>
            <w:vMerge w:val="continue"/>
            <w:noWrap/>
            <w:vAlign w:val="center"/>
          </w:tcPr>
          <w:p w14:paraId="47C9B2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62F63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9CB2E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F276E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3.67E-06</w:t>
            </w:r>
          </w:p>
        </w:tc>
        <w:tc>
          <w:tcPr>
            <w:tcW w:w="749" w:type="pct"/>
            <w:noWrap/>
            <w:vAlign w:val="center"/>
          </w:tcPr>
          <w:p w14:paraId="3EEAD3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E0434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09A3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0EAF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restart"/>
            <w:noWrap/>
            <w:vAlign w:val="center"/>
          </w:tcPr>
          <w:p w14:paraId="528325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1210" w:type="pct"/>
            <w:vMerge w:val="restart"/>
            <w:noWrap/>
            <w:vAlign w:val="center"/>
          </w:tcPr>
          <w:p w14:paraId="24BABF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海融富华苑</w:t>
            </w:r>
          </w:p>
        </w:tc>
        <w:tc>
          <w:tcPr>
            <w:tcW w:w="608" w:type="pct"/>
            <w:noWrap/>
            <w:vAlign w:val="center"/>
          </w:tcPr>
          <w:p w14:paraId="291D7A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458BD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1.14E-04</w:t>
            </w:r>
          </w:p>
        </w:tc>
        <w:tc>
          <w:tcPr>
            <w:tcW w:w="749" w:type="pct"/>
            <w:noWrap/>
            <w:vAlign w:val="center"/>
          </w:tcPr>
          <w:p w14:paraId="0EFC29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0D4E36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7B99B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65475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366" w:type="pct"/>
            <w:vMerge w:val="continue"/>
            <w:noWrap/>
            <w:vAlign w:val="center"/>
          </w:tcPr>
          <w:p w14:paraId="3904FF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2765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FD88B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35A07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6.10E-06</w:t>
            </w:r>
          </w:p>
        </w:tc>
        <w:tc>
          <w:tcPr>
            <w:tcW w:w="749" w:type="pct"/>
            <w:noWrap/>
            <w:vAlign w:val="center"/>
          </w:tcPr>
          <w:p w14:paraId="4FE8F6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0D15F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632A8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5CD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366" w:type="pct"/>
            <w:vMerge w:val="continue"/>
            <w:noWrap/>
            <w:vAlign w:val="center"/>
          </w:tcPr>
          <w:p w14:paraId="6D53BA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9586D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F6DB1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F82D2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1.06E-07</w:t>
            </w:r>
          </w:p>
        </w:tc>
        <w:tc>
          <w:tcPr>
            <w:tcW w:w="749" w:type="pct"/>
            <w:noWrap/>
            <w:vAlign w:val="center"/>
          </w:tcPr>
          <w:p w14:paraId="5E4368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04D32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B48F8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24E8B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366" w:type="pct"/>
            <w:vMerge w:val="restart"/>
            <w:noWrap/>
            <w:vAlign w:val="center"/>
          </w:tcPr>
          <w:p w14:paraId="461B7C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1210" w:type="pct"/>
            <w:vMerge w:val="restart"/>
            <w:noWrap/>
            <w:vAlign w:val="center"/>
          </w:tcPr>
          <w:p w14:paraId="6E424F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好景园小区</w:t>
            </w:r>
          </w:p>
        </w:tc>
        <w:tc>
          <w:tcPr>
            <w:tcW w:w="608" w:type="pct"/>
            <w:noWrap/>
            <w:vAlign w:val="center"/>
          </w:tcPr>
          <w:p w14:paraId="21D8E1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5F8FB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1.42E-04</w:t>
            </w:r>
          </w:p>
        </w:tc>
        <w:tc>
          <w:tcPr>
            <w:tcW w:w="749" w:type="pct"/>
            <w:noWrap/>
            <w:vAlign w:val="center"/>
          </w:tcPr>
          <w:p w14:paraId="536631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7E416B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4AE5D3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2CE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vMerge w:val="continue"/>
            <w:noWrap/>
            <w:vAlign w:val="center"/>
          </w:tcPr>
          <w:p w14:paraId="3340DE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B9FA8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290FD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61E07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6.56E-06</w:t>
            </w:r>
          </w:p>
        </w:tc>
        <w:tc>
          <w:tcPr>
            <w:tcW w:w="749" w:type="pct"/>
            <w:noWrap/>
            <w:vAlign w:val="center"/>
          </w:tcPr>
          <w:p w14:paraId="03072C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48894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5045D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AC4B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1651E2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658A4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90794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F7EE7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1.28E-07</w:t>
            </w:r>
          </w:p>
        </w:tc>
        <w:tc>
          <w:tcPr>
            <w:tcW w:w="749" w:type="pct"/>
            <w:noWrap/>
            <w:vAlign w:val="center"/>
          </w:tcPr>
          <w:p w14:paraId="78FA55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AF338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19C266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A95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restart"/>
            <w:noWrap/>
            <w:vAlign w:val="center"/>
          </w:tcPr>
          <w:p w14:paraId="0EED3F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1210" w:type="pct"/>
            <w:vMerge w:val="restart"/>
            <w:noWrap/>
            <w:vAlign w:val="center"/>
          </w:tcPr>
          <w:p w14:paraId="0C70FB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旗苑家园</w:t>
            </w:r>
          </w:p>
        </w:tc>
        <w:tc>
          <w:tcPr>
            <w:tcW w:w="608" w:type="pct"/>
            <w:noWrap/>
            <w:vAlign w:val="center"/>
          </w:tcPr>
          <w:p w14:paraId="5892F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53C23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1.24E-04</w:t>
            </w:r>
          </w:p>
        </w:tc>
        <w:tc>
          <w:tcPr>
            <w:tcW w:w="749" w:type="pct"/>
            <w:noWrap/>
            <w:vAlign w:val="center"/>
          </w:tcPr>
          <w:p w14:paraId="08AD3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78A3F1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667C3F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625C7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366" w:type="pct"/>
            <w:vMerge w:val="continue"/>
            <w:noWrap/>
            <w:vAlign w:val="center"/>
          </w:tcPr>
          <w:p w14:paraId="14FEF6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2B74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E2B80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ACF26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5.19E-06</w:t>
            </w:r>
          </w:p>
        </w:tc>
        <w:tc>
          <w:tcPr>
            <w:tcW w:w="749" w:type="pct"/>
            <w:noWrap/>
            <w:vAlign w:val="center"/>
          </w:tcPr>
          <w:p w14:paraId="601398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w:t>
            </w:r>
          </w:p>
        </w:tc>
        <w:tc>
          <w:tcPr>
            <w:tcW w:w="588" w:type="pct"/>
            <w:noWrap/>
            <w:vAlign w:val="center"/>
          </w:tcPr>
          <w:p w14:paraId="1DF314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B9B65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8230E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366" w:type="pct"/>
            <w:vMerge w:val="continue"/>
            <w:noWrap/>
            <w:vAlign w:val="center"/>
          </w:tcPr>
          <w:p w14:paraId="7C9640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18B5F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2177C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BA347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9.46E-08</w:t>
            </w:r>
          </w:p>
        </w:tc>
        <w:tc>
          <w:tcPr>
            <w:tcW w:w="749" w:type="pct"/>
            <w:noWrap/>
            <w:vAlign w:val="center"/>
          </w:tcPr>
          <w:p w14:paraId="67AD0F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05121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FC89F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2BA5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vMerge w:val="restart"/>
            <w:noWrap/>
            <w:vAlign w:val="center"/>
          </w:tcPr>
          <w:p w14:paraId="04B6C2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1210" w:type="pct"/>
            <w:vMerge w:val="restart"/>
            <w:noWrap/>
            <w:vAlign w:val="center"/>
          </w:tcPr>
          <w:p w14:paraId="2C6B49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兴达家园</w:t>
            </w:r>
          </w:p>
        </w:tc>
        <w:tc>
          <w:tcPr>
            <w:tcW w:w="608" w:type="pct"/>
            <w:noWrap/>
            <w:vAlign w:val="center"/>
          </w:tcPr>
          <w:p w14:paraId="2363C7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7E6A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8.65E-05</w:t>
            </w:r>
          </w:p>
        </w:tc>
        <w:tc>
          <w:tcPr>
            <w:tcW w:w="749" w:type="pct"/>
            <w:noWrap/>
            <w:vAlign w:val="center"/>
          </w:tcPr>
          <w:p w14:paraId="2C1BAD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502027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F3354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238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10EEB2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6568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71616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D5E9F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4.01E-06</w:t>
            </w:r>
          </w:p>
        </w:tc>
        <w:tc>
          <w:tcPr>
            <w:tcW w:w="749" w:type="pct"/>
            <w:noWrap/>
            <w:vAlign w:val="center"/>
          </w:tcPr>
          <w:p w14:paraId="701C3F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4A2D0C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DD8C3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1FB4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78A9DB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C36A6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54269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26A9C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1.37E-07</w:t>
            </w:r>
          </w:p>
        </w:tc>
        <w:tc>
          <w:tcPr>
            <w:tcW w:w="749" w:type="pct"/>
            <w:noWrap/>
            <w:vAlign w:val="center"/>
          </w:tcPr>
          <w:p w14:paraId="77A49F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6D55C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068AA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49654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vMerge w:val="restart"/>
            <w:noWrap/>
            <w:vAlign w:val="center"/>
          </w:tcPr>
          <w:p w14:paraId="57A647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1210" w:type="pct"/>
            <w:vMerge w:val="restart"/>
            <w:noWrap/>
            <w:vAlign w:val="center"/>
          </w:tcPr>
          <w:p w14:paraId="496AFA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协会大厦</w:t>
            </w:r>
          </w:p>
        </w:tc>
        <w:tc>
          <w:tcPr>
            <w:tcW w:w="608" w:type="pct"/>
            <w:noWrap/>
            <w:vAlign w:val="center"/>
          </w:tcPr>
          <w:p w14:paraId="680593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CC93B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7.13E-04</w:t>
            </w:r>
          </w:p>
        </w:tc>
        <w:tc>
          <w:tcPr>
            <w:tcW w:w="749" w:type="pct"/>
            <w:noWrap/>
            <w:vAlign w:val="center"/>
          </w:tcPr>
          <w:p w14:paraId="56DFFB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24042818</w:t>
            </w:r>
          </w:p>
        </w:tc>
        <w:tc>
          <w:tcPr>
            <w:tcW w:w="588" w:type="pct"/>
            <w:noWrap/>
            <w:vAlign w:val="center"/>
          </w:tcPr>
          <w:p w14:paraId="516B39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0EB7D2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4ED6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continue"/>
            <w:noWrap/>
            <w:vAlign w:val="center"/>
          </w:tcPr>
          <w:p w14:paraId="2F3A77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E8FCA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2756D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13809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5.88E-05</w:t>
            </w:r>
          </w:p>
        </w:tc>
        <w:tc>
          <w:tcPr>
            <w:tcW w:w="749" w:type="pct"/>
            <w:noWrap/>
            <w:vAlign w:val="center"/>
          </w:tcPr>
          <w:p w14:paraId="0AA4E5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240507</w:t>
            </w:r>
          </w:p>
        </w:tc>
        <w:tc>
          <w:tcPr>
            <w:tcW w:w="588" w:type="pct"/>
            <w:noWrap/>
            <w:vAlign w:val="center"/>
          </w:tcPr>
          <w:p w14:paraId="59DAFD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62DF95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66A1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66" w:type="pct"/>
            <w:vMerge w:val="continue"/>
            <w:noWrap/>
            <w:vAlign w:val="center"/>
          </w:tcPr>
          <w:p w14:paraId="3D98BA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3714F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ACB2D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8BF24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1.83E-06</w:t>
            </w:r>
          </w:p>
        </w:tc>
        <w:tc>
          <w:tcPr>
            <w:tcW w:w="749" w:type="pct"/>
            <w:noWrap/>
            <w:vAlign w:val="center"/>
          </w:tcPr>
          <w:p w14:paraId="2AEBDB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F1F31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24E71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349DB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366" w:type="pct"/>
            <w:vMerge w:val="restart"/>
            <w:noWrap/>
            <w:vAlign w:val="center"/>
          </w:tcPr>
          <w:p w14:paraId="286E05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1210" w:type="pct"/>
            <w:vMerge w:val="restart"/>
            <w:noWrap/>
            <w:vAlign w:val="center"/>
          </w:tcPr>
          <w:p w14:paraId="11AF5D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数码港宾馆</w:t>
            </w:r>
          </w:p>
        </w:tc>
        <w:tc>
          <w:tcPr>
            <w:tcW w:w="608" w:type="pct"/>
            <w:noWrap/>
            <w:vAlign w:val="center"/>
          </w:tcPr>
          <w:p w14:paraId="0936F1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9E971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9.10E-04</w:t>
            </w:r>
          </w:p>
        </w:tc>
        <w:tc>
          <w:tcPr>
            <w:tcW w:w="749" w:type="pct"/>
            <w:noWrap/>
            <w:vAlign w:val="center"/>
          </w:tcPr>
          <w:p w14:paraId="19673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24081206</w:t>
            </w:r>
          </w:p>
        </w:tc>
        <w:tc>
          <w:tcPr>
            <w:tcW w:w="588" w:type="pct"/>
            <w:noWrap/>
            <w:vAlign w:val="center"/>
          </w:tcPr>
          <w:p w14:paraId="0D89B6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0.20</w:t>
            </w:r>
          </w:p>
        </w:tc>
        <w:tc>
          <w:tcPr>
            <w:tcW w:w="608" w:type="pct"/>
            <w:noWrap/>
            <w:vAlign w:val="center"/>
          </w:tcPr>
          <w:p w14:paraId="6237A0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829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66" w:type="pct"/>
            <w:vMerge w:val="continue"/>
            <w:noWrap/>
            <w:vAlign w:val="center"/>
          </w:tcPr>
          <w:p w14:paraId="58796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7EB63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423CD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6ACF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7.54E-05</w:t>
            </w:r>
          </w:p>
        </w:tc>
        <w:tc>
          <w:tcPr>
            <w:tcW w:w="749" w:type="pct"/>
            <w:noWrap/>
            <w:vAlign w:val="center"/>
          </w:tcPr>
          <w:p w14:paraId="488966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0E362C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417C88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03113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366" w:type="pct"/>
            <w:vMerge w:val="continue"/>
            <w:noWrap/>
            <w:vAlign w:val="center"/>
          </w:tcPr>
          <w:p w14:paraId="3ABF52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B3398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2C4F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EEDDE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5.79E-06</w:t>
            </w:r>
          </w:p>
        </w:tc>
        <w:tc>
          <w:tcPr>
            <w:tcW w:w="749" w:type="pct"/>
            <w:noWrap/>
            <w:vAlign w:val="center"/>
          </w:tcPr>
          <w:p w14:paraId="08BAD6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65B45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648994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0B0C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2C8DCE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1210" w:type="pct"/>
            <w:vMerge w:val="restart"/>
            <w:noWrap/>
            <w:vAlign w:val="center"/>
          </w:tcPr>
          <w:p w14:paraId="630510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山水国际</w:t>
            </w:r>
          </w:p>
        </w:tc>
        <w:tc>
          <w:tcPr>
            <w:tcW w:w="608" w:type="pct"/>
            <w:noWrap/>
            <w:vAlign w:val="center"/>
          </w:tcPr>
          <w:p w14:paraId="2F7F72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AC4B8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4.17E-04</w:t>
            </w:r>
          </w:p>
        </w:tc>
        <w:tc>
          <w:tcPr>
            <w:tcW w:w="749" w:type="pct"/>
            <w:noWrap/>
            <w:vAlign w:val="center"/>
          </w:tcPr>
          <w:p w14:paraId="30545D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24102312</w:t>
            </w:r>
          </w:p>
        </w:tc>
        <w:tc>
          <w:tcPr>
            <w:tcW w:w="588" w:type="pct"/>
            <w:noWrap/>
            <w:vAlign w:val="center"/>
          </w:tcPr>
          <w:p w14:paraId="5CEFA8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669473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67B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66" w:type="pct"/>
            <w:vMerge w:val="continue"/>
            <w:noWrap/>
            <w:vAlign w:val="center"/>
          </w:tcPr>
          <w:p w14:paraId="73EC39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6911A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0A620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D05A9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1.05E-04</w:t>
            </w:r>
          </w:p>
        </w:tc>
        <w:tc>
          <w:tcPr>
            <w:tcW w:w="749" w:type="pct"/>
            <w:noWrap/>
            <w:vAlign w:val="center"/>
          </w:tcPr>
          <w:p w14:paraId="1D66BD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240408</w:t>
            </w:r>
          </w:p>
        </w:tc>
        <w:tc>
          <w:tcPr>
            <w:tcW w:w="588" w:type="pct"/>
            <w:noWrap/>
            <w:vAlign w:val="center"/>
          </w:tcPr>
          <w:p w14:paraId="513F6B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2B9FD1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7869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vMerge w:val="continue"/>
            <w:noWrap/>
            <w:vAlign w:val="center"/>
          </w:tcPr>
          <w:p w14:paraId="0741F3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8393D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1973E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FC15F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1.31E-05</w:t>
            </w:r>
          </w:p>
        </w:tc>
        <w:tc>
          <w:tcPr>
            <w:tcW w:w="749" w:type="pct"/>
            <w:noWrap/>
            <w:vAlign w:val="center"/>
          </w:tcPr>
          <w:p w14:paraId="46B965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7F1A9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01073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DE0E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366" w:type="pct"/>
            <w:vMerge w:val="restart"/>
            <w:noWrap/>
            <w:vAlign w:val="center"/>
          </w:tcPr>
          <w:p w14:paraId="414091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1210" w:type="pct"/>
            <w:vMerge w:val="restart"/>
            <w:noWrap/>
            <w:vAlign w:val="center"/>
          </w:tcPr>
          <w:p w14:paraId="748ED6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湖畔花园小区</w:t>
            </w:r>
          </w:p>
        </w:tc>
        <w:tc>
          <w:tcPr>
            <w:tcW w:w="608" w:type="pct"/>
            <w:noWrap/>
            <w:vAlign w:val="center"/>
          </w:tcPr>
          <w:p w14:paraId="7E3FEF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801F6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3.01E-04</w:t>
            </w:r>
          </w:p>
        </w:tc>
        <w:tc>
          <w:tcPr>
            <w:tcW w:w="749" w:type="pct"/>
            <w:noWrap/>
            <w:vAlign w:val="center"/>
          </w:tcPr>
          <w:p w14:paraId="139EA9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7B8FF8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79943A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C2757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vMerge w:val="continue"/>
            <w:noWrap/>
            <w:vAlign w:val="center"/>
          </w:tcPr>
          <w:p w14:paraId="7BF171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0CE66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01404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D1333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5.39E-05</w:t>
            </w:r>
          </w:p>
        </w:tc>
        <w:tc>
          <w:tcPr>
            <w:tcW w:w="749" w:type="pct"/>
            <w:noWrap/>
            <w:vAlign w:val="center"/>
          </w:tcPr>
          <w:p w14:paraId="5C5988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409CBC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68B503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DCE35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continue"/>
            <w:noWrap/>
            <w:vAlign w:val="center"/>
          </w:tcPr>
          <w:p w14:paraId="3F7404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45280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33CF9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62E6E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1.92E-06</w:t>
            </w:r>
          </w:p>
        </w:tc>
        <w:tc>
          <w:tcPr>
            <w:tcW w:w="749" w:type="pct"/>
            <w:noWrap/>
            <w:vAlign w:val="center"/>
          </w:tcPr>
          <w:p w14:paraId="715B4C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03D3B1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92B56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042A5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restart"/>
            <w:noWrap/>
            <w:vAlign w:val="center"/>
          </w:tcPr>
          <w:p w14:paraId="30E4E0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1210" w:type="pct"/>
            <w:vMerge w:val="restart"/>
            <w:noWrap/>
            <w:vAlign w:val="center"/>
          </w:tcPr>
          <w:p w14:paraId="75BCBD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湖滨小区</w:t>
            </w:r>
          </w:p>
        </w:tc>
        <w:tc>
          <w:tcPr>
            <w:tcW w:w="608" w:type="pct"/>
            <w:noWrap/>
            <w:vAlign w:val="center"/>
          </w:tcPr>
          <w:p w14:paraId="1B7524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490C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2.86E-04</w:t>
            </w:r>
          </w:p>
        </w:tc>
        <w:tc>
          <w:tcPr>
            <w:tcW w:w="749" w:type="pct"/>
            <w:noWrap/>
            <w:vAlign w:val="center"/>
          </w:tcPr>
          <w:p w14:paraId="2E6DD8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64D467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76A15D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82EB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2A0D3E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451AA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EE4F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6F387D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4.23E-05</w:t>
            </w:r>
          </w:p>
        </w:tc>
        <w:tc>
          <w:tcPr>
            <w:tcW w:w="749" w:type="pct"/>
            <w:noWrap/>
            <w:vAlign w:val="center"/>
          </w:tcPr>
          <w:p w14:paraId="5AAA55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w:t>
            </w:r>
          </w:p>
        </w:tc>
        <w:tc>
          <w:tcPr>
            <w:tcW w:w="588" w:type="pct"/>
            <w:noWrap/>
            <w:vAlign w:val="center"/>
          </w:tcPr>
          <w:p w14:paraId="27F105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516AE6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9B0F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vMerge w:val="continue"/>
            <w:noWrap/>
            <w:vAlign w:val="center"/>
          </w:tcPr>
          <w:p w14:paraId="3E6024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7D750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FD9E1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E4EF9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1.14E-06</w:t>
            </w:r>
          </w:p>
        </w:tc>
        <w:tc>
          <w:tcPr>
            <w:tcW w:w="749" w:type="pct"/>
            <w:noWrap/>
            <w:vAlign w:val="center"/>
          </w:tcPr>
          <w:p w14:paraId="26A83A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1F128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39D39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1BD55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restart"/>
            <w:noWrap/>
            <w:vAlign w:val="center"/>
          </w:tcPr>
          <w:p w14:paraId="00D209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1210" w:type="pct"/>
            <w:vMerge w:val="restart"/>
            <w:noWrap/>
            <w:vAlign w:val="center"/>
          </w:tcPr>
          <w:p w14:paraId="795CB3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吉祥小区</w:t>
            </w:r>
          </w:p>
        </w:tc>
        <w:tc>
          <w:tcPr>
            <w:tcW w:w="608" w:type="pct"/>
            <w:noWrap/>
            <w:vAlign w:val="center"/>
          </w:tcPr>
          <w:p w14:paraId="045F46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46DB3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9.57E-05</w:t>
            </w:r>
          </w:p>
        </w:tc>
        <w:tc>
          <w:tcPr>
            <w:tcW w:w="749" w:type="pct"/>
            <w:noWrap/>
            <w:vAlign w:val="center"/>
          </w:tcPr>
          <w:p w14:paraId="17B9C9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385110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0EFA93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1BF0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366" w:type="pct"/>
            <w:vMerge w:val="continue"/>
            <w:noWrap/>
            <w:vAlign w:val="center"/>
          </w:tcPr>
          <w:p w14:paraId="78DC2B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9CBA9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59640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F72E7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5.93E-06</w:t>
            </w:r>
          </w:p>
        </w:tc>
        <w:tc>
          <w:tcPr>
            <w:tcW w:w="749" w:type="pct"/>
            <w:noWrap/>
            <w:vAlign w:val="center"/>
          </w:tcPr>
          <w:p w14:paraId="38E88E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6799C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7CF91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BF4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366" w:type="pct"/>
            <w:vMerge w:val="continue"/>
            <w:noWrap/>
            <w:vAlign w:val="center"/>
          </w:tcPr>
          <w:p w14:paraId="5F0C9A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C2D78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3592A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1EAB18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1.13E-07</w:t>
            </w:r>
          </w:p>
        </w:tc>
        <w:tc>
          <w:tcPr>
            <w:tcW w:w="749" w:type="pct"/>
            <w:noWrap/>
            <w:vAlign w:val="center"/>
          </w:tcPr>
          <w:p w14:paraId="6A3E75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0BAAB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50F95E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2336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vMerge w:val="restart"/>
            <w:noWrap/>
            <w:vAlign w:val="center"/>
          </w:tcPr>
          <w:p w14:paraId="2AA08C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1210" w:type="pct"/>
            <w:vMerge w:val="restart"/>
            <w:noWrap/>
            <w:vAlign w:val="center"/>
          </w:tcPr>
          <w:p w14:paraId="3A2D13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天佑国际</w:t>
            </w:r>
          </w:p>
        </w:tc>
        <w:tc>
          <w:tcPr>
            <w:tcW w:w="608" w:type="pct"/>
            <w:noWrap/>
            <w:vAlign w:val="center"/>
          </w:tcPr>
          <w:p w14:paraId="2D4849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BE4D8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2.77E-04</w:t>
            </w:r>
          </w:p>
        </w:tc>
        <w:tc>
          <w:tcPr>
            <w:tcW w:w="749" w:type="pct"/>
            <w:noWrap/>
            <w:vAlign w:val="center"/>
          </w:tcPr>
          <w:p w14:paraId="3C09B3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5FF750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7DFE9C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376E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26A7E3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EA9CE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2635F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71FAF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5.40E-05</w:t>
            </w:r>
          </w:p>
        </w:tc>
        <w:tc>
          <w:tcPr>
            <w:tcW w:w="749" w:type="pct"/>
            <w:noWrap/>
            <w:vAlign w:val="center"/>
          </w:tcPr>
          <w:p w14:paraId="2F6BFB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240317</w:t>
            </w:r>
          </w:p>
        </w:tc>
        <w:tc>
          <w:tcPr>
            <w:tcW w:w="588" w:type="pct"/>
            <w:noWrap/>
            <w:vAlign w:val="center"/>
          </w:tcPr>
          <w:p w14:paraId="7D2B18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56F617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A7BE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044FB3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22A64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4560D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69EFD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3.85E-06</w:t>
            </w:r>
          </w:p>
        </w:tc>
        <w:tc>
          <w:tcPr>
            <w:tcW w:w="749" w:type="pct"/>
            <w:noWrap/>
            <w:vAlign w:val="center"/>
          </w:tcPr>
          <w:p w14:paraId="76DE33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1508DC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18B033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AAEA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vMerge w:val="restart"/>
            <w:noWrap/>
            <w:vAlign w:val="center"/>
          </w:tcPr>
          <w:p w14:paraId="352AE7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1210" w:type="pct"/>
            <w:vMerge w:val="restart"/>
            <w:noWrap/>
            <w:vAlign w:val="center"/>
          </w:tcPr>
          <w:p w14:paraId="1E7177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前进社区</w:t>
            </w:r>
          </w:p>
        </w:tc>
        <w:tc>
          <w:tcPr>
            <w:tcW w:w="608" w:type="pct"/>
            <w:noWrap/>
            <w:vAlign w:val="center"/>
          </w:tcPr>
          <w:p w14:paraId="0CD004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834B3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3.28E-04</w:t>
            </w:r>
          </w:p>
        </w:tc>
        <w:tc>
          <w:tcPr>
            <w:tcW w:w="749" w:type="pct"/>
            <w:noWrap/>
            <w:vAlign w:val="center"/>
          </w:tcPr>
          <w:p w14:paraId="5D67A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24101108</w:t>
            </w:r>
          </w:p>
        </w:tc>
        <w:tc>
          <w:tcPr>
            <w:tcW w:w="588" w:type="pct"/>
            <w:noWrap/>
            <w:vAlign w:val="center"/>
          </w:tcPr>
          <w:p w14:paraId="3FCA79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2910F7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E20D3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366" w:type="pct"/>
            <w:vMerge w:val="continue"/>
            <w:noWrap/>
            <w:vAlign w:val="center"/>
          </w:tcPr>
          <w:p w14:paraId="44D29D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0E947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C72A7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0B02AB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2.62E-05</w:t>
            </w:r>
          </w:p>
        </w:tc>
        <w:tc>
          <w:tcPr>
            <w:tcW w:w="749" w:type="pct"/>
            <w:noWrap/>
            <w:vAlign w:val="center"/>
          </w:tcPr>
          <w:p w14:paraId="62D10E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517F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18F654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2310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vMerge w:val="continue"/>
            <w:noWrap/>
            <w:vAlign w:val="center"/>
          </w:tcPr>
          <w:p w14:paraId="1DD5FC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9824E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F5EED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0A6F6F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1.34E-06</w:t>
            </w:r>
          </w:p>
        </w:tc>
        <w:tc>
          <w:tcPr>
            <w:tcW w:w="749" w:type="pct"/>
            <w:noWrap/>
            <w:vAlign w:val="center"/>
          </w:tcPr>
          <w:p w14:paraId="3885D2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9FCAA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ABA92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969D8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66" w:type="pct"/>
            <w:vMerge w:val="restart"/>
            <w:noWrap/>
            <w:vAlign w:val="center"/>
          </w:tcPr>
          <w:p w14:paraId="3846F8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1210" w:type="pct"/>
            <w:vMerge w:val="restart"/>
            <w:noWrap/>
            <w:vAlign w:val="center"/>
          </w:tcPr>
          <w:p w14:paraId="7F7EAB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幸福家园</w:t>
            </w:r>
          </w:p>
        </w:tc>
        <w:tc>
          <w:tcPr>
            <w:tcW w:w="608" w:type="pct"/>
            <w:noWrap/>
            <w:vAlign w:val="center"/>
          </w:tcPr>
          <w:p w14:paraId="6E18BE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7243F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4.69E-04</w:t>
            </w:r>
          </w:p>
        </w:tc>
        <w:tc>
          <w:tcPr>
            <w:tcW w:w="749" w:type="pct"/>
            <w:noWrap/>
            <w:vAlign w:val="center"/>
          </w:tcPr>
          <w:p w14:paraId="4FEDF9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D32E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2F6455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3FDB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366" w:type="pct"/>
            <w:vMerge w:val="continue"/>
            <w:noWrap/>
            <w:vAlign w:val="center"/>
          </w:tcPr>
          <w:p w14:paraId="4126A9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4A4F9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784AC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D97E5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5.57E-05</w:t>
            </w:r>
          </w:p>
        </w:tc>
        <w:tc>
          <w:tcPr>
            <w:tcW w:w="749" w:type="pct"/>
            <w:noWrap/>
            <w:vAlign w:val="center"/>
          </w:tcPr>
          <w:p w14:paraId="03E67C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241122</w:t>
            </w:r>
          </w:p>
        </w:tc>
        <w:tc>
          <w:tcPr>
            <w:tcW w:w="588" w:type="pct"/>
            <w:noWrap/>
            <w:vAlign w:val="center"/>
          </w:tcPr>
          <w:p w14:paraId="796A75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0BABDC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0B62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366" w:type="pct"/>
            <w:vMerge w:val="continue"/>
            <w:noWrap/>
            <w:vAlign w:val="center"/>
          </w:tcPr>
          <w:p w14:paraId="3D060E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A5BF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8648D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36366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5.00E-06</w:t>
            </w:r>
          </w:p>
        </w:tc>
        <w:tc>
          <w:tcPr>
            <w:tcW w:w="749" w:type="pct"/>
            <w:noWrap/>
            <w:vAlign w:val="center"/>
          </w:tcPr>
          <w:p w14:paraId="48CB59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3BA77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C349E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68791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366" w:type="pct"/>
            <w:vMerge w:val="restart"/>
            <w:noWrap/>
            <w:vAlign w:val="center"/>
          </w:tcPr>
          <w:p w14:paraId="73BD0A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1210" w:type="pct"/>
            <w:vMerge w:val="restart"/>
            <w:noWrap/>
            <w:vAlign w:val="center"/>
          </w:tcPr>
          <w:p w14:paraId="32C532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盛世嘉园</w:t>
            </w:r>
          </w:p>
        </w:tc>
        <w:tc>
          <w:tcPr>
            <w:tcW w:w="608" w:type="pct"/>
            <w:noWrap/>
            <w:vAlign w:val="center"/>
          </w:tcPr>
          <w:p w14:paraId="7AE295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5FF7C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2.15E-04</w:t>
            </w:r>
          </w:p>
        </w:tc>
        <w:tc>
          <w:tcPr>
            <w:tcW w:w="749" w:type="pct"/>
            <w:noWrap/>
            <w:vAlign w:val="center"/>
          </w:tcPr>
          <w:p w14:paraId="01FB38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09A2A7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6DBA4E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7D79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66" w:type="pct"/>
            <w:vMerge w:val="continue"/>
            <w:noWrap/>
            <w:vAlign w:val="center"/>
          </w:tcPr>
          <w:p w14:paraId="4B408B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B0E95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45F88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B9F7F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2.92E-05</w:t>
            </w:r>
          </w:p>
        </w:tc>
        <w:tc>
          <w:tcPr>
            <w:tcW w:w="749" w:type="pct"/>
            <w:noWrap/>
            <w:vAlign w:val="center"/>
          </w:tcPr>
          <w:p w14:paraId="0FC634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68AC6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098EA0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419F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vMerge w:val="continue"/>
            <w:noWrap/>
            <w:vAlign w:val="center"/>
          </w:tcPr>
          <w:p w14:paraId="56F9F2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EAB34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404BA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29309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5.26E-07</w:t>
            </w:r>
          </w:p>
        </w:tc>
        <w:tc>
          <w:tcPr>
            <w:tcW w:w="749" w:type="pct"/>
            <w:noWrap/>
            <w:vAlign w:val="center"/>
          </w:tcPr>
          <w:p w14:paraId="0CF0FA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F7BB4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83419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303D9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restart"/>
            <w:noWrap/>
            <w:vAlign w:val="center"/>
          </w:tcPr>
          <w:p w14:paraId="3D15B1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1210" w:type="pct"/>
            <w:vMerge w:val="restart"/>
            <w:noWrap/>
            <w:vAlign w:val="center"/>
          </w:tcPr>
          <w:p w14:paraId="685FEC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兄弟花园</w:t>
            </w:r>
          </w:p>
        </w:tc>
        <w:tc>
          <w:tcPr>
            <w:tcW w:w="608" w:type="pct"/>
            <w:noWrap/>
            <w:vAlign w:val="center"/>
          </w:tcPr>
          <w:p w14:paraId="37F1E8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D203D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1.79E-04</w:t>
            </w:r>
          </w:p>
        </w:tc>
        <w:tc>
          <w:tcPr>
            <w:tcW w:w="749" w:type="pct"/>
            <w:noWrap/>
            <w:vAlign w:val="center"/>
          </w:tcPr>
          <w:p w14:paraId="572CB8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777578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1547EA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5AB01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66" w:type="pct"/>
            <w:vMerge w:val="continue"/>
            <w:noWrap/>
            <w:vAlign w:val="center"/>
          </w:tcPr>
          <w:p w14:paraId="7FF021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97D60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5F2B5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7A0F5C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2.36E-05</w:t>
            </w:r>
          </w:p>
        </w:tc>
        <w:tc>
          <w:tcPr>
            <w:tcW w:w="749" w:type="pct"/>
            <w:noWrap/>
            <w:vAlign w:val="center"/>
          </w:tcPr>
          <w:p w14:paraId="14C676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7F1E4A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564924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DA4D9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366" w:type="pct"/>
            <w:vMerge w:val="continue"/>
            <w:noWrap/>
            <w:vAlign w:val="center"/>
          </w:tcPr>
          <w:p w14:paraId="21E82D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25DD6E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280676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318B59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3.75E-07</w:t>
            </w:r>
          </w:p>
        </w:tc>
        <w:tc>
          <w:tcPr>
            <w:tcW w:w="749" w:type="pct"/>
            <w:noWrap/>
            <w:vAlign w:val="center"/>
          </w:tcPr>
          <w:p w14:paraId="3B14CC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289CB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5F6E4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CAE0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366" w:type="pct"/>
            <w:vMerge w:val="restart"/>
            <w:noWrap/>
            <w:vAlign w:val="center"/>
          </w:tcPr>
          <w:p w14:paraId="0A8AB4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1210" w:type="pct"/>
            <w:vMerge w:val="restart"/>
            <w:noWrap/>
            <w:vAlign w:val="center"/>
          </w:tcPr>
          <w:p w14:paraId="76DCA9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608" w:type="pct"/>
            <w:noWrap/>
            <w:vAlign w:val="center"/>
          </w:tcPr>
          <w:p w14:paraId="109289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FD8AA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2.23E-04</w:t>
            </w:r>
          </w:p>
        </w:tc>
        <w:tc>
          <w:tcPr>
            <w:tcW w:w="749" w:type="pct"/>
            <w:noWrap/>
            <w:vAlign w:val="center"/>
          </w:tcPr>
          <w:p w14:paraId="72D994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722BA7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999C4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343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366" w:type="pct"/>
            <w:vMerge w:val="continue"/>
            <w:noWrap/>
            <w:vAlign w:val="center"/>
          </w:tcPr>
          <w:p w14:paraId="545370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42F5B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6B685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B114B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2.17E-05</w:t>
            </w:r>
          </w:p>
        </w:tc>
        <w:tc>
          <w:tcPr>
            <w:tcW w:w="749" w:type="pct"/>
            <w:noWrap/>
            <w:vAlign w:val="center"/>
          </w:tcPr>
          <w:p w14:paraId="413EED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5F1F8E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A3E3F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9DFA1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366" w:type="pct"/>
            <w:vMerge w:val="continue"/>
            <w:noWrap/>
            <w:vAlign w:val="center"/>
          </w:tcPr>
          <w:p w14:paraId="4A5557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CD94D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80A6B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74646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3.54E-07</w:t>
            </w:r>
          </w:p>
        </w:tc>
        <w:tc>
          <w:tcPr>
            <w:tcW w:w="749" w:type="pct"/>
            <w:noWrap/>
            <w:vAlign w:val="center"/>
          </w:tcPr>
          <w:p w14:paraId="5E702F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AED2A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22E63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FBEC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vMerge w:val="restart"/>
            <w:noWrap/>
            <w:vAlign w:val="center"/>
          </w:tcPr>
          <w:p w14:paraId="6A08D6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1210" w:type="pct"/>
            <w:vMerge w:val="restart"/>
            <w:noWrap/>
            <w:vAlign w:val="center"/>
          </w:tcPr>
          <w:p w14:paraId="32C2E9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608" w:type="pct"/>
            <w:noWrap/>
            <w:vAlign w:val="center"/>
          </w:tcPr>
          <w:p w14:paraId="546D98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7E889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2.27E-04</w:t>
            </w:r>
          </w:p>
        </w:tc>
        <w:tc>
          <w:tcPr>
            <w:tcW w:w="749" w:type="pct"/>
            <w:noWrap/>
            <w:vAlign w:val="center"/>
          </w:tcPr>
          <w:p w14:paraId="447036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4EFA2E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8C9B3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D010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66" w:type="pct"/>
            <w:vMerge w:val="continue"/>
            <w:noWrap/>
            <w:vAlign w:val="center"/>
          </w:tcPr>
          <w:p w14:paraId="3E66B1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C5508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51750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85323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1.53E-05</w:t>
            </w:r>
          </w:p>
        </w:tc>
        <w:tc>
          <w:tcPr>
            <w:tcW w:w="749" w:type="pct"/>
            <w:noWrap/>
            <w:vAlign w:val="center"/>
          </w:tcPr>
          <w:p w14:paraId="6E4255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w:t>
            </w:r>
          </w:p>
        </w:tc>
        <w:tc>
          <w:tcPr>
            <w:tcW w:w="588" w:type="pct"/>
            <w:noWrap/>
            <w:vAlign w:val="center"/>
          </w:tcPr>
          <w:p w14:paraId="086F5E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53DEBB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3145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366" w:type="pct"/>
            <w:vMerge w:val="continue"/>
            <w:noWrap/>
            <w:vAlign w:val="center"/>
          </w:tcPr>
          <w:p w14:paraId="665901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67E29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977C9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56298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2.72E-07</w:t>
            </w:r>
          </w:p>
        </w:tc>
        <w:tc>
          <w:tcPr>
            <w:tcW w:w="749" w:type="pct"/>
            <w:noWrap/>
            <w:vAlign w:val="center"/>
          </w:tcPr>
          <w:p w14:paraId="0E469B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2DF3ED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9587F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F304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restart"/>
            <w:noWrap/>
            <w:vAlign w:val="center"/>
          </w:tcPr>
          <w:p w14:paraId="67ABB8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1210" w:type="pct"/>
            <w:vMerge w:val="restart"/>
            <w:noWrap/>
            <w:vAlign w:val="center"/>
          </w:tcPr>
          <w:p w14:paraId="06A9C9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608" w:type="pct"/>
            <w:noWrap/>
            <w:vAlign w:val="center"/>
          </w:tcPr>
          <w:p w14:paraId="5BEECC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9123A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3.61E-04</w:t>
            </w:r>
          </w:p>
        </w:tc>
        <w:tc>
          <w:tcPr>
            <w:tcW w:w="749" w:type="pct"/>
            <w:noWrap/>
            <w:vAlign w:val="center"/>
          </w:tcPr>
          <w:p w14:paraId="0BE759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24061219</w:t>
            </w:r>
          </w:p>
        </w:tc>
        <w:tc>
          <w:tcPr>
            <w:tcW w:w="588" w:type="pct"/>
            <w:noWrap/>
            <w:vAlign w:val="center"/>
          </w:tcPr>
          <w:p w14:paraId="5E4824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00992B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400E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vMerge w:val="continue"/>
            <w:noWrap/>
            <w:vAlign w:val="center"/>
          </w:tcPr>
          <w:p w14:paraId="1AF404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4B0F6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EFBB9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83395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1.94E-05</w:t>
            </w:r>
          </w:p>
        </w:tc>
        <w:tc>
          <w:tcPr>
            <w:tcW w:w="749" w:type="pct"/>
            <w:noWrap/>
            <w:vAlign w:val="center"/>
          </w:tcPr>
          <w:p w14:paraId="784661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240507</w:t>
            </w:r>
          </w:p>
        </w:tc>
        <w:tc>
          <w:tcPr>
            <w:tcW w:w="588" w:type="pct"/>
            <w:noWrap/>
            <w:vAlign w:val="center"/>
          </w:tcPr>
          <w:p w14:paraId="608A32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77F01B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E0E3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366" w:type="pct"/>
            <w:vMerge w:val="continue"/>
            <w:noWrap/>
            <w:vAlign w:val="center"/>
          </w:tcPr>
          <w:p w14:paraId="32710C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7DD5C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FECC7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82D1D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7.49E-07</w:t>
            </w:r>
          </w:p>
        </w:tc>
        <w:tc>
          <w:tcPr>
            <w:tcW w:w="749" w:type="pct"/>
            <w:noWrap/>
            <w:vAlign w:val="center"/>
          </w:tcPr>
          <w:p w14:paraId="70BEDD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BE100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CE8BA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1480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vMerge w:val="restart"/>
            <w:noWrap/>
            <w:vAlign w:val="center"/>
          </w:tcPr>
          <w:p w14:paraId="06850C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1210" w:type="pct"/>
            <w:vMerge w:val="restart"/>
            <w:noWrap/>
            <w:vAlign w:val="center"/>
          </w:tcPr>
          <w:p w14:paraId="52179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608" w:type="pct"/>
            <w:noWrap/>
            <w:vAlign w:val="center"/>
          </w:tcPr>
          <w:p w14:paraId="1C52C0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98C18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3.18E-04</w:t>
            </w:r>
          </w:p>
        </w:tc>
        <w:tc>
          <w:tcPr>
            <w:tcW w:w="749" w:type="pct"/>
            <w:noWrap/>
            <w:vAlign w:val="center"/>
          </w:tcPr>
          <w:p w14:paraId="40A442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5D4630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4DA480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6981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366" w:type="pct"/>
            <w:vMerge w:val="continue"/>
            <w:noWrap/>
            <w:vAlign w:val="center"/>
          </w:tcPr>
          <w:p w14:paraId="39D3F8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127B2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D444A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4F3CE8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2.71E-05</w:t>
            </w:r>
          </w:p>
        </w:tc>
        <w:tc>
          <w:tcPr>
            <w:tcW w:w="749" w:type="pct"/>
            <w:noWrap/>
            <w:vAlign w:val="center"/>
          </w:tcPr>
          <w:p w14:paraId="7878E5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551AAC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6BD857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A5EF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vMerge w:val="continue"/>
            <w:noWrap/>
            <w:vAlign w:val="center"/>
          </w:tcPr>
          <w:p w14:paraId="083624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D514D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80524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FAA7D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9.51E-07</w:t>
            </w:r>
          </w:p>
        </w:tc>
        <w:tc>
          <w:tcPr>
            <w:tcW w:w="749" w:type="pct"/>
            <w:noWrap/>
            <w:vAlign w:val="center"/>
          </w:tcPr>
          <w:p w14:paraId="04DE1B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7C8068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E6C06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B76C7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vMerge w:val="restart"/>
            <w:noWrap/>
            <w:vAlign w:val="center"/>
          </w:tcPr>
          <w:p w14:paraId="463DEC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1210" w:type="pct"/>
            <w:vMerge w:val="restart"/>
            <w:noWrap/>
            <w:vAlign w:val="center"/>
          </w:tcPr>
          <w:p w14:paraId="6272F1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608" w:type="pct"/>
            <w:noWrap/>
            <w:vAlign w:val="center"/>
          </w:tcPr>
          <w:p w14:paraId="3C2340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60A42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3.32E-04</w:t>
            </w:r>
          </w:p>
        </w:tc>
        <w:tc>
          <w:tcPr>
            <w:tcW w:w="749" w:type="pct"/>
            <w:noWrap/>
            <w:vAlign w:val="center"/>
          </w:tcPr>
          <w:p w14:paraId="672D42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5BD261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1BA8FD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605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366" w:type="pct"/>
            <w:vMerge w:val="continue"/>
            <w:noWrap/>
            <w:vAlign w:val="center"/>
          </w:tcPr>
          <w:p w14:paraId="7EDDEA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FE819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327564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A4F59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4.84E-05</w:t>
            </w:r>
          </w:p>
        </w:tc>
        <w:tc>
          <w:tcPr>
            <w:tcW w:w="749" w:type="pct"/>
            <w:noWrap/>
            <w:vAlign w:val="center"/>
          </w:tcPr>
          <w:p w14:paraId="0688C2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1B2671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574AD9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78EE8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366" w:type="pct"/>
            <w:vMerge w:val="continue"/>
            <w:noWrap/>
            <w:vAlign w:val="center"/>
          </w:tcPr>
          <w:p w14:paraId="10342C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7312F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4648F6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EE5D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2.54E-06</w:t>
            </w:r>
          </w:p>
        </w:tc>
        <w:tc>
          <w:tcPr>
            <w:tcW w:w="749" w:type="pct"/>
            <w:noWrap/>
            <w:vAlign w:val="center"/>
          </w:tcPr>
          <w:p w14:paraId="28C398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BE5E0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7C38E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2E48E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vMerge w:val="restart"/>
            <w:noWrap/>
            <w:vAlign w:val="center"/>
          </w:tcPr>
          <w:p w14:paraId="5EB5C3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1210" w:type="pct"/>
            <w:vMerge w:val="restart"/>
            <w:noWrap/>
            <w:vAlign w:val="center"/>
          </w:tcPr>
          <w:p w14:paraId="27F0B2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608" w:type="pct"/>
            <w:noWrap/>
            <w:vAlign w:val="center"/>
          </w:tcPr>
          <w:p w14:paraId="1604FD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8C1B4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7.20E-04</w:t>
            </w:r>
          </w:p>
        </w:tc>
        <w:tc>
          <w:tcPr>
            <w:tcW w:w="749" w:type="pct"/>
            <w:noWrap/>
            <w:vAlign w:val="center"/>
          </w:tcPr>
          <w:p w14:paraId="393487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24050506</w:t>
            </w:r>
          </w:p>
        </w:tc>
        <w:tc>
          <w:tcPr>
            <w:tcW w:w="588" w:type="pct"/>
            <w:noWrap/>
            <w:vAlign w:val="center"/>
          </w:tcPr>
          <w:p w14:paraId="5B708F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0.16</w:t>
            </w:r>
          </w:p>
        </w:tc>
        <w:tc>
          <w:tcPr>
            <w:tcW w:w="608" w:type="pct"/>
            <w:noWrap/>
            <w:vAlign w:val="center"/>
          </w:tcPr>
          <w:p w14:paraId="5B8312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9091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vMerge w:val="continue"/>
            <w:noWrap/>
            <w:vAlign w:val="center"/>
          </w:tcPr>
          <w:p w14:paraId="21CAC2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5CCC1D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162EE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17301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6.33E-05</w:t>
            </w:r>
          </w:p>
        </w:tc>
        <w:tc>
          <w:tcPr>
            <w:tcW w:w="749" w:type="pct"/>
            <w:noWrap/>
            <w:vAlign w:val="center"/>
          </w:tcPr>
          <w:p w14:paraId="64C561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240507</w:t>
            </w:r>
          </w:p>
        </w:tc>
        <w:tc>
          <w:tcPr>
            <w:tcW w:w="588" w:type="pct"/>
            <w:noWrap/>
            <w:vAlign w:val="center"/>
          </w:tcPr>
          <w:p w14:paraId="57C49C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71B29D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604D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vMerge w:val="continue"/>
            <w:noWrap/>
            <w:vAlign w:val="center"/>
          </w:tcPr>
          <w:p w14:paraId="648DE7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6AA2E1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6F3F1C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F56B4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3.81E-06</w:t>
            </w:r>
          </w:p>
        </w:tc>
        <w:tc>
          <w:tcPr>
            <w:tcW w:w="749" w:type="pct"/>
            <w:noWrap/>
            <w:vAlign w:val="center"/>
          </w:tcPr>
          <w:p w14:paraId="46157B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F67AA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171E93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180B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vMerge w:val="restart"/>
            <w:noWrap/>
            <w:vAlign w:val="center"/>
          </w:tcPr>
          <w:p w14:paraId="7D4894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1210" w:type="pct"/>
            <w:vMerge w:val="restart"/>
            <w:noWrap/>
            <w:vAlign w:val="center"/>
          </w:tcPr>
          <w:p w14:paraId="7270E3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608" w:type="pct"/>
            <w:noWrap/>
            <w:vAlign w:val="center"/>
          </w:tcPr>
          <w:p w14:paraId="3A9940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CA6A3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1.08E-04</w:t>
            </w:r>
          </w:p>
        </w:tc>
        <w:tc>
          <w:tcPr>
            <w:tcW w:w="749" w:type="pct"/>
            <w:noWrap/>
            <w:vAlign w:val="center"/>
          </w:tcPr>
          <w:p w14:paraId="2D1B52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24041107</w:t>
            </w:r>
          </w:p>
        </w:tc>
        <w:tc>
          <w:tcPr>
            <w:tcW w:w="588" w:type="pct"/>
            <w:noWrap/>
            <w:vAlign w:val="center"/>
          </w:tcPr>
          <w:p w14:paraId="289B03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201462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BB066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continue"/>
            <w:noWrap/>
            <w:vAlign w:val="center"/>
          </w:tcPr>
          <w:p w14:paraId="4B50D9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4360D9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5F91A2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3FEB0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8.37E-06</w:t>
            </w:r>
          </w:p>
        </w:tc>
        <w:tc>
          <w:tcPr>
            <w:tcW w:w="749" w:type="pct"/>
            <w:noWrap/>
            <w:vAlign w:val="center"/>
          </w:tcPr>
          <w:p w14:paraId="554B75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1314B9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0.01</w:t>
            </w:r>
          </w:p>
        </w:tc>
        <w:tc>
          <w:tcPr>
            <w:tcW w:w="608" w:type="pct"/>
            <w:noWrap/>
            <w:vAlign w:val="center"/>
          </w:tcPr>
          <w:p w14:paraId="473BA7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EFE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366" w:type="pct"/>
            <w:vMerge w:val="continue"/>
            <w:noWrap/>
            <w:vAlign w:val="center"/>
          </w:tcPr>
          <w:p w14:paraId="03F0DC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F8EF9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C44A2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54327D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2.77E-07</w:t>
            </w:r>
          </w:p>
        </w:tc>
        <w:tc>
          <w:tcPr>
            <w:tcW w:w="749" w:type="pct"/>
            <w:noWrap/>
            <w:vAlign w:val="center"/>
          </w:tcPr>
          <w:p w14:paraId="0ECF33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6B12C2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7F7776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60598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vMerge w:val="restart"/>
            <w:noWrap/>
            <w:vAlign w:val="center"/>
          </w:tcPr>
          <w:p w14:paraId="0D85CB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1210" w:type="pct"/>
            <w:vMerge w:val="restart"/>
            <w:noWrap/>
            <w:vAlign w:val="center"/>
          </w:tcPr>
          <w:p w14:paraId="5472D5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608" w:type="pct"/>
            <w:noWrap/>
            <w:vAlign w:val="center"/>
          </w:tcPr>
          <w:p w14:paraId="1BF839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0499F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4.69E-04</w:t>
            </w:r>
          </w:p>
        </w:tc>
        <w:tc>
          <w:tcPr>
            <w:tcW w:w="749" w:type="pct"/>
            <w:noWrap/>
            <w:vAlign w:val="center"/>
          </w:tcPr>
          <w:p w14:paraId="1C1531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786097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19A287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173E2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366" w:type="pct"/>
            <w:vMerge w:val="continue"/>
            <w:noWrap/>
            <w:vAlign w:val="center"/>
          </w:tcPr>
          <w:p w14:paraId="3078A4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24F9E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D4566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5FADEE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3.98E-05</w:t>
            </w:r>
          </w:p>
        </w:tc>
        <w:tc>
          <w:tcPr>
            <w:tcW w:w="749" w:type="pct"/>
            <w:noWrap/>
            <w:vAlign w:val="center"/>
          </w:tcPr>
          <w:p w14:paraId="02ACA1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w:t>
            </w:r>
          </w:p>
        </w:tc>
        <w:tc>
          <w:tcPr>
            <w:tcW w:w="588" w:type="pct"/>
            <w:noWrap/>
            <w:vAlign w:val="center"/>
          </w:tcPr>
          <w:p w14:paraId="5A6789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3B399C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C39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66BC33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30AC48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1FA3B8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69A061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3.45E-06</w:t>
            </w:r>
          </w:p>
        </w:tc>
        <w:tc>
          <w:tcPr>
            <w:tcW w:w="749" w:type="pct"/>
            <w:noWrap/>
            <w:vAlign w:val="center"/>
          </w:tcPr>
          <w:p w14:paraId="4B842C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3842CC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025F6C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CC84E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0AAF61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62</w:t>
            </w:r>
          </w:p>
        </w:tc>
        <w:tc>
          <w:tcPr>
            <w:tcW w:w="1210" w:type="pct"/>
            <w:vMerge w:val="restart"/>
            <w:noWrap/>
            <w:vAlign w:val="center"/>
          </w:tcPr>
          <w:p w14:paraId="047BE4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绥芬河市传染病医院</w:t>
            </w:r>
          </w:p>
        </w:tc>
        <w:tc>
          <w:tcPr>
            <w:tcW w:w="1037" w:type="dxa"/>
            <w:noWrap/>
            <w:vAlign w:val="center"/>
          </w:tcPr>
          <w:p w14:paraId="3D28F4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4F1CB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4.66E-04</w:t>
            </w:r>
          </w:p>
        </w:tc>
        <w:tc>
          <w:tcPr>
            <w:tcW w:w="749" w:type="pct"/>
            <w:noWrap/>
            <w:vAlign w:val="center"/>
          </w:tcPr>
          <w:p w14:paraId="4F0FBF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19FD74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62672D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2763A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00EFEA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114C46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6D605D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2684DF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3.96E-05</w:t>
            </w:r>
          </w:p>
        </w:tc>
        <w:tc>
          <w:tcPr>
            <w:tcW w:w="749" w:type="pct"/>
            <w:noWrap/>
            <w:vAlign w:val="center"/>
          </w:tcPr>
          <w:p w14:paraId="239531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w:t>
            </w:r>
          </w:p>
        </w:tc>
        <w:tc>
          <w:tcPr>
            <w:tcW w:w="588" w:type="pct"/>
            <w:noWrap/>
            <w:vAlign w:val="center"/>
          </w:tcPr>
          <w:p w14:paraId="2BE30E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7A41A5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F50EA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6A1D43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EB014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37" w:type="dxa"/>
            <w:noWrap/>
            <w:vAlign w:val="center"/>
          </w:tcPr>
          <w:p w14:paraId="165961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75DD08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3.31E-06</w:t>
            </w:r>
          </w:p>
        </w:tc>
        <w:tc>
          <w:tcPr>
            <w:tcW w:w="749" w:type="pct"/>
            <w:noWrap/>
            <w:vAlign w:val="center"/>
          </w:tcPr>
          <w:p w14:paraId="604B67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43960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43D5C4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5D9D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restart"/>
            <w:noWrap/>
            <w:vAlign w:val="center"/>
          </w:tcPr>
          <w:p w14:paraId="0B1B9B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r>
              <w:rPr>
                <w:rFonts w:hint="eastAsia" w:ascii="Times New Roman" w:hAnsi="Times New Roman" w:cs="Times New Roman"/>
                <w:kern w:val="0"/>
                <w:sz w:val="21"/>
                <w:highlight w:val="none"/>
                <w:lang w:val="en-US" w:eastAsia="zh-CN" w:bidi="ar"/>
              </w:rPr>
              <w:t>3</w:t>
            </w:r>
          </w:p>
        </w:tc>
        <w:tc>
          <w:tcPr>
            <w:tcW w:w="1210" w:type="pct"/>
            <w:vMerge w:val="restart"/>
            <w:noWrap/>
            <w:vAlign w:val="center"/>
          </w:tcPr>
          <w:p w14:paraId="34722A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608" w:type="pct"/>
            <w:noWrap/>
            <w:vAlign w:val="center"/>
          </w:tcPr>
          <w:p w14:paraId="19D93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9D035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2.50E-04</w:t>
            </w:r>
          </w:p>
        </w:tc>
        <w:tc>
          <w:tcPr>
            <w:tcW w:w="749" w:type="pct"/>
            <w:noWrap/>
            <w:vAlign w:val="center"/>
          </w:tcPr>
          <w:p w14:paraId="2382AD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24050506</w:t>
            </w:r>
          </w:p>
        </w:tc>
        <w:tc>
          <w:tcPr>
            <w:tcW w:w="588" w:type="pct"/>
            <w:noWrap/>
            <w:vAlign w:val="center"/>
          </w:tcPr>
          <w:p w14:paraId="1BF6BB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6EDA82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3534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329223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792790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0AD7C4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日平均</w:t>
            </w:r>
          </w:p>
        </w:tc>
        <w:tc>
          <w:tcPr>
            <w:tcW w:w="867" w:type="pct"/>
            <w:noWrap/>
            <w:vAlign w:val="center"/>
          </w:tcPr>
          <w:p w14:paraId="17046D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3.05E-05</w:t>
            </w:r>
          </w:p>
        </w:tc>
        <w:tc>
          <w:tcPr>
            <w:tcW w:w="749" w:type="pct"/>
            <w:noWrap/>
            <w:vAlign w:val="center"/>
          </w:tcPr>
          <w:p w14:paraId="386FF2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241001</w:t>
            </w:r>
          </w:p>
        </w:tc>
        <w:tc>
          <w:tcPr>
            <w:tcW w:w="588" w:type="pct"/>
            <w:noWrap/>
            <w:vAlign w:val="center"/>
          </w:tcPr>
          <w:p w14:paraId="19E0EC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0.02</w:t>
            </w:r>
          </w:p>
        </w:tc>
        <w:tc>
          <w:tcPr>
            <w:tcW w:w="608" w:type="pct"/>
            <w:noWrap/>
            <w:vAlign w:val="center"/>
          </w:tcPr>
          <w:p w14:paraId="6C8B2D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0FA5A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vMerge w:val="continue"/>
            <w:noWrap/>
            <w:vAlign w:val="center"/>
          </w:tcPr>
          <w:p w14:paraId="130A39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p>
        </w:tc>
        <w:tc>
          <w:tcPr>
            <w:tcW w:w="1210" w:type="pct"/>
            <w:vMerge w:val="continue"/>
            <w:noWrap/>
            <w:vAlign w:val="center"/>
          </w:tcPr>
          <w:p w14:paraId="03CB14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608" w:type="pct"/>
            <w:noWrap/>
            <w:vAlign w:val="center"/>
          </w:tcPr>
          <w:p w14:paraId="7B29CF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年平均</w:t>
            </w:r>
          </w:p>
        </w:tc>
        <w:tc>
          <w:tcPr>
            <w:tcW w:w="867" w:type="pct"/>
            <w:noWrap/>
            <w:vAlign w:val="center"/>
          </w:tcPr>
          <w:p w14:paraId="42A634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2.47E-06</w:t>
            </w:r>
          </w:p>
        </w:tc>
        <w:tc>
          <w:tcPr>
            <w:tcW w:w="749" w:type="pct"/>
            <w:noWrap/>
            <w:vAlign w:val="center"/>
          </w:tcPr>
          <w:p w14:paraId="76ADDC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平均值</w:t>
            </w:r>
          </w:p>
        </w:tc>
        <w:tc>
          <w:tcPr>
            <w:tcW w:w="588" w:type="pct"/>
            <w:noWrap/>
            <w:vAlign w:val="center"/>
          </w:tcPr>
          <w:p w14:paraId="5936B5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0.00</w:t>
            </w:r>
          </w:p>
        </w:tc>
        <w:tc>
          <w:tcPr>
            <w:tcW w:w="608" w:type="pct"/>
            <w:noWrap/>
            <w:vAlign w:val="center"/>
          </w:tcPr>
          <w:p w14:paraId="642CDA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1F23707F">
      <w:pPr>
        <w:ind w:firstLine="480"/>
        <w:rPr>
          <w:rFonts w:ascii="Times New Roman" w:hAnsi="Times New Roman"/>
          <w:color w:val="auto"/>
          <w:highlight w:val="none"/>
        </w:rPr>
      </w:pPr>
      <w:r>
        <w:rPr>
          <w:rFonts w:ascii="Times New Roman" w:hAnsi="Times New Roman"/>
          <w:color w:val="auto"/>
          <w:highlight w:val="none"/>
        </w:rPr>
        <w:t>本项目PM</w:t>
      </w:r>
      <w:r>
        <w:rPr>
          <w:rFonts w:ascii="Times New Roman" w:hAnsi="Times New Roman"/>
          <w:color w:val="auto"/>
          <w:highlight w:val="none"/>
          <w:vertAlign w:val="subscript"/>
        </w:rPr>
        <w:t>10</w:t>
      </w:r>
      <w:r>
        <w:rPr>
          <w:rFonts w:ascii="Times New Roman" w:hAnsi="Times New Roman"/>
          <w:color w:val="auto"/>
          <w:highlight w:val="none"/>
        </w:rPr>
        <w:t>短期贡献浓度占标率≤100%，年均浓度贡献浓度占标率≤30%。</w:t>
      </w:r>
    </w:p>
    <w:p w14:paraId="2B8CD329">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lang w:val="en-US" w:eastAsia="zh-CN"/>
        </w:rPr>
        <w:t>4</w:t>
      </w:r>
      <w:r>
        <w:rPr>
          <w:rFonts w:ascii="Times New Roman" w:hAnsi="Times New Roman"/>
          <w:color w:val="auto"/>
          <w:highlight w:val="none"/>
        </w:rPr>
        <w:t>）本项目氨气贡献浓度预测结果分析</w:t>
      </w:r>
    </w:p>
    <w:p w14:paraId="6CF71328">
      <w:pPr>
        <w:ind w:firstLine="480"/>
        <w:rPr>
          <w:rFonts w:ascii="Times New Roman" w:hAnsi="Times New Roman"/>
          <w:color w:val="auto"/>
          <w:highlight w:val="none"/>
        </w:rPr>
      </w:pPr>
      <w:r>
        <w:rPr>
          <w:rFonts w:ascii="Times New Roman" w:hAnsi="Times New Roman"/>
          <w:color w:val="auto"/>
          <w:highlight w:val="none"/>
        </w:rPr>
        <w:t>本项目氨气对环境空气敏感点及区域最大浓度点短期贡献浓度值及占标率见表5.2-</w:t>
      </w:r>
      <w:r>
        <w:rPr>
          <w:rFonts w:hint="eastAsia" w:ascii="Times New Roman" w:hAnsi="Times New Roman"/>
          <w:color w:val="auto"/>
          <w:highlight w:val="none"/>
        </w:rPr>
        <w:t>1</w:t>
      </w:r>
      <w:r>
        <w:rPr>
          <w:rFonts w:hint="eastAsia" w:ascii="Times New Roman" w:hAnsi="Times New Roman"/>
          <w:color w:val="auto"/>
          <w:highlight w:val="none"/>
          <w:lang w:val="en-US" w:eastAsia="zh-CN"/>
        </w:rPr>
        <w:t>5</w:t>
      </w:r>
      <w:r>
        <w:rPr>
          <w:rFonts w:ascii="Times New Roman" w:hAnsi="Times New Roman"/>
          <w:color w:val="auto"/>
          <w:highlight w:val="none"/>
        </w:rPr>
        <w:t>。</w:t>
      </w:r>
    </w:p>
    <w:p w14:paraId="0CAB187F">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w:t>
      </w:r>
      <w:r>
        <w:rPr>
          <w:rFonts w:hint="eastAsia" w:ascii="Times New Roman" w:hAnsi="Times New Roman"/>
          <w:color w:val="auto"/>
          <w:highlight w:val="none"/>
          <w:lang w:val="en-US" w:eastAsia="zh-CN"/>
        </w:rPr>
        <w:t>.</w:t>
      </w:r>
      <w:r>
        <w:rPr>
          <w:rFonts w:ascii="Times New Roman" w:hAnsi="Times New Roman"/>
          <w:color w:val="auto"/>
          <w:highlight w:val="none"/>
        </w:rPr>
        <w:t>2-</w:t>
      </w:r>
      <w:r>
        <w:rPr>
          <w:rFonts w:hint="eastAsia" w:ascii="Times New Roman" w:hAnsi="Times New Roman"/>
          <w:color w:val="auto"/>
          <w:highlight w:val="none"/>
        </w:rPr>
        <w:t>1</w:t>
      </w:r>
      <w:r>
        <w:rPr>
          <w:rFonts w:hint="eastAsia" w:ascii="Times New Roman" w:hAnsi="Times New Roman"/>
          <w:color w:val="auto"/>
          <w:highlight w:val="none"/>
          <w:lang w:val="en-US" w:eastAsia="zh-CN"/>
        </w:rPr>
        <w:t>5</w:t>
      </w:r>
      <w:r>
        <w:rPr>
          <w:rFonts w:hint="eastAsia" w:ascii="黑体" w:hAnsi="黑体" w:eastAsia="黑体" w:cs="黑体"/>
          <w:color w:val="auto"/>
          <w:highlight w:val="none"/>
        </w:rPr>
        <w:t>本项目氨气贡献值预测结果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64"/>
        <w:gridCol w:w="1037"/>
        <w:gridCol w:w="1478"/>
        <w:gridCol w:w="1278"/>
        <w:gridCol w:w="1003"/>
        <w:gridCol w:w="1037"/>
      </w:tblGrid>
      <w:tr w14:paraId="7D5AF0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4440A7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序号</w:t>
            </w:r>
          </w:p>
        </w:tc>
        <w:tc>
          <w:tcPr>
            <w:tcW w:w="1210" w:type="pct"/>
            <w:noWrap/>
            <w:vAlign w:val="center"/>
          </w:tcPr>
          <w:p w14:paraId="08581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点名称</w:t>
            </w:r>
          </w:p>
        </w:tc>
        <w:tc>
          <w:tcPr>
            <w:tcW w:w="608" w:type="pct"/>
            <w:noWrap/>
            <w:vAlign w:val="center"/>
          </w:tcPr>
          <w:p w14:paraId="72FAA5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浓度类型</w:t>
            </w:r>
          </w:p>
        </w:tc>
        <w:tc>
          <w:tcPr>
            <w:tcW w:w="867" w:type="pct"/>
            <w:noWrap/>
            <w:vAlign w:val="center"/>
          </w:tcPr>
          <w:p w14:paraId="08CC97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浓度增量(mg/m3)</w:t>
            </w:r>
          </w:p>
        </w:tc>
        <w:tc>
          <w:tcPr>
            <w:tcW w:w="749" w:type="pct"/>
            <w:noWrap/>
            <w:vAlign w:val="center"/>
          </w:tcPr>
          <w:p w14:paraId="736405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出现时间</w:t>
            </w:r>
          </w:p>
        </w:tc>
        <w:tc>
          <w:tcPr>
            <w:tcW w:w="588" w:type="pct"/>
            <w:noWrap/>
            <w:vAlign w:val="center"/>
          </w:tcPr>
          <w:p w14:paraId="0E616D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占标率%</w:t>
            </w:r>
          </w:p>
        </w:tc>
        <w:tc>
          <w:tcPr>
            <w:tcW w:w="608" w:type="pct"/>
            <w:noWrap/>
            <w:vAlign w:val="center"/>
          </w:tcPr>
          <w:p w14:paraId="79960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是否超标</w:t>
            </w:r>
          </w:p>
        </w:tc>
      </w:tr>
      <w:tr w14:paraId="4E14A0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18CCE0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w:t>
            </w:r>
          </w:p>
        </w:tc>
        <w:tc>
          <w:tcPr>
            <w:tcW w:w="1210" w:type="pct"/>
            <w:noWrap/>
            <w:vAlign w:val="center"/>
          </w:tcPr>
          <w:p w14:paraId="19D229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bidi="ar"/>
              </w:rPr>
            </w:pPr>
            <w:r>
              <w:rPr>
                <w:rFonts w:hint="eastAsia" w:ascii="Times New Roman" w:hAnsi="Times New Roman" w:eastAsia="宋体" w:cs="Times New Roman"/>
                <w:kern w:val="0"/>
                <w:sz w:val="21"/>
                <w:highlight w:val="none"/>
                <w:lang w:val="en-US" w:eastAsia="zh-CN" w:bidi="ar"/>
              </w:rPr>
              <w:t>绥芬河市政府</w:t>
            </w:r>
          </w:p>
        </w:tc>
        <w:tc>
          <w:tcPr>
            <w:tcW w:w="608" w:type="pct"/>
            <w:noWrap/>
            <w:vAlign w:val="center"/>
          </w:tcPr>
          <w:p w14:paraId="47A4B1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5D598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2.55E-04</w:t>
            </w:r>
          </w:p>
        </w:tc>
        <w:tc>
          <w:tcPr>
            <w:tcW w:w="749" w:type="pct"/>
            <w:noWrap/>
            <w:vAlign w:val="center"/>
          </w:tcPr>
          <w:p w14:paraId="0D893E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24041512</w:t>
            </w:r>
          </w:p>
        </w:tc>
        <w:tc>
          <w:tcPr>
            <w:tcW w:w="588" w:type="pct"/>
            <w:noWrap/>
            <w:vAlign w:val="center"/>
          </w:tcPr>
          <w:p w14:paraId="4497B2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7E66D5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C9E7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22016E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2</w:t>
            </w:r>
          </w:p>
        </w:tc>
        <w:tc>
          <w:tcPr>
            <w:tcW w:w="1210" w:type="pct"/>
            <w:noWrap/>
            <w:vAlign w:val="center"/>
          </w:tcPr>
          <w:p w14:paraId="3B1469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608" w:type="pct"/>
            <w:noWrap/>
            <w:vAlign w:val="center"/>
          </w:tcPr>
          <w:p w14:paraId="35D205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CEB88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1.67E-04</w:t>
            </w:r>
          </w:p>
        </w:tc>
        <w:tc>
          <w:tcPr>
            <w:tcW w:w="749" w:type="pct"/>
            <w:noWrap/>
            <w:vAlign w:val="center"/>
          </w:tcPr>
          <w:p w14:paraId="1A9A7D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24041609</w:t>
            </w:r>
          </w:p>
        </w:tc>
        <w:tc>
          <w:tcPr>
            <w:tcW w:w="588" w:type="pct"/>
            <w:noWrap/>
            <w:vAlign w:val="center"/>
          </w:tcPr>
          <w:p w14:paraId="3604F4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267146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5FC02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0A9E06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3</w:t>
            </w:r>
          </w:p>
        </w:tc>
        <w:tc>
          <w:tcPr>
            <w:tcW w:w="1210" w:type="pct"/>
            <w:noWrap/>
            <w:vAlign w:val="center"/>
          </w:tcPr>
          <w:p w14:paraId="534FD0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608" w:type="pct"/>
            <w:noWrap/>
            <w:vAlign w:val="center"/>
          </w:tcPr>
          <w:p w14:paraId="048521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D58CB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2.67E-04</w:t>
            </w:r>
          </w:p>
        </w:tc>
        <w:tc>
          <w:tcPr>
            <w:tcW w:w="749" w:type="pct"/>
            <w:noWrap/>
            <w:vAlign w:val="center"/>
          </w:tcPr>
          <w:p w14:paraId="33FA2C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24042314</w:t>
            </w:r>
          </w:p>
        </w:tc>
        <w:tc>
          <w:tcPr>
            <w:tcW w:w="588" w:type="pct"/>
            <w:noWrap/>
            <w:vAlign w:val="center"/>
          </w:tcPr>
          <w:p w14:paraId="63D323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08CAAE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53BC7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495A3A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4</w:t>
            </w:r>
          </w:p>
        </w:tc>
        <w:tc>
          <w:tcPr>
            <w:tcW w:w="1210" w:type="pct"/>
            <w:shd w:val="clear" w:color="auto" w:fill="auto"/>
            <w:noWrap/>
            <w:vAlign w:val="center"/>
          </w:tcPr>
          <w:p w14:paraId="251D8F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608" w:type="pct"/>
            <w:noWrap/>
            <w:vAlign w:val="center"/>
          </w:tcPr>
          <w:p w14:paraId="1075B5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678E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2.25E-04</w:t>
            </w:r>
          </w:p>
        </w:tc>
        <w:tc>
          <w:tcPr>
            <w:tcW w:w="749" w:type="pct"/>
            <w:noWrap/>
            <w:vAlign w:val="center"/>
          </w:tcPr>
          <w:p w14:paraId="47584D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65D8DF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43AE99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E075A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19D2F7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5</w:t>
            </w:r>
          </w:p>
        </w:tc>
        <w:tc>
          <w:tcPr>
            <w:tcW w:w="1210" w:type="pct"/>
            <w:noWrap/>
            <w:vAlign w:val="center"/>
          </w:tcPr>
          <w:p w14:paraId="001367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608" w:type="pct"/>
            <w:noWrap/>
            <w:vAlign w:val="center"/>
          </w:tcPr>
          <w:p w14:paraId="3A6300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2F741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2.42E-04</w:t>
            </w:r>
          </w:p>
        </w:tc>
        <w:tc>
          <w:tcPr>
            <w:tcW w:w="749" w:type="pct"/>
            <w:noWrap/>
            <w:vAlign w:val="center"/>
          </w:tcPr>
          <w:p w14:paraId="0C248E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7FCFC3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50C802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FB0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557C26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6</w:t>
            </w:r>
          </w:p>
        </w:tc>
        <w:tc>
          <w:tcPr>
            <w:tcW w:w="1210" w:type="pct"/>
            <w:noWrap/>
            <w:vAlign w:val="center"/>
          </w:tcPr>
          <w:p w14:paraId="4998A5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608" w:type="pct"/>
            <w:noWrap/>
            <w:vAlign w:val="center"/>
          </w:tcPr>
          <w:p w14:paraId="0FCC1F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486D84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1.66E-04</w:t>
            </w:r>
          </w:p>
        </w:tc>
        <w:tc>
          <w:tcPr>
            <w:tcW w:w="749" w:type="pct"/>
            <w:noWrap/>
            <w:vAlign w:val="center"/>
          </w:tcPr>
          <w:p w14:paraId="00E32B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1A7887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2364BB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75904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5FBFDA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1210" w:type="pct"/>
            <w:noWrap/>
            <w:vAlign w:val="center"/>
          </w:tcPr>
          <w:p w14:paraId="656182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绥芬河邮政管理局</w:t>
            </w:r>
          </w:p>
        </w:tc>
        <w:tc>
          <w:tcPr>
            <w:tcW w:w="608" w:type="pct"/>
            <w:noWrap/>
            <w:vAlign w:val="center"/>
          </w:tcPr>
          <w:p w14:paraId="36B74F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1小时</w:t>
            </w:r>
          </w:p>
        </w:tc>
        <w:tc>
          <w:tcPr>
            <w:tcW w:w="867" w:type="pct"/>
            <w:noWrap/>
            <w:vAlign w:val="center"/>
          </w:tcPr>
          <w:p w14:paraId="6AAE79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1.58E-04</w:t>
            </w:r>
          </w:p>
        </w:tc>
        <w:tc>
          <w:tcPr>
            <w:tcW w:w="749" w:type="pct"/>
            <w:noWrap/>
            <w:vAlign w:val="center"/>
          </w:tcPr>
          <w:p w14:paraId="428641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4CE661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0CB68D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bidi="ar"/>
              </w:rPr>
              <w:t>达标</w:t>
            </w:r>
          </w:p>
        </w:tc>
      </w:tr>
      <w:tr w14:paraId="3C452B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noWrap/>
            <w:vAlign w:val="center"/>
          </w:tcPr>
          <w:p w14:paraId="1A58A8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1210" w:type="pct"/>
            <w:noWrap/>
            <w:vAlign w:val="center"/>
          </w:tcPr>
          <w:p w14:paraId="2960AA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绥芬河市教育局</w:t>
            </w:r>
          </w:p>
        </w:tc>
        <w:tc>
          <w:tcPr>
            <w:tcW w:w="608" w:type="pct"/>
            <w:noWrap/>
            <w:vAlign w:val="center"/>
          </w:tcPr>
          <w:p w14:paraId="28F08B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E596B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1.80E-04</w:t>
            </w:r>
          </w:p>
        </w:tc>
        <w:tc>
          <w:tcPr>
            <w:tcW w:w="749" w:type="pct"/>
            <w:noWrap/>
            <w:vAlign w:val="center"/>
          </w:tcPr>
          <w:p w14:paraId="1C2D57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1BD450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1F3729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5D3D0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366" w:type="pct"/>
            <w:noWrap/>
            <w:vAlign w:val="center"/>
          </w:tcPr>
          <w:p w14:paraId="68837B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1210" w:type="pct"/>
            <w:noWrap/>
            <w:vAlign w:val="center"/>
          </w:tcPr>
          <w:p w14:paraId="259D70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绥芬河市自然资源局</w:t>
            </w:r>
          </w:p>
        </w:tc>
        <w:tc>
          <w:tcPr>
            <w:tcW w:w="608" w:type="pct"/>
            <w:noWrap/>
            <w:vAlign w:val="center"/>
          </w:tcPr>
          <w:p w14:paraId="065230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EC1B1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1.82E-04</w:t>
            </w:r>
          </w:p>
        </w:tc>
        <w:tc>
          <w:tcPr>
            <w:tcW w:w="749" w:type="pct"/>
            <w:noWrap/>
            <w:vAlign w:val="center"/>
          </w:tcPr>
          <w:p w14:paraId="59A6EE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239329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6C7570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BB33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366" w:type="pct"/>
            <w:noWrap/>
            <w:vAlign w:val="center"/>
          </w:tcPr>
          <w:p w14:paraId="3EF65F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1210" w:type="pct"/>
            <w:noWrap/>
            <w:vAlign w:val="center"/>
          </w:tcPr>
          <w:p w14:paraId="24FCBD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绥芬河海关</w:t>
            </w:r>
          </w:p>
        </w:tc>
        <w:tc>
          <w:tcPr>
            <w:tcW w:w="608" w:type="pct"/>
            <w:noWrap/>
            <w:vAlign w:val="center"/>
          </w:tcPr>
          <w:p w14:paraId="5FFFEF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8E0B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1.98E-04</w:t>
            </w:r>
          </w:p>
        </w:tc>
        <w:tc>
          <w:tcPr>
            <w:tcW w:w="749" w:type="pct"/>
            <w:noWrap/>
            <w:vAlign w:val="center"/>
          </w:tcPr>
          <w:p w14:paraId="5D5396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7B521E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17A7D9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EFE3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noWrap/>
            <w:vAlign w:val="center"/>
          </w:tcPr>
          <w:p w14:paraId="2C23B1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1210" w:type="pct"/>
            <w:noWrap/>
            <w:vAlign w:val="center"/>
          </w:tcPr>
          <w:p w14:paraId="429579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608" w:type="pct"/>
            <w:noWrap/>
            <w:vAlign w:val="center"/>
          </w:tcPr>
          <w:p w14:paraId="3D98BD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AA689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2.47E-04</w:t>
            </w:r>
          </w:p>
        </w:tc>
        <w:tc>
          <w:tcPr>
            <w:tcW w:w="749" w:type="pct"/>
            <w:noWrap/>
            <w:vAlign w:val="center"/>
          </w:tcPr>
          <w:p w14:paraId="48C745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24041711</w:t>
            </w:r>
          </w:p>
        </w:tc>
        <w:tc>
          <w:tcPr>
            <w:tcW w:w="588" w:type="pct"/>
            <w:noWrap/>
            <w:vAlign w:val="center"/>
          </w:tcPr>
          <w:p w14:paraId="5EE6BC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1D6294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BB3C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66" w:type="pct"/>
            <w:noWrap/>
            <w:vAlign w:val="center"/>
          </w:tcPr>
          <w:p w14:paraId="720E5B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1210" w:type="pct"/>
            <w:noWrap/>
            <w:vAlign w:val="center"/>
          </w:tcPr>
          <w:p w14:paraId="0C1022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绥芬河市生态环境局</w:t>
            </w:r>
          </w:p>
        </w:tc>
        <w:tc>
          <w:tcPr>
            <w:tcW w:w="608" w:type="pct"/>
            <w:noWrap/>
            <w:vAlign w:val="center"/>
          </w:tcPr>
          <w:p w14:paraId="6F13EA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89E59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2.10E-04</w:t>
            </w:r>
          </w:p>
        </w:tc>
        <w:tc>
          <w:tcPr>
            <w:tcW w:w="749" w:type="pct"/>
            <w:noWrap/>
            <w:vAlign w:val="center"/>
          </w:tcPr>
          <w:p w14:paraId="04ACDE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6EB10E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39FB12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9EFC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366" w:type="pct"/>
            <w:noWrap/>
            <w:vAlign w:val="center"/>
          </w:tcPr>
          <w:p w14:paraId="0EF2B1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1210" w:type="pct"/>
            <w:noWrap/>
            <w:vAlign w:val="center"/>
          </w:tcPr>
          <w:p w14:paraId="74DD5A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绥芬河市民政局</w:t>
            </w:r>
          </w:p>
        </w:tc>
        <w:tc>
          <w:tcPr>
            <w:tcW w:w="608" w:type="pct"/>
            <w:noWrap/>
            <w:vAlign w:val="center"/>
          </w:tcPr>
          <w:p w14:paraId="57B05C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4D6C2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7.69E-05</w:t>
            </w:r>
          </w:p>
        </w:tc>
        <w:tc>
          <w:tcPr>
            <w:tcW w:w="749" w:type="pct"/>
            <w:noWrap/>
            <w:vAlign w:val="center"/>
          </w:tcPr>
          <w:p w14:paraId="28E783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25624D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1C68C4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CDF90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noWrap/>
            <w:vAlign w:val="center"/>
          </w:tcPr>
          <w:p w14:paraId="1DE1BA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1210" w:type="pct"/>
            <w:noWrap/>
            <w:vAlign w:val="center"/>
          </w:tcPr>
          <w:p w14:paraId="1C6FB3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绥芬河市公安局</w:t>
            </w:r>
          </w:p>
        </w:tc>
        <w:tc>
          <w:tcPr>
            <w:tcW w:w="608" w:type="pct"/>
            <w:noWrap/>
            <w:vAlign w:val="center"/>
          </w:tcPr>
          <w:p w14:paraId="08BDD2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6BF9C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1.15E-04</w:t>
            </w:r>
          </w:p>
        </w:tc>
        <w:tc>
          <w:tcPr>
            <w:tcW w:w="749" w:type="pct"/>
            <w:noWrap/>
            <w:vAlign w:val="center"/>
          </w:tcPr>
          <w:p w14:paraId="1D0316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24022510</w:t>
            </w:r>
          </w:p>
        </w:tc>
        <w:tc>
          <w:tcPr>
            <w:tcW w:w="588" w:type="pct"/>
            <w:noWrap/>
            <w:vAlign w:val="center"/>
          </w:tcPr>
          <w:p w14:paraId="296F51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0.06</w:t>
            </w:r>
          </w:p>
        </w:tc>
        <w:tc>
          <w:tcPr>
            <w:tcW w:w="608" w:type="pct"/>
            <w:noWrap/>
            <w:vAlign w:val="center"/>
          </w:tcPr>
          <w:p w14:paraId="23C7C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16354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noWrap/>
            <w:vAlign w:val="center"/>
          </w:tcPr>
          <w:p w14:paraId="18D5F3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1210" w:type="pct"/>
            <w:noWrap/>
            <w:vAlign w:val="center"/>
          </w:tcPr>
          <w:p w14:paraId="335EB2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阜宁镇人民政府</w:t>
            </w:r>
          </w:p>
        </w:tc>
        <w:tc>
          <w:tcPr>
            <w:tcW w:w="608" w:type="pct"/>
            <w:noWrap/>
            <w:vAlign w:val="center"/>
          </w:tcPr>
          <w:p w14:paraId="46A464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5A3BB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8.89E-05</w:t>
            </w:r>
          </w:p>
        </w:tc>
        <w:tc>
          <w:tcPr>
            <w:tcW w:w="749" w:type="pct"/>
            <w:noWrap/>
            <w:vAlign w:val="center"/>
          </w:tcPr>
          <w:p w14:paraId="2338AF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2F37AC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027BE7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E9450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66" w:type="pct"/>
            <w:noWrap/>
            <w:vAlign w:val="center"/>
          </w:tcPr>
          <w:p w14:paraId="364F3A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1210" w:type="pct"/>
            <w:noWrap/>
            <w:vAlign w:val="center"/>
          </w:tcPr>
          <w:p w14:paraId="0E0C2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绥芬河市广播电视局</w:t>
            </w:r>
          </w:p>
        </w:tc>
        <w:tc>
          <w:tcPr>
            <w:tcW w:w="608" w:type="pct"/>
            <w:noWrap/>
            <w:vAlign w:val="center"/>
          </w:tcPr>
          <w:p w14:paraId="15278A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6F60B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2.09E-04</w:t>
            </w:r>
          </w:p>
        </w:tc>
        <w:tc>
          <w:tcPr>
            <w:tcW w:w="749" w:type="pct"/>
            <w:noWrap/>
            <w:vAlign w:val="center"/>
          </w:tcPr>
          <w:p w14:paraId="50D40C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4EDE2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58518C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6782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366" w:type="pct"/>
            <w:noWrap/>
            <w:vAlign w:val="center"/>
          </w:tcPr>
          <w:p w14:paraId="340FDF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1210" w:type="pct"/>
            <w:noWrap/>
            <w:vAlign w:val="center"/>
          </w:tcPr>
          <w:p w14:paraId="301D7F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红太阳未来星幼儿园</w:t>
            </w:r>
          </w:p>
        </w:tc>
        <w:tc>
          <w:tcPr>
            <w:tcW w:w="608" w:type="pct"/>
            <w:noWrap/>
            <w:vAlign w:val="center"/>
          </w:tcPr>
          <w:p w14:paraId="29C130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F72D3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2.05E-04</w:t>
            </w:r>
          </w:p>
        </w:tc>
        <w:tc>
          <w:tcPr>
            <w:tcW w:w="749" w:type="pct"/>
            <w:noWrap/>
            <w:vAlign w:val="center"/>
          </w:tcPr>
          <w:p w14:paraId="6D5B73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1BCEBC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031752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0FFC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noWrap/>
            <w:vAlign w:val="center"/>
          </w:tcPr>
          <w:p w14:paraId="5753B4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1210" w:type="pct"/>
            <w:noWrap/>
            <w:vAlign w:val="center"/>
          </w:tcPr>
          <w:p w14:paraId="554FDF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金恒基小学</w:t>
            </w:r>
          </w:p>
        </w:tc>
        <w:tc>
          <w:tcPr>
            <w:tcW w:w="608" w:type="pct"/>
            <w:noWrap/>
            <w:vAlign w:val="center"/>
          </w:tcPr>
          <w:p w14:paraId="079386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81929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1.67E-04</w:t>
            </w:r>
          </w:p>
        </w:tc>
        <w:tc>
          <w:tcPr>
            <w:tcW w:w="749" w:type="pct"/>
            <w:noWrap/>
            <w:vAlign w:val="center"/>
          </w:tcPr>
          <w:p w14:paraId="3EB216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027103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5F4558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60A5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noWrap/>
            <w:vAlign w:val="center"/>
          </w:tcPr>
          <w:p w14:paraId="6E8638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1210" w:type="pct"/>
            <w:noWrap/>
            <w:vAlign w:val="center"/>
          </w:tcPr>
          <w:p w14:paraId="2A6AD2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弘孟幼儿园</w:t>
            </w:r>
          </w:p>
        </w:tc>
        <w:tc>
          <w:tcPr>
            <w:tcW w:w="608" w:type="pct"/>
            <w:noWrap/>
            <w:vAlign w:val="center"/>
          </w:tcPr>
          <w:p w14:paraId="026BB3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5FA20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1.54E-04</w:t>
            </w:r>
          </w:p>
        </w:tc>
        <w:tc>
          <w:tcPr>
            <w:tcW w:w="749" w:type="pct"/>
            <w:noWrap/>
            <w:vAlign w:val="center"/>
          </w:tcPr>
          <w:p w14:paraId="351014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1F3C2B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09A808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C28DB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noWrap/>
            <w:vAlign w:val="center"/>
          </w:tcPr>
          <w:p w14:paraId="44AF4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1210" w:type="pct"/>
            <w:noWrap/>
            <w:vAlign w:val="center"/>
          </w:tcPr>
          <w:p w14:paraId="49B567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红太阳幼儿园</w:t>
            </w:r>
          </w:p>
        </w:tc>
        <w:tc>
          <w:tcPr>
            <w:tcW w:w="608" w:type="pct"/>
            <w:noWrap/>
            <w:vAlign w:val="center"/>
          </w:tcPr>
          <w:p w14:paraId="087C7E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2E421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2.37E-04</w:t>
            </w:r>
          </w:p>
        </w:tc>
        <w:tc>
          <w:tcPr>
            <w:tcW w:w="749" w:type="pct"/>
            <w:noWrap/>
            <w:vAlign w:val="center"/>
          </w:tcPr>
          <w:p w14:paraId="506A98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46EC5D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7ECC81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A01C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366" w:type="pct"/>
            <w:noWrap/>
            <w:vAlign w:val="center"/>
          </w:tcPr>
          <w:p w14:paraId="7B345F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1210" w:type="pct"/>
            <w:noWrap/>
            <w:vAlign w:val="center"/>
          </w:tcPr>
          <w:p w14:paraId="0E8A93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千里幼稚园</w:t>
            </w:r>
          </w:p>
        </w:tc>
        <w:tc>
          <w:tcPr>
            <w:tcW w:w="608" w:type="pct"/>
            <w:noWrap/>
            <w:vAlign w:val="center"/>
          </w:tcPr>
          <w:p w14:paraId="6380B4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D6A8C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2.71E-04</w:t>
            </w:r>
          </w:p>
        </w:tc>
        <w:tc>
          <w:tcPr>
            <w:tcW w:w="749" w:type="pct"/>
            <w:noWrap/>
            <w:vAlign w:val="center"/>
          </w:tcPr>
          <w:p w14:paraId="5DF3F5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1D020D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316D65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31241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366" w:type="pct"/>
            <w:noWrap/>
            <w:vAlign w:val="center"/>
          </w:tcPr>
          <w:p w14:paraId="3B9B4F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1210" w:type="pct"/>
            <w:noWrap/>
            <w:vAlign w:val="center"/>
          </w:tcPr>
          <w:p w14:paraId="6906AD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绥芬河市第一中学</w:t>
            </w:r>
          </w:p>
        </w:tc>
        <w:tc>
          <w:tcPr>
            <w:tcW w:w="608" w:type="pct"/>
            <w:noWrap/>
            <w:vAlign w:val="center"/>
          </w:tcPr>
          <w:p w14:paraId="32A54F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6D14A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2.23E-04</w:t>
            </w:r>
          </w:p>
        </w:tc>
        <w:tc>
          <w:tcPr>
            <w:tcW w:w="749" w:type="pct"/>
            <w:noWrap/>
            <w:vAlign w:val="center"/>
          </w:tcPr>
          <w:p w14:paraId="18D136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6BECF3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16730F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13DF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noWrap/>
            <w:vAlign w:val="center"/>
          </w:tcPr>
          <w:p w14:paraId="1AB6D5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1210" w:type="pct"/>
            <w:noWrap/>
            <w:vAlign w:val="center"/>
          </w:tcPr>
          <w:p w14:paraId="1E56DB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商都幼儿园</w:t>
            </w:r>
          </w:p>
        </w:tc>
        <w:tc>
          <w:tcPr>
            <w:tcW w:w="608" w:type="pct"/>
            <w:noWrap/>
            <w:vAlign w:val="center"/>
          </w:tcPr>
          <w:p w14:paraId="284AE3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044C4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1.86E-04</w:t>
            </w:r>
          </w:p>
        </w:tc>
        <w:tc>
          <w:tcPr>
            <w:tcW w:w="749" w:type="pct"/>
            <w:noWrap/>
            <w:vAlign w:val="center"/>
          </w:tcPr>
          <w:p w14:paraId="071949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53ECAD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64C5DB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517BB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366" w:type="pct"/>
            <w:noWrap/>
            <w:vAlign w:val="center"/>
          </w:tcPr>
          <w:p w14:paraId="1CDA15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1210" w:type="pct"/>
            <w:noWrap/>
            <w:vAlign w:val="center"/>
          </w:tcPr>
          <w:p w14:paraId="78CC24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608" w:type="pct"/>
            <w:noWrap/>
            <w:vAlign w:val="center"/>
          </w:tcPr>
          <w:p w14:paraId="18A31F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EBEF2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1.09E-04</w:t>
            </w:r>
          </w:p>
        </w:tc>
        <w:tc>
          <w:tcPr>
            <w:tcW w:w="749" w:type="pct"/>
            <w:noWrap/>
            <w:vAlign w:val="center"/>
          </w:tcPr>
          <w:p w14:paraId="08E29B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64AA76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28F616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DB5CB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66" w:type="pct"/>
            <w:noWrap/>
            <w:vAlign w:val="center"/>
          </w:tcPr>
          <w:p w14:paraId="7FECDE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1210" w:type="pct"/>
            <w:noWrap/>
            <w:vAlign w:val="center"/>
          </w:tcPr>
          <w:p w14:paraId="54155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608" w:type="pct"/>
            <w:noWrap/>
            <w:vAlign w:val="center"/>
          </w:tcPr>
          <w:p w14:paraId="7C4C3B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29902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1.02E-04</w:t>
            </w:r>
          </w:p>
        </w:tc>
        <w:tc>
          <w:tcPr>
            <w:tcW w:w="749" w:type="pct"/>
            <w:noWrap/>
            <w:vAlign w:val="center"/>
          </w:tcPr>
          <w:p w14:paraId="075F41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066371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54105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48CC8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366" w:type="pct"/>
            <w:noWrap/>
            <w:vAlign w:val="center"/>
          </w:tcPr>
          <w:p w14:paraId="26B847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1210" w:type="pct"/>
            <w:noWrap/>
            <w:vAlign w:val="center"/>
          </w:tcPr>
          <w:p w14:paraId="3EB2A4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绥芬河市第三中学</w:t>
            </w:r>
          </w:p>
        </w:tc>
        <w:tc>
          <w:tcPr>
            <w:tcW w:w="608" w:type="pct"/>
            <w:noWrap/>
            <w:vAlign w:val="center"/>
          </w:tcPr>
          <w:p w14:paraId="5E13AA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7C6EB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2.38E-04</w:t>
            </w:r>
          </w:p>
        </w:tc>
        <w:tc>
          <w:tcPr>
            <w:tcW w:w="749" w:type="pct"/>
            <w:noWrap/>
            <w:vAlign w:val="center"/>
          </w:tcPr>
          <w:p w14:paraId="4829B4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5BDC04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75B0CF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346E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noWrap/>
            <w:vAlign w:val="center"/>
          </w:tcPr>
          <w:p w14:paraId="18A9E2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1210" w:type="pct"/>
            <w:noWrap/>
            <w:vAlign w:val="center"/>
          </w:tcPr>
          <w:p w14:paraId="564961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旅游局家属楼</w:t>
            </w:r>
          </w:p>
        </w:tc>
        <w:tc>
          <w:tcPr>
            <w:tcW w:w="608" w:type="pct"/>
            <w:noWrap/>
            <w:vAlign w:val="center"/>
          </w:tcPr>
          <w:p w14:paraId="1E571B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FDB7A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9.41E-05</w:t>
            </w:r>
          </w:p>
        </w:tc>
        <w:tc>
          <w:tcPr>
            <w:tcW w:w="749" w:type="pct"/>
            <w:noWrap/>
            <w:vAlign w:val="center"/>
          </w:tcPr>
          <w:p w14:paraId="570090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24022814</w:t>
            </w:r>
          </w:p>
        </w:tc>
        <w:tc>
          <w:tcPr>
            <w:tcW w:w="588" w:type="pct"/>
            <w:noWrap/>
            <w:vAlign w:val="center"/>
          </w:tcPr>
          <w:p w14:paraId="6BE92C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AD34A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E732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366" w:type="pct"/>
            <w:noWrap/>
            <w:vAlign w:val="center"/>
          </w:tcPr>
          <w:p w14:paraId="069666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1210" w:type="pct"/>
            <w:noWrap/>
            <w:vAlign w:val="center"/>
          </w:tcPr>
          <w:p w14:paraId="6208F7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新安幸福嘉园</w:t>
            </w:r>
          </w:p>
        </w:tc>
        <w:tc>
          <w:tcPr>
            <w:tcW w:w="608" w:type="pct"/>
            <w:noWrap/>
            <w:vAlign w:val="center"/>
          </w:tcPr>
          <w:p w14:paraId="7CD0B8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A543C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1.59E-04</w:t>
            </w:r>
          </w:p>
        </w:tc>
        <w:tc>
          <w:tcPr>
            <w:tcW w:w="749" w:type="pct"/>
            <w:noWrap/>
            <w:vAlign w:val="center"/>
          </w:tcPr>
          <w:p w14:paraId="7CEEFB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24031912</w:t>
            </w:r>
          </w:p>
        </w:tc>
        <w:tc>
          <w:tcPr>
            <w:tcW w:w="588" w:type="pct"/>
            <w:noWrap/>
            <w:vAlign w:val="center"/>
          </w:tcPr>
          <w:p w14:paraId="7C3B18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3011C9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FE049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366" w:type="pct"/>
            <w:noWrap/>
            <w:vAlign w:val="center"/>
          </w:tcPr>
          <w:p w14:paraId="5D4ADA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1210" w:type="pct"/>
            <w:noWrap/>
            <w:vAlign w:val="center"/>
          </w:tcPr>
          <w:p w14:paraId="387798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中兴小区</w:t>
            </w:r>
          </w:p>
        </w:tc>
        <w:tc>
          <w:tcPr>
            <w:tcW w:w="608" w:type="pct"/>
            <w:noWrap/>
            <w:vAlign w:val="center"/>
          </w:tcPr>
          <w:p w14:paraId="033B1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F11F3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1.62E-04</w:t>
            </w:r>
          </w:p>
        </w:tc>
        <w:tc>
          <w:tcPr>
            <w:tcW w:w="749" w:type="pct"/>
            <w:noWrap/>
            <w:vAlign w:val="center"/>
          </w:tcPr>
          <w:p w14:paraId="7AC140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5E249C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2194BF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3C4A5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366" w:type="pct"/>
            <w:noWrap/>
            <w:vAlign w:val="center"/>
          </w:tcPr>
          <w:p w14:paraId="073327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1210" w:type="pct"/>
            <w:noWrap/>
            <w:vAlign w:val="center"/>
          </w:tcPr>
          <w:p w14:paraId="631F67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绥兴社区</w:t>
            </w:r>
          </w:p>
        </w:tc>
        <w:tc>
          <w:tcPr>
            <w:tcW w:w="608" w:type="pct"/>
            <w:noWrap/>
            <w:vAlign w:val="center"/>
          </w:tcPr>
          <w:p w14:paraId="3A0E05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A28F5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2.07E-04</w:t>
            </w:r>
          </w:p>
        </w:tc>
        <w:tc>
          <w:tcPr>
            <w:tcW w:w="749" w:type="pct"/>
            <w:noWrap/>
            <w:vAlign w:val="center"/>
          </w:tcPr>
          <w:p w14:paraId="0AEF85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57022A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09CCC8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EB0D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366" w:type="pct"/>
            <w:noWrap/>
            <w:vAlign w:val="center"/>
          </w:tcPr>
          <w:p w14:paraId="4AB1FB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1210" w:type="pct"/>
            <w:noWrap/>
            <w:vAlign w:val="center"/>
          </w:tcPr>
          <w:p w14:paraId="568E1F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608" w:type="pct"/>
            <w:noWrap/>
            <w:vAlign w:val="center"/>
          </w:tcPr>
          <w:p w14:paraId="39896A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6EA16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2.62E-04</w:t>
            </w:r>
          </w:p>
        </w:tc>
        <w:tc>
          <w:tcPr>
            <w:tcW w:w="749" w:type="pct"/>
            <w:noWrap/>
            <w:vAlign w:val="center"/>
          </w:tcPr>
          <w:p w14:paraId="07D193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24111911</w:t>
            </w:r>
          </w:p>
        </w:tc>
        <w:tc>
          <w:tcPr>
            <w:tcW w:w="588" w:type="pct"/>
            <w:noWrap/>
            <w:vAlign w:val="center"/>
          </w:tcPr>
          <w:p w14:paraId="0667AE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0.13</w:t>
            </w:r>
          </w:p>
        </w:tc>
        <w:tc>
          <w:tcPr>
            <w:tcW w:w="608" w:type="pct"/>
            <w:noWrap/>
            <w:vAlign w:val="center"/>
          </w:tcPr>
          <w:p w14:paraId="2BBE68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F94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66" w:type="pct"/>
            <w:noWrap/>
            <w:vAlign w:val="center"/>
          </w:tcPr>
          <w:p w14:paraId="4EA15E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1210" w:type="pct"/>
            <w:noWrap/>
            <w:vAlign w:val="center"/>
          </w:tcPr>
          <w:p w14:paraId="1EBCC2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凯丰小区</w:t>
            </w:r>
          </w:p>
        </w:tc>
        <w:tc>
          <w:tcPr>
            <w:tcW w:w="608" w:type="pct"/>
            <w:noWrap/>
            <w:vAlign w:val="center"/>
          </w:tcPr>
          <w:p w14:paraId="18C33E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2C9D9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2.87E-04</w:t>
            </w:r>
          </w:p>
        </w:tc>
        <w:tc>
          <w:tcPr>
            <w:tcW w:w="749" w:type="pct"/>
            <w:noWrap/>
            <w:vAlign w:val="center"/>
          </w:tcPr>
          <w:p w14:paraId="6E9FE5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24042212</w:t>
            </w:r>
          </w:p>
        </w:tc>
        <w:tc>
          <w:tcPr>
            <w:tcW w:w="588" w:type="pct"/>
            <w:noWrap/>
            <w:vAlign w:val="center"/>
          </w:tcPr>
          <w:p w14:paraId="08817E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0.14</w:t>
            </w:r>
          </w:p>
        </w:tc>
        <w:tc>
          <w:tcPr>
            <w:tcW w:w="608" w:type="pct"/>
            <w:noWrap/>
            <w:vAlign w:val="center"/>
          </w:tcPr>
          <w:p w14:paraId="7ADEC5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4B14A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366" w:type="pct"/>
            <w:noWrap/>
            <w:vAlign w:val="center"/>
          </w:tcPr>
          <w:p w14:paraId="215025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1210" w:type="pct"/>
            <w:noWrap/>
            <w:vAlign w:val="center"/>
          </w:tcPr>
          <w:p w14:paraId="162FA3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澳运阳光花园</w:t>
            </w:r>
          </w:p>
        </w:tc>
        <w:tc>
          <w:tcPr>
            <w:tcW w:w="608" w:type="pct"/>
            <w:noWrap/>
            <w:vAlign w:val="center"/>
          </w:tcPr>
          <w:p w14:paraId="5DB18C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13A7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1.92E-04</w:t>
            </w:r>
          </w:p>
        </w:tc>
        <w:tc>
          <w:tcPr>
            <w:tcW w:w="749" w:type="pct"/>
            <w:noWrap/>
            <w:vAlign w:val="center"/>
          </w:tcPr>
          <w:p w14:paraId="3589D3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24042017</w:t>
            </w:r>
          </w:p>
        </w:tc>
        <w:tc>
          <w:tcPr>
            <w:tcW w:w="588" w:type="pct"/>
            <w:noWrap/>
            <w:vAlign w:val="center"/>
          </w:tcPr>
          <w:p w14:paraId="78819C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3A016E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B1AF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366" w:type="pct"/>
            <w:noWrap/>
            <w:vAlign w:val="center"/>
          </w:tcPr>
          <w:p w14:paraId="3ECF68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1210" w:type="pct"/>
            <w:noWrap/>
            <w:vAlign w:val="center"/>
          </w:tcPr>
          <w:p w14:paraId="5CBFB3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朝阳村</w:t>
            </w:r>
          </w:p>
        </w:tc>
        <w:tc>
          <w:tcPr>
            <w:tcW w:w="608" w:type="pct"/>
            <w:noWrap/>
            <w:vAlign w:val="center"/>
          </w:tcPr>
          <w:p w14:paraId="6AA738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ECE86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1.88E-04</w:t>
            </w:r>
          </w:p>
        </w:tc>
        <w:tc>
          <w:tcPr>
            <w:tcW w:w="749" w:type="pct"/>
            <w:noWrap/>
            <w:vAlign w:val="center"/>
          </w:tcPr>
          <w:p w14:paraId="4CC210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24042107</w:t>
            </w:r>
          </w:p>
        </w:tc>
        <w:tc>
          <w:tcPr>
            <w:tcW w:w="588" w:type="pct"/>
            <w:noWrap/>
            <w:vAlign w:val="center"/>
          </w:tcPr>
          <w:p w14:paraId="2EEA97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7DBA3E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D9D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366" w:type="pct"/>
            <w:noWrap/>
            <w:vAlign w:val="center"/>
          </w:tcPr>
          <w:p w14:paraId="7A1A2A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1210" w:type="pct"/>
            <w:noWrap/>
            <w:vAlign w:val="center"/>
          </w:tcPr>
          <w:p w14:paraId="7C5DF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宏隆花园</w:t>
            </w:r>
          </w:p>
        </w:tc>
        <w:tc>
          <w:tcPr>
            <w:tcW w:w="608" w:type="pct"/>
            <w:noWrap/>
            <w:vAlign w:val="center"/>
          </w:tcPr>
          <w:p w14:paraId="4F2897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02985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2.00E-04</w:t>
            </w:r>
          </w:p>
        </w:tc>
        <w:tc>
          <w:tcPr>
            <w:tcW w:w="749" w:type="pct"/>
            <w:noWrap/>
            <w:vAlign w:val="center"/>
          </w:tcPr>
          <w:p w14:paraId="72785A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153239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0.10</w:t>
            </w:r>
          </w:p>
        </w:tc>
        <w:tc>
          <w:tcPr>
            <w:tcW w:w="608" w:type="pct"/>
            <w:noWrap/>
            <w:vAlign w:val="center"/>
          </w:tcPr>
          <w:p w14:paraId="7E4542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71F7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noWrap/>
            <w:vAlign w:val="center"/>
          </w:tcPr>
          <w:p w14:paraId="4D17FD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1210" w:type="pct"/>
            <w:noWrap/>
            <w:vAlign w:val="center"/>
          </w:tcPr>
          <w:p w14:paraId="624138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中福名都花园</w:t>
            </w:r>
          </w:p>
        </w:tc>
        <w:tc>
          <w:tcPr>
            <w:tcW w:w="608" w:type="pct"/>
            <w:noWrap/>
            <w:vAlign w:val="center"/>
          </w:tcPr>
          <w:p w14:paraId="519659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1AABE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1.81E-04</w:t>
            </w:r>
          </w:p>
        </w:tc>
        <w:tc>
          <w:tcPr>
            <w:tcW w:w="749" w:type="pct"/>
            <w:noWrap/>
            <w:vAlign w:val="center"/>
          </w:tcPr>
          <w:p w14:paraId="39CF72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486BF4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2CB062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296A4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366" w:type="pct"/>
            <w:noWrap/>
            <w:vAlign w:val="center"/>
          </w:tcPr>
          <w:p w14:paraId="1E34F5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1210" w:type="pct"/>
            <w:noWrap/>
            <w:vAlign w:val="center"/>
          </w:tcPr>
          <w:p w14:paraId="18EEC9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康健花园</w:t>
            </w:r>
          </w:p>
        </w:tc>
        <w:tc>
          <w:tcPr>
            <w:tcW w:w="608" w:type="pct"/>
            <w:noWrap/>
            <w:vAlign w:val="center"/>
          </w:tcPr>
          <w:p w14:paraId="65BDCE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A4411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1.89E-04</w:t>
            </w:r>
          </w:p>
        </w:tc>
        <w:tc>
          <w:tcPr>
            <w:tcW w:w="749" w:type="pct"/>
            <w:noWrap/>
            <w:vAlign w:val="center"/>
          </w:tcPr>
          <w:p w14:paraId="3ECDBA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6C0DD7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039FF6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6601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366" w:type="pct"/>
            <w:noWrap/>
            <w:vAlign w:val="center"/>
          </w:tcPr>
          <w:p w14:paraId="32DB94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1210" w:type="pct"/>
            <w:noWrap/>
            <w:vAlign w:val="center"/>
          </w:tcPr>
          <w:p w14:paraId="3A281F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海融安居里</w:t>
            </w:r>
          </w:p>
        </w:tc>
        <w:tc>
          <w:tcPr>
            <w:tcW w:w="608" w:type="pct"/>
            <w:noWrap/>
            <w:vAlign w:val="center"/>
          </w:tcPr>
          <w:p w14:paraId="3A8F7F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90A0D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3.51E-04</w:t>
            </w:r>
          </w:p>
        </w:tc>
        <w:tc>
          <w:tcPr>
            <w:tcW w:w="749" w:type="pct"/>
            <w:noWrap/>
            <w:vAlign w:val="center"/>
          </w:tcPr>
          <w:p w14:paraId="144783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287DBF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0.18</w:t>
            </w:r>
          </w:p>
        </w:tc>
        <w:tc>
          <w:tcPr>
            <w:tcW w:w="608" w:type="pct"/>
            <w:noWrap/>
            <w:vAlign w:val="center"/>
          </w:tcPr>
          <w:p w14:paraId="44F9CA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610A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366" w:type="pct"/>
            <w:noWrap/>
            <w:vAlign w:val="center"/>
          </w:tcPr>
          <w:p w14:paraId="179430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1210" w:type="pct"/>
            <w:noWrap/>
            <w:vAlign w:val="center"/>
          </w:tcPr>
          <w:p w14:paraId="07FBDF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海融富华苑</w:t>
            </w:r>
          </w:p>
        </w:tc>
        <w:tc>
          <w:tcPr>
            <w:tcW w:w="608" w:type="pct"/>
            <w:noWrap/>
            <w:vAlign w:val="center"/>
          </w:tcPr>
          <w:p w14:paraId="78EB6F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F5F1D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8.57E-05</w:t>
            </w:r>
          </w:p>
        </w:tc>
        <w:tc>
          <w:tcPr>
            <w:tcW w:w="749" w:type="pct"/>
            <w:noWrap/>
            <w:vAlign w:val="center"/>
          </w:tcPr>
          <w:p w14:paraId="4E7FCD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1D80EF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1F96EA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9478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366" w:type="pct"/>
            <w:noWrap/>
            <w:vAlign w:val="center"/>
          </w:tcPr>
          <w:p w14:paraId="25063E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1210" w:type="pct"/>
            <w:noWrap/>
            <w:vAlign w:val="center"/>
          </w:tcPr>
          <w:p w14:paraId="2ABE09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好景园小区</w:t>
            </w:r>
          </w:p>
        </w:tc>
        <w:tc>
          <w:tcPr>
            <w:tcW w:w="608" w:type="pct"/>
            <w:noWrap/>
            <w:vAlign w:val="center"/>
          </w:tcPr>
          <w:p w14:paraId="72147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FF976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1.04E-04</w:t>
            </w:r>
          </w:p>
        </w:tc>
        <w:tc>
          <w:tcPr>
            <w:tcW w:w="749" w:type="pct"/>
            <w:noWrap/>
            <w:vAlign w:val="center"/>
          </w:tcPr>
          <w:p w14:paraId="7A3948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398F38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8FB49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F023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66" w:type="pct"/>
            <w:noWrap/>
            <w:vAlign w:val="center"/>
          </w:tcPr>
          <w:p w14:paraId="681888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1210" w:type="pct"/>
            <w:noWrap/>
            <w:vAlign w:val="center"/>
          </w:tcPr>
          <w:p w14:paraId="44883D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旗苑家园</w:t>
            </w:r>
          </w:p>
        </w:tc>
        <w:tc>
          <w:tcPr>
            <w:tcW w:w="608" w:type="pct"/>
            <w:noWrap/>
            <w:vAlign w:val="center"/>
          </w:tcPr>
          <w:p w14:paraId="7BD299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5EAC9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9.27E-05</w:t>
            </w:r>
          </w:p>
        </w:tc>
        <w:tc>
          <w:tcPr>
            <w:tcW w:w="749" w:type="pct"/>
            <w:noWrap/>
            <w:vAlign w:val="center"/>
          </w:tcPr>
          <w:p w14:paraId="01E0DF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14776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0.05</w:t>
            </w:r>
          </w:p>
        </w:tc>
        <w:tc>
          <w:tcPr>
            <w:tcW w:w="608" w:type="pct"/>
            <w:noWrap/>
            <w:vAlign w:val="center"/>
          </w:tcPr>
          <w:p w14:paraId="374625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C6CE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366" w:type="pct"/>
            <w:noWrap/>
            <w:vAlign w:val="center"/>
          </w:tcPr>
          <w:p w14:paraId="59B076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1210" w:type="pct"/>
            <w:noWrap/>
            <w:vAlign w:val="center"/>
          </w:tcPr>
          <w:p w14:paraId="4B504B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兴达家园</w:t>
            </w:r>
          </w:p>
        </w:tc>
        <w:tc>
          <w:tcPr>
            <w:tcW w:w="608" w:type="pct"/>
            <w:noWrap/>
            <w:vAlign w:val="center"/>
          </w:tcPr>
          <w:p w14:paraId="5DA3DF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F40B6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6.54E-05</w:t>
            </w:r>
          </w:p>
        </w:tc>
        <w:tc>
          <w:tcPr>
            <w:tcW w:w="749" w:type="pct"/>
            <w:noWrap/>
            <w:vAlign w:val="center"/>
          </w:tcPr>
          <w:p w14:paraId="45C7F4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79349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0.03</w:t>
            </w:r>
          </w:p>
        </w:tc>
        <w:tc>
          <w:tcPr>
            <w:tcW w:w="608" w:type="pct"/>
            <w:noWrap/>
            <w:vAlign w:val="center"/>
          </w:tcPr>
          <w:p w14:paraId="0AD32B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6A1A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366" w:type="pct"/>
            <w:noWrap/>
            <w:vAlign w:val="center"/>
          </w:tcPr>
          <w:p w14:paraId="4C42A7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1210" w:type="pct"/>
            <w:noWrap/>
            <w:vAlign w:val="center"/>
          </w:tcPr>
          <w:p w14:paraId="6B7D40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协会大厦</w:t>
            </w:r>
          </w:p>
        </w:tc>
        <w:tc>
          <w:tcPr>
            <w:tcW w:w="608" w:type="pct"/>
            <w:noWrap/>
            <w:vAlign w:val="center"/>
          </w:tcPr>
          <w:p w14:paraId="0318C0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E4F4A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1.42E-04</w:t>
            </w:r>
          </w:p>
        </w:tc>
        <w:tc>
          <w:tcPr>
            <w:tcW w:w="749" w:type="pct"/>
            <w:noWrap/>
            <w:vAlign w:val="center"/>
          </w:tcPr>
          <w:p w14:paraId="68E36C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19FAE2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1B079C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A9023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366" w:type="pct"/>
            <w:noWrap/>
            <w:vAlign w:val="center"/>
          </w:tcPr>
          <w:p w14:paraId="1C5632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1210" w:type="pct"/>
            <w:noWrap/>
            <w:vAlign w:val="center"/>
          </w:tcPr>
          <w:p w14:paraId="3FE7EC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数码港宾馆</w:t>
            </w:r>
          </w:p>
        </w:tc>
        <w:tc>
          <w:tcPr>
            <w:tcW w:w="608" w:type="pct"/>
            <w:noWrap/>
            <w:vAlign w:val="center"/>
          </w:tcPr>
          <w:p w14:paraId="3D82FF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468B1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2.32E-04</w:t>
            </w:r>
          </w:p>
        </w:tc>
        <w:tc>
          <w:tcPr>
            <w:tcW w:w="749" w:type="pct"/>
            <w:noWrap/>
            <w:vAlign w:val="center"/>
          </w:tcPr>
          <w:p w14:paraId="567930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24032513</w:t>
            </w:r>
          </w:p>
        </w:tc>
        <w:tc>
          <w:tcPr>
            <w:tcW w:w="588" w:type="pct"/>
            <w:noWrap/>
            <w:vAlign w:val="center"/>
          </w:tcPr>
          <w:p w14:paraId="078704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28D3BE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A02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noWrap/>
            <w:vAlign w:val="center"/>
          </w:tcPr>
          <w:p w14:paraId="79A855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1210" w:type="pct"/>
            <w:noWrap/>
            <w:vAlign w:val="center"/>
          </w:tcPr>
          <w:p w14:paraId="200C04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山水国际</w:t>
            </w:r>
          </w:p>
        </w:tc>
        <w:tc>
          <w:tcPr>
            <w:tcW w:w="608" w:type="pct"/>
            <w:noWrap/>
            <w:vAlign w:val="center"/>
          </w:tcPr>
          <w:p w14:paraId="2B9A3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769D55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3.06E-04</w:t>
            </w:r>
          </w:p>
        </w:tc>
        <w:tc>
          <w:tcPr>
            <w:tcW w:w="749" w:type="pct"/>
            <w:noWrap/>
            <w:vAlign w:val="center"/>
          </w:tcPr>
          <w:p w14:paraId="31A6D5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24041612</w:t>
            </w:r>
          </w:p>
        </w:tc>
        <w:tc>
          <w:tcPr>
            <w:tcW w:w="588" w:type="pct"/>
            <w:noWrap/>
            <w:vAlign w:val="center"/>
          </w:tcPr>
          <w:p w14:paraId="54DDC4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0.15</w:t>
            </w:r>
          </w:p>
        </w:tc>
        <w:tc>
          <w:tcPr>
            <w:tcW w:w="608" w:type="pct"/>
            <w:noWrap/>
            <w:vAlign w:val="center"/>
          </w:tcPr>
          <w:p w14:paraId="59038D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84E4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366" w:type="pct"/>
            <w:noWrap/>
            <w:vAlign w:val="center"/>
          </w:tcPr>
          <w:p w14:paraId="56EF1E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1210" w:type="pct"/>
            <w:noWrap/>
            <w:vAlign w:val="center"/>
          </w:tcPr>
          <w:p w14:paraId="61D2B8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湖畔花园小区</w:t>
            </w:r>
          </w:p>
        </w:tc>
        <w:tc>
          <w:tcPr>
            <w:tcW w:w="608" w:type="pct"/>
            <w:noWrap/>
            <w:vAlign w:val="center"/>
          </w:tcPr>
          <w:p w14:paraId="772EB4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0ECFA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2.29E-04</w:t>
            </w:r>
          </w:p>
        </w:tc>
        <w:tc>
          <w:tcPr>
            <w:tcW w:w="749" w:type="pct"/>
            <w:noWrap/>
            <w:vAlign w:val="center"/>
          </w:tcPr>
          <w:p w14:paraId="16F606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24032514</w:t>
            </w:r>
          </w:p>
        </w:tc>
        <w:tc>
          <w:tcPr>
            <w:tcW w:w="588" w:type="pct"/>
            <w:noWrap/>
            <w:vAlign w:val="center"/>
          </w:tcPr>
          <w:p w14:paraId="1AAB77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506236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D307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366" w:type="pct"/>
            <w:noWrap/>
            <w:vAlign w:val="center"/>
          </w:tcPr>
          <w:p w14:paraId="35A46A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1210" w:type="pct"/>
            <w:noWrap/>
            <w:vAlign w:val="center"/>
          </w:tcPr>
          <w:p w14:paraId="75B05E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湖滨小区</w:t>
            </w:r>
          </w:p>
        </w:tc>
        <w:tc>
          <w:tcPr>
            <w:tcW w:w="608" w:type="pct"/>
            <w:noWrap/>
            <w:vAlign w:val="center"/>
          </w:tcPr>
          <w:p w14:paraId="29C899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4172E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2.16E-04</w:t>
            </w:r>
          </w:p>
        </w:tc>
        <w:tc>
          <w:tcPr>
            <w:tcW w:w="749" w:type="pct"/>
            <w:noWrap/>
            <w:vAlign w:val="center"/>
          </w:tcPr>
          <w:p w14:paraId="5152E9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24032012</w:t>
            </w:r>
          </w:p>
        </w:tc>
        <w:tc>
          <w:tcPr>
            <w:tcW w:w="588" w:type="pct"/>
            <w:noWrap/>
            <w:vAlign w:val="center"/>
          </w:tcPr>
          <w:p w14:paraId="525A67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4AD81F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35410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366" w:type="pct"/>
            <w:noWrap/>
            <w:vAlign w:val="center"/>
          </w:tcPr>
          <w:p w14:paraId="631F58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1210" w:type="pct"/>
            <w:noWrap/>
            <w:vAlign w:val="center"/>
          </w:tcPr>
          <w:p w14:paraId="187AB9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吉祥小区</w:t>
            </w:r>
          </w:p>
        </w:tc>
        <w:tc>
          <w:tcPr>
            <w:tcW w:w="608" w:type="pct"/>
            <w:noWrap/>
            <w:vAlign w:val="center"/>
          </w:tcPr>
          <w:p w14:paraId="766118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D65D1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7.30E-05</w:t>
            </w:r>
          </w:p>
        </w:tc>
        <w:tc>
          <w:tcPr>
            <w:tcW w:w="749" w:type="pct"/>
            <w:noWrap/>
            <w:vAlign w:val="center"/>
          </w:tcPr>
          <w:p w14:paraId="2E520E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24111312</w:t>
            </w:r>
          </w:p>
        </w:tc>
        <w:tc>
          <w:tcPr>
            <w:tcW w:w="588" w:type="pct"/>
            <w:noWrap/>
            <w:vAlign w:val="center"/>
          </w:tcPr>
          <w:p w14:paraId="005FAD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1D6860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1EFB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66" w:type="pct"/>
            <w:noWrap/>
            <w:vAlign w:val="center"/>
          </w:tcPr>
          <w:p w14:paraId="2D3074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1210" w:type="pct"/>
            <w:noWrap/>
            <w:vAlign w:val="center"/>
          </w:tcPr>
          <w:p w14:paraId="00B280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天佑国际</w:t>
            </w:r>
          </w:p>
        </w:tc>
        <w:tc>
          <w:tcPr>
            <w:tcW w:w="608" w:type="pct"/>
            <w:noWrap/>
            <w:vAlign w:val="center"/>
          </w:tcPr>
          <w:p w14:paraId="5E6636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1DC4A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2.12E-04</w:t>
            </w:r>
          </w:p>
        </w:tc>
        <w:tc>
          <w:tcPr>
            <w:tcW w:w="749" w:type="pct"/>
            <w:noWrap/>
            <w:vAlign w:val="center"/>
          </w:tcPr>
          <w:p w14:paraId="555469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3267B6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0.11</w:t>
            </w:r>
          </w:p>
        </w:tc>
        <w:tc>
          <w:tcPr>
            <w:tcW w:w="608" w:type="pct"/>
            <w:noWrap/>
            <w:vAlign w:val="center"/>
          </w:tcPr>
          <w:p w14:paraId="662D12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2573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366" w:type="pct"/>
            <w:noWrap/>
            <w:vAlign w:val="center"/>
          </w:tcPr>
          <w:p w14:paraId="6CA122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1210" w:type="pct"/>
            <w:noWrap/>
            <w:vAlign w:val="center"/>
          </w:tcPr>
          <w:p w14:paraId="4A5716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前进社区</w:t>
            </w:r>
          </w:p>
        </w:tc>
        <w:tc>
          <w:tcPr>
            <w:tcW w:w="608" w:type="pct"/>
            <w:noWrap/>
            <w:vAlign w:val="center"/>
          </w:tcPr>
          <w:p w14:paraId="37E6D8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514153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2.34E-04</w:t>
            </w:r>
          </w:p>
        </w:tc>
        <w:tc>
          <w:tcPr>
            <w:tcW w:w="749" w:type="pct"/>
            <w:noWrap/>
            <w:vAlign w:val="center"/>
          </w:tcPr>
          <w:p w14:paraId="75153E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24101108</w:t>
            </w:r>
          </w:p>
        </w:tc>
        <w:tc>
          <w:tcPr>
            <w:tcW w:w="588" w:type="pct"/>
            <w:noWrap/>
            <w:vAlign w:val="center"/>
          </w:tcPr>
          <w:p w14:paraId="2A3A7D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39E6F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ECB0C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366" w:type="pct"/>
            <w:noWrap/>
            <w:vAlign w:val="center"/>
          </w:tcPr>
          <w:p w14:paraId="1629AE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1210" w:type="pct"/>
            <w:noWrap/>
            <w:vAlign w:val="center"/>
          </w:tcPr>
          <w:p w14:paraId="53C924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幸福家园</w:t>
            </w:r>
          </w:p>
        </w:tc>
        <w:tc>
          <w:tcPr>
            <w:tcW w:w="608" w:type="pct"/>
            <w:noWrap/>
            <w:vAlign w:val="center"/>
          </w:tcPr>
          <w:p w14:paraId="79B760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6E325D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3.47E-04</w:t>
            </w:r>
          </w:p>
        </w:tc>
        <w:tc>
          <w:tcPr>
            <w:tcW w:w="749" w:type="pct"/>
            <w:noWrap/>
            <w:vAlign w:val="center"/>
          </w:tcPr>
          <w:p w14:paraId="7905A3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63311B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243AD0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603309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366" w:type="pct"/>
            <w:noWrap/>
            <w:vAlign w:val="center"/>
          </w:tcPr>
          <w:p w14:paraId="735F12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1210" w:type="pct"/>
            <w:noWrap/>
            <w:vAlign w:val="center"/>
          </w:tcPr>
          <w:p w14:paraId="607A39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盛世嘉园</w:t>
            </w:r>
          </w:p>
        </w:tc>
        <w:tc>
          <w:tcPr>
            <w:tcW w:w="608" w:type="pct"/>
            <w:noWrap/>
            <w:vAlign w:val="center"/>
          </w:tcPr>
          <w:p w14:paraId="7C662A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3F167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1.63E-04</w:t>
            </w:r>
          </w:p>
        </w:tc>
        <w:tc>
          <w:tcPr>
            <w:tcW w:w="749" w:type="pct"/>
            <w:noWrap/>
            <w:vAlign w:val="center"/>
          </w:tcPr>
          <w:p w14:paraId="13927A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24031913</w:t>
            </w:r>
          </w:p>
        </w:tc>
        <w:tc>
          <w:tcPr>
            <w:tcW w:w="588" w:type="pct"/>
            <w:noWrap/>
            <w:vAlign w:val="center"/>
          </w:tcPr>
          <w:p w14:paraId="0ECFEF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5ACB0B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1A2188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366" w:type="pct"/>
            <w:noWrap/>
            <w:vAlign w:val="center"/>
          </w:tcPr>
          <w:p w14:paraId="150F00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1210" w:type="pct"/>
            <w:noWrap/>
            <w:vAlign w:val="center"/>
          </w:tcPr>
          <w:p w14:paraId="04DC88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val="en-US" w:eastAsia="zh-CN" w:bidi="ar"/>
              </w:rPr>
              <w:t>兄弟花园</w:t>
            </w:r>
          </w:p>
        </w:tc>
        <w:tc>
          <w:tcPr>
            <w:tcW w:w="608" w:type="pct"/>
            <w:noWrap/>
            <w:vAlign w:val="center"/>
          </w:tcPr>
          <w:p w14:paraId="172B12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4FF396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1.32E-04</w:t>
            </w:r>
          </w:p>
        </w:tc>
        <w:tc>
          <w:tcPr>
            <w:tcW w:w="749" w:type="pct"/>
            <w:noWrap/>
            <w:vAlign w:val="center"/>
          </w:tcPr>
          <w:p w14:paraId="5BCC41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1386B1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0.07</w:t>
            </w:r>
          </w:p>
        </w:tc>
        <w:tc>
          <w:tcPr>
            <w:tcW w:w="608" w:type="pct"/>
            <w:noWrap/>
            <w:vAlign w:val="center"/>
          </w:tcPr>
          <w:p w14:paraId="733470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598D8E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9" w:hRule="atLeast"/>
          <w:jc w:val="center"/>
        </w:trPr>
        <w:tc>
          <w:tcPr>
            <w:tcW w:w="366" w:type="pct"/>
            <w:noWrap/>
            <w:vAlign w:val="center"/>
          </w:tcPr>
          <w:p w14:paraId="494EF5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1210" w:type="pct"/>
            <w:noWrap/>
            <w:vAlign w:val="center"/>
          </w:tcPr>
          <w:p w14:paraId="27D4D5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608" w:type="pct"/>
            <w:noWrap/>
            <w:vAlign w:val="center"/>
          </w:tcPr>
          <w:p w14:paraId="61922E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24018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1.62E-04</w:t>
            </w:r>
          </w:p>
        </w:tc>
        <w:tc>
          <w:tcPr>
            <w:tcW w:w="749" w:type="pct"/>
            <w:noWrap/>
            <w:vAlign w:val="center"/>
          </w:tcPr>
          <w:p w14:paraId="16676E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24032109</w:t>
            </w:r>
          </w:p>
        </w:tc>
        <w:tc>
          <w:tcPr>
            <w:tcW w:w="588" w:type="pct"/>
            <w:noWrap/>
            <w:vAlign w:val="center"/>
          </w:tcPr>
          <w:p w14:paraId="3C04C6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15BF82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9F3EF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366" w:type="pct"/>
            <w:noWrap/>
            <w:vAlign w:val="center"/>
          </w:tcPr>
          <w:p w14:paraId="5BC25B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1210" w:type="pct"/>
            <w:noWrap/>
            <w:vAlign w:val="center"/>
          </w:tcPr>
          <w:p w14:paraId="530242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608" w:type="pct"/>
            <w:noWrap/>
            <w:vAlign w:val="center"/>
          </w:tcPr>
          <w:p w14:paraId="62276A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A1B8B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1.66E-04</w:t>
            </w:r>
          </w:p>
        </w:tc>
        <w:tc>
          <w:tcPr>
            <w:tcW w:w="749" w:type="pct"/>
            <w:noWrap/>
            <w:vAlign w:val="center"/>
          </w:tcPr>
          <w:p w14:paraId="44B6E7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24031916</w:t>
            </w:r>
          </w:p>
        </w:tc>
        <w:tc>
          <w:tcPr>
            <w:tcW w:w="588" w:type="pct"/>
            <w:noWrap/>
            <w:vAlign w:val="center"/>
          </w:tcPr>
          <w:p w14:paraId="6F1CBA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1CAF74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419C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366" w:type="pct"/>
            <w:noWrap/>
            <w:vAlign w:val="center"/>
          </w:tcPr>
          <w:p w14:paraId="3DF89C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1210" w:type="pct"/>
            <w:noWrap/>
            <w:vAlign w:val="center"/>
          </w:tcPr>
          <w:p w14:paraId="465C12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608" w:type="pct"/>
            <w:noWrap/>
            <w:vAlign w:val="center"/>
          </w:tcPr>
          <w:p w14:paraId="308189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942F5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1.66E-04</w:t>
            </w:r>
          </w:p>
        </w:tc>
        <w:tc>
          <w:tcPr>
            <w:tcW w:w="749" w:type="pct"/>
            <w:noWrap/>
            <w:vAlign w:val="center"/>
          </w:tcPr>
          <w:p w14:paraId="606B28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24040909</w:t>
            </w:r>
          </w:p>
        </w:tc>
        <w:tc>
          <w:tcPr>
            <w:tcW w:w="588" w:type="pct"/>
            <w:noWrap/>
            <w:vAlign w:val="center"/>
          </w:tcPr>
          <w:p w14:paraId="5A6A70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0.08</w:t>
            </w:r>
          </w:p>
        </w:tc>
        <w:tc>
          <w:tcPr>
            <w:tcW w:w="608" w:type="pct"/>
            <w:noWrap/>
            <w:vAlign w:val="center"/>
          </w:tcPr>
          <w:p w14:paraId="4FCBF7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04B7C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366" w:type="pct"/>
            <w:noWrap/>
            <w:vAlign w:val="center"/>
          </w:tcPr>
          <w:p w14:paraId="30EB42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1210" w:type="pct"/>
            <w:noWrap/>
            <w:vAlign w:val="center"/>
          </w:tcPr>
          <w:p w14:paraId="26EB1A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608" w:type="pct"/>
            <w:noWrap/>
            <w:vAlign w:val="center"/>
          </w:tcPr>
          <w:p w14:paraId="77D04A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0A8A88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2.41E-04</w:t>
            </w:r>
          </w:p>
        </w:tc>
        <w:tc>
          <w:tcPr>
            <w:tcW w:w="749" w:type="pct"/>
            <w:noWrap/>
            <w:vAlign w:val="center"/>
          </w:tcPr>
          <w:p w14:paraId="305401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270C61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723488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2BEC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66" w:type="pct"/>
            <w:noWrap/>
            <w:vAlign w:val="center"/>
          </w:tcPr>
          <w:p w14:paraId="37BF5B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1210" w:type="pct"/>
            <w:noWrap/>
            <w:vAlign w:val="center"/>
          </w:tcPr>
          <w:p w14:paraId="530B07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608" w:type="pct"/>
            <w:noWrap/>
            <w:vAlign w:val="center"/>
          </w:tcPr>
          <w:p w14:paraId="585D7B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3C3FCC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2.47E-04</w:t>
            </w:r>
          </w:p>
        </w:tc>
        <w:tc>
          <w:tcPr>
            <w:tcW w:w="749" w:type="pct"/>
            <w:noWrap/>
            <w:vAlign w:val="center"/>
          </w:tcPr>
          <w:p w14:paraId="3C2FF2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24110810</w:t>
            </w:r>
          </w:p>
        </w:tc>
        <w:tc>
          <w:tcPr>
            <w:tcW w:w="588" w:type="pct"/>
            <w:noWrap/>
            <w:vAlign w:val="center"/>
          </w:tcPr>
          <w:p w14:paraId="328253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0.12</w:t>
            </w:r>
          </w:p>
        </w:tc>
        <w:tc>
          <w:tcPr>
            <w:tcW w:w="608" w:type="pct"/>
            <w:noWrap/>
            <w:vAlign w:val="center"/>
          </w:tcPr>
          <w:p w14:paraId="6C3BB8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17548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66" w:type="pct"/>
            <w:noWrap/>
            <w:vAlign w:val="center"/>
          </w:tcPr>
          <w:p w14:paraId="38DE98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1210" w:type="pct"/>
            <w:noWrap/>
            <w:vAlign w:val="center"/>
          </w:tcPr>
          <w:p w14:paraId="24220A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608" w:type="pct"/>
            <w:noWrap/>
            <w:vAlign w:val="center"/>
          </w:tcPr>
          <w:p w14:paraId="0A3308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19FA6D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1.73E-04</w:t>
            </w:r>
          </w:p>
        </w:tc>
        <w:tc>
          <w:tcPr>
            <w:tcW w:w="749" w:type="pct"/>
            <w:noWrap/>
            <w:vAlign w:val="center"/>
          </w:tcPr>
          <w:p w14:paraId="44EAF8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24042110</w:t>
            </w:r>
          </w:p>
        </w:tc>
        <w:tc>
          <w:tcPr>
            <w:tcW w:w="588" w:type="pct"/>
            <w:noWrap/>
            <w:vAlign w:val="center"/>
          </w:tcPr>
          <w:p w14:paraId="4F0764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0.09</w:t>
            </w:r>
          </w:p>
        </w:tc>
        <w:tc>
          <w:tcPr>
            <w:tcW w:w="608" w:type="pct"/>
            <w:noWrap/>
            <w:vAlign w:val="center"/>
          </w:tcPr>
          <w:p w14:paraId="618ACF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3A64AE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66" w:type="pct"/>
            <w:noWrap/>
            <w:vAlign w:val="center"/>
          </w:tcPr>
          <w:p w14:paraId="570607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1210" w:type="pct"/>
            <w:noWrap/>
            <w:vAlign w:val="center"/>
          </w:tcPr>
          <w:p w14:paraId="70A3A7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608" w:type="pct"/>
            <w:noWrap/>
            <w:vAlign w:val="center"/>
          </w:tcPr>
          <w:p w14:paraId="54B0F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ascii="Times New Roman" w:hAnsi="Times New Roman" w:eastAsia="宋体" w:cs="Times New Roman"/>
                <w:kern w:val="0"/>
                <w:sz w:val="21"/>
                <w:highlight w:val="none"/>
                <w:lang w:bidi="ar"/>
              </w:rPr>
              <w:t>1小时</w:t>
            </w:r>
          </w:p>
        </w:tc>
        <w:tc>
          <w:tcPr>
            <w:tcW w:w="867" w:type="pct"/>
            <w:noWrap/>
            <w:vAlign w:val="center"/>
          </w:tcPr>
          <w:p w14:paraId="24F328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8.44E-05</w:t>
            </w:r>
          </w:p>
        </w:tc>
        <w:tc>
          <w:tcPr>
            <w:tcW w:w="749" w:type="pct"/>
            <w:noWrap/>
            <w:vAlign w:val="center"/>
          </w:tcPr>
          <w:p w14:paraId="35E156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24041107</w:t>
            </w:r>
          </w:p>
        </w:tc>
        <w:tc>
          <w:tcPr>
            <w:tcW w:w="588" w:type="pct"/>
            <w:noWrap/>
            <w:vAlign w:val="center"/>
          </w:tcPr>
          <w:p w14:paraId="1AF50A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0.04</w:t>
            </w:r>
          </w:p>
        </w:tc>
        <w:tc>
          <w:tcPr>
            <w:tcW w:w="608" w:type="pct"/>
            <w:noWrap/>
            <w:vAlign w:val="center"/>
          </w:tcPr>
          <w:p w14:paraId="7E4EED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0432D5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noWrap/>
            <w:vAlign w:val="center"/>
          </w:tcPr>
          <w:p w14:paraId="721B2E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1210" w:type="pct"/>
            <w:noWrap/>
            <w:vAlign w:val="center"/>
          </w:tcPr>
          <w:p w14:paraId="69C175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608" w:type="pct"/>
            <w:noWrap/>
            <w:vAlign w:val="center"/>
          </w:tcPr>
          <w:p w14:paraId="6FC609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1小时</w:t>
            </w:r>
          </w:p>
        </w:tc>
        <w:tc>
          <w:tcPr>
            <w:tcW w:w="867" w:type="pct"/>
            <w:noWrap/>
            <w:vAlign w:val="center"/>
          </w:tcPr>
          <w:p w14:paraId="6E2CB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1.95E-04</w:t>
            </w:r>
          </w:p>
        </w:tc>
        <w:tc>
          <w:tcPr>
            <w:tcW w:w="749" w:type="pct"/>
            <w:noWrap/>
            <w:vAlign w:val="center"/>
          </w:tcPr>
          <w:p w14:paraId="3A129A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588" w:type="pct"/>
            <w:noWrap/>
            <w:vAlign w:val="center"/>
          </w:tcPr>
          <w:p w14:paraId="42966D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eastAsia="zh-CN" w:bidi="ar"/>
              </w:rPr>
            </w:pPr>
            <w:r>
              <w:rPr>
                <w:rFonts w:hint="eastAsia" w:ascii="Times New Roman" w:hAnsi="Times New Roman" w:eastAsia="宋体" w:cs="Times New Roman"/>
                <w:kern w:val="0"/>
                <w:sz w:val="21"/>
                <w:highlight w:val="none"/>
                <w:lang w:bidi="ar"/>
              </w:rPr>
              <w:t>0.1</w:t>
            </w:r>
            <w:r>
              <w:rPr>
                <w:rFonts w:hint="eastAsia" w:ascii="Times New Roman" w:hAnsi="Times New Roman" w:eastAsia="宋体" w:cs="Times New Roman"/>
                <w:kern w:val="0"/>
                <w:sz w:val="21"/>
                <w:highlight w:val="none"/>
                <w:lang w:val="en-US" w:eastAsia="zh-CN" w:bidi="ar"/>
              </w:rPr>
              <w:t>0</w:t>
            </w:r>
          </w:p>
        </w:tc>
        <w:tc>
          <w:tcPr>
            <w:tcW w:w="608" w:type="pct"/>
            <w:noWrap/>
            <w:vAlign w:val="center"/>
          </w:tcPr>
          <w:p w14:paraId="463CF9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4D43A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366" w:type="pct"/>
            <w:noWrap/>
            <w:vAlign w:val="center"/>
          </w:tcPr>
          <w:p w14:paraId="21DA19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62</w:t>
            </w:r>
          </w:p>
        </w:tc>
        <w:tc>
          <w:tcPr>
            <w:tcW w:w="1210" w:type="pct"/>
            <w:noWrap/>
            <w:vAlign w:val="center"/>
          </w:tcPr>
          <w:p w14:paraId="06A40B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绥芬河市传染病医院</w:t>
            </w:r>
          </w:p>
        </w:tc>
        <w:tc>
          <w:tcPr>
            <w:tcW w:w="608" w:type="pct"/>
            <w:noWrap/>
            <w:vAlign w:val="center"/>
          </w:tcPr>
          <w:p w14:paraId="1C2350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1小时</w:t>
            </w:r>
          </w:p>
        </w:tc>
        <w:tc>
          <w:tcPr>
            <w:tcW w:w="867" w:type="pct"/>
            <w:noWrap/>
            <w:vAlign w:val="center"/>
          </w:tcPr>
          <w:p w14:paraId="261F2C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3.50E-04</w:t>
            </w:r>
          </w:p>
        </w:tc>
        <w:tc>
          <w:tcPr>
            <w:tcW w:w="1278" w:type="dxa"/>
            <w:noWrap/>
            <w:vAlign w:val="center"/>
          </w:tcPr>
          <w:p w14:paraId="593D2D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24111910</w:t>
            </w:r>
          </w:p>
        </w:tc>
        <w:tc>
          <w:tcPr>
            <w:tcW w:w="1003" w:type="dxa"/>
            <w:noWrap/>
            <w:vAlign w:val="center"/>
          </w:tcPr>
          <w:p w14:paraId="67CD3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0.17</w:t>
            </w:r>
          </w:p>
        </w:tc>
        <w:tc>
          <w:tcPr>
            <w:tcW w:w="608" w:type="pct"/>
            <w:noWrap/>
            <w:vAlign w:val="center"/>
          </w:tcPr>
          <w:p w14:paraId="2E5867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bidi="ar"/>
              </w:rPr>
            </w:pPr>
            <w:r>
              <w:rPr>
                <w:rFonts w:hint="eastAsia" w:ascii="Times New Roman" w:hAnsi="Times New Roman" w:eastAsia="宋体" w:cs="Times New Roman"/>
                <w:kern w:val="0"/>
                <w:sz w:val="21"/>
                <w:highlight w:val="none"/>
                <w:lang w:bidi="ar"/>
              </w:rPr>
              <w:t>达标</w:t>
            </w:r>
          </w:p>
        </w:tc>
      </w:tr>
      <w:tr w14:paraId="7FE19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366" w:type="pct"/>
            <w:noWrap/>
            <w:vAlign w:val="center"/>
          </w:tcPr>
          <w:p w14:paraId="1317AC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r>
              <w:rPr>
                <w:rFonts w:hint="eastAsia" w:ascii="Times New Roman" w:hAnsi="Times New Roman" w:cs="Times New Roman"/>
                <w:kern w:val="0"/>
                <w:sz w:val="21"/>
                <w:highlight w:val="none"/>
                <w:lang w:val="en-US" w:eastAsia="zh-CN" w:bidi="ar"/>
              </w:rPr>
              <w:t>3</w:t>
            </w:r>
          </w:p>
        </w:tc>
        <w:tc>
          <w:tcPr>
            <w:tcW w:w="1210" w:type="pct"/>
            <w:noWrap/>
            <w:vAlign w:val="center"/>
          </w:tcPr>
          <w:p w14:paraId="306A33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608" w:type="pct"/>
            <w:noWrap/>
            <w:vAlign w:val="center"/>
          </w:tcPr>
          <w:p w14:paraId="0A4B70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1小时</w:t>
            </w:r>
          </w:p>
        </w:tc>
        <w:tc>
          <w:tcPr>
            <w:tcW w:w="867" w:type="pct"/>
            <w:noWrap/>
            <w:vAlign w:val="center"/>
          </w:tcPr>
          <w:p w14:paraId="4598F1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3.16E-04</w:t>
            </w:r>
          </w:p>
        </w:tc>
        <w:tc>
          <w:tcPr>
            <w:tcW w:w="749" w:type="pct"/>
            <w:noWrap/>
            <w:vAlign w:val="center"/>
          </w:tcPr>
          <w:p w14:paraId="61339B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24101411</w:t>
            </w:r>
          </w:p>
        </w:tc>
        <w:tc>
          <w:tcPr>
            <w:tcW w:w="588" w:type="pct"/>
            <w:noWrap/>
            <w:vAlign w:val="center"/>
          </w:tcPr>
          <w:p w14:paraId="576BF8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0.16</w:t>
            </w:r>
          </w:p>
        </w:tc>
        <w:tc>
          <w:tcPr>
            <w:tcW w:w="608" w:type="pct"/>
            <w:noWrap/>
            <w:vAlign w:val="center"/>
          </w:tcPr>
          <w:p w14:paraId="549BDE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1DF9CDEA">
      <w:pPr>
        <w:ind w:firstLine="480"/>
        <w:rPr>
          <w:rFonts w:ascii="Times New Roman" w:hAnsi="Times New Roman"/>
          <w:color w:val="auto"/>
          <w:highlight w:val="none"/>
        </w:rPr>
      </w:pPr>
      <w:r>
        <w:rPr>
          <w:rFonts w:ascii="Times New Roman" w:hAnsi="Times New Roman"/>
          <w:color w:val="auto"/>
          <w:highlight w:val="none"/>
        </w:rPr>
        <w:t>本项目氨气短期贡献浓度占标率≤100%。</w:t>
      </w:r>
    </w:p>
    <w:p w14:paraId="2B2B67E8">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6</w:t>
      </w:r>
      <w:r>
        <w:rPr>
          <w:rFonts w:ascii="Times New Roman" w:hAnsi="Times New Roman"/>
          <w:color w:val="auto"/>
          <w:highlight w:val="none"/>
        </w:rPr>
        <w:t>）本项目</w:t>
      </w:r>
      <w:r>
        <w:rPr>
          <w:rFonts w:hint="eastAsia" w:ascii="Times New Roman" w:hAnsi="Times New Roman"/>
          <w:color w:val="auto"/>
          <w:highlight w:val="none"/>
        </w:rPr>
        <w:t>汞</w:t>
      </w:r>
      <w:r>
        <w:rPr>
          <w:rFonts w:ascii="Times New Roman" w:hAnsi="Times New Roman"/>
          <w:color w:val="auto"/>
          <w:highlight w:val="none"/>
        </w:rPr>
        <w:t>贡献浓度预测结果分析</w:t>
      </w:r>
    </w:p>
    <w:p w14:paraId="70740D36">
      <w:pPr>
        <w:ind w:firstLine="48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汞</w:t>
      </w:r>
      <w:r>
        <w:rPr>
          <w:rFonts w:ascii="Times New Roman" w:hAnsi="Times New Roman"/>
          <w:color w:val="auto"/>
          <w:highlight w:val="none"/>
        </w:rPr>
        <w:t>对环境空气敏感点及区域最大浓度点短期贡献浓度值及占标率见表5.2-</w:t>
      </w:r>
      <w:r>
        <w:rPr>
          <w:rFonts w:hint="eastAsia" w:ascii="Times New Roman" w:hAnsi="Times New Roman"/>
          <w:color w:val="auto"/>
          <w:highlight w:val="none"/>
        </w:rPr>
        <w:t>1</w:t>
      </w:r>
      <w:r>
        <w:rPr>
          <w:rFonts w:hint="eastAsia" w:ascii="Times New Roman" w:hAnsi="Times New Roman"/>
          <w:color w:val="auto"/>
          <w:highlight w:val="none"/>
          <w:lang w:val="en-US" w:eastAsia="zh-CN"/>
        </w:rPr>
        <w:t>6</w:t>
      </w:r>
      <w:r>
        <w:rPr>
          <w:rFonts w:ascii="Times New Roman" w:hAnsi="Times New Roman"/>
          <w:color w:val="auto"/>
          <w:highlight w:val="none"/>
        </w:rPr>
        <w:t>。</w:t>
      </w:r>
    </w:p>
    <w:p w14:paraId="5E45F138">
      <w:pPr>
        <w:ind w:firstLine="0" w:firstLineChars="0"/>
        <w:jc w:val="center"/>
        <w:rPr>
          <w:rFonts w:hint="eastAsia" w:ascii="黑体" w:hAnsi="黑体" w:eastAsia="黑体" w:cs="黑体"/>
          <w:color w:val="auto"/>
          <w:highlight w:val="none"/>
        </w:rPr>
      </w:pPr>
    </w:p>
    <w:p w14:paraId="33DA226C">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w:t>
      </w:r>
      <w:r>
        <w:rPr>
          <w:rFonts w:hint="eastAsia" w:ascii="Times New Roman" w:hAnsi="Times New Roman"/>
          <w:color w:val="auto"/>
          <w:highlight w:val="none"/>
        </w:rPr>
        <w:t>.2</w:t>
      </w:r>
      <w:r>
        <w:rPr>
          <w:rFonts w:ascii="Times New Roman" w:hAnsi="Times New Roman"/>
          <w:color w:val="auto"/>
          <w:highlight w:val="none"/>
        </w:rPr>
        <w:t>-</w:t>
      </w:r>
      <w:r>
        <w:rPr>
          <w:rFonts w:hint="eastAsia" w:ascii="Times New Roman" w:hAnsi="Times New Roman"/>
          <w:color w:val="auto"/>
          <w:highlight w:val="none"/>
        </w:rPr>
        <w:t>1</w:t>
      </w:r>
      <w:r>
        <w:rPr>
          <w:rFonts w:hint="eastAsia" w:ascii="Times New Roman" w:hAnsi="Times New Roman"/>
          <w:color w:val="auto"/>
          <w:highlight w:val="none"/>
          <w:lang w:val="en-US" w:eastAsia="zh-CN"/>
        </w:rPr>
        <w:t>6</w:t>
      </w:r>
      <w:r>
        <w:rPr>
          <w:rFonts w:hint="eastAsia" w:ascii="黑体" w:hAnsi="黑体" w:eastAsia="黑体" w:cs="黑体"/>
          <w:color w:val="auto"/>
          <w:highlight w:val="none"/>
        </w:rPr>
        <w:t>本项目汞贡献值预测结果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64"/>
        <w:gridCol w:w="1037"/>
        <w:gridCol w:w="1478"/>
        <w:gridCol w:w="1278"/>
        <w:gridCol w:w="1003"/>
        <w:gridCol w:w="1037"/>
      </w:tblGrid>
      <w:tr w14:paraId="2803F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66" w:type="pct"/>
            <w:noWrap/>
            <w:vAlign w:val="center"/>
          </w:tcPr>
          <w:p w14:paraId="240066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序号</w:t>
            </w:r>
          </w:p>
        </w:tc>
        <w:tc>
          <w:tcPr>
            <w:tcW w:w="1210" w:type="pct"/>
            <w:noWrap/>
            <w:vAlign w:val="center"/>
          </w:tcPr>
          <w:p w14:paraId="075C91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点名称</w:t>
            </w:r>
          </w:p>
        </w:tc>
        <w:tc>
          <w:tcPr>
            <w:tcW w:w="608" w:type="pct"/>
            <w:noWrap/>
            <w:vAlign w:val="center"/>
          </w:tcPr>
          <w:p w14:paraId="7725DB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浓度类型</w:t>
            </w:r>
          </w:p>
        </w:tc>
        <w:tc>
          <w:tcPr>
            <w:tcW w:w="867" w:type="pct"/>
            <w:noWrap/>
            <w:vAlign w:val="center"/>
          </w:tcPr>
          <w:p w14:paraId="0521DB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浓度增量(mg/m</w:t>
            </w:r>
            <w:r>
              <w:rPr>
                <w:rFonts w:hint="eastAsia" w:ascii="Times New Roman" w:hAnsi="Times New Roman" w:eastAsia="宋体" w:cs="Times New Roman"/>
                <w:kern w:val="0"/>
                <w:sz w:val="21"/>
                <w:highlight w:val="none"/>
                <w:vertAlign w:val="superscript"/>
                <w:lang w:val="en-US" w:eastAsia="zh-CN" w:bidi="ar"/>
              </w:rPr>
              <w:t>3</w:t>
            </w:r>
            <w:r>
              <w:rPr>
                <w:rFonts w:hint="eastAsia" w:ascii="Times New Roman" w:hAnsi="Times New Roman" w:eastAsia="宋体" w:cs="Times New Roman"/>
                <w:kern w:val="0"/>
                <w:sz w:val="21"/>
                <w:highlight w:val="none"/>
                <w:lang w:val="en-US" w:eastAsia="zh-CN" w:bidi="ar"/>
              </w:rPr>
              <w:t>)</w:t>
            </w:r>
          </w:p>
        </w:tc>
        <w:tc>
          <w:tcPr>
            <w:tcW w:w="749" w:type="pct"/>
            <w:noWrap/>
            <w:vAlign w:val="center"/>
          </w:tcPr>
          <w:p w14:paraId="574F94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出现时间</w:t>
            </w:r>
          </w:p>
        </w:tc>
        <w:tc>
          <w:tcPr>
            <w:tcW w:w="588" w:type="pct"/>
            <w:noWrap/>
            <w:vAlign w:val="center"/>
          </w:tcPr>
          <w:p w14:paraId="5AE841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占标率%</w:t>
            </w:r>
          </w:p>
        </w:tc>
        <w:tc>
          <w:tcPr>
            <w:tcW w:w="608" w:type="pct"/>
            <w:noWrap/>
            <w:vAlign w:val="center"/>
          </w:tcPr>
          <w:p w14:paraId="2E6708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是否超标</w:t>
            </w:r>
          </w:p>
        </w:tc>
      </w:tr>
      <w:tr w14:paraId="5D7CDC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17910B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1</w:t>
            </w:r>
          </w:p>
        </w:tc>
        <w:tc>
          <w:tcPr>
            <w:tcW w:w="2064" w:type="dxa"/>
            <w:noWrap/>
            <w:vAlign w:val="center"/>
          </w:tcPr>
          <w:p w14:paraId="1EDA80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绥芬河市政府</w:t>
            </w:r>
          </w:p>
        </w:tc>
        <w:tc>
          <w:tcPr>
            <w:tcW w:w="608" w:type="pct"/>
            <w:noWrap/>
            <w:vAlign w:val="center"/>
          </w:tcPr>
          <w:p w14:paraId="7F44B4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6D64C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1C4A30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7D0EF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2A5729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FA516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25" w:type="dxa"/>
            <w:noWrap/>
            <w:vAlign w:val="center"/>
          </w:tcPr>
          <w:p w14:paraId="75F3FC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2</w:t>
            </w:r>
          </w:p>
        </w:tc>
        <w:tc>
          <w:tcPr>
            <w:tcW w:w="2064" w:type="dxa"/>
            <w:noWrap/>
            <w:vAlign w:val="center"/>
          </w:tcPr>
          <w:p w14:paraId="4C4051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608" w:type="pct"/>
            <w:noWrap/>
            <w:vAlign w:val="center"/>
          </w:tcPr>
          <w:p w14:paraId="23931F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463AF2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7476E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3F8B40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4B170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0ED0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1CCDD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3</w:t>
            </w:r>
          </w:p>
        </w:tc>
        <w:tc>
          <w:tcPr>
            <w:tcW w:w="2064" w:type="dxa"/>
            <w:noWrap/>
            <w:vAlign w:val="center"/>
          </w:tcPr>
          <w:p w14:paraId="052D37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608" w:type="pct"/>
            <w:noWrap/>
            <w:vAlign w:val="center"/>
          </w:tcPr>
          <w:p w14:paraId="505113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CB32B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052C45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169AD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4E439A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4E5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3257FD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4</w:t>
            </w:r>
          </w:p>
        </w:tc>
        <w:tc>
          <w:tcPr>
            <w:tcW w:w="2064" w:type="dxa"/>
            <w:noWrap/>
            <w:vAlign w:val="center"/>
          </w:tcPr>
          <w:p w14:paraId="7836C5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608" w:type="pct"/>
            <w:noWrap/>
            <w:vAlign w:val="center"/>
          </w:tcPr>
          <w:p w14:paraId="3019F6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16921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742370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B9B24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2336F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D834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53BEDB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ascii="Times New Roman" w:hAnsi="Times New Roman" w:eastAsia="宋体" w:cs="Times New Roman"/>
                <w:kern w:val="0"/>
                <w:sz w:val="21"/>
                <w:highlight w:val="none"/>
                <w:lang w:bidi="ar"/>
              </w:rPr>
              <w:t>5</w:t>
            </w:r>
          </w:p>
        </w:tc>
        <w:tc>
          <w:tcPr>
            <w:tcW w:w="2064" w:type="dxa"/>
            <w:noWrap/>
            <w:vAlign w:val="center"/>
          </w:tcPr>
          <w:p w14:paraId="0B8B70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608" w:type="pct"/>
            <w:noWrap/>
            <w:vAlign w:val="center"/>
          </w:tcPr>
          <w:p w14:paraId="0E9E0C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C3500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7A581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17190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16DEC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5252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51B2BD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p>
        </w:tc>
        <w:tc>
          <w:tcPr>
            <w:tcW w:w="2064" w:type="dxa"/>
            <w:noWrap/>
            <w:vAlign w:val="center"/>
          </w:tcPr>
          <w:p w14:paraId="461A4E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608" w:type="pct"/>
            <w:noWrap/>
            <w:vAlign w:val="center"/>
          </w:tcPr>
          <w:p w14:paraId="1DEBCC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8E1E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32A16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B7FA6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CD553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366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25" w:type="dxa"/>
            <w:noWrap/>
            <w:vAlign w:val="center"/>
          </w:tcPr>
          <w:p w14:paraId="7B0F18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2064" w:type="dxa"/>
            <w:noWrap/>
            <w:vAlign w:val="center"/>
          </w:tcPr>
          <w:p w14:paraId="099B62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绥芬河邮政管理局</w:t>
            </w:r>
          </w:p>
        </w:tc>
        <w:tc>
          <w:tcPr>
            <w:tcW w:w="608" w:type="pct"/>
            <w:noWrap/>
            <w:vAlign w:val="center"/>
          </w:tcPr>
          <w:p w14:paraId="065E14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312EA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76B6C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400D5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C4CB9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07EEB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625" w:type="dxa"/>
            <w:noWrap/>
            <w:vAlign w:val="center"/>
          </w:tcPr>
          <w:p w14:paraId="1D887B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2064" w:type="dxa"/>
            <w:noWrap/>
            <w:vAlign w:val="center"/>
          </w:tcPr>
          <w:p w14:paraId="7B5140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绥芬河市教育局</w:t>
            </w:r>
          </w:p>
        </w:tc>
        <w:tc>
          <w:tcPr>
            <w:tcW w:w="608" w:type="pct"/>
            <w:noWrap/>
            <w:vAlign w:val="center"/>
          </w:tcPr>
          <w:p w14:paraId="2CEE26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D953C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CAA36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DFE6E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747A8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AA7CE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625" w:type="dxa"/>
            <w:noWrap/>
            <w:vAlign w:val="center"/>
          </w:tcPr>
          <w:p w14:paraId="4157B4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2064" w:type="dxa"/>
            <w:noWrap/>
            <w:vAlign w:val="center"/>
          </w:tcPr>
          <w:p w14:paraId="1EBDF7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绥芬河市自然资源局</w:t>
            </w:r>
          </w:p>
        </w:tc>
        <w:tc>
          <w:tcPr>
            <w:tcW w:w="608" w:type="pct"/>
            <w:noWrap/>
            <w:vAlign w:val="center"/>
          </w:tcPr>
          <w:p w14:paraId="4ECF53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49EBEA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B495A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DA388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2EE7C0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282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625" w:type="dxa"/>
            <w:noWrap/>
            <w:vAlign w:val="center"/>
          </w:tcPr>
          <w:p w14:paraId="3C11D2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2064" w:type="dxa"/>
            <w:noWrap/>
            <w:vAlign w:val="center"/>
          </w:tcPr>
          <w:p w14:paraId="3ED8F9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绥芬河海关</w:t>
            </w:r>
          </w:p>
        </w:tc>
        <w:tc>
          <w:tcPr>
            <w:tcW w:w="608" w:type="pct"/>
            <w:noWrap/>
            <w:vAlign w:val="center"/>
          </w:tcPr>
          <w:p w14:paraId="0030CD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488D1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83F1C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31E233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2E00FA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05571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25" w:type="dxa"/>
            <w:noWrap/>
            <w:vAlign w:val="center"/>
          </w:tcPr>
          <w:p w14:paraId="1A28B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2064" w:type="dxa"/>
            <w:noWrap/>
            <w:vAlign w:val="center"/>
          </w:tcPr>
          <w:p w14:paraId="0C00F6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608" w:type="pct"/>
            <w:noWrap/>
            <w:vAlign w:val="center"/>
          </w:tcPr>
          <w:p w14:paraId="4D0404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A174B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496CE3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B7B36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7DB75F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24B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625" w:type="dxa"/>
            <w:noWrap/>
            <w:vAlign w:val="center"/>
          </w:tcPr>
          <w:p w14:paraId="6F5451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2064" w:type="dxa"/>
            <w:noWrap/>
            <w:vAlign w:val="center"/>
          </w:tcPr>
          <w:p w14:paraId="017560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绥芬河市生态环境局</w:t>
            </w:r>
          </w:p>
        </w:tc>
        <w:tc>
          <w:tcPr>
            <w:tcW w:w="608" w:type="pct"/>
            <w:noWrap/>
            <w:vAlign w:val="center"/>
          </w:tcPr>
          <w:p w14:paraId="50C7E7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2D8FF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E3F22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523E1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7E089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C52D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625" w:type="dxa"/>
            <w:noWrap/>
            <w:vAlign w:val="center"/>
          </w:tcPr>
          <w:p w14:paraId="371916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2064" w:type="dxa"/>
            <w:noWrap/>
            <w:vAlign w:val="center"/>
          </w:tcPr>
          <w:p w14:paraId="623F7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w:t>
            </w:r>
            <w:r>
              <w:rPr>
                <w:rFonts w:hint="eastAsia" w:ascii="Times New Roman" w:hAnsi="Times New Roman" w:cs="Times New Roman"/>
                <w:kern w:val="0"/>
                <w:sz w:val="21"/>
                <w:highlight w:val="none"/>
                <w:lang w:val="en-US" w:eastAsia="zh-CN" w:bidi="ar"/>
              </w:rPr>
              <w:t>市</w:t>
            </w:r>
            <w:r>
              <w:rPr>
                <w:rFonts w:hint="eastAsia" w:ascii="Times New Roman" w:hAnsi="Times New Roman" w:eastAsia="宋体" w:cs="Times New Roman"/>
                <w:kern w:val="0"/>
                <w:sz w:val="21"/>
                <w:highlight w:val="none"/>
                <w:lang w:val="en-US" w:eastAsia="zh-CN" w:bidi="ar"/>
              </w:rPr>
              <w:t>民政局</w:t>
            </w:r>
          </w:p>
        </w:tc>
        <w:tc>
          <w:tcPr>
            <w:tcW w:w="608" w:type="pct"/>
            <w:noWrap/>
            <w:vAlign w:val="center"/>
          </w:tcPr>
          <w:p w14:paraId="3CBF60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4F0E42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F87E8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E6302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426AC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802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625" w:type="dxa"/>
            <w:noWrap/>
            <w:vAlign w:val="center"/>
          </w:tcPr>
          <w:p w14:paraId="32E19A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2064" w:type="dxa"/>
            <w:noWrap/>
            <w:vAlign w:val="center"/>
          </w:tcPr>
          <w:p w14:paraId="446113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绥芬河市公安局</w:t>
            </w:r>
          </w:p>
        </w:tc>
        <w:tc>
          <w:tcPr>
            <w:tcW w:w="608" w:type="pct"/>
            <w:noWrap/>
            <w:vAlign w:val="center"/>
          </w:tcPr>
          <w:p w14:paraId="26BF57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2FC55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A6E6B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2E6E5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448D6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99FB7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625" w:type="dxa"/>
            <w:noWrap/>
            <w:vAlign w:val="center"/>
          </w:tcPr>
          <w:p w14:paraId="2184E6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2064" w:type="dxa"/>
            <w:noWrap/>
            <w:vAlign w:val="center"/>
          </w:tcPr>
          <w:p w14:paraId="55DEC1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阜宁镇人民政府</w:t>
            </w:r>
          </w:p>
        </w:tc>
        <w:tc>
          <w:tcPr>
            <w:tcW w:w="608" w:type="pct"/>
            <w:noWrap/>
            <w:vAlign w:val="center"/>
          </w:tcPr>
          <w:p w14:paraId="4BC46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9E2BE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C88D1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857EE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F2DE7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489BD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625" w:type="dxa"/>
            <w:noWrap/>
            <w:vAlign w:val="center"/>
          </w:tcPr>
          <w:p w14:paraId="3BB415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2064" w:type="dxa"/>
            <w:noWrap/>
            <w:vAlign w:val="center"/>
          </w:tcPr>
          <w:p w14:paraId="599099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绥芬河市广播电视局</w:t>
            </w:r>
          </w:p>
        </w:tc>
        <w:tc>
          <w:tcPr>
            <w:tcW w:w="608" w:type="pct"/>
            <w:noWrap/>
            <w:vAlign w:val="center"/>
          </w:tcPr>
          <w:p w14:paraId="625456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311D4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607BA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AC326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1A262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034D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25" w:type="dxa"/>
            <w:noWrap/>
            <w:vAlign w:val="center"/>
          </w:tcPr>
          <w:p w14:paraId="703DC6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2064" w:type="dxa"/>
            <w:noWrap/>
            <w:vAlign w:val="center"/>
          </w:tcPr>
          <w:p w14:paraId="44737F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红太阳未来星幼儿园</w:t>
            </w:r>
          </w:p>
        </w:tc>
        <w:tc>
          <w:tcPr>
            <w:tcW w:w="608" w:type="pct"/>
            <w:noWrap/>
            <w:vAlign w:val="center"/>
          </w:tcPr>
          <w:p w14:paraId="4C2121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A702D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D87A1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3E6CA0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7C48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E6DE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25" w:type="dxa"/>
            <w:noWrap/>
            <w:vAlign w:val="center"/>
          </w:tcPr>
          <w:p w14:paraId="065363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2064" w:type="dxa"/>
            <w:noWrap/>
            <w:vAlign w:val="center"/>
          </w:tcPr>
          <w:p w14:paraId="012DB7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金恒基小学</w:t>
            </w:r>
          </w:p>
        </w:tc>
        <w:tc>
          <w:tcPr>
            <w:tcW w:w="608" w:type="pct"/>
            <w:noWrap/>
            <w:vAlign w:val="center"/>
          </w:tcPr>
          <w:p w14:paraId="14FC67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A722B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37E60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2D062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01CB9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F782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625" w:type="dxa"/>
            <w:noWrap/>
            <w:vAlign w:val="center"/>
          </w:tcPr>
          <w:p w14:paraId="0F1996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2064" w:type="dxa"/>
            <w:noWrap/>
            <w:vAlign w:val="center"/>
          </w:tcPr>
          <w:p w14:paraId="3909D3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弘孟幼儿园</w:t>
            </w:r>
          </w:p>
        </w:tc>
        <w:tc>
          <w:tcPr>
            <w:tcW w:w="608" w:type="pct"/>
            <w:noWrap/>
            <w:vAlign w:val="center"/>
          </w:tcPr>
          <w:p w14:paraId="010146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9A599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FFD30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6554D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19883F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091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625" w:type="dxa"/>
            <w:noWrap/>
            <w:vAlign w:val="center"/>
          </w:tcPr>
          <w:p w14:paraId="19C753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2064" w:type="dxa"/>
            <w:noWrap/>
            <w:vAlign w:val="center"/>
          </w:tcPr>
          <w:p w14:paraId="24988D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红太阳幼儿园</w:t>
            </w:r>
          </w:p>
        </w:tc>
        <w:tc>
          <w:tcPr>
            <w:tcW w:w="608" w:type="pct"/>
            <w:noWrap/>
            <w:vAlign w:val="center"/>
          </w:tcPr>
          <w:p w14:paraId="72FC6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51443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CDF9B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13BBC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0D56C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87EB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625" w:type="dxa"/>
            <w:noWrap/>
            <w:vAlign w:val="center"/>
          </w:tcPr>
          <w:p w14:paraId="316EC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2064" w:type="dxa"/>
            <w:noWrap/>
            <w:vAlign w:val="center"/>
          </w:tcPr>
          <w:p w14:paraId="6AE30B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千里幼稚园</w:t>
            </w:r>
          </w:p>
        </w:tc>
        <w:tc>
          <w:tcPr>
            <w:tcW w:w="608" w:type="pct"/>
            <w:noWrap/>
            <w:vAlign w:val="center"/>
          </w:tcPr>
          <w:p w14:paraId="63637E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B5AF5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0A33F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3293A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891E1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CE5E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625" w:type="dxa"/>
            <w:noWrap/>
            <w:vAlign w:val="center"/>
          </w:tcPr>
          <w:p w14:paraId="437DFC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2064" w:type="dxa"/>
            <w:noWrap/>
            <w:vAlign w:val="center"/>
          </w:tcPr>
          <w:p w14:paraId="68828B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绥芬河市第一中学</w:t>
            </w:r>
          </w:p>
        </w:tc>
        <w:tc>
          <w:tcPr>
            <w:tcW w:w="608" w:type="pct"/>
            <w:noWrap/>
            <w:vAlign w:val="center"/>
          </w:tcPr>
          <w:p w14:paraId="6791D1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FD27F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21F4AC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B0A26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4AF435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7E3F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625" w:type="dxa"/>
            <w:noWrap/>
            <w:vAlign w:val="center"/>
          </w:tcPr>
          <w:p w14:paraId="378F1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2064" w:type="dxa"/>
            <w:noWrap/>
            <w:vAlign w:val="center"/>
          </w:tcPr>
          <w:p w14:paraId="1E23ED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商都幼儿园</w:t>
            </w:r>
          </w:p>
        </w:tc>
        <w:tc>
          <w:tcPr>
            <w:tcW w:w="608" w:type="pct"/>
            <w:noWrap/>
            <w:vAlign w:val="center"/>
          </w:tcPr>
          <w:p w14:paraId="31157A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04C1A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71D66B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5ED49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143094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2DF1A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625" w:type="dxa"/>
            <w:noWrap/>
            <w:vAlign w:val="center"/>
          </w:tcPr>
          <w:p w14:paraId="374E55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2064" w:type="dxa"/>
            <w:noWrap/>
            <w:vAlign w:val="center"/>
          </w:tcPr>
          <w:p w14:paraId="329B81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608" w:type="pct"/>
            <w:noWrap/>
            <w:vAlign w:val="center"/>
          </w:tcPr>
          <w:p w14:paraId="6A462B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14E04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3A296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217B4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08E21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78EC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625" w:type="dxa"/>
            <w:noWrap/>
            <w:vAlign w:val="center"/>
          </w:tcPr>
          <w:p w14:paraId="2A2A31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2064" w:type="dxa"/>
            <w:noWrap/>
            <w:vAlign w:val="center"/>
          </w:tcPr>
          <w:p w14:paraId="52D875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608" w:type="pct"/>
            <w:noWrap/>
            <w:vAlign w:val="center"/>
          </w:tcPr>
          <w:p w14:paraId="59AAF9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C82AE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3E5C3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B27EA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84385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8ED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625" w:type="dxa"/>
            <w:noWrap/>
            <w:vAlign w:val="center"/>
          </w:tcPr>
          <w:p w14:paraId="52AAE8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2064" w:type="dxa"/>
            <w:noWrap/>
            <w:vAlign w:val="center"/>
          </w:tcPr>
          <w:p w14:paraId="767EF7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绥芬河市第三中学</w:t>
            </w:r>
          </w:p>
        </w:tc>
        <w:tc>
          <w:tcPr>
            <w:tcW w:w="608" w:type="pct"/>
            <w:noWrap/>
            <w:vAlign w:val="center"/>
          </w:tcPr>
          <w:p w14:paraId="57C2E4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D7808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ED828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3F07F0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75FFA7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C4E9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625" w:type="dxa"/>
            <w:noWrap/>
            <w:vAlign w:val="center"/>
          </w:tcPr>
          <w:p w14:paraId="5E0805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2064" w:type="dxa"/>
            <w:noWrap/>
            <w:vAlign w:val="center"/>
          </w:tcPr>
          <w:p w14:paraId="4DE65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旅游局家属楼</w:t>
            </w:r>
          </w:p>
        </w:tc>
        <w:tc>
          <w:tcPr>
            <w:tcW w:w="608" w:type="pct"/>
            <w:noWrap/>
            <w:vAlign w:val="center"/>
          </w:tcPr>
          <w:p w14:paraId="6D3A21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8E2B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BE701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EB07A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98E9C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7D8DF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625" w:type="dxa"/>
            <w:noWrap/>
            <w:vAlign w:val="center"/>
          </w:tcPr>
          <w:p w14:paraId="127DAB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2064" w:type="dxa"/>
            <w:noWrap/>
            <w:vAlign w:val="center"/>
          </w:tcPr>
          <w:p w14:paraId="359A53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新安幸福嘉园</w:t>
            </w:r>
          </w:p>
        </w:tc>
        <w:tc>
          <w:tcPr>
            <w:tcW w:w="608" w:type="pct"/>
            <w:noWrap/>
            <w:vAlign w:val="center"/>
          </w:tcPr>
          <w:p w14:paraId="19814F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4618F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D342E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639C9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AEBDD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AF85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25" w:type="dxa"/>
            <w:noWrap/>
            <w:vAlign w:val="center"/>
          </w:tcPr>
          <w:p w14:paraId="6F44A7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2064" w:type="dxa"/>
            <w:noWrap/>
            <w:vAlign w:val="center"/>
          </w:tcPr>
          <w:p w14:paraId="18E111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中兴小区</w:t>
            </w:r>
          </w:p>
        </w:tc>
        <w:tc>
          <w:tcPr>
            <w:tcW w:w="608" w:type="pct"/>
            <w:noWrap/>
            <w:vAlign w:val="center"/>
          </w:tcPr>
          <w:p w14:paraId="199FB3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6F5E3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4795B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761F7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2B3D73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73F4F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625" w:type="dxa"/>
            <w:noWrap/>
            <w:vAlign w:val="center"/>
          </w:tcPr>
          <w:p w14:paraId="413694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2064" w:type="dxa"/>
            <w:noWrap/>
            <w:vAlign w:val="center"/>
          </w:tcPr>
          <w:p w14:paraId="274D83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绥兴社区</w:t>
            </w:r>
          </w:p>
        </w:tc>
        <w:tc>
          <w:tcPr>
            <w:tcW w:w="608" w:type="pct"/>
            <w:noWrap/>
            <w:vAlign w:val="center"/>
          </w:tcPr>
          <w:p w14:paraId="42F8FF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BA1EE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7C7807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E3A50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AFA00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9E93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625" w:type="dxa"/>
            <w:noWrap/>
            <w:vAlign w:val="center"/>
          </w:tcPr>
          <w:p w14:paraId="5E138A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2064" w:type="dxa"/>
            <w:noWrap/>
            <w:vAlign w:val="center"/>
          </w:tcPr>
          <w:p w14:paraId="601558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608" w:type="pct"/>
            <w:noWrap/>
            <w:vAlign w:val="center"/>
          </w:tcPr>
          <w:p w14:paraId="53C557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55E9A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3.00E-08</w:t>
            </w:r>
          </w:p>
        </w:tc>
        <w:tc>
          <w:tcPr>
            <w:tcW w:w="749" w:type="pct"/>
            <w:noWrap/>
            <w:vAlign w:val="center"/>
          </w:tcPr>
          <w:p w14:paraId="429994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1421E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608" w:type="pct"/>
            <w:noWrap/>
            <w:vAlign w:val="center"/>
          </w:tcPr>
          <w:p w14:paraId="0693B9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A352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625" w:type="dxa"/>
            <w:noWrap/>
            <w:vAlign w:val="center"/>
          </w:tcPr>
          <w:p w14:paraId="1ABC6A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2064" w:type="dxa"/>
            <w:noWrap/>
            <w:vAlign w:val="center"/>
          </w:tcPr>
          <w:p w14:paraId="38B104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凯丰小区</w:t>
            </w:r>
          </w:p>
        </w:tc>
        <w:tc>
          <w:tcPr>
            <w:tcW w:w="608" w:type="pct"/>
            <w:noWrap/>
            <w:vAlign w:val="center"/>
          </w:tcPr>
          <w:p w14:paraId="61A13C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61DA1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BBD7E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6CEB9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7DBC8B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6649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625" w:type="dxa"/>
            <w:noWrap/>
            <w:vAlign w:val="center"/>
          </w:tcPr>
          <w:p w14:paraId="3251B0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2064" w:type="dxa"/>
            <w:noWrap/>
            <w:vAlign w:val="center"/>
          </w:tcPr>
          <w:p w14:paraId="68F96C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澳运阳光花园</w:t>
            </w:r>
          </w:p>
        </w:tc>
        <w:tc>
          <w:tcPr>
            <w:tcW w:w="608" w:type="pct"/>
            <w:noWrap/>
            <w:vAlign w:val="center"/>
          </w:tcPr>
          <w:p w14:paraId="19E789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D5115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E8931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63E48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BF46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5100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25" w:type="dxa"/>
            <w:noWrap/>
            <w:vAlign w:val="center"/>
          </w:tcPr>
          <w:p w14:paraId="0AAF36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2064" w:type="dxa"/>
            <w:noWrap/>
            <w:vAlign w:val="center"/>
          </w:tcPr>
          <w:p w14:paraId="1B1F03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朝阳村</w:t>
            </w:r>
          </w:p>
        </w:tc>
        <w:tc>
          <w:tcPr>
            <w:tcW w:w="608" w:type="pct"/>
            <w:noWrap/>
            <w:vAlign w:val="center"/>
          </w:tcPr>
          <w:p w14:paraId="318A59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F9733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D4C38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66489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70154C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B075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625" w:type="dxa"/>
            <w:noWrap/>
            <w:vAlign w:val="center"/>
          </w:tcPr>
          <w:p w14:paraId="683D1A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2064" w:type="dxa"/>
            <w:noWrap/>
            <w:vAlign w:val="center"/>
          </w:tcPr>
          <w:p w14:paraId="14BB66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宏隆花园</w:t>
            </w:r>
          </w:p>
        </w:tc>
        <w:tc>
          <w:tcPr>
            <w:tcW w:w="608" w:type="pct"/>
            <w:noWrap/>
            <w:vAlign w:val="center"/>
          </w:tcPr>
          <w:p w14:paraId="30BC9D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C31F3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09093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7EBEF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7D44CD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9FAB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625" w:type="dxa"/>
            <w:noWrap/>
            <w:vAlign w:val="center"/>
          </w:tcPr>
          <w:p w14:paraId="7D8C38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2064" w:type="dxa"/>
            <w:noWrap/>
            <w:vAlign w:val="center"/>
          </w:tcPr>
          <w:p w14:paraId="0D8D2E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中福名都花园</w:t>
            </w:r>
          </w:p>
        </w:tc>
        <w:tc>
          <w:tcPr>
            <w:tcW w:w="608" w:type="pct"/>
            <w:noWrap/>
            <w:vAlign w:val="center"/>
          </w:tcPr>
          <w:p w14:paraId="1E862F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ABA94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4E77A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75426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E56BE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75C2A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25" w:type="dxa"/>
            <w:noWrap/>
            <w:vAlign w:val="center"/>
          </w:tcPr>
          <w:p w14:paraId="47024D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2064" w:type="dxa"/>
            <w:noWrap/>
            <w:vAlign w:val="center"/>
          </w:tcPr>
          <w:p w14:paraId="36B5BA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康健花园</w:t>
            </w:r>
          </w:p>
        </w:tc>
        <w:tc>
          <w:tcPr>
            <w:tcW w:w="608" w:type="pct"/>
            <w:noWrap/>
            <w:vAlign w:val="center"/>
          </w:tcPr>
          <w:p w14:paraId="2CC9D0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349C5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7BF569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55E29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4DF1BF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975D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25" w:type="dxa"/>
            <w:noWrap/>
            <w:vAlign w:val="center"/>
          </w:tcPr>
          <w:p w14:paraId="7FA161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2064" w:type="dxa"/>
            <w:noWrap/>
            <w:vAlign w:val="center"/>
          </w:tcPr>
          <w:p w14:paraId="239188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海融安居里</w:t>
            </w:r>
          </w:p>
        </w:tc>
        <w:tc>
          <w:tcPr>
            <w:tcW w:w="608" w:type="pct"/>
            <w:noWrap/>
            <w:vAlign w:val="center"/>
          </w:tcPr>
          <w:p w14:paraId="125D69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4C35C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3F0710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886FE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6AF95A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7E5E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625" w:type="dxa"/>
            <w:noWrap/>
            <w:vAlign w:val="center"/>
          </w:tcPr>
          <w:p w14:paraId="1070FB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2064" w:type="dxa"/>
            <w:noWrap/>
            <w:vAlign w:val="center"/>
          </w:tcPr>
          <w:p w14:paraId="75869B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海融富华苑</w:t>
            </w:r>
          </w:p>
        </w:tc>
        <w:tc>
          <w:tcPr>
            <w:tcW w:w="608" w:type="pct"/>
            <w:noWrap/>
            <w:vAlign w:val="center"/>
          </w:tcPr>
          <w:p w14:paraId="421D8B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61A314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DEB29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68791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2DFA59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0E295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625" w:type="dxa"/>
            <w:noWrap/>
            <w:vAlign w:val="center"/>
          </w:tcPr>
          <w:p w14:paraId="48264F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2064" w:type="dxa"/>
            <w:noWrap/>
            <w:vAlign w:val="center"/>
          </w:tcPr>
          <w:p w14:paraId="0CF99B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好景园小区</w:t>
            </w:r>
          </w:p>
        </w:tc>
        <w:tc>
          <w:tcPr>
            <w:tcW w:w="608" w:type="pct"/>
            <w:noWrap/>
            <w:vAlign w:val="center"/>
          </w:tcPr>
          <w:p w14:paraId="54E15D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D0EE3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E6502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F8273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24B03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6414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625" w:type="dxa"/>
            <w:noWrap/>
            <w:vAlign w:val="center"/>
          </w:tcPr>
          <w:p w14:paraId="675233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2064" w:type="dxa"/>
            <w:noWrap/>
            <w:vAlign w:val="center"/>
          </w:tcPr>
          <w:p w14:paraId="559036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旗苑家园</w:t>
            </w:r>
          </w:p>
        </w:tc>
        <w:tc>
          <w:tcPr>
            <w:tcW w:w="608" w:type="pct"/>
            <w:noWrap/>
            <w:vAlign w:val="center"/>
          </w:tcPr>
          <w:p w14:paraId="672EFB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442AE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8009A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37A95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65DE2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D723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625" w:type="dxa"/>
            <w:noWrap/>
            <w:vAlign w:val="center"/>
          </w:tcPr>
          <w:p w14:paraId="0EB0DD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2064" w:type="dxa"/>
            <w:noWrap/>
            <w:vAlign w:val="center"/>
          </w:tcPr>
          <w:p w14:paraId="28D3CA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兴达家园</w:t>
            </w:r>
          </w:p>
        </w:tc>
        <w:tc>
          <w:tcPr>
            <w:tcW w:w="608" w:type="pct"/>
            <w:noWrap/>
            <w:vAlign w:val="center"/>
          </w:tcPr>
          <w:p w14:paraId="0B79C4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14247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B98EC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746DE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425B5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6DA98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625" w:type="dxa"/>
            <w:noWrap/>
            <w:vAlign w:val="center"/>
          </w:tcPr>
          <w:p w14:paraId="61C6DA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2064" w:type="dxa"/>
            <w:noWrap/>
            <w:vAlign w:val="center"/>
          </w:tcPr>
          <w:p w14:paraId="3DCFD7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协会大厦</w:t>
            </w:r>
          </w:p>
        </w:tc>
        <w:tc>
          <w:tcPr>
            <w:tcW w:w="608" w:type="pct"/>
            <w:noWrap/>
            <w:vAlign w:val="center"/>
          </w:tcPr>
          <w:p w14:paraId="45EA9D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63796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B4205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E51B0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23793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5E01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25" w:type="dxa"/>
            <w:noWrap/>
            <w:vAlign w:val="center"/>
          </w:tcPr>
          <w:p w14:paraId="36ECFC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2064" w:type="dxa"/>
            <w:noWrap/>
            <w:vAlign w:val="center"/>
          </w:tcPr>
          <w:p w14:paraId="1537A5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数码港宾馆</w:t>
            </w:r>
          </w:p>
        </w:tc>
        <w:tc>
          <w:tcPr>
            <w:tcW w:w="608" w:type="pct"/>
            <w:noWrap/>
            <w:vAlign w:val="center"/>
          </w:tcPr>
          <w:p w14:paraId="7E1E7C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6B6DC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30CC2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28BF5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2AFC48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91786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625" w:type="dxa"/>
            <w:noWrap/>
            <w:vAlign w:val="center"/>
          </w:tcPr>
          <w:p w14:paraId="47FBD2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2064" w:type="dxa"/>
            <w:noWrap/>
            <w:vAlign w:val="center"/>
          </w:tcPr>
          <w:p w14:paraId="5AFF2A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山水国际</w:t>
            </w:r>
          </w:p>
        </w:tc>
        <w:tc>
          <w:tcPr>
            <w:tcW w:w="608" w:type="pct"/>
            <w:noWrap/>
            <w:vAlign w:val="center"/>
          </w:tcPr>
          <w:p w14:paraId="128F06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982AD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2.00E-08</w:t>
            </w:r>
          </w:p>
        </w:tc>
        <w:tc>
          <w:tcPr>
            <w:tcW w:w="749" w:type="pct"/>
            <w:noWrap/>
            <w:vAlign w:val="center"/>
          </w:tcPr>
          <w:p w14:paraId="7E53B2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D06EC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0.04</w:t>
            </w:r>
          </w:p>
        </w:tc>
        <w:tc>
          <w:tcPr>
            <w:tcW w:w="608" w:type="pct"/>
            <w:noWrap/>
            <w:vAlign w:val="center"/>
          </w:tcPr>
          <w:p w14:paraId="638BE1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382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625" w:type="dxa"/>
            <w:noWrap/>
            <w:vAlign w:val="center"/>
          </w:tcPr>
          <w:p w14:paraId="030E87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2064" w:type="dxa"/>
            <w:noWrap/>
            <w:vAlign w:val="center"/>
          </w:tcPr>
          <w:p w14:paraId="7A7BBF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湖畔花园小区</w:t>
            </w:r>
          </w:p>
        </w:tc>
        <w:tc>
          <w:tcPr>
            <w:tcW w:w="608" w:type="pct"/>
            <w:noWrap/>
            <w:vAlign w:val="center"/>
          </w:tcPr>
          <w:p w14:paraId="3ACC55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21673D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C2B84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92294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D94AA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75456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625" w:type="dxa"/>
            <w:noWrap/>
            <w:vAlign w:val="center"/>
          </w:tcPr>
          <w:p w14:paraId="68653E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2064" w:type="dxa"/>
            <w:noWrap/>
            <w:vAlign w:val="center"/>
          </w:tcPr>
          <w:p w14:paraId="3B6892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湖滨小区</w:t>
            </w:r>
          </w:p>
        </w:tc>
        <w:tc>
          <w:tcPr>
            <w:tcW w:w="608" w:type="pct"/>
            <w:noWrap/>
            <w:vAlign w:val="center"/>
          </w:tcPr>
          <w:p w14:paraId="46015F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4D6A00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189BA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DBDCF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7899CF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441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625" w:type="dxa"/>
            <w:noWrap/>
            <w:vAlign w:val="center"/>
          </w:tcPr>
          <w:p w14:paraId="0A7CEA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2064" w:type="dxa"/>
            <w:noWrap/>
            <w:vAlign w:val="center"/>
          </w:tcPr>
          <w:p w14:paraId="70FA7B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吉祥小区</w:t>
            </w:r>
          </w:p>
        </w:tc>
        <w:tc>
          <w:tcPr>
            <w:tcW w:w="608" w:type="pct"/>
            <w:noWrap/>
            <w:vAlign w:val="center"/>
          </w:tcPr>
          <w:p w14:paraId="7585AA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06322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4E16AF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380AC5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9E6B4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DCDE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625" w:type="dxa"/>
            <w:noWrap/>
            <w:vAlign w:val="center"/>
          </w:tcPr>
          <w:p w14:paraId="5811EE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2064" w:type="dxa"/>
            <w:noWrap/>
            <w:vAlign w:val="center"/>
          </w:tcPr>
          <w:p w14:paraId="4878C6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天佑国际</w:t>
            </w:r>
          </w:p>
        </w:tc>
        <w:tc>
          <w:tcPr>
            <w:tcW w:w="608" w:type="pct"/>
            <w:noWrap/>
            <w:vAlign w:val="center"/>
          </w:tcPr>
          <w:p w14:paraId="6A9CEF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DDEFE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1801D7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7D0C6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247B77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93795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625" w:type="dxa"/>
            <w:noWrap/>
            <w:vAlign w:val="center"/>
          </w:tcPr>
          <w:p w14:paraId="27A3BB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2064" w:type="dxa"/>
            <w:noWrap/>
            <w:vAlign w:val="center"/>
          </w:tcPr>
          <w:p w14:paraId="04D19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前进社区</w:t>
            </w:r>
          </w:p>
        </w:tc>
        <w:tc>
          <w:tcPr>
            <w:tcW w:w="608" w:type="pct"/>
            <w:noWrap/>
            <w:vAlign w:val="center"/>
          </w:tcPr>
          <w:p w14:paraId="1AF443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DBEEA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41A43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3669A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CF67F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1AA6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625" w:type="dxa"/>
            <w:noWrap/>
            <w:vAlign w:val="center"/>
          </w:tcPr>
          <w:p w14:paraId="51D608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2064" w:type="dxa"/>
            <w:noWrap/>
            <w:vAlign w:val="center"/>
          </w:tcPr>
          <w:p w14:paraId="621047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幸福家园</w:t>
            </w:r>
          </w:p>
        </w:tc>
        <w:tc>
          <w:tcPr>
            <w:tcW w:w="608" w:type="pct"/>
            <w:noWrap/>
            <w:vAlign w:val="center"/>
          </w:tcPr>
          <w:p w14:paraId="77BDCB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0E08CE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749" w:type="pct"/>
            <w:noWrap/>
            <w:vAlign w:val="center"/>
          </w:tcPr>
          <w:p w14:paraId="1ACA12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74DD4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608" w:type="pct"/>
            <w:noWrap/>
            <w:vAlign w:val="center"/>
          </w:tcPr>
          <w:p w14:paraId="645E79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9376A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25" w:type="dxa"/>
            <w:noWrap/>
            <w:vAlign w:val="center"/>
          </w:tcPr>
          <w:p w14:paraId="6D715E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2064" w:type="dxa"/>
            <w:noWrap/>
            <w:vAlign w:val="center"/>
          </w:tcPr>
          <w:p w14:paraId="3431FB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盛世嘉园</w:t>
            </w:r>
          </w:p>
        </w:tc>
        <w:tc>
          <w:tcPr>
            <w:tcW w:w="608" w:type="pct"/>
            <w:noWrap/>
            <w:vAlign w:val="center"/>
          </w:tcPr>
          <w:p w14:paraId="781354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36596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67A8F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24CCED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C26D1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14C6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625" w:type="dxa"/>
            <w:noWrap/>
            <w:vAlign w:val="center"/>
          </w:tcPr>
          <w:p w14:paraId="3B1E52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2064" w:type="dxa"/>
            <w:noWrap/>
            <w:vAlign w:val="center"/>
          </w:tcPr>
          <w:p w14:paraId="67DB0B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兄弟花园</w:t>
            </w:r>
          </w:p>
        </w:tc>
        <w:tc>
          <w:tcPr>
            <w:tcW w:w="608" w:type="pct"/>
            <w:noWrap/>
            <w:vAlign w:val="center"/>
          </w:tcPr>
          <w:p w14:paraId="6E95B0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4D0AE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1B4481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7365DC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FCC36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5FF6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25" w:type="dxa"/>
            <w:noWrap/>
            <w:vAlign w:val="center"/>
          </w:tcPr>
          <w:p w14:paraId="7F7D03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2064" w:type="dxa"/>
            <w:noWrap/>
            <w:vAlign w:val="center"/>
          </w:tcPr>
          <w:p w14:paraId="1274D5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608" w:type="pct"/>
            <w:noWrap/>
            <w:vAlign w:val="center"/>
          </w:tcPr>
          <w:p w14:paraId="2307BE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6A28F7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7A5E5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4E199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20FFDD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8098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625" w:type="dxa"/>
            <w:noWrap/>
            <w:vAlign w:val="center"/>
          </w:tcPr>
          <w:p w14:paraId="289223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2064" w:type="dxa"/>
            <w:noWrap/>
            <w:vAlign w:val="center"/>
          </w:tcPr>
          <w:p w14:paraId="7EAC7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608" w:type="pct"/>
            <w:noWrap/>
            <w:vAlign w:val="center"/>
          </w:tcPr>
          <w:p w14:paraId="52EF2C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BBB75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8B92E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BC8AA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4B463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3B355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625" w:type="dxa"/>
            <w:noWrap/>
            <w:vAlign w:val="center"/>
          </w:tcPr>
          <w:p w14:paraId="65E414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2064" w:type="dxa"/>
            <w:noWrap/>
            <w:vAlign w:val="center"/>
          </w:tcPr>
          <w:p w14:paraId="344B8A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608" w:type="pct"/>
            <w:noWrap/>
            <w:vAlign w:val="center"/>
          </w:tcPr>
          <w:p w14:paraId="335CB6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5A5C5E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7D3E39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0853A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06D87B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4A32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625" w:type="dxa"/>
            <w:noWrap/>
            <w:vAlign w:val="center"/>
          </w:tcPr>
          <w:p w14:paraId="79D29E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2064" w:type="dxa"/>
            <w:noWrap/>
            <w:vAlign w:val="center"/>
          </w:tcPr>
          <w:p w14:paraId="700A03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608" w:type="pct"/>
            <w:noWrap/>
            <w:vAlign w:val="center"/>
          </w:tcPr>
          <w:p w14:paraId="0BC459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70832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E37BE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682009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5CC6E7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C2DF0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625" w:type="dxa"/>
            <w:noWrap/>
            <w:vAlign w:val="center"/>
          </w:tcPr>
          <w:p w14:paraId="4672A2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2064" w:type="dxa"/>
            <w:noWrap/>
            <w:vAlign w:val="center"/>
          </w:tcPr>
          <w:p w14:paraId="47D633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608" w:type="pct"/>
            <w:noWrap/>
            <w:vAlign w:val="center"/>
          </w:tcPr>
          <w:p w14:paraId="1025E2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6CACF4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55535C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447CB9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40A748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D5D14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625" w:type="dxa"/>
            <w:noWrap/>
            <w:vAlign w:val="center"/>
          </w:tcPr>
          <w:p w14:paraId="0EC219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2064" w:type="dxa"/>
            <w:noWrap/>
            <w:vAlign w:val="center"/>
          </w:tcPr>
          <w:p w14:paraId="641B3B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608" w:type="pct"/>
            <w:noWrap/>
            <w:vAlign w:val="center"/>
          </w:tcPr>
          <w:p w14:paraId="75C57A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356033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0773CD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C7411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3708CF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508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25" w:type="dxa"/>
            <w:noWrap/>
            <w:vAlign w:val="center"/>
          </w:tcPr>
          <w:p w14:paraId="260E33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2064" w:type="dxa"/>
            <w:noWrap/>
            <w:vAlign w:val="center"/>
          </w:tcPr>
          <w:p w14:paraId="641C3A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608" w:type="pct"/>
            <w:noWrap/>
            <w:vAlign w:val="center"/>
          </w:tcPr>
          <w:p w14:paraId="0891B2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11C182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749" w:type="pct"/>
            <w:noWrap/>
            <w:vAlign w:val="center"/>
          </w:tcPr>
          <w:p w14:paraId="23E934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5873F4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w:t>
            </w:r>
          </w:p>
        </w:tc>
        <w:tc>
          <w:tcPr>
            <w:tcW w:w="608" w:type="pct"/>
            <w:noWrap/>
            <w:vAlign w:val="center"/>
          </w:tcPr>
          <w:p w14:paraId="61A05F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75FCD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625" w:type="dxa"/>
            <w:noWrap/>
            <w:vAlign w:val="center"/>
          </w:tcPr>
          <w:p w14:paraId="04B36B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2064" w:type="dxa"/>
            <w:noWrap/>
            <w:vAlign w:val="center"/>
          </w:tcPr>
          <w:p w14:paraId="645B26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608" w:type="pct"/>
            <w:noWrap/>
            <w:vAlign w:val="center"/>
          </w:tcPr>
          <w:p w14:paraId="641513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1478" w:type="dxa"/>
            <w:noWrap/>
            <w:vAlign w:val="center"/>
          </w:tcPr>
          <w:p w14:paraId="202CB6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1278" w:type="dxa"/>
            <w:noWrap/>
            <w:vAlign w:val="center"/>
          </w:tcPr>
          <w:p w14:paraId="3A04D3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049519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w:t>
            </w:r>
            <w:r>
              <w:rPr>
                <w:rFonts w:hint="eastAsia" w:ascii="Times New Roman" w:hAnsi="Times New Roman" w:cs="Times New Roman"/>
                <w:kern w:val="0"/>
                <w:sz w:val="21"/>
                <w:highlight w:val="none"/>
                <w:lang w:val="en-US" w:eastAsia="zh-CN" w:bidi="ar"/>
              </w:rPr>
              <w:t>0</w:t>
            </w:r>
          </w:p>
        </w:tc>
        <w:tc>
          <w:tcPr>
            <w:tcW w:w="608" w:type="pct"/>
            <w:noWrap/>
            <w:vAlign w:val="center"/>
          </w:tcPr>
          <w:p w14:paraId="757686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838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625" w:type="dxa"/>
            <w:noWrap/>
            <w:vAlign w:val="center"/>
          </w:tcPr>
          <w:p w14:paraId="6C81D7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62</w:t>
            </w:r>
          </w:p>
        </w:tc>
        <w:tc>
          <w:tcPr>
            <w:tcW w:w="2064" w:type="dxa"/>
            <w:noWrap/>
            <w:vAlign w:val="center"/>
          </w:tcPr>
          <w:p w14:paraId="6F9DB8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绥芬河市传染病医院</w:t>
            </w:r>
          </w:p>
        </w:tc>
        <w:tc>
          <w:tcPr>
            <w:tcW w:w="608" w:type="pct"/>
            <w:noWrap/>
            <w:vAlign w:val="center"/>
          </w:tcPr>
          <w:p w14:paraId="1E5022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cs="Times New Roman"/>
                <w:kern w:val="0"/>
                <w:sz w:val="21"/>
                <w:highlight w:val="none"/>
                <w:lang w:val="en-US" w:eastAsia="zh-CN" w:bidi="ar"/>
              </w:rPr>
              <w:t>年平均</w:t>
            </w:r>
          </w:p>
        </w:tc>
        <w:tc>
          <w:tcPr>
            <w:tcW w:w="1478" w:type="dxa"/>
            <w:noWrap/>
            <w:vAlign w:val="center"/>
          </w:tcPr>
          <w:p w14:paraId="2CA534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1.00E-08</w:t>
            </w:r>
          </w:p>
        </w:tc>
        <w:tc>
          <w:tcPr>
            <w:tcW w:w="1278" w:type="dxa"/>
            <w:noWrap/>
            <w:vAlign w:val="center"/>
          </w:tcPr>
          <w:p w14:paraId="3327EE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1003" w:type="dxa"/>
            <w:noWrap/>
            <w:vAlign w:val="center"/>
          </w:tcPr>
          <w:p w14:paraId="2CF0A3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0.02</w:t>
            </w:r>
          </w:p>
        </w:tc>
        <w:tc>
          <w:tcPr>
            <w:tcW w:w="1037" w:type="dxa"/>
            <w:noWrap/>
            <w:vAlign w:val="center"/>
          </w:tcPr>
          <w:p w14:paraId="25B30C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D313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625" w:type="dxa"/>
            <w:noWrap/>
            <w:vAlign w:val="center"/>
          </w:tcPr>
          <w:p w14:paraId="5EC3C1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r>
              <w:rPr>
                <w:rFonts w:hint="eastAsia" w:ascii="Times New Roman" w:hAnsi="Times New Roman" w:cs="Times New Roman"/>
                <w:kern w:val="0"/>
                <w:sz w:val="21"/>
                <w:highlight w:val="none"/>
                <w:lang w:val="en-US" w:eastAsia="zh-CN" w:bidi="ar"/>
              </w:rPr>
              <w:t>3</w:t>
            </w:r>
          </w:p>
        </w:tc>
        <w:tc>
          <w:tcPr>
            <w:tcW w:w="2064" w:type="dxa"/>
            <w:noWrap/>
            <w:vAlign w:val="center"/>
          </w:tcPr>
          <w:p w14:paraId="250FD4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608" w:type="pct"/>
            <w:noWrap/>
            <w:vAlign w:val="center"/>
          </w:tcPr>
          <w:p w14:paraId="0FCEA8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867" w:type="pct"/>
            <w:noWrap/>
            <w:vAlign w:val="center"/>
          </w:tcPr>
          <w:p w14:paraId="67B4AA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3.00E-08</w:t>
            </w:r>
          </w:p>
        </w:tc>
        <w:tc>
          <w:tcPr>
            <w:tcW w:w="749" w:type="pct"/>
            <w:noWrap/>
            <w:vAlign w:val="center"/>
          </w:tcPr>
          <w:p w14:paraId="2B098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588" w:type="pct"/>
            <w:noWrap/>
            <w:vAlign w:val="center"/>
          </w:tcPr>
          <w:p w14:paraId="15B5F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w:t>
            </w:r>
            <w:r>
              <w:rPr>
                <w:rFonts w:hint="eastAsia" w:ascii="Times New Roman" w:hAnsi="Times New Roman" w:cs="Times New Roman"/>
                <w:kern w:val="0"/>
                <w:sz w:val="21"/>
                <w:highlight w:val="none"/>
                <w:lang w:val="en-US" w:eastAsia="zh-CN" w:bidi="ar"/>
              </w:rPr>
              <w:t>6</w:t>
            </w:r>
          </w:p>
        </w:tc>
        <w:tc>
          <w:tcPr>
            <w:tcW w:w="608" w:type="pct"/>
            <w:noWrap/>
            <w:vAlign w:val="center"/>
          </w:tcPr>
          <w:p w14:paraId="0744DB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3FD2F0AB">
      <w:pPr>
        <w:ind w:firstLine="48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rPr>
        <w:t>汞长</w:t>
      </w:r>
      <w:r>
        <w:rPr>
          <w:rFonts w:ascii="Times New Roman" w:hAnsi="Times New Roman"/>
          <w:color w:val="auto"/>
          <w:highlight w:val="none"/>
        </w:rPr>
        <w:t>期贡献浓度占标率≤100%。</w:t>
      </w:r>
    </w:p>
    <w:p w14:paraId="14D026D1">
      <w:pPr>
        <w:ind w:firstLine="480"/>
        <w:rPr>
          <w:rFonts w:ascii="Times New Roman" w:hAnsi="Times New Roman"/>
          <w:color w:val="auto"/>
          <w:highlight w:val="none"/>
        </w:rPr>
      </w:pPr>
      <w:r>
        <w:rPr>
          <w:rFonts w:ascii="Times New Roman" w:hAnsi="Times New Roman"/>
          <w:color w:val="auto"/>
          <w:highlight w:val="none"/>
        </w:rPr>
        <w:t>2、叠加后环境质量浓度预测结果</w:t>
      </w:r>
    </w:p>
    <w:p w14:paraId="66E74659">
      <w:pPr>
        <w:ind w:firstLine="480"/>
        <w:rPr>
          <w:rFonts w:ascii="Times New Roman" w:hAnsi="Times New Roman"/>
          <w:color w:val="auto"/>
          <w:highlight w:val="none"/>
        </w:rPr>
      </w:pPr>
      <w:r>
        <w:rPr>
          <w:rFonts w:ascii="Times New Roman" w:hAnsi="Times New Roman"/>
          <w:color w:val="auto"/>
          <w:highlight w:val="none"/>
        </w:rPr>
        <w:t>叠加背景浓度后环境空气保护目标和网格点主要污染物保证率日平均质量浓度和年平均质量浓度的达标情况见表5.2-</w:t>
      </w:r>
      <w:r>
        <w:rPr>
          <w:rFonts w:hint="eastAsia" w:ascii="Times New Roman" w:hAnsi="Times New Roman"/>
          <w:color w:val="auto"/>
          <w:highlight w:val="none"/>
          <w:lang w:val="en-US" w:eastAsia="zh-CN"/>
        </w:rPr>
        <w:t>17</w:t>
      </w:r>
      <w:r>
        <w:rPr>
          <w:rFonts w:ascii="Times New Roman" w:hAnsi="Times New Roman"/>
          <w:color w:val="auto"/>
          <w:highlight w:val="none"/>
        </w:rPr>
        <w:t>~表5.2-</w:t>
      </w:r>
      <w:r>
        <w:rPr>
          <w:rFonts w:hint="eastAsia" w:ascii="Times New Roman" w:hAnsi="Times New Roman"/>
          <w:color w:val="auto"/>
          <w:highlight w:val="none"/>
          <w:lang w:val="en-US" w:eastAsia="zh-CN"/>
        </w:rPr>
        <w:t>19</w:t>
      </w:r>
      <w:r>
        <w:rPr>
          <w:rFonts w:ascii="Times New Roman" w:hAnsi="Times New Roman"/>
          <w:color w:val="auto"/>
          <w:highlight w:val="none"/>
        </w:rPr>
        <w:t>。</w:t>
      </w:r>
    </w:p>
    <w:p w14:paraId="7934AFD8">
      <w:pPr>
        <w:ind w:firstLine="480"/>
        <w:rPr>
          <w:rFonts w:ascii="Times New Roman" w:hAnsi="Times New Roman"/>
          <w:color w:val="auto"/>
          <w:highlight w:val="none"/>
        </w:rPr>
      </w:pPr>
      <w:r>
        <w:rPr>
          <w:rFonts w:ascii="Times New Roman" w:hAnsi="Times New Roman"/>
          <w:color w:val="auto"/>
          <w:highlight w:val="none"/>
        </w:rPr>
        <w:t>根据《环境影响评价技术导则 大气环境》(HJ2. 2-2018)可知，对于保证率日平均质量浓度，首先按导则中8.81.1 或8812的方法计算叠加后预测点上的日平均质量浓度，然后对该预测点所有日平均质量浓度从小到大进行排序，根据各污染物日平均质量浓度的保证率 (p)，计算排在p百分位数的第m个序数，序数m对应的日平均质量浓度即为保证率日平均浓度Cm。其中序数m计算方法见下列公式。</w:t>
      </w:r>
    </w:p>
    <w:p w14:paraId="5A87D50B">
      <w:pPr>
        <w:ind w:firstLine="0" w:firstLineChars="0"/>
        <w:jc w:val="center"/>
        <w:rPr>
          <w:rFonts w:ascii="Times New Roman" w:hAnsi="Times New Roman"/>
          <w:color w:val="auto"/>
          <w:sz w:val="32"/>
          <w:highlight w:val="none"/>
        </w:rPr>
      </w:pPr>
      <w:r>
        <w:rPr>
          <w:rFonts w:ascii="Times New Roman" w:hAnsi="Times New Roman"/>
          <w:color w:val="auto"/>
          <w:sz w:val="32"/>
          <w:highlight w:val="none"/>
        </w:rPr>
        <w:t>m=1+（n-1）×P</w:t>
      </w:r>
    </w:p>
    <w:p w14:paraId="4DC32DF7">
      <w:pPr>
        <w:ind w:firstLine="480"/>
        <w:rPr>
          <w:rFonts w:ascii="Times New Roman" w:hAnsi="Times New Roman"/>
          <w:color w:val="auto"/>
          <w:highlight w:val="none"/>
        </w:rPr>
      </w:pPr>
      <w:r>
        <w:rPr>
          <w:rFonts w:ascii="Times New Roman" w:hAnsi="Times New Roman"/>
          <w:color w:val="auto"/>
          <w:highlight w:val="none"/>
        </w:rPr>
        <w:t>式中：</w:t>
      </w:r>
    </w:p>
    <w:p w14:paraId="6A18A105">
      <w:pPr>
        <w:ind w:firstLine="480"/>
        <w:rPr>
          <w:rFonts w:ascii="Times New Roman" w:hAnsi="Times New Roman"/>
          <w:color w:val="auto"/>
          <w:highlight w:val="none"/>
        </w:rPr>
      </w:pPr>
      <w:r>
        <w:rPr>
          <w:rFonts w:ascii="Times New Roman" w:hAnsi="Times New Roman"/>
          <w:color w:val="auto"/>
          <w:highlight w:val="none"/>
        </w:rPr>
        <w:t>p——该污染物日平均质量浓度的保证率，按HJ 663规定的对应污染物年评价中24h平均百分位数取值，%；</w:t>
      </w:r>
    </w:p>
    <w:p w14:paraId="1B07824A">
      <w:pPr>
        <w:ind w:firstLine="480"/>
        <w:rPr>
          <w:rFonts w:ascii="Times New Roman" w:hAnsi="Times New Roman"/>
          <w:color w:val="auto"/>
          <w:highlight w:val="none"/>
        </w:rPr>
      </w:pPr>
      <w:r>
        <w:rPr>
          <w:rFonts w:ascii="Times New Roman" w:hAnsi="Times New Roman"/>
          <w:color w:val="auto"/>
          <w:highlight w:val="none"/>
        </w:rPr>
        <w:t>n——1个日历年内单个预测点上的日平均质量浓度的所有数据个数，个；</w:t>
      </w:r>
    </w:p>
    <w:p w14:paraId="67486564">
      <w:pPr>
        <w:ind w:firstLine="480"/>
        <w:rPr>
          <w:rFonts w:ascii="Times New Roman" w:hAnsi="Times New Roman"/>
          <w:color w:val="auto"/>
          <w:highlight w:val="none"/>
        </w:rPr>
      </w:pPr>
      <w:r>
        <w:rPr>
          <w:rFonts w:ascii="Times New Roman" w:hAnsi="Times New Roman"/>
          <w:color w:val="auto"/>
          <w:highlight w:val="none"/>
        </w:rPr>
        <w:t>m——百分位数p对应的序数(第m个)，向上取整数。</w:t>
      </w:r>
    </w:p>
    <w:p w14:paraId="05F47F8D">
      <w:pPr>
        <w:ind w:firstLine="480"/>
        <w:rPr>
          <w:rFonts w:ascii="Times New Roman" w:hAnsi="Times New Roman"/>
          <w:color w:val="auto"/>
          <w:highlight w:val="none"/>
        </w:rPr>
      </w:pPr>
      <w:r>
        <w:rPr>
          <w:rFonts w:ascii="Times New Roman" w:hAnsi="Times New Roman"/>
          <w:color w:val="auto"/>
          <w:highlight w:val="none"/>
        </w:rPr>
        <w:t>（1）SO</w:t>
      </w:r>
      <w:r>
        <w:rPr>
          <w:rFonts w:ascii="Times New Roman" w:hAnsi="Times New Roman"/>
          <w:color w:val="auto"/>
          <w:highlight w:val="none"/>
          <w:vertAlign w:val="subscript"/>
        </w:rPr>
        <w:t>2</w:t>
      </w:r>
      <w:r>
        <w:rPr>
          <w:rFonts w:ascii="Times New Roman" w:hAnsi="Times New Roman"/>
          <w:color w:val="auto"/>
          <w:highlight w:val="none"/>
        </w:rPr>
        <w:t>叠加现状环境影响预测</w:t>
      </w:r>
    </w:p>
    <w:p w14:paraId="36BE5B05">
      <w:pPr>
        <w:ind w:firstLine="480"/>
        <w:rPr>
          <w:rFonts w:ascii="Times New Roman" w:hAnsi="Times New Roman"/>
          <w:color w:val="auto"/>
          <w:highlight w:val="none"/>
        </w:rPr>
      </w:pPr>
      <w:r>
        <w:rPr>
          <w:rFonts w:ascii="Times New Roman" w:hAnsi="Times New Roman"/>
          <w:color w:val="auto"/>
          <w:highlight w:val="none"/>
        </w:rPr>
        <w:t>各敏感点及区域SO</w:t>
      </w:r>
      <w:r>
        <w:rPr>
          <w:rFonts w:ascii="Times New Roman" w:hAnsi="Times New Roman"/>
          <w:color w:val="auto"/>
          <w:highlight w:val="none"/>
          <w:vertAlign w:val="subscript"/>
        </w:rPr>
        <w:t>2</w:t>
      </w:r>
      <w:r>
        <w:rPr>
          <w:rFonts w:ascii="Times New Roman" w:hAnsi="Times New Roman"/>
          <w:color w:val="auto"/>
          <w:highlight w:val="none"/>
        </w:rPr>
        <w:t>最大浓度点叠加背景浓度结果见表5.2-</w:t>
      </w:r>
      <w:r>
        <w:rPr>
          <w:rFonts w:hint="eastAsia" w:ascii="Times New Roman" w:hAnsi="Times New Roman"/>
          <w:color w:val="auto"/>
          <w:highlight w:val="none"/>
          <w:lang w:val="en-US" w:eastAsia="zh-CN"/>
        </w:rPr>
        <w:t>17</w:t>
      </w:r>
      <w:r>
        <w:rPr>
          <w:rFonts w:ascii="Times New Roman" w:hAnsi="Times New Roman"/>
          <w:color w:val="auto"/>
          <w:highlight w:val="none"/>
        </w:rPr>
        <w:t>。</w:t>
      </w:r>
    </w:p>
    <w:p w14:paraId="741F7C7C">
      <w:pPr>
        <w:ind w:right="480"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lang w:val="en-US" w:eastAsia="zh-CN"/>
        </w:rPr>
        <w:t>17</w:t>
      </w:r>
      <w:r>
        <w:rPr>
          <w:rFonts w:hint="eastAsia" w:ascii="黑体" w:hAnsi="黑体" w:eastAsia="黑体" w:cs="黑体"/>
          <w:color w:val="auto"/>
          <w:highlight w:val="none"/>
        </w:rPr>
        <w:t>二氧化硫预测结果叠加背景浓度结果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648"/>
        <w:gridCol w:w="693"/>
        <w:gridCol w:w="1110"/>
        <w:gridCol w:w="902"/>
        <w:gridCol w:w="1110"/>
        <w:gridCol w:w="1110"/>
        <w:gridCol w:w="800"/>
        <w:gridCol w:w="695"/>
      </w:tblGrid>
      <w:tr w14:paraId="3EBE2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noWrap/>
            <w:vAlign w:val="center"/>
          </w:tcPr>
          <w:p w14:paraId="22E79D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序号</w:t>
            </w:r>
          </w:p>
        </w:tc>
        <w:tc>
          <w:tcPr>
            <w:tcW w:w="966" w:type="pct"/>
            <w:noWrap/>
            <w:vAlign w:val="center"/>
          </w:tcPr>
          <w:p w14:paraId="425BA0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点名称</w:t>
            </w:r>
          </w:p>
        </w:tc>
        <w:tc>
          <w:tcPr>
            <w:tcW w:w="406" w:type="pct"/>
            <w:noWrap/>
            <w:vAlign w:val="center"/>
          </w:tcPr>
          <w:p w14:paraId="11AC0A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浓度类型</w:t>
            </w:r>
          </w:p>
        </w:tc>
        <w:tc>
          <w:tcPr>
            <w:tcW w:w="651" w:type="pct"/>
            <w:noWrap/>
            <w:vAlign w:val="center"/>
          </w:tcPr>
          <w:p w14:paraId="0D7B72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浓度增量(mg/m3)</w:t>
            </w:r>
          </w:p>
        </w:tc>
        <w:tc>
          <w:tcPr>
            <w:tcW w:w="529" w:type="pct"/>
            <w:noWrap/>
            <w:vAlign w:val="center"/>
          </w:tcPr>
          <w:p w14:paraId="1294D3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出现时间</w:t>
            </w:r>
          </w:p>
        </w:tc>
        <w:tc>
          <w:tcPr>
            <w:tcW w:w="651" w:type="pct"/>
            <w:noWrap/>
            <w:vAlign w:val="center"/>
          </w:tcPr>
          <w:p w14:paraId="4A2091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背景浓度(mg/m3)</w:t>
            </w:r>
          </w:p>
        </w:tc>
        <w:tc>
          <w:tcPr>
            <w:tcW w:w="651" w:type="pct"/>
            <w:noWrap/>
            <w:vAlign w:val="center"/>
          </w:tcPr>
          <w:p w14:paraId="6FB355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叠加浓度(mg/m3)</w:t>
            </w:r>
          </w:p>
        </w:tc>
        <w:tc>
          <w:tcPr>
            <w:tcW w:w="469" w:type="pct"/>
            <w:noWrap/>
            <w:vAlign w:val="center"/>
          </w:tcPr>
          <w:p w14:paraId="36F025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占标率%</w:t>
            </w:r>
          </w:p>
        </w:tc>
        <w:tc>
          <w:tcPr>
            <w:tcW w:w="407" w:type="pct"/>
            <w:noWrap/>
            <w:vAlign w:val="center"/>
          </w:tcPr>
          <w:p w14:paraId="36C168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是否超标</w:t>
            </w:r>
          </w:p>
        </w:tc>
      </w:tr>
      <w:tr w14:paraId="1B20B8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3F6354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w:t>
            </w:r>
          </w:p>
        </w:tc>
        <w:tc>
          <w:tcPr>
            <w:tcW w:w="966" w:type="pct"/>
            <w:vMerge w:val="restart"/>
            <w:noWrap/>
            <w:vAlign w:val="center"/>
          </w:tcPr>
          <w:p w14:paraId="0772F6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绥芬河市政府</w:t>
            </w:r>
          </w:p>
        </w:tc>
        <w:tc>
          <w:tcPr>
            <w:tcW w:w="406" w:type="pct"/>
            <w:noWrap/>
            <w:vAlign w:val="center"/>
          </w:tcPr>
          <w:p w14:paraId="580402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D32C1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D57B2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3C5E8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2EA3FE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D9B89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96276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9F9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3940F3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6C8A2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B59FA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CAA16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-2.62E-04</w:t>
            </w:r>
          </w:p>
        </w:tc>
        <w:tc>
          <w:tcPr>
            <w:tcW w:w="529" w:type="pct"/>
            <w:noWrap/>
            <w:vAlign w:val="center"/>
          </w:tcPr>
          <w:p w14:paraId="0FE9E0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30E4C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D71FF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6.89E-03</w:t>
            </w:r>
          </w:p>
        </w:tc>
        <w:tc>
          <w:tcPr>
            <w:tcW w:w="469" w:type="pct"/>
            <w:noWrap/>
            <w:vAlign w:val="center"/>
          </w:tcPr>
          <w:p w14:paraId="0A4038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11.49</w:t>
            </w:r>
          </w:p>
        </w:tc>
        <w:tc>
          <w:tcPr>
            <w:tcW w:w="407" w:type="pct"/>
            <w:noWrap/>
            <w:vAlign w:val="center"/>
          </w:tcPr>
          <w:p w14:paraId="338CEC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56F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75D274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w:t>
            </w:r>
          </w:p>
        </w:tc>
        <w:tc>
          <w:tcPr>
            <w:tcW w:w="966" w:type="pct"/>
            <w:vMerge w:val="restart"/>
            <w:noWrap/>
            <w:vAlign w:val="center"/>
          </w:tcPr>
          <w:p w14:paraId="1B376C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406" w:type="pct"/>
            <w:noWrap/>
            <w:vAlign w:val="center"/>
          </w:tcPr>
          <w:p w14:paraId="217021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8D415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0FCAE7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9C841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2F8BA5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3E52C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16C5E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8D63B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1042C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CE3AF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60883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D0138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-1.40E-04</w:t>
            </w:r>
          </w:p>
        </w:tc>
        <w:tc>
          <w:tcPr>
            <w:tcW w:w="529" w:type="pct"/>
            <w:noWrap/>
            <w:vAlign w:val="center"/>
          </w:tcPr>
          <w:p w14:paraId="6C81D5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25260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C2F6B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7.02E-03</w:t>
            </w:r>
          </w:p>
        </w:tc>
        <w:tc>
          <w:tcPr>
            <w:tcW w:w="469" w:type="pct"/>
            <w:noWrap/>
            <w:vAlign w:val="center"/>
          </w:tcPr>
          <w:p w14:paraId="052CB5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11.69</w:t>
            </w:r>
          </w:p>
        </w:tc>
        <w:tc>
          <w:tcPr>
            <w:tcW w:w="407" w:type="pct"/>
            <w:noWrap/>
            <w:vAlign w:val="center"/>
          </w:tcPr>
          <w:p w14:paraId="168F55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79839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67C218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w:t>
            </w:r>
          </w:p>
        </w:tc>
        <w:tc>
          <w:tcPr>
            <w:tcW w:w="966" w:type="pct"/>
            <w:vMerge w:val="restart"/>
            <w:noWrap/>
            <w:vAlign w:val="center"/>
          </w:tcPr>
          <w:p w14:paraId="6E647E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406" w:type="pct"/>
            <w:noWrap/>
            <w:vAlign w:val="center"/>
          </w:tcPr>
          <w:p w14:paraId="681A60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71834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721EA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4071A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70D75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A2957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54E0B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32D9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6" w:type="pct"/>
            <w:vMerge w:val="continue"/>
            <w:noWrap/>
            <w:vAlign w:val="center"/>
          </w:tcPr>
          <w:p w14:paraId="00D212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1A3C0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F0017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6C8AF0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-3.08E-04</w:t>
            </w:r>
          </w:p>
        </w:tc>
        <w:tc>
          <w:tcPr>
            <w:tcW w:w="529" w:type="pct"/>
            <w:noWrap/>
            <w:vAlign w:val="center"/>
          </w:tcPr>
          <w:p w14:paraId="24F186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26CB6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0202F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6.85E-03</w:t>
            </w:r>
          </w:p>
        </w:tc>
        <w:tc>
          <w:tcPr>
            <w:tcW w:w="469" w:type="pct"/>
            <w:noWrap/>
            <w:vAlign w:val="center"/>
          </w:tcPr>
          <w:p w14:paraId="4FAB7A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11.41</w:t>
            </w:r>
          </w:p>
        </w:tc>
        <w:tc>
          <w:tcPr>
            <w:tcW w:w="407" w:type="pct"/>
            <w:noWrap/>
            <w:vAlign w:val="center"/>
          </w:tcPr>
          <w:p w14:paraId="1A1109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D8401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687DDF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w:t>
            </w:r>
          </w:p>
        </w:tc>
        <w:tc>
          <w:tcPr>
            <w:tcW w:w="966" w:type="pct"/>
            <w:vMerge w:val="restart"/>
            <w:noWrap/>
            <w:vAlign w:val="center"/>
          </w:tcPr>
          <w:p w14:paraId="6B437B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406" w:type="pct"/>
            <w:noWrap/>
            <w:vAlign w:val="center"/>
          </w:tcPr>
          <w:p w14:paraId="2364F1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8F321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A9C52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77CA1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0F32B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7E24D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3E477E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3C4F3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032D5B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33809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21038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A3829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-2.09E-04</w:t>
            </w:r>
          </w:p>
        </w:tc>
        <w:tc>
          <w:tcPr>
            <w:tcW w:w="529" w:type="pct"/>
            <w:noWrap/>
            <w:vAlign w:val="center"/>
          </w:tcPr>
          <w:p w14:paraId="10EDDD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0A58C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06EB5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6.95E-03</w:t>
            </w:r>
          </w:p>
        </w:tc>
        <w:tc>
          <w:tcPr>
            <w:tcW w:w="469" w:type="pct"/>
            <w:noWrap/>
            <w:vAlign w:val="center"/>
          </w:tcPr>
          <w:p w14:paraId="309D90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11.58</w:t>
            </w:r>
          </w:p>
        </w:tc>
        <w:tc>
          <w:tcPr>
            <w:tcW w:w="407" w:type="pct"/>
            <w:noWrap/>
            <w:vAlign w:val="center"/>
          </w:tcPr>
          <w:p w14:paraId="1F9A41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2AC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0BEAAF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w:t>
            </w:r>
          </w:p>
        </w:tc>
        <w:tc>
          <w:tcPr>
            <w:tcW w:w="966" w:type="pct"/>
            <w:vMerge w:val="restart"/>
            <w:noWrap/>
            <w:vAlign w:val="center"/>
          </w:tcPr>
          <w:p w14:paraId="61F5E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406" w:type="pct"/>
            <w:noWrap/>
            <w:vAlign w:val="center"/>
          </w:tcPr>
          <w:p w14:paraId="24BECA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1E1B0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F032D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45DD4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0B78E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41D1D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70FA1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C9E6E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15B5BA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EE25B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97C29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2FA39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-2.25E-04</w:t>
            </w:r>
          </w:p>
        </w:tc>
        <w:tc>
          <w:tcPr>
            <w:tcW w:w="529" w:type="pct"/>
            <w:noWrap/>
            <w:vAlign w:val="center"/>
          </w:tcPr>
          <w:p w14:paraId="3D0136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516C8E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068AC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6.93E-03</w:t>
            </w:r>
          </w:p>
        </w:tc>
        <w:tc>
          <w:tcPr>
            <w:tcW w:w="469" w:type="pct"/>
            <w:noWrap/>
            <w:vAlign w:val="center"/>
          </w:tcPr>
          <w:p w14:paraId="3D71D5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11.55</w:t>
            </w:r>
          </w:p>
        </w:tc>
        <w:tc>
          <w:tcPr>
            <w:tcW w:w="407" w:type="pct"/>
            <w:noWrap/>
            <w:vAlign w:val="center"/>
          </w:tcPr>
          <w:p w14:paraId="3C67FF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12F8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1A7639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p>
        </w:tc>
        <w:tc>
          <w:tcPr>
            <w:tcW w:w="966" w:type="pct"/>
            <w:vMerge w:val="restart"/>
            <w:noWrap/>
            <w:vAlign w:val="center"/>
          </w:tcPr>
          <w:p w14:paraId="3348A2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406" w:type="pct"/>
            <w:noWrap/>
            <w:vAlign w:val="center"/>
          </w:tcPr>
          <w:p w14:paraId="7D4E07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82A88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DDABD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3835B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F2A9B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21186D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392989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ACCD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627C83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B726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50431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35D2A6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-3.41E-05</w:t>
            </w:r>
          </w:p>
        </w:tc>
        <w:tc>
          <w:tcPr>
            <w:tcW w:w="529" w:type="pct"/>
            <w:noWrap/>
            <w:vAlign w:val="center"/>
          </w:tcPr>
          <w:p w14:paraId="534558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73ED7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A9167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1C2F1A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1AA309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CA2C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restart"/>
            <w:noWrap/>
            <w:vAlign w:val="center"/>
          </w:tcPr>
          <w:p w14:paraId="577A1F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966" w:type="pct"/>
            <w:vMerge w:val="restart"/>
            <w:noWrap/>
            <w:vAlign w:val="center"/>
          </w:tcPr>
          <w:p w14:paraId="6D8E55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绥芬河邮政管理局</w:t>
            </w:r>
          </w:p>
        </w:tc>
        <w:tc>
          <w:tcPr>
            <w:tcW w:w="406" w:type="pct"/>
            <w:noWrap/>
            <w:vAlign w:val="center"/>
          </w:tcPr>
          <w:p w14:paraId="54F447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548DA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3FE93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BE5BF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96149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0C04A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268CC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B88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66" w:type="pct"/>
            <w:vMerge w:val="continue"/>
            <w:noWrap/>
            <w:vAlign w:val="center"/>
          </w:tcPr>
          <w:p w14:paraId="01249A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CEDD9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96164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31262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-3.65E-05</w:t>
            </w:r>
          </w:p>
        </w:tc>
        <w:tc>
          <w:tcPr>
            <w:tcW w:w="529" w:type="pct"/>
            <w:noWrap/>
            <w:vAlign w:val="center"/>
          </w:tcPr>
          <w:p w14:paraId="10BA53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FC26C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C488B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023637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1D254F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E4984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66" w:type="pct"/>
            <w:vMerge w:val="restart"/>
            <w:noWrap/>
            <w:vAlign w:val="center"/>
          </w:tcPr>
          <w:p w14:paraId="798444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966" w:type="pct"/>
            <w:vMerge w:val="restart"/>
            <w:noWrap/>
            <w:vAlign w:val="center"/>
          </w:tcPr>
          <w:p w14:paraId="0347ED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绥芬河市教育局</w:t>
            </w:r>
          </w:p>
        </w:tc>
        <w:tc>
          <w:tcPr>
            <w:tcW w:w="406" w:type="pct"/>
            <w:noWrap/>
            <w:vAlign w:val="center"/>
          </w:tcPr>
          <w:p w14:paraId="5D08A6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A6897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0F0D1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56998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7D0B2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B0F5D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D2F1C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8FA7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66" w:type="pct"/>
            <w:vMerge w:val="continue"/>
            <w:noWrap/>
            <w:vAlign w:val="center"/>
          </w:tcPr>
          <w:p w14:paraId="51AF64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3EF60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81686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21AF8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-3.61E-05</w:t>
            </w:r>
          </w:p>
        </w:tc>
        <w:tc>
          <w:tcPr>
            <w:tcW w:w="529" w:type="pct"/>
            <w:noWrap/>
            <w:vAlign w:val="center"/>
          </w:tcPr>
          <w:p w14:paraId="2FC875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C551A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DB0BF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5AB691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7E401B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E12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66" w:type="pct"/>
            <w:vMerge w:val="restart"/>
            <w:noWrap/>
            <w:vAlign w:val="center"/>
          </w:tcPr>
          <w:p w14:paraId="3B7FB1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966" w:type="pct"/>
            <w:vMerge w:val="restart"/>
            <w:noWrap/>
            <w:vAlign w:val="center"/>
          </w:tcPr>
          <w:p w14:paraId="2D5A48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绥芬河市自然资源局</w:t>
            </w:r>
          </w:p>
        </w:tc>
        <w:tc>
          <w:tcPr>
            <w:tcW w:w="406" w:type="pct"/>
            <w:noWrap/>
            <w:vAlign w:val="center"/>
          </w:tcPr>
          <w:p w14:paraId="637DD0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020EB9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76D70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23E2D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681AF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37A80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6C3FD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E236F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66" w:type="pct"/>
            <w:vMerge w:val="continue"/>
            <w:noWrap/>
            <w:vAlign w:val="center"/>
          </w:tcPr>
          <w:p w14:paraId="08A45C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32460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8A26C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F7842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-4.11E-05</w:t>
            </w:r>
          </w:p>
        </w:tc>
        <w:tc>
          <w:tcPr>
            <w:tcW w:w="529" w:type="pct"/>
            <w:noWrap/>
            <w:vAlign w:val="center"/>
          </w:tcPr>
          <w:p w14:paraId="4FB347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8AF0E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95528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0BD11F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11.86</w:t>
            </w:r>
          </w:p>
        </w:tc>
        <w:tc>
          <w:tcPr>
            <w:tcW w:w="407" w:type="pct"/>
            <w:noWrap/>
            <w:vAlign w:val="center"/>
          </w:tcPr>
          <w:p w14:paraId="0E3B82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C8CC5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66" w:type="pct"/>
            <w:vMerge w:val="restart"/>
            <w:noWrap/>
            <w:vAlign w:val="center"/>
          </w:tcPr>
          <w:p w14:paraId="388740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966" w:type="pct"/>
            <w:vMerge w:val="restart"/>
            <w:noWrap/>
            <w:vAlign w:val="center"/>
          </w:tcPr>
          <w:p w14:paraId="770DA1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绥芬河海关</w:t>
            </w:r>
          </w:p>
        </w:tc>
        <w:tc>
          <w:tcPr>
            <w:tcW w:w="406" w:type="pct"/>
            <w:noWrap/>
            <w:vAlign w:val="center"/>
          </w:tcPr>
          <w:p w14:paraId="72936D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DC370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BE6E6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B21A6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2A869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1CF7D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D0C7B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1FF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66" w:type="pct"/>
            <w:vMerge w:val="continue"/>
            <w:noWrap/>
            <w:vAlign w:val="center"/>
          </w:tcPr>
          <w:p w14:paraId="75B794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28A2A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3CF809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EF80C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-5.82E-05</w:t>
            </w:r>
          </w:p>
        </w:tc>
        <w:tc>
          <w:tcPr>
            <w:tcW w:w="529" w:type="pct"/>
            <w:noWrap/>
            <w:vAlign w:val="center"/>
          </w:tcPr>
          <w:p w14:paraId="5513C4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BA600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E978A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7.10E-03</w:t>
            </w:r>
          </w:p>
        </w:tc>
        <w:tc>
          <w:tcPr>
            <w:tcW w:w="469" w:type="pct"/>
            <w:noWrap/>
            <w:vAlign w:val="center"/>
          </w:tcPr>
          <w:p w14:paraId="03AB1B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11.83</w:t>
            </w:r>
          </w:p>
        </w:tc>
        <w:tc>
          <w:tcPr>
            <w:tcW w:w="407" w:type="pct"/>
            <w:noWrap/>
            <w:vAlign w:val="center"/>
          </w:tcPr>
          <w:p w14:paraId="178E10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A4B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66" w:type="pct"/>
            <w:vMerge w:val="restart"/>
            <w:noWrap/>
            <w:vAlign w:val="center"/>
          </w:tcPr>
          <w:p w14:paraId="49CA4F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966" w:type="pct"/>
            <w:vMerge w:val="restart"/>
            <w:noWrap/>
            <w:vAlign w:val="center"/>
          </w:tcPr>
          <w:p w14:paraId="66F9A0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406" w:type="pct"/>
            <w:noWrap/>
            <w:vAlign w:val="center"/>
          </w:tcPr>
          <w:p w14:paraId="5B28DD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5697C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-6.42E-05</w:t>
            </w:r>
          </w:p>
        </w:tc>
        <w:tc>
          <w:tcPr>
            <w:tcW w:w="529" w:type="pct"/>
            <w:noWrap/>
            <w:vAlign w:val="center"/>
          </w:tcPr>
          <w:p w14:paraId="4C3281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88F14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4CFF35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2.79E-02</w:t>
            </w:r>
          </w:p>
        </w:tc>
        <w:tc>
          <w:tcPr>
            <w:tcW w:w="469" w:type="pct"/>
            <w:noWrap/>
            <w:vAlign w:val="center"/>
          </w:tcPr>
          <w:p w14:paraId="313449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18.62</w:t>
            </w:r>
          </w:p>
        </w:tc>
        <w:tc>
          <w:tcPr>
            <w:tcW w:w="407" w:type="pct"/>
            <w:noWrap/>
            <w:vAlign w:val="center"/>
          </w:tcPr>
          <w:p w14:paraId="297E1D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B5FB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66" w:type="pct"/>
            <w:vMerge w:val="continue"/>
            <w:noWrap/>
            <w:vAlign w:val="center"/>
          </w:tcPr>
          <w:p w14:paraId="7F2E30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1B8DA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89CAB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9613B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-4.15E-04</w:t>
            </w:r>
          </w:p>
        </w:tc>
        <w:tc>
          <w:tcPr>
            <w:tcW w:w="529" w:type="pct"/>
            <w:noWrap/>
            <w:vAlign w:val="center"/>
          </w:tcPr>
          <w:p w14:paraId="1F7185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0AD3D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73F11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6.74E-03</w:t>
            </w:r>
          </w:p>
        </w:tc>
        <w:tc>
          <w:tcPr>
            <w:tcW w:w="469" w:type="pct"/>
            <w:noWrap/>
            <w:vAlign w:val="center"/>
          </w:tcPr>
          <w:p w14:paraId="6EFF6A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11.24</w:t>
            </w:r>
          </w:p>
        </w:tc>
        <w:tc>
          <w:tcPr>
            <w:tcW w:w="407" w:type="pct"/>
            <w:noWrap/>
            <w:vAlign w:val="center"/>
          </w:tcPr>
          <w:p w14:paraId="5D1404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5AFD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66" w:type="pct"/>
            <w:vMerge w:val="restart"/>
            <w:noWrap/>
            <w:vAlign w:val="center"/>
          </w:tcPr>
          <w:p w14:paraId="63F696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966" w:type="pct"/>
            <w:vMerge w:val="restart"/>
            <w:noWrap/>
            <w:vAlign w:val="center"/>
          </w:tcPr>
          <w:p w14:paraId="6B8247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绥芬河市生态环境局</w:t>
            </w:r>
          </w:p>
        </w:tc>
        <w:tc>
          <w:tcPr>
            <w:tcW w:w="406" w:type="pct"/>
            <w:noWrap/>
            <w:vAlign w:val="center"/>
          </w:tcPr>
          <w:p w14:paraId="0B9508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E4DEA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6B6DC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53F5C4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48E5F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63F8F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11.67</w:t>
            </w:r>
          </w:p>
        </w:tc>
        <w:tc>
          <w:tcPr>
            <w:tcW w:w="407" w:type="pct"/>
            <w:noWrap/>
            <w:vAlign w:val="center"/>
          </w:tcPr>
          <w:p w14:paraId="34F6CF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C8F1B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266" w:type="pct"/>
            <w:vMerge w:val="continue"/>
            <w:noWrap/>
            <w:vAlign w:val="center"/>
          </w:tcPr>
          <w:p w14:paraId="02CE19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B3E67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F8629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8B34F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-6.28E-05</w:t>
            </w:r>
          </w:p>
        </w:tc>
        <w:tc>
          <w:tcPr>
            <w:tcW w:w="529" w:type="pct"/>
            <w:noWrap/>
            <w:vAlign w:val="center"/>
          </w:tcPr>
          <w:p w14:paraId="471B66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FC8C0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E5938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7.09E-03</w:t>
            </w:r>
          </w:p>
        </w:tc>
        <w:tc>
          <w:tcPr>
            <w:tcW w:w="469" w:type="pct"/>
            <w:noWrap/>
            <w:vAlign w:val="center"/>
          </w:tcPr>
          <w:p w14:paraId="3E04B9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11.82</w:t>
            </w:r>
          </w:p>
        </w:tc>
        <w:tc>
          <w:tcPr>
            <w:tcW w:w="407" w:type="pct"/>
            <w:noWrap/>
            <w:vAlign w:val="center"/>
          </w:tcPr>
          <w:p w14:paraId="3B2D6B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7989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66" w:type="pct"/>
            <w:vMerge w:val="restart"/>
            <w:noWrap/>
            <w:vAlign w:val="center"/>
          </w:tcPr>
          <w:p w14:paraId="274BD0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966" w:type="pct"/>
            <w:vMerge w:val="restart"/>
            <w:noWrap/>
            <w:vAlign w:val="center"/>
          </w:tcPr>
          <w:p w14:paraId="2501A2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绥芬河市民政局</w:t>
            </w:r>
          </w:p>
        </w:tc>
        <w:tc>
          <w:tcPr>
            <w:tcW w:w="406" w:type="pct"/>
            <w:noWrap/>
            <w:vAlign w:val="center"/>
          </w:tcPr>
          <w:p w14:paraId="6FCE9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CB388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60B37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90F72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966B3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684377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D547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3B9B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66" w:type="pct"/>
            <w:vMerge w:val="continue"/>
            <w:noWrap/>
            <w:vAlign w:val="center"/>
          </w:tcPr>
          <w:p w14:paraId="0BB71F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EE6B4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6578F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8236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-1.15E-05</w:t>
            </w:r>
          </w:p>
        </w:tc>
        <w:tc>
          <w:tcPr>
            <w:tcW w:w="529" w:type="pct"/>
            <w:noWrap/>
            <w:vAlign w:val="center"/>
          </w:tcPr>
          <w:p w14:paraId="713F7C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A4B72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8CDE1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7CBD3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0F3CFA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3E7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66" w:type="pct"/>
            <w:vMerge w:val="restart"/>
            <w:noWrap/>
            <w:vAlign w:val="center"/>
          </w:tcPr>
          <w:p w14:paraId="76568F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966" w:type="pct"/>
            <w:vMerge w:val="restart"/>
            <w:noWrap/>
            <w:vAlign w:val="center"/>
          </w:tcPr>
          <w:p w14:paraId="3781AB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绥芬河市公安局</w:t>
            </w:r>
          </w:p>
        </w:tc>
        <w:tc>
          <w:tcPr>
            <w:tcW w:w="406" w:type="pct"/>
            <w:noWrap/>
            <w:vAlign w:val="center"/>
          </w:tcPr>
          <w:p w14:paraId="1D3D7C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73D8E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42042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69C39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FAA50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BA59A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0A97F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8C10C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66" w:type="pct"/>
            <w:vMerge w:val="continue"/>
            <w:noWrap/>
            <w:vAlign w:val="center"/>
          </w:tcPr>
          <w:p w14:paraId="039740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1C256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3711C8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9FBD6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-1.18E-05</w:t>
            </w:r>
          </w:p>
        </w:tc>
        <w:tc>
          <w:tcPr>
            <w:tcW w:w="529" w:type="pct"/>
            <w:noWrap/>
            <w:vAlign w:val="center"/>
          </w:tcPr>
          <w:p w14:paraId="39BEBC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5FABE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54F38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566724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60EEC9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5B009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66" w:type="pct"/>
            <w:vMerge w:val="restart"/>
            <w:noWrap/>
            <w:vAlign w:val="center"/>
          </w:tcPr>
          <w:p w14:paraId="3EBD39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966" w:type="pct"/>
            <w:vMerge w:val="restart"/>
            <w:noWrap/>
            <w:vAlign w:val="center"/>
          </w:tcPr>
          <w:p w14:paraId="4A796F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阜宁镇人民政府</w:t>
            </w:r>
          </w:p>
        </w:tc>
        <w:tc>
          <w:tcPr>
            <w:tcW w:w="406" w:type="pct"/>
            <w:noWrap/>
            <w:vAlign w:val="center"/>
          </w:tcPr>
          <w:p w14:paraId="1ABFF1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F5ED6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631917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DA857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3FA3C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00110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BA8DF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F6D3E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266" w:type="pct"/>
            <w:vMerge w:val="continue"/>
            <w:noWrap/>
            <w:vAlign w:val="center"/>
          </w:tcPr>
          <w:p w14:paraId="44A22A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377E5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7CD3D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19EB2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-8.00E-06</w:t>
            </w:r>
          </w:p>
        </w:tc>
        <w:tc>
          <w:tcPr>
            <w:tcW w:w="529" w:type="pct"/>
            <w:noWrap/>
            <w:vAlign w:val="center"/>
          </w:tcPr>
          <w:p w14:paraId="4AABB0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88262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28031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54BD35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2DDD73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6BA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266" w:type="pct"/>
            <w:vMerge w:val="restart"/>
            <w:noWrap/>
            <w:vAlign w:val="center"/>
          </w:tcPr>
          <w:p w14:paraId="43D88B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966" w:type="pct"/>
            <w:vMerge w:val="restart"/>
            <w:noWrap/>
            <w:vAlign w:val="center"/>
          </w:tcPr>
          <w:p w14:paraId="79A2E2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绥芬河市广播电视局</w:t>
            </w:r>
          </w:p>
        </w:tc>
        <w:tc>
          <w:tcPr>
            <w:tcW w:w="406" w:type="pct"/>
            <w:noWrap/>
            <w:vAlign w:val="center"/>
          </w:tcPr>
          <w:p w14:paraId="172B9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38B19A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D023E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519053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69AFB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82432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AC307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11A35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66" w:type="pct"/>
            <w:vMerge w:val="continue"/>
            <w:noWrap/>
            <w:vAlign w:val="center"/>
          </w:tcPr>
          <w:p w14:paraId="7775B7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1C3AB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C0886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13952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-2.62E-05</w:t>
            </w:r>
          </w:p>
        </w:tc>
        <w:tc>
          <w:tcPr>
            <w:tcW w:w="529" w:type="pct"/>
            <w:noWrap/>
            <w:vAlign w:val="center"/>
          </w:tcPr>
          <w:p w14:paraId="7D3B5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5B224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9D6A7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7.13E-03</w:t>
            </w:r>
          </w:p>
        </w:tc>
        <w:tc>
          <w:tcPr>
            <w:tcW w:w="469" w:type="pct"/>
            <w:noWrap/>
            <w:vAlign w:val="center"/>
          </w:tcPr>
          <w:p w14:paraId="050335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11.88</w:t>
            </w:r>
          </w:p>
        </w:tc>
        <w:tc>
          <w:tcPr>
            <w:tcW w:w="407" w:type="pct"/>
            <w:noWrap/>
            <w:vAlign w:val="center"/>
          </w:tcPr>
          <w:p w14:paraId="53E778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17509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66" w:type="pct"/>
            <w:vMerge w:val="restart"/>
            <w:noWrap/>
            <w:vAlign w:val="center"/>
          </w:tcPr>
          <w:p w14:paraId="7FEF93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966" w:type="pct"/>
            <w:vMerge w:val="restart"/>
            <w:noWrap/>
            <w:vAlign w:val="center"/>
          </w:tcPr>
          <w:p w14:paraId="0AD44C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红太阳未来星幼儿园</w:t>
            </w:r>
          </w:p>
        </w:tc>
        <w:tc>
          <w:tcPr>
            <w:tcW w:w="406" w:type="pct"/>
            <w:noWrap/>
            <w:vAlign w:val="center"/>
          </w:tcPr>
          <w:p w14:paraId="1BA289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061F9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15DD7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F2534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33B33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207232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92A92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8706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66" w:type="pct"/>
            <w:vMerge w:val="continue"/>
            <w:noWrap/>
            <w:vAlign w:val="center"/>
          </w:tcPr>
          <w:p w14:paraId="2B543D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72903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66363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A9B0C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-1.67E-04</w:t>
            </w:r>
          </w:p>
        </w:tc>
        <w:tc>
          <w:tcPr>
            <w:tcW w:w="529" w:type="pct"/>
            <w:noWrap/>
            <w:vAlign w:val="center"/>
          </w:tcPr>
          <w:p w14:paraId="350F2F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514DD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B2BF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6.99E-03</w:t>
            </w:r>
          </w:p>
        </w:tc>
        <w:tc>
          <w:tcPr>
            <w:tcW w:w="469" w:type="pct"/>
            <w:noWrap/>
            <w:vAlign w:val="center"/>
          </w:tcPr>
          <w:p w14:paraId="6AA599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11.65</w:t>
            </w:r>
          </w:p>
        </w:tc>
        <w:tc>
          <w:tcPr>
            <w:tcW w:w="407" w:type="pct"/>
            <w:noWrap/>
            <w:vAlign w:val="center"/>
          </w:tcPr>
          <w:p w14:paraId="4C4FA2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19E4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66" w:type="pct"/>
            <w:vMerge w:val="restart"/>
            <w:noWrap/>
            <w:vAlign w:val="center"/>
          </w:tcPr>
          <w:p w14:paraId="529B98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966" w:type="pct"/>
            <w:vMerge w:val="restart"/>
            <w:noWrap/>
            <w:vAlign w:val="center"/>
          </w:tcPr>
          <w:p w14:paraId="33CBA3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金恒基小学</w:t>
            </w:r>
          </w:p>
        </w:tc>
        <w:tc>
          <w:tcPr>
            <w:tcW w:w="406" w:type="pct"/>
            <w:noWrap/>
            <w:vAlign w:val="center"/>
          </w:tcPr>
          <w:p w14:paraId="38D11F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2DCAA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0E47A2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F49FB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267A8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5372D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28C0E4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6E36D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66" w:type="pct"/>
            <w:vMerge w:val="continue"/>
            <w:noWrap/>
            <w:vAlign w:val="center"/>
          </w:tcPr>
          <w:p w14:paraId="70FEF7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9C220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C059E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6E4B7C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-6.85E-05</w:t>
            </w:r>
          </w:p>
        </w:tc>
        <w:tc>
          <w:tcPr>
            <w:tcW w:w="529" w:type="pct"/>
            <w:noWrap/>
            <w:vAlign w:val="center"/>
          </w:tcPr>
          <w:p w14:paraId="28D466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6FECF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1C1F4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7.09E-03</w:t>
            </w:r>
          </w:p>
        </w:tc>
        <w:tc>
          <w:tcPr>
            <w:tcW w:w="469" w:type="pct"/>
            <w:noWrap/>
            <w:vAlign w:val="center"/>
          </w:tcPr>
          <w:p w14:paraId="01834F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11.81</w:t>
            </w:r>
          </w:p>
        </w:tc>
        <w:tc>
          <w:tcPr>
            <w:tcW w:w="407" w:type="pct"/>
            <w:noWrap/>
            <w:vAlign w:val="center"/>
          </w:tcPr>
          <w:p w14:paraId="77015C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E419B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66" w:type="pct"/>
            <w:vMerge w:val="restart"/>
            <w:noWrap/>
            <w:vAlign w:val="center"/>
          </w:tcPr>
          <w:p w14:paraId="72C4AA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966" w:type="pct"/>
            <w:vMerge w:val="restart"/>
            <w:noWrap/>
            <w:vAlign w:val="center"/>
          </w:tcPr>
          <w:p w14:paraId="0AE7E1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弘孟幼儿园</w:t>
            </w:r>
          </w:p>
        </w:tc>
        <w:tc>
          <w:tcPr>
            <w:tcW w:w="406" w:type="pct"/>
            <w:noWrap/>
            <w:vAlign w:val="center"/>
          </w:tcPr>
          <w:p w14:paraId="554639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B94AC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3845E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7F10C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46C4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14B41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0979E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FD5C0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66" w:type="pct"/>
            <w:vMerge w:val="continue"/>
            <w:noWrap/>
            <w:vAlign w:val="center"/>
          </w:tcPr>
          <w:p w14:paraId="7E49CE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E9FC1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3C123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66ED0D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-7.33E-05</w:t>
            </w:r>
          </w:p>
        </w:tc>
        <w:tc>
          <w:tcPr>
            <w:tcW w:w="529" w:type="pct"/>
            <w:noWrap/>
            <w:vAlign w:val="center"/>
          </w:tcPr>
          <w:p w14:paraId="6DF6F5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10F9C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1E3BD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7.08E-03</w:t>
            </w:r>
          </w:p>
        </w:tc>
        <w:tc>
          <w:tcPr>
            <w:tcW w:w="469" w:type="pct"/>
            <w:noWrap/>
            <w:vAlign w:val="center"/>
          </w:tcPr>
          <w:p w14:paraId="0432FB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11.80</w:t>
            </w:r>
          </w:p>
        </w:tc>
        <w:tc>
          <w:tcPr>
            <w:tcW w:w="407" w:type="pct"/>
            <w:noWrap/>
            <w:vAlign w:val="center"/>
          </w:tcPr>
          <w:p w14:paraId="70F23A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2FFA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266" w:type="pct"/>
            <w:vMerge w:val="restart"/>
            <w:noWrap/>
            <w:vAlign w:val="center"/>
          </w:tcPr>
          <w:p w14:paraId="1949EB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966" w:type="pct"/>
            <w:vMerge w:val="restart"/>
            <w:noWrap/>
            <w:vAlign w:val="center"/>
          </w:tcPr>
          <w:p w14:paraId="226DA1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红太阳幼儿园</w:t>
            </w:r>
          </w:p>
        </w:tc>
        <w:tc>
          <w:tcPr>
            <w:tcW w:w="406" w:type="pct"/>
            <w:noWrap/>
            <w:vAlign w:val="center"/>
          </w:tcPr>
          <w:p w14:paraId="6661F7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CD52B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05BE5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69E9D2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24E9EB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3A241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3.41</w:t>
            </w:r>
          </w:p>
        </w:tc>
        <w:tc>
          <w:tcPr>
            <w:tcW w:w="407" w:type="pct"/>
            <w:noWrap/>
            <w:vAlign w:val="center"/>
          </w:tcPr>
          <w:p w14:paraId="5347D9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A5E7B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66" w:type="pct"/>
            <w:vMerge w:val="continue"/>
            <w:noWrap/>
            <w:vAlign w:val="center"/>
          </w:tcPr>
          <w:p w14:paraId="58385D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663232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992B6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86DB2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-9.19E-05</w:t>
            </w:r>
          </w:p>
        </w:tc>
        <w:tc>
          <w:tcPr>
            <w:tcW w:w="529" w:type="pct"/>
            <w:noWrap/>
            <w:vAlign w:val="center"/>
          </w:tcPr>
          <w:p w14:paraId="71264E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333331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3C7FB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7.06E-03</w:t>
            </w:r>
          </w:p>
        </w:tc>
        <w:tc>
          <w:tcPr>
            <w:tcW w:w="469" w:type="pct"/>
            <w:noWrap/>
            <w:vAlign w:val="center"/>
          </w:tcPr>
          <w:p w14:paraId="71667B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C10B6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87D7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266" w:type="pct"/>
            <w:vMerge w:val="restart"/>
            <w:noWrap/>
            <w:vAlign w:val="center"/>
          </w:tcPr>
          <w:p w14:paraId="44EA5A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966" w:type="pct"/>
            <w:vMerge w:val="restart"/>
            <w:noWrap/>
            <w:vAlign w:val="center"/>
          </w:tcPr>
          <w:p w14:paraId="60853F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千里幼稚园</w:t>
            </w:r>
          </w:p>
        </w:tc>
        <w:tc>
          <w:tcPr>
            <w:tcW w:w="406" w:type="pct"/>
            <w:noWrap/>
            <w:vAlign w:val="center"/>
          </w:tcPr>
          <w:p w14:paraId="276DDC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088B13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5E325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6A42A1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D70D7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54DBF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24C6C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0A1E9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66" w:type="pct"/>
            <w:vMerge w:val="continue"/>
            <w:noWrap/>
            <w:vAlign w:val="center"/>
          </w:tcPr>
          <w:p w14:paraId="17E15E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57A8F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E2ED7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EB159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-7.54E-05</w:t>
            </w:r>
          </w:p>
        </w:tc>
        <w:tc>
          <w:tcPr>
            <w:tcW w:w="529" w:type="pct"/>
            <w:noWrap/>
            <w:vAlign w:val="center"/>
          </w:tcPr>
          <w:p w14:paraId="4CE4C4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3918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A5298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7.08E-03</w:t>
            </w:r>
          </w:p>
        </w:tc>
        <w:tc>
          <w:tcPr>
            <w:tcW w:w="469" w:type="pct"/>
            <w:noWrap/>
            <w:vAlign w:val="center"/>
          </w:tcPr>
          <w:p w14:paraId="75D292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11.80</w:t>
            </w:r>
          </w:p>
        </w:tc>
        <w:tc>
          <w:tcPr>
            <w:tcW w:w="407" w:type="pct"/>
            <w:noWrap/>
            <w:vAlign w:val="center"/>
          </w:tcPr>
          <w:p w14:paraId="6A0F44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4D86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66" w:type="pct"/>
            <w:vMerge w:val="restart"/>
            <w:noWrap/>
            <w:vAlign w:val="center"/>
          </w:tcPr>
          <w:p w14:paraId="735F99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966" w:type="pct"/>
            <w:vMerge w:val="restart"/>
            <w:noWrap/>
            <w:vAlign w:val="center"/>
          </w:tcPr>
          <w:p w14:paraId="182800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绥芬河市第一中学</w:t>
            </w:r>
          </w:p>
        </w:tc>
        <w:tc>
          <w:tcPr>
            <w:tcW w:w="406" w:type="pct"/>
            <w:noWrap/>
            <w:vAlign w:val="center"/>
          </w:tcPr>
          <w:p w14:paraId="3E0971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2AB70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-1.13E-06</w:t>
            </w:r>
          </w:p>
        </w:tc>
        <w:tc>
          <w:tcPr>
            <w:tcW w:w="529" w:type="pct"/>
            <w:noWrap/>
            <w:vAlign w:val="center"/>
          </w:tcPr>
          <w:p w14:paraId="7A8579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18042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13370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DD41F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0D120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AFE67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66" w:type="pct"/>
            <w:vMerge w:val="continue"/>
            <w:noWrap/>
            <w:vAlign w:val="center"/>
          </w:tcPr>
          <w:p w14:paraId="1FDBE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7C3105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8502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A7B22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-1.04E-04</w:t>
            </w:r>
          </w:p>
        </w:tc>
        <w:tc>
          <w:tcPr>
            <w:tcW w:w="529" w:type="pct"/>
            <w:noWrap/>
            <w:vAlign w:val="center"/>
          </w:tcPr>
          <w:p w14:paraId="57909A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EE1D7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F25E6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7.05E-03</w:t>
            </w:r>
          </w:p>
        </w:tc>
        <w:tc>
          <w:tcPr>
            <w:tcW w:w="469" w:type="pct"/>
            <w:noWrap/>
            <w:vAlign w:val="center"/>
          </w:tcPr>
          <w:p w14:paraId="5EF642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11.75</w:t>
            </w:r>
          </w:p>
        </w:tc>
        <w:tc>
          <w:tcPr>
            <w:tcW w:w="407" w:type="pct"/>
            <w:noWrap/>
            <w:vAlign w:val="center"/>
          </w:tcPr>
          <w:p w14:paraId="270D3C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BE6FF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266" w:type="pct"/>
            <w:vMerge w:val="restart"/>
            <w:noWrap/>
            <w:vAlign w:val="center"/>
          </w:tcPr>
          <w:p w14:paraId="2E0DAA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966" w:type="pct"/>
            <w:vMerge w:val="restart"/>
            <w:noWrap/>
            <w:vAlign w:val="center"/>
          </w:tcPr>
          <w:p w14:paraId="4AC7ED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商都幼儿园</w:t>
            </w:r>
          </w:p>
        </w:tc>
        <w:tc>
          <w:tcPr>
            <w:tcW w:w="406" w:type="pct"/>
            <w:noWrap/>
            <w:vAlign w:val="center"/>
          </w:tcPr>
          <w:p w14:paraId="6B3D8C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02E32D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-4.36E-06</w:t>
            </w:r>
          </w:p>
        </w:tc>
        <w:tc>
          <w:tcPr>
            <w:tcW w:w="529" w:type="pct"/>
            <w:noWrap/>
            <w:vAlign w:val="center"/>
          </w:tcPr>
          <w:p w14:paraId="1AD97D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55D7C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94639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5ECB0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18.66</w:t>
            </w:r>
          </w:p>
        </w:tc>
        <w:tc>
          <w:tcPr>
            <w:tcW w:w="407" w:type="pct"/>
            <w:noWrap/>
            <w:vAlign w:val="center"/>
          </w:tcPr>
          <w:p w14:paraId="1806BF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BC988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66" w:type="pct"/>
            <w:vMerge w:val="continue"/>
            <w:noWrap/>
            <w:vAlign w:val="center"/>
          </w:tcPr>
          <w:p w14:paraId="0051D9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2F5AA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A0F5F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6D292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-1.05E-04</w:t>
            </w:r>
          </w:p>
        </w:tc>
        <w:tc>
          <w:tcPr>
            <w:tcW w:w="529" w:type="pct"/>
            <w:noWrap/>
            <w:vAlign w:val="center"/>
          </w:tcPr>
          <w:p w14:paraId="4094BC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4976F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202DB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7.05E-03</w:t>
            </w:r>
          </w:p>
        </w:tc>
        <w:tc>
          <w:tcPr>
            <w:tcW w:w="469" w:type="pct"/>
            <w:noWrap/>
            <w:vAlign w:val="center"/>
          </w:tcPr>
          <w:p w14:paraId="1D034D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11.77</w:t>
            </w:r>
          </w:p>
        </w:tc>
        <w:tc>
          <w:tcPr>
            <w:tcW w:w="407" w:type="pct"/>
            <w:noWrap/>
            <w:vAlign w:val="center"/>
          </w:tcPr>
          <w:p w14:paraId="3CE10B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1FD8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66" w:type="pct"/>
            <w:vMerge w:val="restart"/>
            <w:noWrap/>
            <w:vAlign w:val="center"/>
          </w:tcPr>
          <w:p w14:paraId="0D4FF4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966" w:type="pct"/>
            <w:vMerge w:val="restart"/>
            <w:noWrap/>
            <w:vAlign w:val="center"/>
          </w:tcPr>
          <w:p w14:paraId="1E53BE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406" w:type="pct"/>
            <w:noWrap/>
            <w:vAlign w:val="center"/>
          </w:tcPr>
          <w:p w14:paraId="385AF5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078DC0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69DAD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BF871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6802C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D2371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AA1ED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02F7C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66" w:type="pct"/>
            <w:vMerge w:val="continue"/>
            <w:noWrap/>
            <w:vAlign w:val="center"/>
          </w:tcPr>
          <w:p w14:paraId="635C58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3B342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87E05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A1A0F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-1.19E-05</w:t>
            </w:r>
          </w:p>
        </w:tc>
        <w:tc>
          <w:tcPr>
            <w:tcW w:w="529" w:type="pct"/>
            <w:noWrap/>
            <w:vAlign w:val="center"/>
          </w:tcPr>
          <w:p w14:paraId="7C3BAF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D6F8B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BBFF2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127213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174FE2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656F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66" w:type="pct"/>
            <w:vMerge w:val="restart"/>
            <w:noWrap/>
            <w:vAlign w:val="center"/>
          </w:tcPr>
          <w:p w14:paraId="1305AA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966" w:type="pct"/>
            <w:vMerge w:val="restart"/>
            <w:noWrap/>
            <w:vAlign w:val="center"/>
          </w:tcPr>
          <w:p w14:paraId="70DEF0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406" w:type="pct"/>
            <w:noWrap/>
            <w:vAlign w:val="center"/>
          </w:tcPr>
          <w:p w14:paraId="1E2C0D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FD1E9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0D3BE6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65341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832C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E2A5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B2B47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5EBC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66" w:type="pct"/>
            <w:vMerge w:val="continue"/>
            <w:noWrap/>
            <w:vAlign w:val="center"/>
          </w:tcPr>
          <w:p w14:paraId="6A6BAF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A0563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E9D09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B58A5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-9.03E-06</w:t>
            </w:r>
          </w:p>
        </w:tc>
        <w:tc>
          <w:tcPr>
            <w:tcW w:w="529" w:type="pct"/>
            <w:noWrap/>
            <w:vAlign w:val="center"/>
          </w:tcPr>
          <w:p w14:paraId="460D9C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49DA4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11CBD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020BBD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11.67</w:t>
            </w:r>
          </w:p>
        </w:tc>
        <w:tc>
          <w:tcPr>
            <w:tcW w:w="407" w:type="pct"/>
            <w:noWrap/>
            <w:vAlign w:val="center"/>
          </w:tcPr>
          <w:p w14:paraId="7C05A4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C9B1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66" w:type="pct"/>
            <w:vMerge w:val="restart"/>
            <w:noWrap/>
            <w:vAlign w:val="center"/>
          </w:tcPr>
          <w:p w14:paraId="2E2DE4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966" w:type="pct"/>
            <w:vMerge w:val="restart"/>
            <w:noWrap/>
            <w:vAlign w:val="center"/>
          </w:tcPr>
          <w:p w14:paraId="15E06F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绥芬河市第三中学</w:t>
            </w:r>
          </w:p>
        </w:tc>
        <w:tc>
          <w:tcPr>
            <w:tcW w:w="406" w:type="pct"/>
            <w:noWrap/>
            <w:vAlign w:val="center"/>
          </w:tcPr>
          <w:p w14:paraId="0BA986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3C1FB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64DD71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0137B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1B14F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3FDA4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09EB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15722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66" w:type="pct"/>
            <w:vMerge w:val="continue"/>
            <w:noWrap/>
            <w:vAlign w:val="center"/>
          </w:tcPr>
          <w:p w14:paraId="59B4F9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73282D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21A40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24538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529" w:type="pct"/>
            <w:noWrap/>
            <w:vAlign w:val="center"/>
          </w:tcPr>
          <w:p w14:paraId="368456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9A441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0EC46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7.13E-03</w:t>
            </w:r>
          </w:p>
        </w:tc>
        <w:tc>
          <w:tcPr>
            <w:tcW w:w="469" w:type="pct"/>
            <w:noWrap/>
            <w:vAlign w:val="center"/>
          </w:tcPr>
          <w:p w14:paraId="1D2B2C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11.88</w:t>
            </w:r>
          </w:p>
        </w:tc>
        <w:tc>
          <w:tcPr>
            <w:tcW w:w="407" w:type="pct"/>
            <w:noWrap/>
            <w:vAlign w:val="center"/>
          </w:tcPr>
          <w:p w14:paraId="2DC435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0CB6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66" w:type="pct"/>
            <w:vMerge w:val="restart"/>
            <w:noWrap/>
            <w:vAlign w:val="center"/>
          </w:tcPr>
          <w:p w14:paraId="271705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966" w:type="pct"/>
            <w:vMerge w:val="restart"/>
            <w:noWrap/>
            <w:vAlign w:val="center"/>
          </w:tcPr>
          <w:p w14:paraId="5B9556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旅游局家属楼</w:t>
            </w:r>
          </w:p>
        </w:tc>
        <w:tc>
          <w:tcPr>
            <w:tcW w:w="406" w:type="pct"/>
            <w:noWrap/>
            <w:vAlign w:val="center"/>
          </w:tcPr>
          <w:p w14:paraId="002224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3A06A2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-2.01E-06</w:t>
            </w:r>
          </w:p>
        </w:tc>
        <w:tc>
          <w:tcPr>
            <w:tcW w:w="529" w:type="pct"/>
            <w:noWrap/>
            <w:vAlign w:val="center"/>
          </w:tcPr>
          <w:p w14:paraId="62116E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04F5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99E66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4A974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34AA1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E853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66" w:type="pct"/>
            <w:vMerge w:val="continue"/>
            <w:noWrap/>
            <w:vAlign w:val="center"/>
          </w:tcPr>
          <w:p w14:paraId="0EEC3A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CF8F8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86B73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6C31AE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-4.92E-05</w:t>
            </w:r>
          </w:p>
        </w:tc>
        <w:tc>
          <w:tcPr>
            <w:tcW w:w="529" w:type="pct"/>
            <w:noWrap/>
            <w:vAlign w:val="center"/>
          </w:tcPr>
          <w:p w14:paraId="1B1ADD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6EA9B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D54C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7.11E-03</w:t>
            </w:r>
          </w:p>
        </w:tc>
        <w:tc>
          <w:tcPr>
            <w:tcW w:w="469" w:type="pct"/>
            <w:noWrap/>
            <w:vAlign w:val="center"/>
          </w:tcPr>
          <w:p w14:paraId="0061C2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11.84</w:t>
            </w:r>
          </w:p>
        </w:tc>
        <w:tc>
          <w:tcPr>
            <w:tcW w:w="407" w:type="pct"/>
            <w:noWrap/>
            <w:vAlign w:val="center"/>
          </w:tcPr>
          <w:p w14:paraId="322B37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B3D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66" w:type="pct"/>
            <w:vMerge w:val="restart"/>
            <w:noWrap/>
            <w:vAlign w:val="center"/>
          </w:tcPr>
          <w:p w14:paraId="55CEE8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966" w:type="pct"/>
            <w:vMerge w:val="restart"/>
            <w:noWrap/>
            <w:vAlign w:val="center"/>
          </w:tcPr>
          <w:p w14:paraId="4FB992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新安幸福嘉园</w:t>
            </w:r>
          </w:p>
        </w:tc>
        <w:tc>
          <w:tcPr>
            <w:tcW w:w="406" w:type="pct"/>
            <w:noWrap/>
            <w:vAlign w:val="center"/>
          </w:tcPr>
          <w:p w14:paraId="62A200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7E83A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66330E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C6CBD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E9D3C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42935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8C28B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405C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66" w:type="pct"/>
            <w:vMerge w:val="continue"/>
            <w:noWrap/>
            <w:vAlign w:val="center"/>
          </w:tcPr>
          <w:p w14:paraId="7A9485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67E60D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D7CF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1118AE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-3.27E-05</w:t>
            </w:r>
          </w:p>
        </w:tc>
        <w:tc>
          <w:tcPr>
            <w:tcW w:w="529" w:type="pct"/>
            <w:noWrap/>
            <w:vAlign w:val="center"/>
          </w:tcPr>
          <w:p w14:paraId="58C290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A444D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E0F26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5487E2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4582B5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9A21B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266" w:type="pct"/>
            <w:vMerge w:val="restart"/>
            <w:noWrap/>
            <w:vAlign w:val="center"/>
          </w:tcPr>
          <w:p w14:paraId="74DEF8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966" w:type="pct"/>
            <w:vMerge w:val="restart"/>
            <w:noWrap/>
            <w:vAlign w:val="center"/>
          </w:tcPr>
          <w:p w14:paraId="0182C1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中兴小区</w:t>
            </w:r>
          </w:p>
        </w:tc>
        <w:tc>
          <w:tcPr>
            <w:tcW w:w="406" w:type="pct"/>
            <w:noWrap/>
            <w:vAlign w:val="center"/>
          </w:tcPr>
          <w:p w14:paraId="777E4F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AD9F8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112F97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5B6EB8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7F807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CF80B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0C223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3D7F4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266" w:type="pct"/>
            <w:vMerge w:val="continue"/>
            <w:noWrap/>
            <w:vAlign w:val="center"/>
          </w:tcPr>
          <w:p w14:paraId="133772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89262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2C984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2DC51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-2.91E-05</w:t>
            </w:r>
          </w:p>
        </w:tc>
        <w:tc>
          <w:tcPr>
            <w:tcW w:w="529" w:type="pct"/>
            <w:noWrap/>
            <w:vAlign w:val="center"/>
          </w:tcPr>
          <w:p w14:paraId="26869E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33DDF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521E27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7.13E-03</w:t>
            </w:r>
          </w:p>
        </w:tc>
        <w:tc>
          <w:tcPr>
            <w:tcW w:w="469" w:type="pct"/>
            <w:noWrap/>
            <w:vAlign w:val="center"/>
          </w:tcPr>
          <w:p w14:paraId="78366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11.88</w:t>
            </w:r>
          </w:p>
        </w:tc>
        <w:tc>
          <w:tcPr>
            <w:tcW w:w="407" w:type="pct"/>
            <w:noWrap/>
            <w:vAlign w:val="center"/>
          </w:tcPr>
          <w:p w14:paraId="701B7C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AA2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66" w:type="pct"/>
            <w:vMerge w:val="restart"/>
            <w:noWrap/>
            <w:vAlign w:val="center"/>
          </w:tcPr>
          <w:p w14:paraId="1BC478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966" w:type="pct"/>
            <w:vMerge w:val="restart"/>
            <w:noWrap/>
            <w:vAlign w:val="center"/>
          </w:tcPr>
          <w:p w14:paraId="17108A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绥兴社区</w:t>
            </w:r>
          </w:p>
        </w:tc>
        <w:tc>
          <w:tcPr>
            <w:tcW w:w="406" w:type="pct"/>
            <w:noWrap/>
            <w:vAlign w:val="center"/>
          </w:tcPr>
          <w:p w14:paraId="61657E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B7DD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0076AE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6CD41A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BAB0A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3D38E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F7AD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9186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66" w:type="pct"/>
            <w:vMerge w:val="continue"/>
            <w:noWrap/>
            <w:vAlign w:val="center"/>
          </w:tcPr>
          <w:p w14:paraId="26BBB4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F495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C45EC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AB566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-1.23E-04</w:t>
            </w:r>
          </w:p>
        </w:tc>
        <w:tc>
          <w:tcPr>
            <w:tcW w:w="529" w:type="pct"/>
            <w:noWrap/>
            <w:vAlign w:val="center"/>
          </w:tcPr>
          <w:p w14:paraId="0A111B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5BEB2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9BEC7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7.03E-03</w:t>
            </w:r>
          </w:p>
        </w:tc>
        <w:tc>
          <w:tcPr>
            <w:tcW w:w="469" w:type="pct"/>
            <w:noWrap/>
            <w:vAlign w:val="center"/>
          </w:tcPr>
          <w:p w14:paraId="03942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11.72</w:t>
            </w:r>
          </w:p>
        </w:tc>
        <w:tc>
          <w:tcPr>
            <w:tcW w:w="407" w:type="pct"/>
            <w:noWrap/>
            <w:vAlign w:val="center"/>
          </w:tcPr>
          <w:p w14:paraId="22FE2D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9302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66" w:type="pct"/>
            <w:vMerge w:val="restart"/>
            <w:noWrap/>
            <w:vAlign w:val="center"/>
          </w:tcPr>
          <w:p w14:paraId="7D122F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966" w:type="pct"/>
            <w:vMerge w:val="restart"/>
            <w:noWrap/>
            <w:vAlign w:val="center"/>
          </w:tcPr>
          <w:p w14:paraId="5AF480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406" w:type="pct"/>
            <w:noWrap/>
            <w:vAlign w:val="center"/>
          </w:tcPr>
          <w:p w14:paraId="656691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C7C64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-3.07E-04</w:t>
            </w:r>
          </w:p>
        </w:tc>
        <w:tc>
          <w:tcPr>
            <w:tcW w:w="529" w:type="pct"/>
            <w:noWrap/>
            <w:vAlign w:val="center"/>
          </w:tcPr>
          <w:p w14:paraId="03629D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E5433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AB266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2.77E-02</w:t>
            </w:r>
          </w:p>
        </w:tc>
        <w:tc>
          <w:tcPr>
            <w:tcW w:w="469" w:type="pct"/>
            <w:noWrap/>
            <w:vAlign w:val="center"/>
          </w:tcPr>
          <w:p w14:paraId="26345D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18.46</w:t>
            </w:r>
          </w:p>
        </w:tc>
        <w:tc>
          <w:tcPr>
            <w:tcW w:w="407" w:type="pct"/>
            <w:noWrap/>
            <w:vAlign w:val="center"/>
          </w:tcPr>
          <w:p w14:paraId="7579A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99DA7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66" w:type="pct"/>
            <w:vMerge w:val="continue"/>
            <w:noWrap/>
            <w:vAlign w:val="center"/>
          </w:tcPr>
          <w:p w14:paraId="48F62E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430FF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3133A7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38595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-3.27E-04</w:t>
            </w:r>
          </w:p>
        </w:tc>
        <w:tc>
          <w:tcPr>
            <w:tcW w:w="529" w:type="pct"/>
            <w:noWrap/>
            <w:vAlign w:val="center"/>
          </w:tcPr>
          <w:p w14:paraId="45013A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4E922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292F5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6.83E-03</w:t>
            </w:r>
          </w:p>
        </w:tc>
        <w:tc>
          <w:tcPr>
            <w:tcW w:w="469" w:type="pct"/>
            <w:noWrap/>
            <w:vAlign w:val="center"/>
          </w:tcPr>
          <w:p w14:paraId="6ADF2D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11.38</w:t>
            </w:r>
          </w:p>
        </w:tc>
        <w:tc>
          <w:tcPr>
            <w:tcW w:w="407" w:type="pct"/>
            <w:noWrap/>
            <w:vAlign w:val="center"/>
          </w:tcPr>
          <w:p w14:paraId="3624B4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51BA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266" w:type="pct"/>
            <w:vMerge w:val="restart"/>
            <w:noWrap/>
            <w:vAlign w:val="center"/>
          </w:tcPr>
          <w:p w14:paraId="471E65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966" w:type="pct"/>
            <w:vMerge w:val="restart"/>
            <w:noWrap/>
            <w:vAlign w:val="center"/>
          </w:tcPr>
          <w:p w14:paraId="5D14EE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凯丰小区</w:t>
            </w:r>
          </w:p>
        </w:tc>
        <w:tc>
          <w:tcPr>
            <w:tcW w:w="406" w:type="pct"/>
            <w:noWrap/>
            <w:vAlign w:val="center"/>
          </w:tcPr>
          <w:p w14:paraId="61B1AA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40E9E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3549A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15162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75171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B4EC6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BC2BA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0734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266" w:type="pct"/>
            <w:vMerge w:val="continue"/>
            <w:noWrap/>
            <w:vAlign w:val="center"/>
          </w:tcPr>
          <w:p w14:paraId="39DA08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36651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54C10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296FB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-3.20E-04</w:t>
            </w:r>
          </w:p>
        </w:tc>
        <w:tc>
          <w:tcPr>
            <w:tcW w:w="529" w:type="pct"/>
            <w:noWrap/>
            <w:vAlign w:val="center"/>
          </w:tcPr>
          <w:p w14:paraId="501492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CE415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49F0B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6.84E-03</w:t>
            </w:r>
          </w:p>
        </w:tc>
        <w:tc>
          <w:tcPr>
            <w:tcW w:w="469" w:type="pct"/>
            <w:noWrap/>
            <w:vAlign w:val="center"/>
          </w:tcPr>
          <w:p w14:paraId="4C6CD7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11.39</w:t>
            </w:r>
          </w:p>
        </w:tc>
        <w:tc>
          <w:tcPr>
            <w:tcW w:w="407" w:type="pct"/>
            <w:noWrap/>
            <w:vAlign w:val="center"/>
          </w:tcPr>
          <w:p w14:paraId="363097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783A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66" w:type="pct"/>
            <w:vMerge w:val="restart"/>
            <w:noWrap/>
            <w:vAlign w:val="center"/>
          </w:tcPr>
          <w:p w14:paraId="15A745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966" w:type="pct"/>
            <w:vMerge w:val="restart"/>
            <w:noWrap/>
            <w:vAlign w:val="center"/>
          </w:tcPr>
          <w:p w14:paraId="57205E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澳运阳光花园</w:t>
            </w:r>
          </w:p>
        </w:tc>
        <w:tc>
          <w:tcPr>
            <w:tcW w:w="406" w:type="pct"/>
            <w:noWrap/>
            <w:vAlign w:val="center"/>
          </w:tcPr>
          <w:p w14:paraId="4BBF8E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D0F56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2E233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F0703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47D91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49B94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2DB584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BB033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66" w:type="pct"/>
            <w:vMerge w:val="continue"/>
            <w:noWrap/>
            <w:vAlign w:val="center"/>
          </w:tcPr>
          <w:p w14:paraId="70DD1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0E631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34248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B042A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-1.52E-04</w:t>
            </w:r>
          </w:p>
        </w:tc>
        <w:tc>
          <w:tcPr>
            <w:tcW w:w="529" w:type="pct"/>
            <w:noWrap/>
            <w:vAlign w:val="center"/>
          </w:tcPr>
          <w:p w14:paraId="3DA941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F2D9F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24B65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7.00E-03</w:t>
            </w:r>
          </w:p>
        </w:tc>
        <w:tc>
          <w:tcPr>
            <w:tcW w:w="469" w:type="pct"/>
            <w:noWrap/>
            <w:vAlign w:val="center"/>
          </w:tcPr>
          <w:p w14:paraId="231B99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11.67</w:t>
            </w:r>
          </w:p>
        </w:tc>
        <w:tc>
          <w:tcPr>
            <w:tcW w:w="407" w:type="pct"/>
            <w:noWrap/>
            <w:vAlign w:val="center"/>
          </w:tcPr>
          <w:p w14:paraId="349B47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10C6C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66" w:type="pct"/>
            <w:vMerge w:val="restart"/>
            <w:noWrap/>
            <w:vAlign w:val="center"/>
          </w:tcPr>
          <w:p w14:paraId="2CBA45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966" w:type="pct"/>
            <w:vMerge w:val="restart"/>
            <w:noWrap/>
            <w:vAlign w:val="center"/>
          </w:tcPr>
          <w:p w14:paraId="6C71FA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朝阳村</w:t>
            </w:r>
          </w:p>
        </w:tc>
        <w:tc>
          <w:tcPr>
            <w:tcW w:w="406" w:type="pct"/>
            <w:noWrap/>
            <w:vAlign w:val="center"/>
          </w:tcPr>
          <w:p w14:paraId="40A50E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75C83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0FEA5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DB1FD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F9B3D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2ADC5E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38FA2C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75678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66" w:type="pct"/>
            <w:vMerge w:val="continue"/>
            <w:noWrap/>
            <w:vAlign w:val="center"/>
          </w:tcPr>
          <w:p w14:paraId="365823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BD3BA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E9EFB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1983C7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-6.62E-05</w:t>
            </w:r>
          </w:p>
        </w:tc>
        <w:tc>
          <w:tcPr>
            <w:tcW w:w="529" w:type="pct"/>
            <w:noWrap/>
            <w:vAlign w:val="center"/>
          </w:tcPr>
          <w:p w14:paraId="138897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332C6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BB0B9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7.09E-03</w:t>
            </w:r>
          </w:p>
        </w:tc>
        <w:tc>
          <w:tcPr>
            <w:tcW w:w="469" w:type="pct"/>
            <w:noWrap/>
            <w:vAlign w:val="center"/>
          </w:tcPr>
          <w:p w14:paraId="79F9D8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11.82</w:t>
            </w:r>
          </w:p>
        </w:tc>
        <w:tc>
          <w:tcPr>
            <w:tcW w:w="407" w:type="pct"/>
            <w:noWrap/>
            <w:vAlign w:val="center"/>
          </w:tcPr>
          <w:p w14:paraId="7BADBD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AAE8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266" w:type="pct"/>
            <w:vMerge w:val="restart"/>
            <w:noWrap/>
            <w:vAlign w:val="center"/>
          </w:tcPr>
          <w:p w14:paraId="176DB4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966" w:type="pct"/>
            <w:vMerge w:val="restart"/>
            <w:noWrap/>
            <w:vAlign w:val="center"/>
          </w:tcPr>
          <w:p w14:paraId="649AA7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宏隆花园</w:t>
            </w:r>
          </w:p>
        </w:tc>
        <w:tc>
          <w:tcPr>
            <w:tcW w:w="406" w:type="pct"/>
            <w:noWrap/>
            <w:vAlign w:val="center"/>
          </w:tcPr>
          <w:p w14:paraId="0002C4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A93DD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780F61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0682C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56AFE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16FFF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243EE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E09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266" w:type="pct"/>
            <w:vMerge w:val="continue"/>
            <w:noWrap/>
            <w:vAlign w:val="center"/>
          </w:tcPr>
          <w:p w14:paraId="679BAD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78C61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0CE80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AE2BE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-1.24E-04</w:t>
            </w:r>
          </w:p>
        </w:tc>
        <w:tc>
          <w:tcPr>
            <w:tcW w:w="529" w:type="pct"/>
            <w:noWrap/>
            <w:vAlign w:val="center"/>
          </w:tcPr>
          <w:p w14:paraId="330220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9AE39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A6CD3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7.03E-03</w:t>
            </w:r>
          </w:p>
        </w:tc>
        <w:tc>
          <w:tcPr>
            <w:tcW w:w="469" w:type="pct"/>
            <w:noWrap/>
            <w:vAlign w:val="center"/>
          </w:tcPr>
          <w:p w14:paraId="4432E2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11.72</w:t>
            </w:r>
          </w:p>
        </w:tc>
        <w:tc>
          <w:tcPr>
            <w:tcW w:w="407" w:type="pct"/>
            <w:noWrap/>
            <w:vAlign w:val="center"/>
          </w:tcPr>
          <w:p w14:paraId="298251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634BD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66" w:type="pct"/>
            <w:vMerge w:val="restart"/>
            <w:noWrap/>
            <w:vAlign w:val="center"/>
          </w:tcPr>
          <w:p w14:paraId="1A0902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966" w:type="pct"/>
            <w:vMerge w:val="restart"/>
            <w:noWrap/>
            <w:vAlign w:val="center"/>
          </w:tcPr>
          <w:p w14:paraId="4FA6B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中福名都花园</w:t>
            </w:r>
          </w:p>
        </w:tc>
        <w:tc>
          <w:tcPr>
            <w:tcW w:w="406" w:type="pct"/>
            <w:noWrap/>
            <w:vAlign w:val="center"/>
          </w:tcPr>
          <w:p w14:paraId="225A95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3D4A0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E6921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DD899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2F402E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AF3B8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42884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2F39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266" w:type="pct"/>
            <w:vMerge w:val="continue"/>
            <w:noWrap/>
            <w:vAlign w:val="center"/>
          </w:tcPr>
          <w:p w14:paraId="5ECF05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447D8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0F3BD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8E004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-8.68E-05</w:t>
            </w:r>
          </w:p>
        </w:tc>
        <w:tc>
          <w:tcPr>
            <w:tcW w:w="529" w:type="pct"/>
            <w:noWrap/>
            <w:vAlign w:val="center"/>
          </w:tcPr>
          <w:p w14:paraId="148225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3193C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0DE61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7.07E-03</w:t>
            </w:r>
          </w:p>
        </w:tc>
        <w:tc>
          <w:tcPr>
            <w:tcW w:w="469" w:type="pct"/>
            <w:noWrap/>
            <w:vAlign w:val="center"/>
          </w:tcPr>
          <w:p w14:paraId="043B06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11.78</w:t>
            </w:r>
          </w:p>
        </w:tc>
        <w:tc>
          <w:tcPr>
            <w:tcW w:w="407" w:type="pct"/>
            <w:noWrap/>
            <w:vAlign w:val="center"/>
          </w:tcPr>
          <w:p w14:paraId="396EF1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795A1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66" w:type="pct"/>
            <w:vMerge w:val="restart"/>
            <w:noWrap/>
            <w:vAlign w:val="center"/>
          </w:tcPr>
          <w:p w14:paraId="422C90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966" w:type="pct"/>
            <w:vMerge w:val="restart"/>
            <w:noWrap/>
            <w:vAlign w:val="center"/>
          </w:tcPr>
          <w:p w14:paraId="11D01C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康健花园</w:t>
            </w:r>
          </w:p>
        </w:tc>
        <w:tc>
          <w:tcPr>
            <w:tcW w:w="406" w:type="pct"/>
            <w:noWrap/>
            <w:vAlign w:val="center"/>
          </w:tcPr>
          <w:p w14:paraId="10B75E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384A71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-2.63E-06</w:t>
            </w:r>
          </w:p>
        </w:tc>
        <w:tc>
          <w:tcPr>
            <w:tcW w:w="529" w:type="pct"/>
            <w:noWrap/>
            <w:vAlign w:val="center"/>
          </w:tcPr>
          <w:p w14:paraId="619C8F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35555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947A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68193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18.66</w:t>
            </w:r>
          </w:p>
        </w:tc>
        <w:tc>
          <w:tcPr>
            <w:tcW w:w="407" w:type="pct"/>
            <w:noWrap/>
            <w:vAlign w:val="center"/>
          </w:tcPr>
          <w:p w14:paraId="757398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E73FE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66" w:type="pct"/>
            <w:vMerge w:val="continue"/>
            <w:noWrap/>
            <w:vAlign w:val="center"/>
          </w:tcPr>
          <w:p w14:paraId="1A7892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CD931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FF00B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EFFBD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-8.17E-05</w:t>
            </w:r>
          </w:p>
        </w:tc>
        <w:tc>
          <w:tcPr>
            <w:tcW w:w="529" w:type="pct"/>
            <w:noWrap/>
            <w:vAlign w:val="center"/>
          </w:tcPr>
          <w:p w14:paraId="63502D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5C9643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AB1EA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7.07E-03</w:t>
            </w:r>
          </w:p>
        </w:tc>
        <w:tc>
          <w:tcPr>
            <w:tcW w:w="469" w:type="pct"/>
            <w:noWrap/>
            <w:vAlign w:val="center"/>
          </w:tcPr>
          <w:p w14:paraId="77301F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11.79</w:t>
            </w:r>
          </w:p>
        </w:tc>
        <w:tc>
          <w:tcPr>
            <w:tcW w:w="407" w:type="pct"/>
            <w:noWrap/>
            <w:vAlign w:val="center"/>
          </w:tcPr>
          <w:p w14:paraId="1F05C3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CA28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66" w:type="pct"/>
            <w:vMerge w:val="restart"/>
            <w:noWrap/>
            <w:vAlign w:val="center"/>
          </w:tcPr>
          <w:p w14:paraId="6C359D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966" w:type="pct"/>
            <w:vMerge w:val="restart"/>
            <w:noWrap/>
            <w:vAlign w:val="center"/>
          </w:tcPr>
          <w:p w14:paraId="6A0529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海融安居里</w:t>
            </w:r>
          </w:p>
        </w:tc>
        <w:tc>
          <w:tcPr>
            <w:tcW w:w="406" w:type="pct"/>
            <w:noWrap/>
            <w:vAlign w:val="center"/>
          </w:tcPr>
          <w:p w14:paraId="1888BF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C788E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-6.33E-05</w:t>
            </w:r>
          </w:p>
        </w:tc>
        <w:tc>
          <w:tcPr>
            <w:tcW w:w="529" w:type="pct"/>
            <w:noWrap/>
            <w:vAlign w:val="center"/>
          </w:tcPr>
          <w:p w14:paraId="0E8D57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6A881E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9CF62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2.79E-02</w:t>
            </w:r>
          </w:p>
        </w:tc>
        <w:tc>
          <w:tcPr>
            <w:tcW w:w="469" w:type="pct"/>
            <w:noWrap/>
            <w:vAlign w:val="center"/>
          </w:tcPr>
          <w:p w14:paraId="3ECC6C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18.62</w:t>
            </w:r>
          </w:p>
        </w:tc>
        <w:tc>
          <w:tcPr>
            <w:tcW w:w="407" w:type="pct"/>
            <w:noWrap/>
            <w:vAlign w:val="center"/>
          </w:tcPr>
          <w:p w14:paraId="6C9CFC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DB5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66" w:type="pct"/>
            <w:vMerge w:val="continue"/>
            <w:noWrap/>
            <w:vAlign w:val="center"/>
          </w:tcPr>
          <w:p w14:paraId="556B12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34E6E8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BD60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75EA3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-1.09E-04</w:t>
            </w:r>
          </w:p>
        </w:tc>
        <w:tc>
          <w:tcPr>
            <w:tcW w:w="529" w:type="pct"/>
            <w:noWrap/>
            <w:vAlign w:val="center"/>
          </w:tcPr>
          <w:p w14:paraId="5BC3E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2BBF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D7159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7.05E-03</w:t>
            </w:r>
          </w:p>
        </w:tc>
        <w:tc>
          <w:tcPr>
            <w:tcW w:w="469" w:type="pct"/>
            <w:noWrap/>
            <w:vAlign w:val="center"/>
          </w:tcPr>
          <w:p w14:paraId="67C4D5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11.75</w:t>
            </w:r>
          </w:p>
        </w:tc>
        <w:tc>
          <w:tcPr>
            <w:tcW w:w="407" w:type="pct"/>
            <w:noWrap/>
            <w:vAlign w:val="center"/>
          </w:tcPr>
          <w:p w14:paraId="297DD6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DA1A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66" w:type="pct"/>
            <w:vMerge w:val="restart"/>
            <w:noWrap/>
            <w:vAlign w:val="center"/>
          </w:tcPr>
          <w:p w14:paraId="47AD84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966" w:type="pct"/>
            <w:vMerge w:val="restart"/>
            <w:noWrap/>
            <w:vAlign w:val="center"/>
          </w:tcPr>
          <w:p w14:paraId="695943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海融富华苑</w:t>
            </w:r>
          </w:p>
        </w:tc>
        <w:tc>
          <w:tcPr>
            <w:tcW w:w="406" w:type="pct"/>
            <w:noWrap/>
            <w:vAlign w:val="center"/>
          </w:tcPr>
          <w:p w14:paraId="01CEA0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D450C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250AFC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8281C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A23F2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E82DE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02CF2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BD12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66" w:type="pct"/>
            <w:vMerge w:val="continue"/>
            <w:noWrap/>
            <w:vAlign w:val="center"/>
          </w:tcPr>
          <w:p w14:paraId="6DD799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3CBED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8AC67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3CC405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-1.02E-05</w:t>
            </w:r>
          </w:p>
        </w:tc>
        <w:tc>
          <w:tcPr>
            <w:tcW w:w="529" w:type="pct"/>
            <w:noWrap/>
            <w:vAlign w:val="center"/>
          </w:tcPr>
          <w:p w14:paraId="108294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8A43C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0284A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4FD5F3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5F6BFF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D19C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266" w:type="pct"/>
            <w:vMerge w:val="restart"/>
            <w:noWrap/>
            <w:vAlign w:val="center"/>
          </w:tcPr>
          <w:p w14:paraId="631746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966" w:type="pct"/>
            <w:vMerge w:val="restart"/>
            <w:noWrap/>
            <w:vAlign w:val="center"/>
          </w:tcPr>
          <w:p w14:paraId="190D21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好景园小区</w:t>
            </w:r>
          </w:p>
        </w:tc>
        <w:tc>
          <w:tcPr>
            <w:tcW w:w="406" w:type="pct"/>
            <w:noWrap/>
            <w:vAlign w:val="center"/>
          </w:tcPr>
          <w:p w14:paraId="08E63B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AA58A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28591B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29FF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B0C0E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8F26D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22A5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1B3A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6" w:type="pct"/>
            <w:vMerge w:val="continue"/>
            <w:noWrap/>
            <w:vAlign w:val="center"/>
          </w:tcPr>
          <w:p w14:paraId="29405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85B95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8B4B7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B9767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-1.17E-05</w:t>
            </w:r>
          </w:p>
        </w:tc>
        <w:tc>
          <w:tcPr>
            <w:tcW w:w="529" w:type="pct"/>
            <w:noWrap/>
            <w:vAlign w:val="center"/>
          </w:tcPr>
          <w:p w14:paraId="526F8D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E6129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F9EBD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238539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4D280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275D7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66" w:type="pct"/>
            <w:vMerge w:val="restart"/>
            <w:noWrap/>
            <w:vAlign w:val="center"/>
          </w:tcPr>
          <w:p w14:paraId="319CF9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966" w:type="pct"/>
            <w:vMerge w:val="restart"/>
            <w:noWrap/>
            <w:vAlign w:val="center"/>
          </w:tcPr>
          <w:p w14:paraId="7F7345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旗苑家园</w:t>
            </w:r>
          </w:p>
        </w:tc>
        <w:tc>
          <w:tcPr>
            <w:tcW w:w="406" w:type="pct"/>
            <w:noWrap/>
            <w:vAlign w:val="center"/>
          </w:tcPr>
          <w:p w14:paraId="06D305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B8FE4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6653D2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B1966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37278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E2C7D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F1EC8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DC28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266" w:type="pct"/>
            <w:vMerge w:val="continue"/>
            <w:noWrap/>
            <w:vAlign w:val="center"/>
          </w:tcPr>
          <w:p w14:paraId="58CC5F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F5C80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F1D3B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C3C60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-7.58E-06</w:t>
            </w:r>
          </w:p>
        </w:tc>
        <w:tc>
          <w:tcPr>
            <w:tcW w:w="529" w:type="pct"/>
            <w:noWrap/>
            <w:vAlign w:val="center"/>
          </w:tcPr>
          <w:p w14:paraId="0AB0E1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6CFAD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87B1D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3E60A5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77F5C4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3E43D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66" w:type="pct"/>
            <w:vMerge w:val="restart"/>
            <w:noWrap/>
            <w:vAlign w:val="center"/>
          </w:tcPr>
          <w:p w14:paraId="7B0C5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966" w:type="pct"/>
            <w:vMerge w:val="restart"/>
            <w:noWrap/>
            <w:vAlign w:val="center"/>
          </w:tcPr>
          <w:p w14:paraId="352576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兴达家园</w:t>
            </w:r>
          </w:p>
        </w:tc>
        <w:tc>
          <w:tcPr>
            <w:tcW w:w="406" w:type="pct"/>
            <w:noWrap/>
            <w:vAlign w:val="center"/>
          </w:tcPr>
          <w:p w14:paraId="4AE377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B4FCC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96F04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C6A0E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2F5B4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0CEC0E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047C9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5AE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66" w:type="pct"/>
            <w:vMerge w:val="continue"/>
            <w:noWrap/>
            <w:vAlign w:val="center"/>
          </w:tcPr>
          <w:p w14:paraId="03646F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754C5F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9E42E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A18F1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-1.19E-05</w:t>
            </w:r>
          </w:p>
        </w:tc>
        <w:tc>
          <w:tcPr>
            <w:tcW w:w="529" w:type="pct"/>
            <w:noWrap/>
            <w:vAlign w:val="center"/>
          </w:tcPr>
          <w:p w14:paraId="51998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DBDC3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16AC7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434862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7EFF9F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6F7B6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66" w:type="pct"/>
            <w:vMerge w:val="restart"/>
            <w:noWrap/>
            <w:vAlign w:val="center"/>
          </w:tcPr>
          <w:p w14:paraId="60765D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966" w:type="pct"/>
            <w:vMerge w:val="restart"/>
            <w:noWrap/>
            <w:vAlign w:val="center"/>
          </w:tcPr>
          <w:p w14:paraId="58F4F2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协会大厦</w:t>
            </w:r>
          </w:p>
        </w:tc>
        <w:tc>
          <w:tcPr>
            <w:tcW w:w="406" w:type="pct"/>
            <w:noWrap/>
            <w:vAlign w:val="center"/>
          </w:tcPr>
          <w:p w14:paraId="1DBE4E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BAA97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8A93A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2BE82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02984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B9060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52AC3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0955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66" w:type="pct"/>
            <w:vMerge w:val="continue"/>
            <w:noWrap/>
            <w:vAlign w:val="center"/>
          </w:tcPr>
          <w:p w14:paraId="0136D2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9F5B0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173B2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12AD96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-2.51E-05</w:t>
            </w:r>
          </w:p>
        </w:tc>
        <w:tc>
          <w:tcPr>
            <w:tcW w:w="529" w:type="pct"/>
            <w:noWrap/>
            <w:vAlign w:val="center"/>
          </w:tcPr>
          <w:p w14:paraId="6780B4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17ACDE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C6E53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7.13E-03</w:t>
            </w:r>
          </w:p>
        </w:tc>
        <w:tc>
          <w:tcPr>
            <w:tcW w:w="469" w:type="pct"/>
            <w:noWrap/>
            <w:vAlign w:val="center"/>
          </w:tcPr>
          <w:p w14:paraId="42495A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77800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CDC2E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66" w:type="pct"/>
            <w:vMerge w:val="restart"/>
            <w:noWrap/>
            <w:vAlign w:val="center"/>
          </w:tcPr>
          <w:p w14:paraId="5DD225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966" w:type="pct"/>
            <w:vMerge w:val="restart"/>
            <w:noWrap/>
            <w:vAlign w:val="center"/>
          </w:tcPr>
          <w:p w14:paraId="7F066A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数码港宾馆</w:t>
            </w:r>
          </w:p>
        </w:tc>
        <w:tc>
          <w:tcPr>
            <w:tcW w:w="406" w:type="pct"/>
            <w:noWrap/>
            <w:vAlign w:val="center"/>
          </w:tcPr>
          <w:p w14:paraId="66A52D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043675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-1.70E-05</w:t>
            </w:r>
          </w:p>
        </w:tc>
        <w:tc>
          <w:tcPr>
            <w:tcW w:w="529" w:type="pct"/>
            <w:noWrap/>
            <w:vAlign w:val="center"/>
          </w:tcPr>
          <w:p w14:paraId="002233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5452F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CA490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D8C15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18.66</w:t>
            </w:r>
          </w:p>
        </w:tc>
        <w:tc>
          <w:tcPr>
            <w:tcW w:w="407" w:type="pct"/>
            <w:noWrap/>
            <w:vAlign w:val="center"/>
          </w:tcPr>
          <w:p w14:paraId="6005D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6BAD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66" w:type="pct"/>
            <w:vMerge w:val="continue"/>
            <w:noWrap/>
            <w:vAlign w:val="center"/>
          </w:tcPr>
          <w:p w14:paraId="7305C2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57C9F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83E94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1EF7A7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-2.95E-04</w:t>
            </w:r>
          </w:p>
        </w:tc>
        <w:tc>
          <w:tcPr>
            <w:tcW w:w="529" w:type="pct"/>
            <w:noWrap/>
            <w:vAlign w:val="center"/>
          </w:tcPr>
          <w:p w14:paraId="629ACE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515A78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E49A5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6.86E-03</w:t>
            </w:r>
          </w:p>
        </w:tc>
        <w:tc>
          <w:tcPr>
            <w:tcW w:w="469" w:type="pct"/>
            <w:noWrap/>
            <w:vAlign w:val="center"/>
          </w:tcPr>
          <w:p w14:paraId="1B2881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11.43</w:t>
            </w:r>
          </w:p>
        </w:tc>
        <w:tc>
          <w:tcPr>
            <w:tcW w:w="407" w:type="pct"/>
            <w:noWrap/>
            <w:vAlign w:val="center"/>
          </w:tcPr>
          <w:p w14:paraId="537664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72941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66" w:type="pct"/>
            <w:vMerge w:val="restart"/>
            <w:noWrap/>
            <w:vAlign w:val="center"/>
          </w:tcPr>
          <w:p w14:paraId="7722BB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966" w:type="pct"/>
            <w:vMerge w:val="restart"/>
            <w:noWrap/>
            <w:vAlign w:val="center"/>
          </w:tcPr>
          <w:p w14:paraId="733D8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山水国际</w:t>
            </w:r>
          </w:p>
        </w:tc>
        <w:tc>
          <w:tcPr>
            <w:tcW w:w="406" w:type="pct"/>
            <w:noWrap/>
            <w:vAlign w:val="center"/>
          </w:tcPr>
          <w:p w14:paraId="19B3CF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922D2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-2.42E-04</w:t>
            </w:r>
          </w:p>
        </w:tc>
        <w:tc>
          <w:tcPr>
            <w:tcW w:w="529" w:type="pct"/>
            <w:noWrap/>
            <w:vAlign w:val="center"/>
          </w:tcPr>
          <w:p w14:paraId="5DB56F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396A7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3DEE4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2.78E-02</w:t>
            </w:r>
          </w:p>
        </w:tc>
        <w:tc>
          <w:tcPr>
            <w:tcW w:w="469" w:type="pct"/>
            <w:noWrap/>
            <w:vAlign w:val="center"/>
          </w:tcPr>
          <w:p w14:paraId="507E5F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18.51</w:t>
            </w:r>
          </w:p>
        </w:tc>
        <w:tc>
          <w:tcPr>
            <w:tcW w:w="407" w:type="pct"/>
            <w:noWrap/>
            <w:vAlign w:val="center"/>
          </w:tcPr>
          <w:p w14:paraId="6DFAD5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F431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66" w:type="pct"/>
            <w:vMerge w:val="continue"/>
            <w:noWrap/>
            <w:vAlign w:val="center"/>
          </w:tcPr>
          <w:p w14:paraId="27F591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D3D55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579FB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2633C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-5.43E-04</w:t>
            </w:r>
          </w:p>
        </w:tc>
        <w:tc>
          <w:tcPr>
            <w:tcW w:w="529" w:type="pct"/>
            <w:noWrap/>
            <w:vAlign w:val="center"/>
          </w:tcPr>
          <w:p w14:paraId="762A8F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51080D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BDE30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6.61E-03</w:t>
            </w:r>
          </w:p>
        </w:tc>
        <w:tc>
          <w:tcPr>
            <w:tcW w:w="469" w:type="pct"/>
            <w:noWrap/>
            <w:vAlign w:val="center"/>
          </w:tcPr>
          <w:p w14:paraId="215FB1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11.02</w:t>
            </w:r>
          </w:p>
        </w:tc>
        <w:tc>
          <w:tcPr>
            <w:tcW w:w="407" w:type="pct"/>
            <w:noWrap/>
            <w:vAlign w:val="center"/>
          </w:tcPr>
          <w:p w14:paraId="5B7D44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FA939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66" w:type="pct"/>
            <w:vMerge w:val="restart"/>
            <w:noWrap/>
            <w:vAlign w:val="center"/>
          </w:tcPr>
          <w:p w14:paraId="7E0A26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966" w:type="pct"/>
            <w:vMerge w:val="restart"/>
            <w:noWrap/>
            <w:vAlign w:val="center"/>
          </w:tcPr>
          <w:p w14:paraId="5E0460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湖畔花园小区</w:t>
            </w:r>
          </w:p>
        </w:tc>
        <w:tc>
          <w:tcPr>
            <w:tcW w:w="406" w:type="pct"/>
            <w:noWrap/>
            <w:vAlign w:val="center"/>
          </w:tcPr>
          <w:p w14:paraId="36A9C4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2DA64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24DEC6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5705C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AD2DA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6EB071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6B5BAA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CEA5A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266" w:type="pct"/>
            <w:vMerge w:val="continue"/>
            <w:noWrap/>
            <w:vAlign w:val="center"/>
          </w:tcPr>
          <w:p w14:paraId="69AD01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66F7F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4A3AD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118A4E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-1.07E-04</w:t>
            </w:r>
          </w:p>
        </w:tc>
        <w:tc>
          <w:tcPr>
            <w:tcW w:w="529" w:type="pct"/>
            <w:noWrap/>
            <w:vAlign w:val="center"/>
          </w:tcPr>
          <w:p w14:paraId="541D67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30511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AAE6B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7.05E-03</w:t>
            </w:r>
          </w:p>
        </w:tc>
        <w:tc>
          <w:tcPr>
            <w:tcW w:w="469" w:type="pct"/>
            <w:noWrap/>
            <w:vAlign w:val="center"/>
          </w:tcPr>
          <w:p w14:paraId="6C559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11.75</w:t>
            </w:r>
          </w:p>
        </w:tc>
        <w:tc>
          <w:tcPr>
            <w:tcW w:w="407" w:type="pct"/>
            <w:noWrap/>
            <w:vAlign w:val="center"/>
          </w:tcPr>
          <w:p w14:paraId="7DBD69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4CF70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66" w:type="pct"/>
            <w:vMerge w:val="restart"/>
            <w:noWrap/>
            <w:vAlign w:val="center"/>
          </w:tcPr>
          <w:p w14:paraId="464F5C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966" w:type="pct"/>
            <w:vMerge w:val="restart"/>
            <w:noWrap/>
            <w:vAlign w:val="center"/>
          </w:tcPr>
          <w:p w14:paraId="617CFB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湖滨小区</w:t>
            </w:r>
          </w:p>
        </w:tc>
        <w:tc>
          <w:tcPr>
            <w:tcW w:w="406" w:type="pct"/>
            <w:noWrap/>
            <w:vAlign w:val="center"/>
          </w:tcPr>
          <w:p w14:paraId="4CCCBB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16067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EA59C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629C3A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C2454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F5BEF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376885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8FAB8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66" w:type="pct"/>
            <w:vMerge w:val="continue"/>
            <w:noWrap/>
            <w:vAlign w:val="center"/>
          </w:tcPr>
          <w:p w14:paraId="047C56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A4AAC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289B9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C829D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-7.20E-05</w:t>
            </w:r>
          </w:p>
        </w:tc>
        <w:tc>
          <w:tcPr>
            <w:tcW w:w="529" w:type="pct"/>
            <w:noWrap/>
            <w:vAlign w:val="center"/>
          </w:tcPr>
          <w:p w14:paraId="671B1F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BD685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91348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7.08E-03</w:t>
            </w:r>
          </w:p>
        </w:tc>
        <w:tc>
          <w:tcPr>
            <w:tcW w:w="469" w:type="pct"/>
            <w:noWrap/>
            <w:vAlign w:val="center"/>
          </w:tcPr>
          <w:p w14:paraId="5857F4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11.81</w:t>
            </w:r>
          </w:p>
        </w:tc>
        <w:tc>
          <w:tcPr>
            <w:tcW w:w="407" w:type="pct"/>
            <w:noWrap/>
            <w:vAlign w:val="center"/>
          </w:tcPr>
          <w:p w14:paraId="1B4481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69D87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66" w:type="pct"/>
            <w:vMerge w:val="restart"/>
            <w:noWrap/>
            <w:vAlign w:val="center"/>
          </w:tcPr>
          <w:p w14:paraId="647543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966" w:type="pct"/>
            <w:vMerge w:val="restart"/>
            <w:noWrap/>
            <w:vAlign w:val="center"/>
          </w:tcPr>
          <w:p w14:paraId="07C75E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吉祥小区</w:t>
            </w:r>
          </w:p>
        </w:tc>
        <w:tc>
          <w:tcPr>
            <w:tcW w:w="406" w:type="pct"/>
            <w:noWrap/>
            <w:vAlign w:val="center"/>
          </w:tcPr>
          <w:p w14:paraId="638F5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5972B7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E599A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C1E69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657DAA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D2A9C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71FD5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7D9E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66" w:type="pct"/>
            <w:vMerge w:val="continue"/>
            <w:noWrap/>
            <w:vAlign w:val="center"/>
          </w:tcPr>
          <w:p w14:paraId="750E98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E9DD7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28E63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36DF9B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-1.03E-05</w:t>
            </w:r>
          </w:p>
        </w:tc>
        <w:tc>
          <w:tcPr>
            <w:tcW w:w="529" w:type="pct"/>
            <w:noWrap/>
            <w:vAlign w:val="center"/>
          </w:tcPr>
          <w:p w14:paraId="5E6AB6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748FCD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F69B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5662F9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11.91</w:t>
            </w:r>
          </w:p>
        </w:tc>
        <w:tc>
          <w:tcPr>
            <w:tcW w:w="407" w:type="pct"/>
            <w:noWrap/>
            <w:vAlign w:val="center"/>
          </w:tcPr>
          <w:p w14:paraId="6A2E59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E9F5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66" w:type="pct"/>
            <w:vMerge w:val="restart"/>
            <w:noWrap/>
            <w:vAlign w:val="center"/>
          </w:tcPr>
          <w:p w14:paraId="507F66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966" w:type="pct"/>
            <w:vMerge w:val="restart"/>
            <w:noWrap/>
            <w:vAlign w:val="center"/>
          </w:tcPr>
          <w:p w14:paraId="562F7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天佑国际</w:t>
            </w:r>
          </w:p>
        </w:tc>
        <w:tc>
          <w:tcPr>
            <w:tcW w:w="406" w:type="pct"/>
            <w:noWrap/>
            <w:vAlign w:val="center"/>
          </w:tcPr>
          <w:p w14:paraId="220B22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66980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-1.18E-05</w:t>
            </w:r>
          </w:p>
        </w:tc>
        <w:tc>
          <w:tcPr>
            <w:tcW w:w="529" w:type="pct"/>
            <w:noWrap/>
            <w:vAlign w:val="center"/>
          </w:tcPr>
          <w:p w14:paraId="7419B6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E62FF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46596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FA059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18.66</w:t>
            </w:r>
          </w:p>
        </w:tc>
        <w:tc>
          <w:tcPr>
            <w:tcW w:w="407" w:type="pct"/>
            <w:noWrap/>
            <w:vAlign w:val="center"/>
          </w:tcPr>
          <w:p w14:paraId="04BD17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885C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66" w:type="pct"/>
            <w:vMerge w:val="continue"/>
            <w:noWrap/>
            <w:vAlign w:val="center"/>
          </w:tcPr>
          <w:p w14:paraId="55CC11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D0F04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C1F0B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46E55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-1.40E-04</w:t>
            </w:r>
          </w:p>
        </w:tc>
        <w:tc>
          <w:tcPr>
            <w:tcW w:w="529" w:type="pct"/>
            <w:noWrap/>
            <w:vAlign w:val="center"/>
          </w:tcPr>
          <w:p w14:paraId="5B6DEE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981A9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8E69A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7.02E-03</w:t>
            </w:r>
          </w:p>
        </w:tc>
        <w:tc>
          <w:tcPr>
            <w:tcW w:w="469" w:type="pct"/>
            <w:noWrap/>
            <w:vAlign w:val="center"/>
          </w:tcPr>
          <w:p w14:paraId="14E322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11.69</w:t>
            </w:r>
          </w:p>
        </w:tc>
        <w:tc>
          <w:tcPr>
            <w:tcW w:w="407" w:type="pct"/>
            <w:noWrap/>
            <w:vAlign w:val="center"/>
          </w:tcPr>
          <w:p w14:paraId="26F3F8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BB0CD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66" w:type="pct"/>
            <w:vMerge w:val="restart"/>
            <w:noWrap/>
            <w:vAlign w:val="center"/>
          </w:tcPr>
          <w:p w14:paraId="28DB19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966" w:type="pct"/>
            <w:vMerge w:val="restart"/>
            <w:noWrap/>
            <w:vAlign w:val="center"/>
          </w:tcPr>
          <w:p w14:paraId="45172E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前进社区</w:t>
            </w:r>
          </w:p>
        </w:tc>
        <w:tc>
          <w:tcPr>
            <w:tcW w:w="406" w:type="pct"/>
            <w:noWrap/>
            <w:vAlign w:val="center"/>
          </w:tcPr>
          <w:p w14:paraId="7A486C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993C1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28BA18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536D9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4EAD7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451022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99B55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F542D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266" w:type="pct"/>
            <w:vMerge w:val="continue"/>
            <w:noWrap/>
            <w:vAlign w:val="center"/>
          </w:tcPr>
          <w:p w14:paraId="57089B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5D7A8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593BF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2D458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-3.99E-05</w:t>
            </w:r>
          </w:p>
        </w:tc>
        <w:tc>
          <w:tcPr>
            <w:tcW w:w="529" w:type="pct"/>
            <w:noWrap/>
            <w:vAlign w:val="center"/>
          </w:tcPr>
          <w:p w14:paraId="123140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689C9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5F411D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536236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11.86</w:t>
            </w:r>
          </w:p>
        </w:tc>
        <w:tc>
          <w:tcPr>
            <w:tcW w:w="407" w:type="pct"/>
            <w:noWrap/>
            <w:vAlign w:val="center"/>
          </w:tcPr>
          <w:p w14:paraId="63EEF9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325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66" w:type="pct"/>
            <w:vMerge w:val="restart"/>
            <w:noWrap/>
            <w:vAlign w:val="center"/>
          </w:tcPr>
          <w:p w14:paraId="38E9DC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966" w:type="pct"/>
            <w:vMerge w:val="restart"/>
            <w:noWrap/>
            <w:vAlign w:val="center"/>
          </w:tcPr>
          <w:p w14:paraId="0E4498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幸福家园</w:t>
            </w:r>
          </w:p>
        </w:tc>
        <w:tc>
          <w:tcPr>
            <w:tcW w:w="406" w:type="pct"/>
            <w:noWrap/>
            <w:vAlign w:val="center"/>
          </w:tcPr>
          <w:p w14:paraId="3B5D7C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7DB809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-8.43E-05</w:t>
            </w:r>
          </w:p>
        </w:tc>
        <w:tc>
          <w:tcPr>
            <w:tcW w:w="529" w:type="pct"/>
            <w:noWrap/>
            <w:vAlign w:val="center"/>
          </w:tcPr>
          <w:p w14:paraId="6AB2A0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499834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929A1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2.79E-02</w:t>
            </w:r>
          </w:p>
        </w:tc>
        <w:tc>
          <w:tcPr>
            <w:tcW w:w="469" w:type="pct"/>
            <w:noWrap/>
            <w:vAlign w:val="center"/>
          </w:tcPr>
          <w:p w14:paraId="1A6CC8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18.61</w:t>
            </w:r>
          </w:p>
        </w:tc>
        <w:tc>
          <w:tcPr>
            <w:tcW w:w="407" w:type="pct"/>
            <w:noWrap/>
            <w:vAlign w:val="center"/>
          </w:tcPr>
          <w:p w14:paraId="0801B3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77BBA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66" w:type="pct"/>
            <w:vMerge w:val="continue"/>
            <w:noWrap/>
            <w:vAlign w:val="center"/>
          </w:tcPr>
          <w:p w14:paraId="7362B8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A3D6B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01EF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EECC0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-1.66E-04</w:t>
            </w:r>
          </w:p>
        </w:tc>
        <w:tc>
          <w:tcPr>
            <w:tcW w:w="529" w:type="pct"/>
            <w:noWrap/>
            <w:vAlign w:val="center"/>
          </w:tcPr>
          <w:p w14:paraId="1AE33A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3A03EC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8FDBC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6.99E-03</w:t>
            </w:r>
          </w:p>
        </w:tc>
        <w:tc>
          <w:tcPr>
            <w:tcW w:w="469" w:type="pct"/>
            <w:noWrap/>
            <w:vAlign w:val="center"/>
          </w:tcPr>
          <w:p w14:paraId="26897E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11.65</w:t>
            </w:r>
          </w:p>
        </w:tc>
        <w:tc>
          <w:tcPr>
            <w:tcW w:w="407" w:type="pct"/>
            <w:noWrap/>
            <w:vAlign w:val="center"/>
          </w:tcPr>
          <w:p w14:paraId="0F1282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C53FD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66" w:type="pct"/>
            <w:vMerge w:val="restart"/>
            <w:noWrap/>
            <w:vAlign w:val="center"/>
          </w:tcPr>
          <w:p w14:paraId="200DD7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966" w:type="pct"/>
            <w:vMerge w:val="restart"/>
            <w:noWrap/>
            <w:vAlign w:val="center"/>
          </w:tcPr>
          <w:p w14:paraId="1D32F8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盛世嘉园</w:t>
            </w:r>
          </w:p>
        </w:tc>
        <w:tc>
          <w:tcPr>
            <w:tcW w:w="406" w:type="pct"/>
            <w:noWrap/>
            <w:vAlign w:val="center"/>
          </w:tcPr>
          <w:p w14:paraId="233FA0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683EE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2ACB99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5A4C1A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6AE1D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18C15A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BCCC6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360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66" w:type="pct"/>
            <w:vMerge w:val="continue"/>
            <w:noWrap/>
            <w:vAlign w:val="center"/>
          </w:tcPr>
          <w:p w14:paraId="2C8F74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0F7524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0FCB7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88276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-8.01E-05</w:t>
            </w:r>
          </w:p>
        </w:tc>
        <w:tc>
          <w:tcPr>
            <w:tcW w:w="529" w:type="pct"/>
            <w:noWrap/>
            <w:vAlign w:val="center"/>
          </w:tcPr>
          <w:p w14:paraId="43F09C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35CAC5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B1EA2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7.08E-03</w:t>
            </w:r>
          </w:p>
        </w:tc>
        <w:tc>
          <w:tcPr>
            <w:tcW w:w="469" w:type="pct"/>
            <w:noWrap/>
            <w:vAlign w:val="center"/>
          </w:tcPr>
          <w:p w14:paraId="52E198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11.79</w:t>
            </w:r>
          </w:p>
        </w:tc>
        <w:tc>
          <w:tcPr>
            <w:tcW w:w="407" w:type="pct"/>
            <w:noWrap/>
            <w:vAlign w:val="center"/>
          </w:tcPr>
          <w:p w14:paraId="6FC583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9C95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6" w:type="pct"/>
            <w:vMerge w:val="restart"/>
            <w:noWrap/>
            <w:vAlign w:val="center"/>
          </w:tcPr>
          <w:p w14:paraId="61B2C3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966" w:type="pct"/>
            <w:vMerge w:val="restart"/>
            <w:noWrap/>
            <w:vAlign w:val="center"/>
          </w:tcPr>
          <w:p w14:paraId="7CA12D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兄弟花园</w:t>
            </w:r>
          </w:p>
        </w:tc>
        <w:tc>
          <w:tcPr>
            <w:tcW w:w="406" w:type="pct"/>
            <w:noWrap/>
            <w:vAlign w:val="center"/>
          </w:tcPr>
          <w:p w14:paraId="6B1AD7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339A50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EDDE7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2E54D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80AF5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281268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0A016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D629F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266" w:type="pct"/>
            <w:vMerge w:val="continue"/>
            <w:noWrap/>
            <w:vAlign w:val="center"/>
          </w:tcPr>
          <w:p w14:paraId="45CE9C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14E44F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19D09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6BE937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-5.72E-05</w:t>
            </w:r>
          </w:p>
        </w:tc>
        <w:tc>
          <w:tcPr>
            <w:tcW w:w="529" w:type="pct"/>
            <w:noWrap/>
            <w:vAlign w:val="center"/>
          </w:tcPr>
          <w:p w14:paraId="24804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6AFCF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571EE0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7.10E-03</w:t>
            </w:r>
          </w:p>
        </w:tc>
        <w:tc>
          <w:tcPr>
            <w:tcW w:w="469" w:type="pct"/>
            <w:noWrap/>
            <w:vAlign w:val="center"/>
          </w:tcPr>
          <w:p w14:paraId="713ED1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11.83</w:t>
            </w:r>
          </w:p>
        </w:tc>
        <w:tc>
          <w:tcPr>
            <w:tcW w:w="407" w:type="pct"/>
            <w:noWrap/>
            <w:vAlign w:val="center"/>
          </w:tcPr>
          <w:p w14:paraId="62D60D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A5E6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66" w:type="pct"/>
            <w:vMerge w:val="restart"/>
            <w:noWrap/>
            <w:vAlign w:val="center"/>
          </w:tcPr>
          <w:p w14:paraId="1A16DF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966" w:type="pct"/>
            <w:vMerge w:val="restart"/>
            <w:noWrap/>
            <w:vAlign w:val="center"/>
          </w:tcPr>
          <w:p w14:paraId="1416B0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406" w:type="pct"/>
            <w:noWrap/>
            <w:vAlign w:val="center"/>
          </w:tcPr>
          <w:p w14:paraId="37ECE1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65A877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13A3A8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2093E9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6D782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29D32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3A35E0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90F58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266" w:type="pct"/>
            <w:vMerge w:val="continue"/>
            <w:noWrap/>
            <w:vAlign w:val="center"/>
          </w:tcPr>
          <w:p w14:paraId="00D8A5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4C1FF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217E6A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DCCE5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-5.16E-05</w:t>
            </w:r>
          </w:p>
        </w:tc>
        <w:tc>
          <w:tcPr>
            <w:tcW w:w="529" w:type="pct"/>
            <w:noWrap/>
            <w:vAlign w:val="center"/>
          </w:tcPr>
          <w:p w14:paraId="5CE756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E0BF4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CFF8A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7.10E-03</w:t>
            </w:r>
          </w:p>
        </w:tc>
        <w:tc>
          <w:tcPr>
            <w:tcW w:w="469" w:type="pct"/>
            <w:noWrap/>
            <w:vAlign w:val="center"/>
          </w:tcPr>
          <w:p w14:paraId="2C1330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11.84</w:t>
            </w:r>
          </w:p>
        </w:tc>
        <w:tc>
          <w:tcPr>
            <w:tcW w:w="407" w:type="pct"/>
            <w:noWrap/>
            <w:vAlign w:val="center"/>
          </w:tcPr>
          <w:p w14:paraId="557820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6028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66" w:type="pct"/>
            <w:vMerge w:val="restart"/>
            <w:noWrap/>
            <w:vAlign w:val="center"/>
          </w:tcPr>
          <w:p w14:paraId="51F299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966" w:type="pct"/>
            <w:vMerge w:val="restart"/>
            <w:noWrap/>
            <w:vAlign w:val="center"/>
          </w:tcPr>
          <w:p w14:paraId="796E78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406" w:type="pct"/>
            <w:noWrap/>
            <w:vAlign w:val="center"/>
          </w:tcPr>
          <w:p w14:paraId="6D8DFF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E548B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765F6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EFB87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E2F20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667401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7941D8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659C1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266" w:type="pct"/>
            <w:vMerge w:val="continue"/>
            <w:noWrap/>
            <w:vAlign w:val="center"/>
          </w:tcPr>
          <w:p w14:paraId="32BFBC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7E617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2395E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2F0AA7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-3.29E-05</w:t>
            </w:r>
          </w:p>
        </w:tc>
        <w:tc>
          <w:tcPr>
            <w:tcW w:w="529" w:type="pct"/>
            <w:noWrap/>
            <w:vAlign w:val="center"/>
          </w:tcPr>
          <w:p w14:paraId="588061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5F5998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764F66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2EF835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762B72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19D0E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66" w:type="pct"/>
            <w:vMerge w:val="restart"/>
            <w:noWrap/>
            <w:vAlign w:val="center"/>
          </w:tcPr>
          <w:p w14:paraId="4E90F4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966" w:type="pct"/>
            <w:vMerge w:val="restart"/>
            <w:noWrap/>
            <w:vAlign w:val="center"/>
          </w:tcPr>
          <w:p w14:paraId="3FE66B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406" w:type="pct"/>
            <w:noWrap/>
            <w:vAlign w:val="center"/>
          </w:tcPr>
          <w:p w14:paraId="69D60A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EEB53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153C4A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369DDB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018AD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738793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04B4D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0B00D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266" w:type="pct"/>
            <w:vMerge w:val="continue"/>
            <w:noWrap/>
            <w:vAlign w:val="center"/>
          </w:tcPr>
          <w:p w14:paraId="392CDC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01374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64E5D7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305406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-3.15E-05</w:t>
            </w:r>
          </w:p>
        </w:tc>
        <w:tc>
          <w:tcPr>
            <w:tcW w:w="529" w:type="pct"/>
            <w:noWrap/>
            <w:vAlign w:val="center"/>
          </w:tcPr>
          <w:p w14:paraId="16CCB6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E4780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2AC43F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7.12E-03</w:t>
            </w:r>
          </w:p>
        </w:tc>
        <w:tc>
          <w:tcPr>
            <w:tcW w:w="469" w:type="pct"/>
            <w:noWrap/>
            <w:vAlign w:val="center"/>
          </w:tcPr>
          <w:p w14:paraId="75672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11.87</w:t>
            </w:r>
          </w:p>
        </w:tc>
        <w:tc>
          <w:tcPr>
            <w:tcW w:w="407" w:type="pct"/>
            <w:noWrap/>
            <w:vAlign w:val="center"/>
          </w:tcPr>
          <w:p w14:paraId="54E319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CE6C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66" w:type="pct"/>
            <w:vMerge w:val="restart"/>
            <w:noWrap/>
            <w:vAlign w:val="center"/>
          </w:tcPr>
          <w:p w14:paraId="31606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966" w:type="pct"/>
            <w:vMerge w:val="restart"/>
            <w:noWrap/>
            <w:vAlign w:val="center"/>
          </w:tcPr>
          <w:p w14:paraId="3726C2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406" w:type="pct"/>
            <w:noWrap/>
            <w:vAlign w:val="center"/>
          </w:tcPr>
          <w:p w14:paraId="0E9786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4EC442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389644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28415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0505A6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632B2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14A613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D224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66" w:type="pct"/>
            <w:vMerge w:val="continue"/>
            <w:noWrap/>
            <w:vAlign w:val="center"/>
          </w:tcPr>
          <w:p w14:paraId="3080FB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7AC45C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1D14CA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19755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-4.31E-05</w:t>
            </w:r>
          </w:p>
        </w:tc>
        <w:tc>
          <w:tcPr>
            <w:tcW w:w="529" w:type="pct"/>
            <w:noWrap/>
            <w:vAlign w:val="center"/>
          </w:tcPr>
          <w:p w14:paraId="75D5E5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1DF59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1661E7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7.11E-03</w:t>
            </w:r>
          </w:p>
        </w:tc>
        <w:tc>
          <w:tcPr>
            <w:tcW w:w="469" w:type="pct"/>
            <w:noWrap/>
            <w:vAlign w:val="center"/>
          </w:tcPr>
          <w:p w14:paraId="3F3959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11.86</w:t>
            </w:r>
          </w:p>
        </w:tc>
        <w:tc>
          <w:tcPr>
            <w:tcW w:w="407" w:type="pct"/>
            <w:noWrap/>
            <w:vAlign w:val="center"/>
          </w:tcPr>
          <w:p w14:paraId="658765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39ED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66" w:type="pct"/>
            <w:vMerge w:val="restart"/>
            <w:noWrap/>
            <w:vAlign w:val="center"/>
          </w:tcPr>
          <w:p w14:paraId="0C69B4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966" w:type="pct"/>
            <w:vMerge w:val="restart"/>
            <w:noWrap/>
            <w:vAlign w:val="center"/>
          </w:tcPr>
          <w:p w14:paraId="288E7D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406" w:type="pct"/>
            <w:noWrap/>
            <w:vAlign w:val="center"/>
          </w:tcPr>
          <w:p w14:paraId="1EE105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056BF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-2.99E-07</w:t>
            </w:r>
          </w:p>
        </w:tc>
        <w:tc>
          <w:tcPr>
            <w:tcW w:w="529" w:type="pct"/>
            <w:noWrap/>
            <w:vAlign w:val="center"/>
          </w:tcPr>
          <w:p w14:paraId="41EB27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11B96C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3CEB36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1DE17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F31DA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E71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66" w:type="pct"/>
            <w:vMerge w:val="continue"/>
            <w:noWrap/>
            <w:vAlign w:val="center"/>
          </w:tcPr>
          <w:p w14:paraId="115AF7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41DB14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CDE38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7F324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-1.02E-04</w:t>
            </w:r>
          </w:p>
        </w:tc>
        <w:tc>
          <w:tcPr>
            <w:tcW w:w="529" w:type="pct"/>
            <w:noWrap/>
            <w:vAlign w:val="center"/>
          </w:tcPr>
          <w:p w14:paraId="5555E7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43BBD4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87B24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7.05E-03</w:t>
            </w:r>
          </w:p>
        </w:tc>
        <w:tc>
          <w:tcPr>
            <w:tcW w:w="469" w:type="pct"/>
            <w:noWrap/>
            <w:vAlign w:val="center"/>
          </w:tcPr>
          <w:p w14:paraId="20FA67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11.76</w:t>
            </w:r>
          </w:p>
        </w:tc>
        <w:tc>
          <w:tcPr>
            <w:tcW w:w="407" w:type="pct"/>
            <w:noWrap/>
            <w:vAlign w:val="center"/>
          </w:tcPr>
          <w:p w14:paraId="3702D3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C2D7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66" w:type="pct"/>
            <w:vMerge w:val="restart"/>
            <w:noWrap/>
            <w:vAlign w:val="center"/>
          </w:tcPr>
          <w:p w14:paraId="2ABAE5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966" w:type="pct"/>
            <w:vMerge w:val="restart"/>
            <w:noWrap/>
            <w:vAlign w:val="center"/>
          </w:tcPr>
          <w:p w14:paraId="5F8972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406" w:type="pct"/>
            <w:noWrap/>
            <w:vAlign w:val="center"/>
          </w:tcPr>
          <w:p w14:paraId="623974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9B9DA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-2.29E-08</w:t>
            </w:r>
          </w:p>
        </w:tc>
        <w:tc>
          <w:tcPr>
            <w:tcW w:w="529" w:type="pct"/>
            <w:noWrap/>
            <w:vAlign w:val="center"/>
          </w:tcPr>
          <w:p w14:paraId="245EE0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54A565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FA265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DAEAC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06B1B2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FE7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66" w:type="pct"/>
            <w:vMerge w:val="continue"/>
            <w:noWrap/>
            <w:vAlign w:val="center"/>
          </w:tcPr>
          <w:p w14:paraId="1F8734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7DD7AA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DACB8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95255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-6.00E-05</w:t>
            </w:r>
          </w:p>
        </w:tc>
        <w:tc>
          <w:tcPr>
            <w:tcW w:w="529" w:type="pct"/>
            <w:noWrap/>
            <w:vAlign w:val="center"/>
          </w:tcPr>
          <w:p w14:paraId="58F99F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C2D09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4D84F5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7.10E-03</w:t>
            </w:r>
          </w:p>
        </w:tc>
        <w:tc>
          <w:tcPr>
            <w:tcW w:w="469" w:type="pct"/>
            <w:noWrap/>
            <w:vAlign w:val="center"/>
          </w:tcPr>
          <w:p w14:paraId="5199E9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11.83</w:t>
            </w:r>
          </w:p>
        </w:tc>
        <w:tc>
          <w:tcPr>
            <w:tcW w:w="407" w:type="pct"/>
            <w:noWrap/>
            <w:vAlign w:val="center"/>
          </w:tcPr>
          <w:p w14:paraId="17D2DE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D8713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66" w:type="pct"/>
            <w:vMerge w:val="restart"/>
            <w:noWrap/>
            <w:vAlign w:val="center"/>
          </w:tcPr>
          <w:p w14:paraId="5DAA7E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966" w:type="pct"/>
            <w:vMerge w:val="restart"/>
            <w:noWrap/>
            <w:vAlign w:val="center"/>
          </w:tcPr>
          <w:p w14:paraId="788327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406" w:type="pct"/>
            <w:noWrap/>
            <w:vAlign w:val="center"/>
          </w:tcPr>
          <w:p w14:paraId="2CA3D7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18A9F1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53B733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22316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FC36F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337596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482D8E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59E8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66" w:type="pct"/>
            <w:vMerge w:val="continue"/>
            <w:noWrap/>
            <w:vAlign w:val="center"/>
          </w:tcPr>
          <w:p w14:paraId="6AA30D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17B5F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0C5DA5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0048EC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-1.62E-05</w:t>
            </w:r>
          </w:p>
        </w:tc>
        <w:tc>
          <w:tcPr>
            <w:tcW w:w="529" w:type="pct"/>
            <w:noWrap/>
            <w:vAlign w:val="center"/>
          </w:tcPr>
          <w:p w14:paraId="1AE80A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7A84C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3DB7AC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7.14E-03</w:t>
            </w:r>
          </w:p>
        </w:tc>
        <w:tc>
          <w:tcPr>
            <w:tcW w:w="469" w:type="pct"/>
            <w:noWrap/>
            <w:vAlign w:val="center"/>
          </w:tcPr>
          <w:p w14:paraId="005ED3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11.90</w:t>
            </w:r>
          </w:p>
        </w:tc>
        <w:tc>
          <w:tcPr>
            <w:tcW w:w="407" w:type="pct"/>
            <w:noWrap/>
            <w:vAlign w:val="center"/>
          </w:tcPr>
          <w:p w14:paraId="0AE185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FBC07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66" w:type="pct"/>
            <w:vMerge w:val="restart"/>
            <w:noWrap/>
            <w:vAlign w:val="center"/>
          </w:tcPr>
          <w:p w14:paraId="7015C2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966" w:type="pct"/>
            <w:vMerge w:val="restart"/>
            <w:noWrap/>
            <w:vAlign w:val="center"/>
          </w:tcPr>
          <w:p w14:paraId="1240B5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406" w:type="pct"/>
            <w:noWrap/>
            <w:vAlign w:val="center"/>
          </w:tcPr>
          <w:p w14:paraId="786D6B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57100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-2.69E-06</w:t>
            </w:r>
          </w:p>
        </w:tc>
        <w:tc>
          <w:tcPr>
            <w:tcW w:w="529" w:type="pct"/>
            <w:noWrap/>
            <w:vAlign w:val="center"/>
          </w:tcPr>
          <w:p w14:paraId="3CABC7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00D896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1A1C15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53B798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18.66</w:t>
            </w:r>
          </w:p>
        </w:tc>
        <w:tc>
          <w:tcPr>
            <w:tcW w:w="407" w:type="pct"/>
            <w:noWrap/>
            <w:vAlign w:val="center"/>
          </w:tcPr>
          <w:p w14:paraId="75A64B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D620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66" w:type="pct"/>
            <w:vMerge w:val="continue"/>
            <w:noWrap/>
            <w:vAlign w:val="center"/>
          </w:tcPr>
          <w:p w14:paraId="2BE1D4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DC26D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47665E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451764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-7.51E-05</w:t>
            </w:r>
          </w:p>
        </w:tc>
        <w:tc>
          <w:tcPr>
            <w:tcW w:w="529" w:type="pct"/>
            <w:noWrap/>
            <w:vAlign w:val="center"/>
          </w:tcPr>
          <w:p w14:paraId="5730C1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2EEDA8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6EBE54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7.08E-03</w:t>
            </w:r>
          </w:p>
        </w:tc>
        <w:tc>
          <w:tcPr>
            <w:tcW w:w="469" w:type="pct"/>
            <w:noWrap/>
            <w:vAlign w:val="center"/>
          </w:tcPr>
          <w:p w14:paraId="5294F1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11.80</w:t>
            </w:r>
          </w:p>
        </w:tc>
        <w:tc>
          <w:tcPr>
            <w:tcW w:w="407" w:type="pct"/>
            <w:noWrap/>
            <w:vAlign w:val="center"/>
          </w:tcPr>
          <w:p w14:paraId="76F14B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B9EA6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66" w:type="pct"/>
            <w:vMerge w:val="restart"/>
            <w:noWrap/>
            <w:vAlign w:val="center"/>
          </w:tcPr>
          <w:p w14:paraId="45D99C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966" w:type="pct"/>
            <w:vMerge w:val="restart"/>
            <w:noWrap/>
            <w:vAlign w:val="center"/>
          </w:tcPr>
          <w:p w14:paraId="19D49D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绥芬河市传染病医院</w:t>
            </w:r>
          </w:p>
        </w:tc>
        <w:tc>
          <w:tcPr>
            <w:tcW w:w="406" w:type="pct"/>
            <w:noWrap/>
            <w:vAlign w:val="center"/>
          </w:tcPr>
          <w:p w14:paraId="42111C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242BFA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-8.78E-05</w:t>
            </w:r>
          </w:p>
        </w:tc>
        <w:tc>
          <w:tcPr>
            <w:tcW w:w="529" w:type="pct"/>
            <w:noWrap/>
            <w:vAlign w:val="center"/>
          </w:tcPr>
          <w:p w14:paraId="655A90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7473D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556E56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2.79E-02</w:t>
            </w:r>
          </w:p>
        </w:tc>
        <w:tc>
          <w:tcPr>
            <w:tcW w:w="469" w:type="pct"/>
            <w:noWrap/>
            <w:vAlign w:val="center"/>
          </w:tcPr>
          <w:p w14:paraId="2AB1BD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18.61</w:t>
            </w:r>
          </w:p>
        </w:tc>
        <w:tc>
          <w:tcPr>
            <w:tcW w:w="407" w:type="pct"/>
            <w:noWrap/>
            <w:vAlign w:val="center"/>
          </w:tcPr>
          <w:p w14:paraId="143CAA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E439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66" w:type="pct"/>
            <w:vMerge w:val="continue"/>
            <w:noWrap/>
            <w:vAlign w:val="center"/>
          </w:tcPr>
          <w:p w14:paraId="4A20F3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5CB467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767814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77F32E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-9.56E-05</w:t>
            </w:r>
          </w:p>
        </w:tc>
        <w:tc>
          <w:tcPr>
            <w:tcW w:w="529" w:type="pct"/>
            <w:noWrap/>
            <w:vAlign w:val="center"/>
          </w:tcPr>
          <w:p w14:paraId="17AE03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6C8B25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486A7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7.06E-03</w:t>
            </w:r>
          </w:p>
        </w:tc>
        <w:tc>
          <w:tcPr>
            <w:tcW w:w="469" w:type="pct"/>
            <w:noWrap/>
            <w:vAlign w:val="center"/>
          </w:tcPr>
          <w:p w14:paraId="28E37E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11.77</w:t>
            </w:r>
          </w:p>
        </w:tc>
        <w:tc>
          <w:tcPr>
            <w:tcW w:w="407" w:type="pct"/>
            <w:noWrap/>
            <w:vAlign w:val="center"/>
          </w:tcPr>
          <w:p w14:paraId="566320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3D698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66" w:type="pct"/>
            <w:vMerge w:val="restart"/>
            <w:noWrap/>
            <w:vAlign w:val="center"/>
          </w:tcPr>
          <w:p w14:paraId="229286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w:t>
            </w:r>
          </w:p>
        </w:tc>
        <w:tc>
          <w:tcPr>
            <w:tcW w:w="966" w:type="pct"/>
            <w:vMerge w:val="restart"/>
            <w:noWrap/>
            <w:vAlign w:val="center"/>
          </w:tcPr>
          <w:p w14:paraId="6A7911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406" w:type="pct"/>
            <w:noWrap/>
            <w:vAlign w:val="center"/>
          </w:tcPr>
          <w:p w14:paraId="1BACC4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51" w:type="pct"/>
            <w:noWrap/>
            <w:vAlign w:val="center"/>
          </w:tcPr>
          <w:p w14:paraId="356401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529" w:type="pct"/>
            <w:noWrap/>
            <w:vAlign w:val="center"/>
          </w:tcPr>
          <w:p w14:paraId="4135EF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240210</w:t>
            </w:r>
          </w:p>
        </w:tc>
        <w:tc>
          <w:tcPr>
            <w:tcW w:w="651" w:type="pct"/>
            <w:noWrap/>
            <w:vAlign w:val="center"/>
          </w:tcPr>
          <w:p w14:paraId="784826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651" w:type="pct"/>
            <w:noWrap/>
            <w:vAlign w:val="center"/>
          </w:tcPr>
          <w:p w14:paraId="773E67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2.80E-02</w:t>
            </w:r>
          </w:p>
        </w:tc>
        <w:tc>
          <w:tcPr>
            <w:tcW w:w="469" w:type="pct"/>
            <w:noWrap/>
            <w:vAlign w:val="center"/>
          </w:tcPr>
          <w:p w14:paraId="224176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18.67</w:t>
            </w:r>
          </w:p>
        </w:tc>
        <w:tc>
          <w:tcPr>
            <w:tcW w:w="407" w:type="pct"/>
            <w:noWrap/>
            <w:vAlign w:val="center"/>
          </w:tcPr>
          <w:p w14:paraId="56DDD5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DE0B7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66" w:type="pct"/>
            <w:vMerge w:val="continue"/>
            <w:noWrap/>
            <w:vAlign w:val="center"/>
          </w:tcPr>
          <w:p w14:paraId="50E7FD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966" w:type="pct"/>
            <w:vMerge w:val="continue"/>
            <w:noWrap/>
            <w:vAlign w:val="center"/>
          </w:tcPr>
          <w:p w14:paraId="240214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06" w:type="pct"/>
            <w:noWrap/>
            <w:vAlign w:val="center"/>
          </w:tcPr>
          <w:p w14:paraId="58B32D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51" w:type="pct"/>
            <w:noWrap/>
            <w:vAlign w:val="center"/>
          </w:tcPr>
          <w:p w14:paraId="5B885D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-3.24E-06</w:t>
            </w:r>
          </w:p>
        </w:tc>
        <w:tc>
          <w:tcPr>
            <w:tcW w:w="529" w:type="pct"/>
            <w:noWrap/>
            <w:vAlign w:val="center"/>
          </w:tcPr>
          <w:p w14:paraId="15039B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51" w:type="pct"/>
            <w:noWrap/>
            <w:vAlign w:val="center"/>
          </w:tcPr>
          <w:p w14:paraId="0370C0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7.16E-03</w:t>
            </w:r>
          </w:p>
        </w:tc>
        <w:tc>
          <w:tcPr>
            <w:tcW w:w="651" w:type="pct"/>
            <w:noWrap/>
            <w:vAlign w:val="center"/>
          </w:tcPr>
          <w:p w14:paraId="00C7B7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7.15E-03</w:t>
            </w:r>
          </w:p>
        </w:tc>
        <w:tc>
          <w:tcPr>
            <w:tcW w:w="469" w:type="pct"/>
            <w:noWrap/>
            <w:vAlign w:val="center"/>
          </w:tcPr>
          <w:p w14:paraId="5F7264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11.92</w:t>
            </w:r>
          </w:p>
        </w:tc>
        <w:tc>
          <w:tcPr>
            <w:tcW w:w="407" w:type="pct"/>
            <w:noWrap/>
            <w:vAlign w:val="center"/>
          </w:tcPr>
          <w:p w14:paraId="79D53A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316D5DD0">
      <w:pPr>
        <w:ind w:firstLine="0" w:firstLineChars="0"/>
        <w:rPr>
          <w:rFonts w:ascii="Times New Roman" w:hAnsi="Times New Roman"/>
          <w:color w:val="auto"/>
          <w:sz w:val="21"/>
          <w:highlight w:val="none"/>
        </w:rPr>
      </w:pPr>
      <w:r>
        <w:rPr>
          <w:rFonts w:ascii="Times New Roman" w:hAnsi="Times New Roman"/>
          <w:color w:val="auto"/>
          <w:sz w:val="21"/>
          <w:highlight w:val="none"/>
        </w:rPr>
        <w:t>注：叠加浓度=本项目贡献浓度-区域削减污染源+</w:t>
      </w:r>
      <w:r>
        <w:rPr>
          <w:rFonts w:hint="eastAsia" w:ascii="Times New Roman" w:hAnsi="Times New Roman"/>
          <w:color w:val="auto"/>
          <w:sz w:val="21"/>
          <w:highlight w:val="none"/>
        </w:rPr>
        <w:t>拟在建</w:t>
      </w:r>
      <w:r>
        <w:rPr>
          <w:rFonts w:ascii="Times New Roman" w:hAnsi="Times New Roman"/>
          <w:color w:val="auto"/>
          <w:sz w:val="21"/>
          <w:highlight w:val="none"/>
        </w:rPr>
        <w:t>污染源</w:t>
      </w:r>
      <w:r>
        <w:rPr>
          <w:rFonts w:hint="eastAsia" w:ascii="Times New Roman" w:hAnsi="Times New Roman"/>
          <w:color w:val="auto"/>
          <w:sz w:val="21"/>
          <w:highlight w:val="none"/>
        </w:rPr>
        <w:t>+</w:t>
      </w:r>
      <w:r>
        <w:rPr>
          <w:rFonts w:ascii="Times New Roman" w:hAnsi="Times New Roman"/>
          <w:color w:val="auto"/>
          <w:sz w:val="21"/>
          <w:highlight w:val="none"/>
        </w:rPr>
        <w:t>背景浓度</w:t>
      </w:r>
    </w:p>
    <w:p w14:paraId="2B761923">
      <w:pPr>
        <w:ind w:left="0" w:leftChars="0" w:firstLine="0" w:firstLineChars="0"/>
        <w:jc w:val="center"/>
        <w:rPr>
          <w:rFonts w:ascii="Times New Roman" w:hAnsi="Times New Roman"/>
          <w:color w:val="auto"/>
          <w:highlight w:val="none"/>
        </w:rPr>
      </w:pPr>
      <w:r>
        <w:rPr>
          <w:highlight w:val="none"/>
        </w:rPr>
        <w:drawing>
          <wp:inline distT="0" distB="0" distL="114300" distR="114300">
            <wp:extent cx="5271770" cy="2611120"/>
            <wp:effectExtent l="0" t="0" r="5080" b="17780"/>
            <wp:docPr id="8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5"/>
                    <pic:cNvPicPr>
                      <a:picLocks noChangeAspect="1"/>
                    </pic:cNvPicPr>
                  </pic:nvPicPr>
                  <pic:blipFill>
                    <a:blip r:embed="rId41"/>
                    <a:stretch>
                      <a:fillRect/>
                    </a:stretch>
                  </pic:blipFill>
                  <pic:spPr>
                    <a:xfrm>
                      <a:off x="0" y="0"/>
                      <a:ext cx="5271770" cy="2611120"/>
                    </a:xfrm>
                    <a:prstGeom prst="rect">
                      <a:avLst/>
                    </a:prstGeom>
                    <a:noFill/>
                    <a:ln>
                      <a:noFill/>
                    </a:ln>
                  </pic:spPr>
                </pic:pic>
              </a:graphicData>
            </a:graphic>
          </wp:inline>
        </w:drawing>
      </w:r>
    </w:p>
    <w:p w14:paraId="6AC49372">
      <w:pPr>
        <w:ind w:left="0" w:leftChars="0" w:firstLine="0" w:firstLineChars="0"/>
        <w:jc w:val="center"/>
        <w:rPr>
          <w:rFonts w:hint="eastAsia" w:ascii="Times New Roman" w:hAnsi="Times New Roman"/>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2-</w:t>
      </w:r>
      <w:r>
        <w:rPr>
          <w:rFonts w:hint="eastAsia" w:ascii="Times New Roman" w:hAnsi="Times New Roman"/>
          <w:color w:val="auto"/>
          <w:highlight w:val="none"/>
          <w:lang w:val="en-US" w:eastAsia="zh-CN"/>
        </w:rPr>
        <w:t>1</w:t>
      </w:r>
      <w:r>
        <w:rPr>
          <w:rFonts w:hint="eastAsia" w:ascii="黑体" w:hAnsi="黑体" w:eastAsia="黑体" w:cs="黑体"/>
          <w:color w:val="auto"/>
          <w:highlight w:val="none"/>
        </w:rPr>
        <w:t>本项目</w:t>
      </w:r>
      <w:r>
        <w:rPr>
          <w:rFonts w:hint="eastAsia" w:ascii="Times New Roman" w:hAnsi="Times New Roman"/>
          <w:color w:val="auto"/>
          <w:highlight w:val="none"/>
        </w:rPr>
        <w:t>SO</w:t>
      </w:r>
      <w:r>
        <w:rPr>
          <w:rFonts w:hint="eastAsia" w:ascii="Times New Roman" w:hAnsi="Times New Roman"/>
          <w:color w:val="auto"/>
          <w:highlight w:val="none"/>
          <w:vertAlign w:val="subscript"/>
        </w:rPr>
        <w:t>2</w:t>
      </w:r>
      <w:r>
        <w:rPr>
          <w:rFonts w:hint="eastAsia" w:ascii="黑体" w:hAnsi="黑体" w:eastAsia="黑体" w:cs="黑体"/>
          <w:color w:val="auto"/>
          <w:highlight w:val="none"/>
        </w:rPr>
        <w:t>保证率日平均质量浓度分布图</w:t>
      </w:r>
      <w:r>
        <w:rPr>
          <w:rFonts w:hint="eastAsia" w:ascii="Times New Roman" w:hAnsi="Times New Roman"/>
          <w:color w:val="auto"/>
          <w:highlight w:val="none"/>
        </w:rPr>
        <w:t>（</w:t>
      </w:r>
      <w:r>
        <w:rPr>
          <w:rFonts w:hint="eastAsia" w:ascii="Times New Roman" w:hAnsi="Times New Roman"/>
          <w:color w:val="auto"/>
          <w:highlight w:val="none"/>
          <w:lang w:val="en-US" w:eastAsia="zh-CN"/>
        </w:rPr>
        <w:t>m</w:t>
      </w:r>
      <w:r>
        <w:rPr>
          <w:rFonts w:hint="eastAsia" w:ascii="Times New Roman" w:hAnsi="Times New Roman"/>
          <w:color w:val="auto"/>
          <w:highlight w:val="none"/>
        </w:rPr>
        <w:t>g/m</w:t>
      </w:r>
      <w:r>
        <w:rPr>
          <w:rFonts w:hint="eastAsia" w:ascii="Times New Roman" w:hAnsi="Times New Roman"/>
          <w:color w:val="auto"/>
          <w:highlight w:val="none"/>
          <w:vertAlign w:val="superscript"/>
        </w:rPr>
        <w:t>3</w:t>
      </w:r>
      <w:r>
        <w:rPr>
          <w:rFonts w:hint="eastAsia" w:ascii="Times New Roman" w:hAnsi="Times New Roman"/>
          <w:color w:val="auto"/>
          <w:highlight w:val="none"/>
        </w:rPr>
        <w:t>）</w:t>
      </w:r>
    </w:p>
    <w:p w14:paraId="298DBB90">
      <w:pPr>
        <w:pStyle w:val="15"/>
        <w:ind w:left="0" w:leftChars="0" w:firstLine="0" w:firstLineChars="0"/>
        <w:jc w:val="center"/>
        <w:rPr>
          <w:color w:val="auto"/>
          <w:highlight w:val="none"/>
        </w:rPr>
      </w:pPr>
      <w:r>
        <w:rPr>
          <w:highlight w:val="none"/>
        </w:rPr>
        <w:drawing>
          <wp:inline distT="0" distB="0" distL="114300" distR="114300">
            <wp:extent cx="5269865" cy="2736215"/>
            <wp:effectExtent l="0" t="0" r="6985" b="6985"/>
            <wp:docPr id="8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6"/>
                    <pic:cNvPicPr>
                      <a:picLocks noChangeAspect="1"/>
                    </pic:cNvPicPr>
                  </pic:nvPicPr>
                  <pic:blipFill>
                    <a:blip r:embed="rId42"/>
                    <a:stretch>
                      <a:fillRect/>
                    </a:stretch>
                  </pic:blipFill>
                  <pic:spPr>
                    <a:xfrm>
                      <a:off x="0" y="0"/>
                      <a:ext cx="5269865" cy="2736215"/>
                    </a:xfrm>
                    <a:prstGeom prst="rect">
                      <a:avLst/>
                    </a:prstGeom>
                    <a:noFill/>
                    <a:ln>
                      <a:noFill/>
                    </a:ln>
                  </pic:spPr>
                </pic:pic>
              </a:graphicData>
            </a:graphic>
          </wp:inline>
        </w:drawing>
      </w:r>
    </w:p>
    <w:p w14:paraId="77252567">
      <w:pPr>
        <w:ind w:left="0" w:leftChars="0" w:firstLine="0" w:firstLineChars="0"/>
        <w:jc w:val="center"/>
        <w:rPr>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2-</w:t>
      </w:r>
      <w:r>
        <w:rPr>
          <w:rFonts w:hint="eastAsia" w:ascii="Times New Roman" w:hAnsi="Times New Roman"/>
          <w:color w:val="auto"/>
          <w:highlight w:val="none"/>
          <w:lang w:val="en-US" w:eastAsia="zh-CN"/>
        </w:rPr>
        <w:t>2</w:t>
      </w:r>
      <w:r>
        <w:rPr>
          <w:rFonts w:hint="eastAsia" w:ascii="黑体" w:hAnsi="黑体" w:eastAsia="黑体" w:cs="黑体"/>
          <w:color w:val="auto"/>
          <w:highlight w:val="none"/>
        </w:rPr>
        <w:t>本项目</w:t>
      </w:r>
      <w:r>
        <w:rPr>
          <w:rFonts w:hint="eastAsia" w:ascii="Times New Roman" w:hAnsi="Times New Roman"/>
          <w:color w:val="auto"/>
          <w:highlight w:val="none"/>
        </w:rPr>
        <w:t>SO</w:t>
      </w:r>
      <w:r>
        <w:rPr>
          <w:rFonts w:hint="eastAsia" w:ascii="Times New Roman" w:hAnsi="Times New Roman"/>
          <w:color w:val="auto"/>
          <w:highlight w:val="none"/>
          <w:vertAlign w:val="subscript"/>
        </w:rPr>
        <w:t>2</w:t>
      </w:r>
      <w:r>
        <w:rPr>
          <w:rFonts w:hint="eastAsia" w:ascii="黑体" w:hAnsi="黑体" w:eastAsia="黑体" w:cs="黑体"/>
          <w:color w:val="auto"/>
          <w:highlight w:val="none"/>
        </w:rPr>
        <w:t>保证率</w:t>
      </w:r>
      <w:r>
        <w:rPr>
          <w:rFonts w:hint="eastAsia" w:ascii="黑体" w:hAnsi="黑体" w:eastAsia="黑体" w:cs="黑体"/>
          <w:color w:val="auto"/>
          <w:highlight w:val="none"/>
          <w:lang w:val="en-US" w:eastAsia="zh-CN"/>
        </w:rPr>
        <w:t>年</w:t>
      </w:r>
      <w:r>
        <w:rPr>
          <w:rFonts w:hint="eastAsia" w:ascii="黑体" w:hAnsi="黑体" w:eastAsia="黑体" w:cs="黑体"/>
          <w:color w:val="auto"/>
          <w:highlight w:val="none"/>
        </w:rPr>
        <w:t>平均质量浓度分布图</w:t>
      </w:r>
      <w:r>
        <w:rPr>
          <w:rFonts w:hint="eastAsia" w:ascii="Times New Roman" w:hAnsi="Times New Roman"/>
          <w:color w:val="auto"/>
          <w:highlight w:val="none"/>
        </w:rPr>
        <w:t>（</w:t>
      </w:r>
      <w:r>
        <w:rPr>
          <w:rFonts w:hint="eastAsia" w:ascii="Times New Roman" w:hAnsi="Times New Roman"/>
          <w:color w:val="auto"/>
          <w:highlight w:val="none"/>
          <w:lang w:val="en-US" w:eastAsia="zh-CN"/>
        </w:rPr>
        <w:t>m</w:t>
      </w:r>
      <w:r>
        <w:rPr>
          <w:rFonts w:hint="eastAsia" w:ascii="Times New Roman" w:hAnsi="Times New Roman"/>
          <w:color w:val="auto"/>
          <w:highlight w:val="none"/>
        </w:rPr>
        <w:t>g/m</w:t>
      </w:r>
      <w:r>
        <w:rPr>
          <w:rFonts w:hint="eastAsia" w:ascii="Times New Roman" w:hAnsi="Times New Roman"/>
          <w:color w:val="auto"/>
          <w:highlight w:val="none"/>
          <w:vertAlign w:val="superscript"/>
        </w:rPr>
        <w:t>3</w:t>
      </w:r>
      <w:r>
        <w:rPr>
          <w:rFonts w:hint="eastAsia" w:ascii="Times New Roman" w:hAnsi="Times New Roman"/>
          <w:color w:val="auto"/>
          <w:highlight w:val="none"/>
        </w:rPr>
        <w:t>）</w:t>
      </w:r>
    </w:p>
    <w:p w14:paraId="218EEE71">
      <w:pPr>
        <w:ind w:firstLine="480"/>
        <w:rPr>
          <w:rFonts w:ascii="Times New Roman" w:hAnsi="Times New Roman"/>
          <w:color w:val="auto"/>
          <w:highlight w:val="none"/>
        </w:rPr>
      </w:pPr>
      <w:r>
        <w:rPr>
          <w:rFonts w:ascii="Times New Roman" w:hAnsi="Times New Roman"/>
          <w:color w:val="auto"/>
          <w:highlight w:val="none"/>
        </w:rPr>
        <w:t>叠加后，污染物SO</w:t>
      </w:r>
      <w:r>
        <w:rPr>
          <w:rFonts w:ascii="Times New Roman" w:hAnsi="Times New Roman"/>
          <w:color w:val="auto"/>
          <w:highlight w:val="none"/>
          <w:vertAlign w:val="subscript"/>
        </w:rPr>
        <w:t>2</w:t>
      </w:r>
      <w:r>
        <w:rPr>
          <w:rFonts w:ascii="Times New Roman" w:hAnsi="Times New Roman"/>
          <w:color w:val="auto"/>
          <w:highlight w:val="none"/>
        </w:rPr>
        <w:t>保证率（98%）日平均质量浓度和年平均质量浓度均符合《环境空气质量标准》（GB3095-2012）及修改单中二级标准。</w:t>
      </w:r>
    </w:p>
    <w:p w14:paraId="58026714">
      <w:pPr>
        <w:ind w:firstLine="480"/>
        <w:rPr>
          <w:rFonts w:ascii="Times New Roman" w:hAnsi="Times New Roman"/>
          <w:color w:val="auto"/>
          <w:highlight w:val="none"/>
        </w:rPr>
      </w:pPr>
      <w:r>
        <w:rPr>
          <w:rFonts w:ascii="Times New Roman" w:hAnsi="Times New Roman"/>
          <w:color w:val="auto"/>
          <w:highlight w:val="none"/>
        </w:rPr>
        <w:t>（2）NO</w:t>
      </w:r>
      <w:r>
        <w:rPr>
          <w:rFonts w:ascii="Times New Roman" w:hAnsi="Times New Roman"/>
          <w:color w:val="auto"/>
          <w:highlight w:val="none"/>
          <w:vertAlign w:val="subscript"/>
        </w:rPr>
        <w:t>2</w:t>
      </w:r>
      <w:r>
        <w:rPr>
          <w:rFonts w:ascii="Times New Roman" w:hAnsi="Times New Roman"/>
          <w:color w:val="auto"/>
          <w:highlight w:val="none"/>
        </w:rPr>
        <w:t>叠加现状环境影响预测</w:t>
      </w:r>
    </w:p>
    <w:p w14:paraId="528D9FE7">
      <w:pPr>
        <w:ind w:firstLine="480"/>
        <w:rPr>
          <w:rFonts w:ascii="Times New Roman" w:hAnsi="Times New Roman"/>
          <w:color w:val="auto"/>
          <w:highlight w:val="none"/>
        </w:rPr>
      </w:pPr>
      <w:r>
        <w:rPr>
          <w:rFonts w:ascii="Times New Roman" w:hAnsi="Times New Roman"/>
          <w:color w:val="auto"/>
          <w:highlight w:val="none"/>
        </w:rPr>
        <w:t>各敏感点及区域NO</w:t>
      </w:r>
      <w:r>
        <w:rPr>
          <w:rFonts w:ascii="Times New Roman" w:hAnsi="Times New Roman"/>
          <w:color w:val="auto"/>
          <w:highlight w:val="none"/>
          <w:vertAlign w:val="subscript"/>
        </w:rPr>
        <w:t>2</w:t>
      </w:r>
      <w:r>
        <w:rPr>
          <w:rFonts w:ascii="Times New Roman" w:hAnsi="Times New Roman"/>
          <w:color w:val="auto"/>
          <w:highlight w:val="none"/>
        </w:rPr>
        <w:t>最大浓度点叠加背景浓度结果见表5.2-</w:t>
      </w:r>
      <w:r>
        <w:rPr>
          <w:rFonts w:hint="eastAsia" w:ascii="Times New Roman" w:hAnsi="Times New Roman"/>
          <w:color w:val="auto"/>
          <w:highlight w:val="none"/>
          <w:lang w:val="en-US" w:eastAsia="zh-CN"/>
        </w:rPr>
        <w:t>18</w:t>
      </w:r>
      <w:r>
        <w:rPr>
          <w:rFonts w:ascii="Times New Roman" w:hAnsi="Times New Roman"/>
          <w:color w:val="auto"/>
          <w:highlight w:val="none"/>
        </w:rPr>
        <w:t>。</w:t>
      </w:r>
    </w:p>
    <w:p w14:paraId="572C6500">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lang w:val="en-US" w:eastAsia="zh-CN"/>
        </w:rPr>
        <w:t>18</w:t>
      </w:r>
      <w:r>
        <w:rPr>
          <w:rFonts w:hint="eastAsia" w:ascii="黑体" w:hAnsi="黑体" w:eastAsia="黑体" w:cs="黑体"/>
          <w:color w:val="auto"/>
          <w:highlight w:val="none"/>
        </w:rPr>
        <w:t>二氧化氮预测结果叠加背景浓度结果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740"/>
        <w:gridCol w:w="723"/>
        <w:gridCol w:w="1147"/>
        <w:gridCol w:w="723"/>
        <w:gridCol w:w="1147"/>
        <w:gridCol w:w="1147"/>
        <w:gridCol w:w="703"/>
        <w:gridCol w:w="723"/>
      </w:tblGrid>
      <w:tr w14:paraId="67758A36">
        <w:tblPrEx>
          <w:tblCellMar>
            <w:top w:w="0" w:type="dxa"/>
            <w:left w:w="108" w:type="dxa"/>
            <w:bottom w:w="0" w:type="dxa"/>
            <w:right w:w="108" w:type="dxa"/>
          </w:tblCellMar>
        </w:tblPrEx>
        <w:trPr>
          <w:trHeight w:val="227" w:hRule="atLeast"/>
          <w:jc w:val="center"/>
        </w:trPr>
        <w:tc>
          <w:tcPr>
            <w:tcW w:w="275" w:type="pct"/>
            <w:noWrap/>
            <w:vAlign w:val="center"/>
          </w:tcPr>
          <w:p w14:paraId="712FCC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序号</w:t>
            </w:r>
          </w:p>
        </w:tc>
        <w:tc>
          <w:tcPr>
            <w:tcW w:w="1020" w:type="pct"/>
            <w:noWrap/>
            <w:vAlign w:val="center"/>
          </w:tcPr>
          <w:p w14:paraId="6F007A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点名称</w:t>
            </w:r>
          </w:p>
        </w:tc>
        <w:tc>
          <w:tcPr>
            <w:tcW w:w="424" w:type="pct"/>
            <w:noWrap/>
            <w:vAlign w:val="center"/>
          </w:tcPr>
          <w:p w14:paraId="51E8FD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浓度类型</w:t>
            </w:r>
          </w:p>
        </w:tc>
        <w:tc>
          <w:tcPr>
            <w:tcW w:w="672" w:type="pct"/>
            <w:noWrap/>
            <w:vAlign w:val="center"/>
          </w:tcPr>
          <w:p w14:paraId="74977A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浓度增量(mg/m3)</w:t>
            </w:r>
          </w:p>
        </w:tc>
        <w:tc>
          <w:tcPr>
            <w:tcW w:w="424" w:type="pct"/>
            <w:noWrap/>
            <w:vAlign w:val="center"/>
          </w:tcPr>
          <w:p w14:paraId="7B4E60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出现时间</w:t>
            </w:r>
          </w:p>
        </w:tc>
        <w:tc>
          <w:tcPr>
            <w:tcW w:w="672" w:type="pct"/>
            <w:noWrap/>
            <w:vAlign w:val="center"/>
          </w:tcPr>
          <w:p w14:paraId="3F06EC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背景浓度(mg/m3)</w:t>
            </w:r>
          </w:p>
        </w:tc>
        <w:tc>
          <w:tcPr>
            <w:tcW w:w="672" w:type="pct"/>
            <w:noWrap/>
            <w:vAlign w:val="center"/>
          </w:tcPr>
          <w:p w14:paraId="5751A1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叠加浓度(mg/m3)</w:t>
            </w:r>
          </w:p>
        </w:tc>
        <w:tc>
          <w:tcPr>
            <w:tcW w:w="412" w:type="pct"/>
            <w:noWrap/>
            <w:vAlign w:val="center"/>
          </w:tcPr>
          <w:p w14:paraId="5BC1D7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占标率%</w:t>
            </w:r>
          </w:p>
        </w:tc>
        <w:tc>
          <w:tcPr>
            <w:tcW w:w="424" w:type="pct"/>
            <w:noWrap/>
            <w:vAlign w:val="center"/>
          </w:tcPr>
          <w:p w14:paraId="686792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是否超标</w:t>
            </w:r>
          </w:p>
        </w:tc>
      </w:tr>
      <w:tr w14:paraId="6FB9F2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3E0B44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w:t>
            </w:r>
          </w:p>
        </w:tc>
        <w:tc>
          <w:tcPr>
            <w:tcW w:w="1020" w:type="pct"/>
            <w:vMerge w:val="restart"/>
            <w:noWrap/>
            <w:vAlign w:val="center"/>
          </w:tcPr>
          <w:p w14:paraId="61FA2C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绥芬河市政府</w:t>
            </w:r>
          </w:p>
        </w:tc>
        <w:tc>
          <w:tcPr>
            <w:tcW w:w="424" w:type="pct"/>
            <w:noWrap/>
            <w:vAlign w:val="center"/>
          </w:tcPr>
          <w:p w14:paraId="5CF28B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BDBBC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1.07E-03</w:t>
            </w:r>
          </w:p>
        </w:tc>
        <w:tc>
          <w:tcPr>
            <w:tcW w:w="424" w:type="pct"/>
            <w:noWrap/>
            <w:vAlign w:val="center"/>
          </w:tcPr>
          <w:p w14:paraId="6C8B15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240423</w:t>
            </w:r>
          </w:p>
        </w:tc>
        <w:tc>
          <w:tcPr>
            <w:tcW w:w="672" w:type="pct"/>
            <w:noWrap/>
            <w:vAlign w:val="center"/>
          </w:tcPr>
          <w:p w14:paraId="210811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38F87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1.10E-03</w:t>
            </w:r>
          </w:p>
        </w:tc>
        <w:tc>
          <w:tcPr>
            <w:tcW w:w="412" w:type="pct"/>
            <w:noWrap/>
            <w:vAlign w:val="center"/>
          </w:tcPr>
          <w:p w14:paraId="30CAB5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1.10</w:t>
            </w:r>
          </w:p>
        </w:tc>
        <w:tc>
          <w:tcPr>
            <w:tcW w:w="424" w:type="pct"/>
            <w:noWrap/>
            <w:vAlign w:val="center"/>
          </w:tcPr>
          <w:p w14:paraId="3F9236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77187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4C691A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BABB9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9F3E3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FA2BE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3.65E-05</w:t>
            </w:r>
          </w:p>
        </w:tc>
        <w:tc>
          <w:tcPr>
            <w:tcW w:w="424" w:type="pct"/>
            <w:noWrap/>
            <w:vAlign w:val="center"/>
          </w:tcPr>
          <w:p w14:paraId="0D33A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FD781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0AE303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6.39E-05</w:t>
            </w:r>
          </w:p>
        </w:tc>
        <w:tc>
          <w:tcPr>
            <w:tcW w:w="412" w:type="pct"/>
            <w:noWrap/>
            <w:vAlign w:val="center"/>
          </w:tcPr>
          <w:p w14:paraId="359897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0.13</w:t>
            </w:r>
          </w:p>
        </w:tc>
        <w:tc>
          <w:tcPr>
            <w:tcW w:w="424" w:type="pct"/>
            <w:noWrap/>
            <w:vAlign w:val="center"/>
          </w:tcPr>
          <w:p w14:paraId="31A2B7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6DEC1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2C1BF6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w:t>
            </w:r>
          </w:p>
        </w:tc>
        <w:tc>
          <w:tcPr>
            <w:tcW w:w="1020" w:type="pct"/>
            <w:vMerge w:val="restart"/>
            <w:noWrap/>
            <w:vAlign w:val="center"/>
          </w:tcPr>
          <w:p w14:paraId="7C79EA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424" w:type="pct"/>
            <w:noWrap/>
            <w:vAlign w:val="center"/>
          </w:tcPr>
          <w:p w14:paraId="13B22E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71539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4.29E-04</w:t>
            </w:r>
          </w:p>
        </w:tc>
        <w:tc>
          <w:tcPr>
            <w:tcW w:w="424" w:type="pct"/>
            <w:noWrap/>
            <w:vAlign w:val="center"/>
          </w:tcPr>
          <w:p w14:paraId="0E926D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07EA77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B8646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4.60E-04</w:t>
            </w:r>
          </w:p>
        </w:tc>
        <w:tc>
          <w:tcPr>
            <w:tcW w:w="412" w:type="pct"/>
            <w:noWrap/>
            <w:vAlign w:val="center"/>
          </w:tcPr>
          <w:p w14:paraId="50BB40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0.46</w:t>
            </w:r>
          </w:p>
        </w:tc>
        <w:tc>
          <w:tcPr>
            <w:tcW w:w="424" w:type="pct"/>
            <w:noWrap/>
            <w:vAlign w:val="center"/>
          </w:tcPr>
          <w:p w14:paraId="52B029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0094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1DB2EB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79F4F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7ECBF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9DE52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9.58E-06</w:t>
            </w:r>
          </w:p>
        </w:tc>
        <w:tc>
          <w:tcPr>
            <w:tcW w:w="424" w:type="pct"/>
            <w:noWrap/>
            <w:vAlign w:val="center"/>
          </w:tcPr>
          <w:p w14:paraId="6B2114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A38F7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F1634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3.70E-05</w:t>
            </w:r>
          </w:p>
        </w:tc>
        <w:tc>
          <w:tcPr>
            <w:tcW w:w="412" w:type="pct"/>
            <w:noWrap/>
            <w:vAlign w:val="center"/>
          </w:tcPr>
          <w:p w14:paraId="60F5D8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3B35FA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5FF34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73EE43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w:t>
            </w:r>
          </w:p>
        </w:tc>
        <w:tc>
          <w:tcPr>
            <w:tcW w:w="1020" w:type="pct"/>
            <w:vMerge w:val="restart"/>
            <w:noWrap/>
            <w:vAlign w:val="center"/>
          </w:tcPr>
          <w:p w14:paraId="71F7C0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424" w:type="pct"/>
            <w:noWrap/>
            <w:vAlign w:val="center"/>
          </w:tcPr>
          <w:p w14:paraId="7CCCF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D15D1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1.40E-03</w:t>
            </w:r>
          </w:p>
        </w:tc>
        <w:tc>
          <w:tcPr>
            <w:tcW w:w="424" w:type="pct"/>
            <w:noWrap/>
            <w:vAlign w:val="center"/>
          </w:tcPr>
          <w:p w14:paraId="69F71F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240423</w:t>
            </w:r>
          </w:p>
        </w:tc>
        <w:tc>
          <w:tcPr>
            <w:tcW w:w="672" w:type="pct"/>
            <w:noWrap/>
            <w:vAlign w:val="center"/>
          </w:tcPr>
          <w:p w14:paraId="1E6A30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3FF7F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1.43E-03</w:t>
            </w:r>
          </w:p>
        </w:tc>
        <w:tc>
          <w:tcPr>
            <w:tcW w:w="412" w:type="pct"/>
            <w:noWrap/>
            <w:vAlign w:val="center"/>
          </w:tcPr>
          <w:p w14:paraId="31673B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1.43</w:t>
            </w:r>
          </w:p>
        </w:tc>
        <w:tc>
          <w:tcPr>
            <w:tcW w:w="424" w:type="pct"/>
            <w:noWrap/>
            <w:vAlign w:val="center"/>
          </w:tcPr>
          <w:p w14:paraId="060C6A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25D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5" w:type="pct"/>
            <w:vMerge w:val="continue"/>
            <w:noWrap/>
            <w:vAlign w:val="center"/>
          </w:tcPr>
          <w:p w14:paraId="3AE0FA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24342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87364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2BAE9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4.97E-05</w:t>
            </w:r>
          </w:p>
        </w:tc>
        <w:tc>
          <w:tcPr>
            <w:tcW w:w="424" w:type="pct"/>
            <w:noWrap/>
            <w:vAlign w:val="center"/>
          </w:tcPr>
          <w:p w14:paraId="625E52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B0740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2E1DC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7.71E-05</w:t>
            </w:r>
          </w:p>
        </w:tc>
        <w:tc>
          <w:tcPr>
            <w:tcW w:w="412" w:type="pct"/>
            <w:noWrap/>
            <w:vAlign w:val="center"/>
          </w:tcPr>
          <w:p w14:paraId="36DD89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0.15</w:t>
            </w:r>
          </w:p>
        </w:tc>
        <w:tc>
          <w:tcPr>
            <w:tcW w:w="424" w:type="pct"/>
            <w:noWrap/>
            <w:vAlign w:val="center"/>
          </w:tcPr>
          <w:p w14:paraId="7C380E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B92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2451CE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w:t>
            </w:r>
          </w:p>
        </w:tc>
        <w:tc>
          <w:tcPr>
            <w:tcW w:w="1020" w:type="pct"/>
            <w:vMerge w:val="restart"/>
            <w:noWrap/>
            <w:vAlign w:val="center"/>
          </w:tcPr>
          <w:p w14:paraId="19BF9F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424" w:type="pct"/>
            <w:noWrap/>
            <w:vAlign w:val="center"/>
          </w:tcPr>
          <w:p w14:paraId="390E45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0B274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5.77E-04</w:t>
            </w:r>
          </w:p>
        </w:tc>
        <w:tc>
          <w:tcPr>
            <w:tcW w:w="424" w:type="pct"/>
            <w:noWrap/>
            <w:vAlign w:val="center"/>
          </w:tcPr>
          <w:p w14:paraId="124946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01833E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2B358D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1.00E-01</w:t>
            </w:r>
          </w:p>
        </w:tc>
        <w:tc>
          <w:tcPr>
            <w:tcW w:w="412" w:type="pct"/>
            <w:noWrap/>
            <w:vAlign w:val="center"/>
          </w:tcPr>
          <w:p w14:paraId="163846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0.61</w:t>
            </w:r>
          </w:p>
        </w:tc>
        <w:tc>
          <w:tcPr>
            <w:tcW w:w="424" w:type="pct"/>
            <w:noWrap/>
            <w:vAlign w:val="center"/>
          </w:tcPr>
          <w:p w14:paraId="788B89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67B81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53A805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D817F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2E0AE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01BC25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1.44E-05</w:t>
            </w:r>
          </w:p>
        </w:tc>
        <w:tc>
          <w:tcPr>
            <w:tcW w:w="424" w:type="pct"/>
            <w:noWrap/>
            <w:vAlign w:val="center"/>
          </w:tcPr>
          <w:p w14:paraId="664235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B16E6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9934D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5.00E-02</w:t>
            </w:r>
          </w:p>
        </w:tc>
        <w:tc>
          <w:tcPr>
            <w:tcW w:w="412" w:type="pct"/>
            <w:noWrap/>
            <w:vAlign w:val="center"/>
          </w:tcPr>
          <w:p w14:paraId="0324AC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2EEA45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03FE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50A887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w:t>
            </w:r>
          </w:p>
        </w:tc>
        <w:tc>
          <w:tcPr>
            <w:tcW w:w="1020" w:type="pct"/>
            <w:vMerge w:val="restart"/>
            <w:noWrap/>
            <w:vAlign w:val="center"/>
          </w:tcPr>
          <w:p w14:paraId="6F1FFA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424" w:type="pct"/>
            <w:noWrap/>
            <w:vAlign w:val="center"/>
          </w:tcPr>
          <w:p w14:paraId="498E7B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28AA0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6.07E-04</w:t>
            </w:r>
          </w:p>
        </w:tc>
        <w:tc>
          <w:tcPr>
            <w:tcW w:w="424" w:type="pct"/>
            <w:noWrap/>
            <w:vAlign w:val="center"/>
          </w:tcPr>
          <w:p w14:paraId="702B44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24DC72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AB98D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6.38E-04</w:t>
            </w:r>
          </w:p>
        </w:tc>
        <w:tc>
          <w:tcPr>
            <w:tcW w:w="412" w:type="pct"/>
            <w:noWrap/>
            <w:vAlign w:val="center"/>
          </w:tcPr>
          <w:p w14:paraId="3D7245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0.64</w:t>
            </w:r>
          </w:p>
        </w:tc>
        <w:tc>
          <w:tcPr>
            <w:tcW w:w="424" w:type="pct"/>
            <w:noWrap/>
            <w:vAlign w:val="center"/>
          </w:tcPr>
          <w:p w14:paraId="6A784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70DB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411DD0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C8F2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CDA5D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2923A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1.65E-05</w:t>
            </w:r>
          </w:p>
        </w:tc>
        <w:tc>
          <w:tcPr>
            <w:tcW w:w="424" w:type="pct"/>
            <w:noWrap/>
            <w:vAlign w:val="center"/>
          </w:tcPr>
          <w:p w14:paraId="6B2D8C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CE95B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7AF683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4.39E-05</w:t>
            </w:r>
          </w:p>
        </w:tc>
        <w:tc>
          <w:tcPr>
            <w:tcW w:w="412" w:type="pct"/>
            <w:noWrap/>
            <w:vAlign w:val="center"/>
          </w:tcPr>
          <w:p w14:paraId="108409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0.09</w:t>
            </w:r>
          </w:p>
        </w:tc>
        <w:tc>
          <w:tcPr>
            <w:tcW w:w="424" w:type="pct"/>
            <w:noWrap/>
            <w:vAlign w:val="center"/>
          </w:tcPr>
          <w:p w14:paraId="7E1936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233F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5D796E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p>
        </w:tc>
        <w:tc>
          <w:tcPr>
            <w:tcW w:w="1020" w:type="pct"/>
            <w:vMerge w:val="restart"/>
            <w:noWrap/>
            <w:vAlign w:val="center"/>
          </w:tcPr>
          <w:p w14:paraId="6083B8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424" w:type="pct"/>
            <w:noWrap/>
            <w:vAlign w:val="center"/>
          </w:tcPr>
          <w:p w14:paraId="7F2632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EBB06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2.03E-04</w:t>
            </w:r>
          </w:p>
        </w:tc>
        <w:tc>
          <w:tcPr>
            <w:tcW w:w="424" w:type="pct"/>
            <w:noWrap/>
            <w:vAlign w:val="center"/>
          </w:tcPr>
          <w:p w14:paraId="7FB34A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09D1C0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3626E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2.34E-04</w:t>
            </w:r>
          </w:p>
        </w:tc>
        <w:tc>
          <w:tcPr>
            <w:tcW w:w="412" w:type="pct"/>
            <w:noWrap/>
            <w:vAlign w:val="center"/>
          </w:tcPr>
          <w:p w14:paraId="499412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0.23</w:t>
            </w:r>
          </w:p>
        </w:tc>
        <w:tc>
          <w:tcPr>
            <w:tcW w:w="424" w:type="pct"/>
            <w:noWrap/>
            <w:vAlign w:val="center"/>
          </w:tcPr>
          <w:p w14:paraId="0A1BA2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DD29B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772AA3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89175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0A6D4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B9A47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2.88E-06</w:t>
            </w:r>
          </w:p>
        </w:tc>
        <w:tc>
          <w:tcPr>
            <w:tcW w:w="424" w:type="pct"/>
            <w:noWrap/>
            <w:vAlign w:val="center"/>
          </w:tcPr>
          <w:p w14:paraId="5037E7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FA356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02590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3.03E-05</w:t>
            </w:r>
          </w:p>
        </w:tc>
        <w:tc>
          <w:tcPr>
            <w:tcW w:w="412" w:type="pct"/>
            <w:noWrap/>
            <w:vAlign w:val="center"/>
          </w:tcPr>
          <w:p w14:paraId="4670E3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42A8F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F40E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3FF529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1020" w:type="pct"/>
            <w:vMerge w:val="restart"/>
            <w:noWrap/>
            <w:vAlign w:val="center"/>
          </w:tcPr>
          <w:p w14:paraId="5B0F9C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绥芬河邮政管理局</w:t>
            </w:r>
          </w:p>
        </w:tc>
        <w:tc>
          <w:tcPr>
            <w:tcW w:w="424" w:type="pct"/>
            <w:noWrap/>
            <w:vAlign w:val="center"/>
          </w:tcPr>
          <w:p w14:paraId="1622E7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08D17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1.92E-04</w:t>
            </w:r>
          </w:p>
        </w:tc>
        <w:tc>
          <w:tcPr>
            <w:tcW w:w="424" w:type="pct"/>
            <w:noWrap/>
            <w:vAlign w:val="center"/>
          </w:tcPr>
          <w:p w14:paraId="6C361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423DA5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1AF450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2.23E-04</w:t>
            </w:r>
          </w:p>
        </w:tc>
        <w:tc>
          <w:tcPr>
            <w:tcW w:w="412" w:type="pct"/>
            <w:noWrap/>
            <w:vAlign w:val="center"/>
          </w:tcPr>
          <w:p w14:paraId="213A0F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0.22</w:t>
            </w:r>
          </w:p>
        </w:tc>
        <w:tc>
          <w:tcPr>
            <w:tcW w:w="424" w:type="pct"/>
            <w:noWrap/>
            <w:vAlign w:val="center"/>
          </w:tcPr>
          <w:p w14:paraId="4B7BE4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9F8D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4AFBF9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3F1F1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F635B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28065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3.10E-06</w:t>
            </w:r>
          </w:p>
        </w:tc>
        <w:tc>
          <w:tcPr>
            <w:tcW w:w="424" w:type="pct"/>
            <w:noWrap/>
            <w:vAlign w:val="center"/>
          </w:tcPr>
          <w:p w14:paraId="1E632D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CA0E4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7ACAC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3.05E-05</w:t>
            </w:r>
          </w:p>
        </w:tc>
        <w:tc>
          <w:tcPr>
            <w:tcW w:w="412" w:type="pct"/>
            <w:noWrap/>
            <w:vAlign w:val="center"/>
          </w:tcPr>
          <w:p w14:paraId="0293EA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4A62AA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BD65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5155BF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1020" w:type="pct"/>
            <w:vMerge w:val="restart"/>
            <w:noWrap/>
            <w:vAlign w:val="center"/>
          </w:tcPr>
          <w:p w14:paraId="665D38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绥芬河市教育局</w:t>
            </w:r>
          </w:p>
        </w:tc>
        <w:tc>
          <w:tcPr>
            <w:tcW w:w="424" w:type="pct"/>
            <w:noWrap/>
            <w:vAlign w:val="center"/>
          </w:tcPr>
          <w:p w14:paraId="0AABDB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EC3A9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1.67E-04</w:t>
            </w:r>
          </w:p>
        </w:tc>
        <w:tc>
          <w:tcPr>
            <w:tcW w:w="424" w:type="pct"/>
            <w:noWrap/>
            <w:vAlign w:val="center"/>
          </w:tcPr>
          <w:p w14:paraId="73C562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240321</w:t>
            </w:r>
          </w:p>
        </w:tc>
        <w:tc>
          <w:tcPr>
            <w:tcW w:w="672" w:type="pct"/>
            <w:noWrap/>
            <w:vAlign w:val="center"/>
          </w:tcPr>
          <w:p w14:paraId="64B540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A0822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1.98E-04</w:t>
            </w:r>
          </w:p>
        </w:tc>
        <w:tc>
          <w:tcPr>
            <w:tcW w:w="412" w:type="pct"/>
            <w:noWrap/>
            <w:vAlign w:val="center"/>
          </w:tcPr>
          <w:p w14:paraId="436FB4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0.20</w:t>
            </w:r>
          </w:p>
        </w:tc>
        <w:tc>
          <w:tcPr>
            <w:tcW w:w="424" w:type="pct"/>
            <w:noWrap/>
            <w:vAlign w:val="center"/>
          </w:tcPr>
          <w:p w14:paraId="67096A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1575D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4F8990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20AEE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E3309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581DE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3.12E-06</w:t>
            </w:r>
          </w:p>
        </w:tc>
        <w:tc>
          <w:tcPr>
            <w:tcW w:w="424" w:type="pct"/>
            <w:noWrap/>
            <w:vAlign w:val="center"/>
          </w:tcPr>
          <w:p w14:paraId="40069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251BD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D5FD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3.06E-05</w:t>
            </w:r>
          </w:p>
        </w:tc>
        <w:tc>
          <w:tcPr>
            <w:tcW w:w="412" w:type="pct"/>
            <w:noWrap/>
            <w:vAlign w:val="center"/>
          </w:tcPr>
          <w:p w14:paraId="37EF48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53FBCF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0F98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75" w:type="pct"/>
            <w:vMerge w:val="restart"/>
            <w:noWrap/>
            <w:vAlign w:val="center"/>
          </w:tcPr>
          <w:p w14:paraId="41E763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1020" w:type="pct"/>
            <w:vMerge w:val="restart"/>
            <w:noWrap/>
            <w:vAlign w:val="center"/>
          </w:tcPr>
          <w:p w14:paraId="256108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绥芬河市自然资源局</w:t>
            </w:r>
          </w:p>
        </w:tc>
        <w:tc>
          <w:tcPr>
            <w:tcW w:w="424" w:type="pct"/>
            <w:noWrap/>
            <w:vAlign w:val="center"/>
          </w:tcPr>
          <w:p w14:paraId="014D1D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57BD6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2.30E-04</w:t>
            </w:r>
          </w:p>
        </w:tc>
        <w:tc>
          <w:tcPr>
            <w:tcW w:w="424" w:type="pct"/>
            <w:noWrap/>
            <w:vAlign w:val="center"/>
          </w:tcPr>
          <w:p w14:paraId="08F04F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34E2E4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542BF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1.00E-01</w:t>
            </w:r>
          </w:p>
        </w:tc>
        <w:tc>
          <w:tcPr>
            <w:tcW w:w="412" w:type="pct"/>
            <w:noWrap/>
            <w:vAlign w:val="center"/>
          </w:tcPr>
          <w:p w14:paraId="06B658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0.26</w:t>
            </w:r>
          </w:p>
        </w:tc>
        <w:tc>
          <w:tcPr>
            <w:tcW w:w="424" w:type="pct"/>
            <w:noWrap/>
            <w:vAlign w:val="center"/>
          </w:tcPr>
          <w:p w14:paraId="085822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4288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75" w:type="pct"/>
            <w:vMerge w:val="continue"/>
            <w:noWrap/>
            <w:vAlign w:val="center"/>
          </w:tcPr>
          <w:p w14:paraId="2DC386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D76BE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6A7AC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EE1C2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3.39E-06</w:t>
            </w:r>
          </w:p>
        </w:tc>
        <w:tc>
          <w:tcPr>
            <w:tcW w:w="424" w:type="pct"/>
            <w:noWrap/>
            <w:vAlign w:val="center"/>
          </w:tcPr>
          <w:p w14:paraId="5E42C4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34C39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02082D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5.00E-02</w:t>
            </w:r>
          </w:p>
        </w:tc>
        <w:tc>
          <w:tcPr>
            <w:tcW w:w="412" w:type="pct"/>
            <w:noWrap/>
            <w:vAlign w:val="center"/>
          </w:tcPr>
          <w:p w14:paraId="23BB4C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33356E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CA272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75" w:type="pct"/>
            <w:vMerge w:val="restart"/>
            <w:noWrap/>
            <w:vAlign w:val="center"/>
          </w:tcPr>
          <w:p w14:paraId="638285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1020" w:type="pct"/>
            <w:vMerge w:val="restart"/>
            <w:noWrap/>
            <w:vAlign w:val="center"/>
          </w:tcPr>
          <w:p w14:paraId="21686F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绥芬河海关</w:t>
            </w:r>
          </w:p>
        </w:tc>
        <w:tc>
          <w:tcPr>
            <w:tcW w:w="424" w:type="pct"/>
            <w:noWrap/>
            <w:vAlign w:val="center"/>
          </w:tcPr>
          <w:p w14:paraId="458554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29A94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2.21E-04</w:t>
            </w:r>
          </w:p>
        </w:tc>
        <w:tc>
          <w:tcPr>
            <w:tcW w:w="424" w:type="pct"/>
            <w:noWrap/>
            <w:vAlign w:val="center"/>
          </w:tcPr>
          <w:p w14:paraId="42228E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53FD0B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FEA92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2.52E-04</w:t>
            </w:r>
          </w:p>
        </w:tc>
        <w:tc>
          <w:tcPr>
            <w:tcW w:w="412" w:type="pct"/>
            <w:noWrap/>
            <w:vAlign w:val="center"/>
          </w:tcPr>
          <w:p w14:paraId="6A796C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0.25</w:t>
            </w:r>
          </w:p>
        </w:tc>
        <w:tc>
          <w:tcPr>
            <w:tcW w:w="424" w:type="pct"/>
            <w:noWrap/>
            <w:vAlign w:val="center"/>
          </w:tcPr>
          <w:p w14:paraId="17CAB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67A0A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75" w:type="pct"/>
            <w:vMerge w:val="continue"/>
            <w:noWrap/>
            <w:vAlign w:val="center"/>
          </w:tcPr>
          <w:p w14:paraId="7C72A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4FFDC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56D3F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CD74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5.57E-06</w:t>
            </w:r>
          </w:p>
        </w:tc>
        <w:tc>
          <w:tcPr>
            <w:tcW w:w="424" w:type="pct"/>
            <w:noWrap/>
            <w:vAlign w:val="center"/>
          </w:tcPr>
          <w:p w14:paraId="5955C4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A6C8C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EAC79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3.30E-05</w:t>
            </w:r>
          </w:p>
        </w:tc>
        <w:tc>
          <w:tcPr>
            <w:tcW w:w="412" w:type="pct"/>
            <w:noWrap/>
            <w:vAlign w:val="center"/>
          </w:tcPr>
          <w:p w14:paraId="32E6A0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7BBA63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7CEA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75" w:type="pct"/>
            <w:vMerge w:val="restart"/>
            <w:noWrap/>
            <w:vAlign w:val="center"/>
          </w:tcPr>
          <w:p w14:paraId="1F9A8B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1020" w:type="pct"/>
            <w:vMerge w:val="restart"/>
            <w:noWrap/>
            <w:vAlign w:val="center"/>
          </w:tcPr>
          <w:p w14:paraId="48E141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424" w:type="pct"/>
            <w:noWrap/>
            <w:vAlign w:val="center"/>
          </w:tcPr>
          <w:p w14:paraId="5513B4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677FC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9.56E-04</w:t>
            </w:r>
          </w:p>
        </w:tc>
        <w:tc>
          <w:tcPr>
            <w:tcW w:w="424" w:type="pct"/>
            <w:noWrap/>
            <w:vAlign w:val="center"/>
          </w:tcPr>
          <w:p w14:paraId="013BAE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240430</w:t>
            </w:r>
          </w:p>
        </w:tc>
        <w:tc>
          <w:tcPr>
            <w:tcW w:w="672" w:type="pct"/>
            <w:noWrap/>
            <w:vAlign w:val="center"/>
          </w:tcPr>
          <w:p w14:paraId="16BE09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2A4258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9.87E-04</w:t>
            </w:r>
          </w:p>
        </w:tc>
        <w:tc>
          <w:tcPr>
            <w:tcW w:w="412" w:type="pct"/>
            <w:noWrap/>
            <w:vAlign w:val="center"/>
          </w:tcPr>
          <w:p w14:paraId="68F351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0.99</w:t>
            </w:r>
          </w:p>
        </w:tc>
        <w:tc>
          <w:tcPr>
            <w:tcW w:w="424" w:type="pct"/>
            <w:noWrap/>
            <w:vAlign w:val="center"/>
          </w:tcPr>
          <w:p w14:paraId="11E60C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37A8F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75" w:type="pct"/>
            <w:vMerge w:val="continue"/>
            <w:noWrap/>
            <w:vAlign w:val="center"/>
          </w:tcPr>
          <w:p w14:paraId="6BC3D2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74B5C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FB774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A12CF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6.19E-05</w:t>
            </w:r>
          </w:p>
        </w:tc>
        <w:tc>
          <w:tcPr>
            <w:tcW w:w="424" w:type="pct"/>
            <w:noWrap/>
            <w:vAlign w:val="center"/>
          </w:tcPr>
          <w:p w14:paraId="0256D8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056E1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03AA4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8.93E-05</w:t>
            </w:r>
          </w:p>
        </w:tc>
        <w:tc>
          <w:tcPr>
            <w:tcW w:w="412" w:type="pct"/>
            <w:noWrap/>
            <w:vAlign w:val="center"/>
          </w:tcPr>
          <w:p w14:paraId="1C8187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0.18</w:t>
            </w:r>
          </w:p>
        </w:tc>
        <w:tc>
          <w:tcPr>
            <w:tcW w:w="424" w:type="pct"/>
            <w:noWrap/>
            <w:vAlign w:val="center"/>
          </w:tcPr>
          <w:p w14:paraId="0D5A55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6970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75" w:type="pct"/>
            <w:vMerge w:val="restart"/>
            <w:noWrap/>
            <w:vAlign w:val="center"/>
          </w:tcPr>
          <w:p w14:paraId="4CAEE1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1020" w:type="pct"/>
            <w:vMerge w:val="restart"/>
            <w:noWrap/>
            <w:vAlign w:val="center"/>
          </w:tcPr>
          <w:p w14:paraId="50F810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绥芬河市生态环境局</w:t>
            </w:r>
          </w:p>
        </w:tc>
        <w:tc>
          <w:tcPr>
            <w:tcW w:w="424" w:type="pct"/>
            <w:noWrap/>
            <w:vAlign w:val="center"/>
          </w:tcPr>
          <w:p w14:paraId="70A55B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5157C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5.07E-04</w:t>
            </w:r>
          </w:p>
        </w:tc>
        <w:tc>
          <w:tcPr>
            <w:tcW w:w="424" w:type="pct"/>
            <w:noWrap/>
            <w:vAlign w:val="center"/>
          </w:tcPr>
          <w:p w14:paraId="377953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240325</w:t>
            </w:r>
          </w:p>
        </w:tc>
        <w:tc>
          <w:tcPr>
            <w:tcW w:w="672" w:type="pct"/>
            <w:noWrap/>
            <w:vAlign w:val="center"/>
          </w:tcPr>
          <w:p w14:paraId="789BC7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FA354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5.38E-04</w:t>
            </w:r>
          </w:p>
        </w:tc>
        <w:tc>
          <w:tcPr>
            <w:tcW w:w="412" w:type="pct"/>
            <w:noWrap/>
            <w:vAlign w:val="center"/>
          </w:tcPr>
          <w:p w14:paraId="662AD9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0.54</w:t>
            </w:r>
          </w:p>
        </w:tc>
        <w:tc>
          <w:tcPr>
            <w:tcW w:w="424" w:type="pct"/>
            <w:noWrap/>
            <w:vAlign w:val="center"/>
          </w:tcPr>
          <w:p w14:paraId="09B667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239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275" w:type="pct"/>
            <w:vMerge w:val="continue"/>
            <w:noWrap/>
            <w:vAlign w:val="center"/>
          </w:tcPr>
          <w:p w14:paraId="213C6F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C1F12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43E253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8E6E2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1.15E-05</w:t>
            </w:r>
          </w:p>
        </w:tc>
        <w:tc>
          <w:tcPr>
            <w:tcW w:w="424" w:type="pct"/>
            <w:noWrap/>
            <w:vAlign w:val="center"/>
          </w:tcPr>
          <w:p w14:paraId="1F687B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5604E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E3981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3.90E-05</w:t>
            </w:r>
          </w:p>
        </w:tc>
        <w:tc>
          <w:tcPr>
            <w:tcW w:w="412" w:type="pct"/>
            <w:noWrap/>
            <w:vAlign w:val="center"/>
          </w:tcPr>
          <w:p w14:paraId="6FE922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45EA12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C896C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75" w:type="pct"/>
            <w:vMerge w:val="restart"/>
            <w:noWrap/>
            <w:vAlign w:val="center"/>
          </w:tcPr>
          <w:p w14:paraId="5F3546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1020" w:type="pct"/>
            <w:vMerge w:val="restart"/>
            <w:noWrap/>
            <w:vAlign w:val="center"/>
          </w:tcPr>
          <w:p w14:paraId="154098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绥芬河市民政局</w:t>
            </w:r>
          </w:p>
        </w:tc>
        <w:tc>
          <w:tcPr>
            <w:tcW w:w="424" w:type="pct"/>
            <w:noWrap/>
            <w:vAlign w:val="center"/>
          </w:tcPr>
          <w:p w14:paraId="19097C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43A80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8.95E-05</w:t>
            </w:r>
          </w:p>
        </w:tc>
        <w:tc>
          <w:tcPr>
            <w:tcW w:w="424" w:type="pct"/>
            <w:noWrap/>
            <w:vAlign w:val="center"/>
          </w:tcPr>
          <w:p w14:paraId="7CC12E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559401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CBCA4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1.21E-04</w:t>
            </w:r>
          </w:p>
        </w:tc>
        <w:tc>
          <w:tcPr>
            <w:tcW w:w="412" w:type="pct"/>
            <w:noWrap/>
            <w:vAlign w:val="center"/>
          </w:tcPr>
          <w:p w14:paraId="1AB5C4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1EF038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47B97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75" w:type="pct"/>
            <w:vMerge w:val="continue"/>
            <w:noWrap/>
            <w:vAlign w:val="center"/>
          </w:tcPr>
          <w:p w14:paraId="02B831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6E8D3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363C7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A7C1B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1.59E-06</w:t>
            </w:r>
          </w:p>
        </w:tc>
        <w:tc>
          <w:tcPr>
            <w:tcW w:w="424" w:type="pct"/>
            <w:noWrap/>
            <w:vAlign w:val="center"/>
          </w:tcPr>
          <w:p w14:paraId="137DAE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0C76A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FD8DE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2.90E-05</w:t>
            </w:r>
          </w:p>
        </w:tc>
        <w:tc>
          <w:tcPr>
            <w:tcW w:w="412" w:type="pct"/>
            <w:noWrap/>
            <w:vAlign w:val="center"/>
          </w:tcPr>
          <w:p w14:paraId="361435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70184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B7DB9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75" w:type="pct"/>
            <w:vMerge w:val="restart"/>
            <w:noWrap/>
            <w:vAlign w:val="center"/>
          </w:tcPr>
          <w:p w14:paraId="3E08DB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1020" w:type="pct"/>
            <w:vMerge w:val="restart"/>
            <w:noWrap/>
            <w:vAlign w:val="center"/>
          </w:tcPr>
          <w:p w14:paraId="02A5FE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绥芬河市公安局</w:t>
            </w:r>
          </w:p>
        </w:tc>
        <w:tc>
          <w:tcPr>
            <w:tcW w:w="424" w:type="pct"/>
            <w:noWrap/>
            <w:vAlign w:val="center"/>
          </w:tcPr>
          <w:p w14:paraId="317797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F383C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1.03E-04</w:t>
            </w:r>
          </w:p>
        </w:tc>
        <w:tc>
          <w:tcPr>
            <w:tcW w:w="424" w:type="pct"/>
            <w:noWrap/>
            <w:vAlign w:val="center"/>
          </w:tcPr>
          <w:p w14:paraId="02F553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240416</w:t>
            </w:r>
          </w:p>
        </w:tc>
        <w:tc>
          <w:tcPr>
            <w:tcW w:w="672" w:type="pct"/>
            <w:noWrap/>
            <w:vAlign w:val="center"/>
          </w:tcPr>
          <w:p w14:paraId="3114D7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F162F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1.34E-04</w:t>
            </w:r>
          </w:p>
        </w:tc>
        <w:tc>
          <w:tcPr>
            <w:tcW w:w="412" w:type="pct"/>
            <w:noWrap/>
            <w:vAlign w:val="center"/>
          </w:tcPr>
          <w:p w14:paraId="6B1287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0.13</w:t>
            </w:r>
          </w:p>
        </w:tc>
        <w:tc>
          <w:tcPr>
            <w:tcW w:w="424" w:type="pct"/>
            <w:noWrap/>
            <w:vAlign w:val="center"/>
          </w:tcPr>
          <w:p w14:paraId="3ADB70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C23EA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75" w:type="pct"/>
            <w:vMerge w:val="continue"/>
            <w:noWrap/>
            <w:vAlign w:val="center"/>
          </w:tcPr>
          <w:p w14:paraId="1042FB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4128D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C0F4E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3E9DE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1.93E-06</w:t>
            </w:r>
          </w:p>
        </w:tc>
        <w:tc>
          <w:tcPr>
            <w:tcW w:w="424" w:type="pct"/>
            <w:noWrap/>
            <w:vAlign w:val="center"/>
          </w:tcPr>
          <w:p w14:paraId="22E4F3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E6A34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7E562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2.94E-05</w:t>
            </w:r>
          </w:p>
        </w:tc>
        <w:tc>
          <w:tcPr>
            <w:tcW w:w="412" w:type="pct"/>
            <w:noWrap/>
            <w:vAlign w:val="center"/>
          </w:tcPr>
          <w:p w14:paraId="3419E9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63B203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1310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75" w:type="pct"/>
            <w:vMerge w:val="restart"/>
            <w:noWrap/>
            <w:vAlign w:val="center"/>
          </w:tcPr>
          <w:p w14:paraId="52654D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1020" w:type="pct"/>
            <w:vMerge w:val="restart"/>
            <w:noWrap/>
            <w:vAlign w:val="center"/>
          </w:tcPr>
          <w:p w14:paraId="4FFC03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阜宁镇人民政府</w:t>
            </w:r>
          </w:p>
        </w:tc>
        <w:tc>
          <w:tcPr>
            <w:tcW w:w="424" w:type="pct"/>
            <w:noWrap/>
            <w:vAlign w:val="center"/>
          </w:tcPr>
          <w:p w14:paraId="3E98C0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A799A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6.96E-05</w:t>
            </w:r>
          </w:p>
        </w:tc>
        <w:tc>
          <w:tcPr>
            <w:tcW w:w="424" w:type="pct"/>
            <w:noWrap/>
            <w:vAlign w:val="center"/>
          </w:tcPr>
          <w:p w14:paraId="1C0793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0BA4BC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104099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1.01E-04</w:t>
            </w:r>
          </w:p>
        </w:tc>
        <w:tc>
          <w:tcPr>
            <w:tcW w:w="412" w:type="pct"/>
            <w:noWrap/>
            <w:vAlign w:val="center"/>
          </w:tcPr>
          <w:p w14:paraId="476ECA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26E7B6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6676A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275" w:type="pct"/>
            <w:vMerge w:val="continue"/>
            <w:noWrap/>
            <w:vAlign w:val="center"/>
          </w:tcPr>
          <w:p w14:paraId="196FBC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2021A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30617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8A32C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1.07E-06</w:t>
            </w:r>
          </w:p>
        </w:tc>
        <w:tc>
          <w:tcPr>
            <w:tcW w:w="424" w:type="pct"/>
            <w:noWrap/>
            <w:vAlign w:val="center"/>
          </w:tcPr>
          <w:p w14:paraId="0F68A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CE2B3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0605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2.85E-05</w:t>
            </w:r>
          </w:p>
        </w:tc>
        <w:tc>
          <w:tcPr>
            <w:tcW w:w="412" w:type="pct"/>
            <w:noWrap/>
            <w:vAlign w:val="center"/>
          </w:tcPr>
          <w:p w14:paraId="2DFC88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1B548F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F75F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275" w:type="pct"/>
            <w:vMerge w:val="restart"/>
            <w:noWrap/>
            <w:vAlign w:val="center"/>
          </w:tcPr>
          <w:p w14:paraId="17E93A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1020" w:type="pct"/>
            <w:vMerge w:val="restart"/>
            <w:noWrap/>
            <w:vAlign w:val="center"/>
          </w:tcPr>
          <w:p w14:paraId="30F3E9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绥芬河市广播电视局</w:t>
            </w:r>
          </w:p>
        </w:tc>
        <w:tc>
          <w:tcPr>
            <w:tcW w:w="424" w:type="pct"/>
            <w:noWrap/>
            <w:vAlign w:val="center"/>
          </w:tcPr>
          <w:p w14:paraId="592FBC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3CF05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2.59E-04</w:t>
            </w:r>
          </w:p>
        </w:tc>
        <w:tc>
          <w:tcPr>
            <w:tcW w:w="424" w:type="pct"/>
            <w:noWrap/>
            <w:vAlign w:val="center"/>
          </w:tcPr>
          <w:p w14:paraId="0811EB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5E1835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64A2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2.90E-04</w:t>
            </w:r>
          </w:p>
        </w:tc>
        <w:tc>
          <w:tcPr>
            <w:tcW w:w="412" w:type="pct"/>
            <w:noWrap/>
            <w:vAlign w:val="center"/>
          </w:tcPr>
          <w:p w14:paraId="076472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0.29</w:t>
            </w:r>
          </w:p>
        </w:tc>
        <w:tc>
          <w:tcPr>
            <w:tcW w:w="424" w:type="pct"/>
            <w:noWrap/>
            <w:vAlign w:val="center"/>
          </w:tcPr>
          <w:p w14:paraId="66B9DB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2C39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75" w:type="pct"/>
            <w:vMerge w:val="continue"/>
            <w:noWrap/>
            <w:vAlign w:val="center"/>
          </w:tcPr>
          <w:p w14:paraId="166E21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A4B18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4FD5E2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AE404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8.25E-06</w:t>
            </w:r>
          </w:p>
        </w:tc>
        <w:tc>
          <w:tcPr>
            <w:tcW w:w="424" w:type="pct"/>
            <w:noWrap/>
            <w:vAlign w:val="center"/>
          </w:tcPr>
          <w:p w14:paraId="73E9AF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80597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24CE6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3.57E-05</w:t>
            </w:r>
          </w:p>
        </w:tc>
        <w:tc>
          <w:tcPr>
            <w:tcW w:w="412" w:type="pct"/>
            <w:noWrap/>
            <w:vAlign w:val="center"/>
          </w:tcPr>
          <w:p w14:paraId="26B3B5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19C349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085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75" w:type="pct"/>
            <w:vMerge w:val="restart"/>
            <w:noWrap/>
            <w:vAlign w:val="center"/>
          </w:tcPr>
          <w:p w14:paraId="57EE3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1020" w:type="pct"/>
            <w:vMerge w:val="restart"/>
            <w:noWrap/>
            <w:vAlign w:val="center"/>
          </w:tcPr>
          <w:p w14:paraId="0663E8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红太阳未来星幼儿园</w:t>
            </w:r>
          </w:p>
        </w:tc>
        <w:tc>
          <w:tcPr>
            <w:tcW w:w="424" w:type="pct"/>
            <w:noWrap/>
            <w:vAlign w:val="center"/>
          </w:tcPr>
          <w:p w14:paraId="46027F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7103C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5.53E-04</w:t>
            </w:r>
          </w:p>
        </w:tc>
        <w:tc>
          <w:tcPr>
            <w:tcW w:w="424" w:type="pct"/>
            <w:noWrap/>
            <w:vAlign w:val="center"/>
          </w:tcPr>
          <w:p w14:paraId="1F0B77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B77DB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3EDDA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5.84E-04</w:t>
            </w:r>
          </w:p>
        </w:tc>
        <w:tc>
          <w:tcPr>
            <w:tcW w:w="412" w:type="pct"/>
            <w:noWrap/>
            <w:vAlign w:val="center"/>
          </w:tcPr>
          <w:p w14:paraId="6FB585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0.58</w:t>
            </w:r>
          </w:p>
        </w:tc>
        <w:tc>
          <w:tcPr>
            <w:tcW w:w="424" w:type="pct"/>
            <w:noWrap/>
            <w:vAlign w:val="center"/>
          </w:tcPr>
          <w:p w14:paraId="5D3E9C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9820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75" w:type="pct"/>
            <w:vMerge w:val="continue"/>
            <w:noWrap/>
            <w:vAlign w:val="center"/>
          </w:tcPr>
          <w:p w14:paraId="013CF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6FCE10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CE1AF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E7E8E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1.49E-05</w:t>
            </w:r>
          </w:p>
        </w:tc>
        <w:tc>
          <w:tcPr>
            <w:tcW w:w="424" w:type="pct"/>
            <w:noWrap/>
            <w:vAlign w:val="center"/>
          </w:tcPr>
          <w:p w14:paraId="1D5920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19C2B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6D029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4.23E-05</w:t>
            </w:r>
          </w:p>
        </w:tc>
        <w:tc>
          <w:tcPr>
            <w:tcW w:w="412" w:type="pct"/>
            <w:noWrap/>
            <w:vAlign w:val="center"/>
          </w:tcPr>
          <w:p w14:paraId="69B3AA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1405E8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9AA7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75" w:type="pct"/>
            <w:vMerge w:val="restart"/>
            <w:noWrap/>
            <w:vAlign w:val="center"/>
          </w:tcPr>
          <w:p w14:paraId="48C6CE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1020" w:type="pct"/>
            <w:vMerge w:val="restart"/>
            <w:noWrap/>
            <w:vAlign w:val="center"/>
          </w:tcPr>
          <w:p w14:paraId="3A0742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金恒基小学</w:t>
            </w:r>
          </w:p>
        </w:tc>
        <w:tc>
          <w:tcPr>
            <w:tcW w:w="424" w:type="pct"/>
            <w:noWrap/>
            <w:vAlign w:val="center"/>
          </w:tcPr>
          <w:p w14:paraId="038377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51A65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3.54E-04</w:t>
            </w:r>
          </w:p>
        </w:tc>
        <w:tc>
          <w:tcPr>
            <w:tcW w:w="424" w:type="pct"/>
            <w:noWrap/>
            <w:vAlign w:val="center"/>
          </w:tcPr>
          <w:p w14:paraId="71A2A4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739C4D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1D26CD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3.85E-04</w:t>
            </w:r>
          </w:p>
        </w:tc>
        <w:tc>
          <w:tcPr>
            <w:tcW w:w="412" w:type="pct"/>
            <w:noWrap/>
            <w:vAlign w:val="center"/>
          </w:tcPr>
          <w:p w14:paraId="0C4636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0.39</w:t>
            </w:r>
          </w:p>
        </w:tc>
        <w:tc>
          <w:tcPr>
            <w:tcW w:w="424" w:type="pct"/>
            <w:noWrap/>
            <w:vAlign w:val="center"/>
          </w:tcPr>
          <w:p w14:paraId="6AE2AF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EBAF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75" w:type="pct"/>
            <w:vMerge w:val="continue"/>
            <w:noWrap/>
            <w:vAlign w:val="center"/>
          </w:tcPr>
          <w:p w14:paraId="5D2D37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3A99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6DB24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6D05E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4.60E-06</w:t>
            </w:r>
          </w:p>
        </w:tc>
        <w:tc>
          <w:tcPr>
            <w:tcW w:w="424" w:type="pct"/>
            <w:noWrap/>
            <w:vAlign w:val="center"/>
          </w:tcPr>
          <w:p w14:paraId="12B2AA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2C494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FD52A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3.20E-05</w:t>
            </w:r>
          </w:p>
        </w:tc>
        <w:tc>
          <w:tcPr>
            <w:tcW w:w="412" w:type="pct"/>
            <w:noWrap/>
            <w:vAlign w:val="center"/>
          </w:tcPr>
          <w:p w14:paraId="3E3775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5D6E1F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8CD42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75" w:type="pct"/>
            <w:vMerge w:val="restart"/>
            <w:noWrap/>
            <w:vAlign w:val="center"/>
          </w:tcPr>
          <w:p w14:paraId="5493A1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1020" w:type="pct"/>
            <w:vMerge w:val="restart"/>
            <w:noWrap/>
            <w:vAlign w:val="center"/>
          </w:tcPr>
          <w:p w14:paraId="3C06C3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弘孟幼儿园</w:t>
            </w:r>
          </w:p>
        </w:tc>
        <w:tc>
          <w:tcPr>
            <w:tcW w:w="424" w:type="pct"/>
            <w:noWrap/>
            <w:vAlign w:val="center"/>
          </w:tcPr>
          <w:p w14:paraId="2E9D45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32020D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3.75E-04</w:t>
            </w:r>
          </w:p>
        </w:tc>
        <w:tc>
          <w:tcPr>
            <w:tcW w:w="424" w:type="pct"/>
            <w:noWrap/>
            <w:vAlign w:val="center"/>
          </w:tcPr>
          <w:p w14:paraId="21677D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431C27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95D09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4.06E-04</w:t>
            </w:r>
          </w:p>
        </w:tc>
        <w:tc>
          <w:tcPr>
            <w:tcW w:w="412" w:type="pct"/>
            <w:noWrap/>
            <w:vAlign w:val="center"/>
          </w:tcPr>
          <w:p w14:paraId="227C41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0.41</w:t>
            </w:r>
          </w:p>
        </w:tc>
        <w:tc>
          <w:tcPr>
            <w:tcW w:w="424" w:type="pct"/>
            <w:noWrap/>
            <w:vAlign w:val="center"/>
          </w:tcPr>
          <w:p w14:paraId="3A78FB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128A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75" w:type="pct"/>
            <w:vMerge w:val="continue"/>
            <w:noWrap/>
            <w:vAlign w:val="center"/>
          </w:tcPr>
          <w:p w14:paraId="1C58A4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873FE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495A9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9CDAF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5.04E-06</w:t>
            </w:r>
          </w:p>
        </w:tc>
        <w:tc>
          <w:tcPr>
            <w:tcW w:w="424" w:type="pct"/>
            <w:noWrap/>
            <w:vAlign w:val="center"/>
          </w:tcPr>
          <w:p w14:paraId="0176DC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7CA8E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D32D7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3.25E-05</w:t>
            </w:r>
          </w:p>
        </w:tc>
        <w:tc>
          <w:tcPr>
            <w:tcW w:w="412" w:type="pct"/>
            <w:noWrap/>
            <w:vAlign w:val="center"/>
          </w:tcPr>
          <w:p w14:paraId="4E1A04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168A48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47522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275" w:type="pct"/>
            <w:vMerge w:val="restart"/>
            <w:noWrap/>
            <w:vAlign w:val="center"/>
          </w:tcPr>
          <w:p w14:paraId="1F0ED3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1020" w:type="pct"/>
            <w:vMerge w:val="restart"/>
            <w:noWrap/>
            <w:vAlign w:val="center"/>
          </w:tcPr>
          <w:p w14:paraId="4CF0C6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红太阳幼儿园</w:t>
            </w:r>
          </w:p>
        </w:tc>
        <w:tc>
          <w:tcPr>
            <w:tcW w:w="424" w:type="pct"/>
            <w:noWrap/>
            <w:vAlign w:val="center"/>
          </w:tcPr>
          <w:p w14:paraId="2E6E2D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59857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7.14E-04</w:t>
            </w:r>
          </w:p>
        </w:tc>
        <w:tc>
          <w:tcPr>
            <w:tcW w:w="424" w:type="pct"/>
            <w:noWrap/>
            <w:vAlign w:val="center"/>
          </w:tcPr>
          <w:p w14:paraId="72B31F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240325</w:t>
            </w:r>
          </w:p>
        </w:tc>
        <w:tc>
          <w:tcPr>
            <w:tcW w:w="672" w:type="pct"/>
            <w:noWrap/>
            <w:vAlign w:val="center"/>
          </w:tcPr>
          <w:p w14:paraId="20420B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9BB64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7.45E-04</w:t>
            </w:r>
          </w:p>
        </w:tc>
        <w:tc>
          <w:tcPr>
            <w:tcW w:w="412" w:type="pct"/>
            <w:noWrap/>
            <w:vAlign w:val="center"/>
          </w:tcPr>
          <w:p w14:paraId="3B6242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0.74</w:t>
            </w:r>
          </w:p>
        </w:tc>
        <w:tc>
          <w:tcPr>
            <w:tcW w:w="424" w:type="pct"/>
            <w:noWrap/>
            <w:vAlign w:val="center"/>
          </w:tcPr>
          <w:p w14:paraId="528435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87CC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75" w:type="pct"/>
            <w:vMerge w:val="continue"/>
            <w:noWrap/>
            <w:vAlign w:val="center"/>
          </w:tcPr>
          <w:p w14:paraId="7486F4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75E2DA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8CA76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913E8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1.80E-05</w:t>
            </w:r>
          </w:p>
        </w:tc>
        <w:tc>
          <w:tcPr>
            <w:tcW w:w="424" w:type="pct"/>
            <w:noWrap/>
            <w:vAlign w:val="center"/>
          </w:tcPr>
          <w:p w14:paraId="018800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AE41E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991C0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4.55E-05</w:t>
            </w:r>
          </w:p>
        </w:tc>
        <w:tc>
          <w:tcPr>
            <w:tcW w:w="412" w:type="pct"/>
            <w:noWrap/>
            <w:vAlign w:val="center"/>
          </w:tcPr>
          <w:p w14:paraId="16B31B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0.09</w:t>
            </w:r>
          </w:p>
        </w:tc>
        <w:tc>
          <w:tcPr>
            <w:tcW w:w="424" w:type="pct"/>
            <w:noWrap/>
            <w:vAlign w:val="center"/>
          </w:tcPr>
          <w:p w14:paraId="1EAE35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5A46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275" w:type="pct"/>
            <w:vMerge w:val="restart"/>
            <w:noWrap/>
            <w:vAlign w:val="center"/>
          </w:tcPr>
          <w:p w14:paraId="00B17B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1020" w:type="pct"/>
            <w:vMerge w:val="restart"/>
            <w:noWrap/>
            <w:vAlign w:val="center"/>
          </w:tcPr>
          <w:p w14:paraId="3E220D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千里幼稚园</w:t>
            </w:r>
          </w:p>
        </w:tc>
        <w:tc>
          <w:tcPr>
            <w:tcW w:w="424" w:type="pct"/>
            <w:noWrap/>
            <w:vAlign w:val="center"/>
          </w:tcPr>
          <w:p w14:paraId="7D2BA6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70D5D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5.69E-04</w:t>
            </w:r>
          </w:p>
        </w:tc>
        <w:tc>
          <w:tcPr>
            <w:tcW w:w="424" w:type="pct"/>
            <w:noWrap/>
            <w:vAlign w:val="center"/>
          </w:tcPr>
          <w:p w14:paraId="05E382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704D1C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906BA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6.00E-04</w:t>
            </w:r>
          </w:p>
        </w:tc>
        <w:tc>
          <w:tcPr>
            <w:tcW w:w="412" w:type="pct"/>
            <w:noWrap/>
            <w:vAlign w:val="center"/>
          </w:tcPr>
          <w:p w14:paraId="087A37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0.60</w:t>
            </w:r>
          </w:p>
        </w:tc>
        <w:tc>
          <w:tcPr>
            <w:tcW w:w="424" w:type="pct"/>
            <w:noWrap/>
            <w:vAlign w:val="center"/>
          </w:tcPr>
          <w:p w14:paraId="683C61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C540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75" w:type="pct"/>
            <w:vMerge w:val="continue"/>
            <w:noWrap/>
            <w:vAlign w:val="center"/>
          </w:tcPr>
          <w:p w14:paraId="2110B7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7CEC77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663A2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CDB04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2.26E-05</w:t>
            </w:r>
          </w:p>
        </w:tc>
        <w:tc>
          <w:tcPr>
            <w:tcW w:w="424" w:type="pct"/>
            <w:noWrap/>
            <w:vAlign w:val="center"/>
          </w:tcPr>
          <w:p w14:paraId="032FE4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A489C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98010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5.01E-05</w:t>
            </w:r>
          </w:p>
        </w:tc>
        <w:tc>
          <w:tcPr>
            <w:tcW w:w="412" w:type="pct"/>
            <w:noWrap/>
            <w:vAlign w:val="center"/>
          </w:tcPr>
          <w:p w14:paraId="076D93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5CAA47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FBB8C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75" w:type="pct"/>
            <w:vMerge w:val="restart"/>
            <w:noWrap/>
            <w:vAlign w:val="center"/>
          </w:tcPr>
          <w:p w14:paraId="6C90B5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1020" w:type="pct"/>
            <w:vMerge w:val="restart"/>
            <w:noWrap/>
            <w:vAlign w:val="center"/>
          </w:tcPr>
          <w:p w14:paraId="77B584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绥芬河市第一中学</w:t>
            </w:r>
          </w:p>
        </w:tc>
        <w:tc>
          <w:tcPr>
            <w:tcW w:w="424" w:type="pct"/>
            <w:noWrap/>
            <w:vAlign w:val="center"/>
          </w:tcPr>
          <w:p w14:paraId="0EDE4F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88ECE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6.02E-04</w:t>
            </w:r>
          </w:p>
        </w:tc>
        <w:tc>
          <w:tcPr>
            <w:tcW w:w="424" w:type="pct"/>
            <w:noWrap/>
            <w:vAlign w:val="center"/>
          </w:tcPr>
          <w:p w14:paraId="77BC19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446A45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8F854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6.33E-04</w:t>
            </w:r>
          </w:p>
        </w:tc>
        <w:tc>
          <w:tcPr>
            <w:tcW w:w="412" w:type="pct"/>
            <w:noWrap/>
            <w:vAlign w:val="center"/>
          </w:tcPr>
          <w:p w14:paraId="6B4D24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0.63</w:t>
            </w:r>
          </w:p>
        </w:tc>
        <w:tc>
          <w:tcPr>
            <w:tcW w:w="424" w:type="pct"/>
            <w:noWrap/>
            <w:vAlign w:val="center"/>
          </w:tcPr>
          <w:p w14:paraId="61418A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19850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75" w:type="pct"/>
            <w:vMerge w:val="continue"/>
            <w:noWrap/>
            <w:vAlign w:val="center"/>
          </w:tcPr>
          <w:p w14:paraId="322BEF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29C8C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637D0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5EB90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3.39E-05</w:t>
            </w:r>
          </w:p>
        </w:tc>
        <w:tc>
          <w:tcPr>
            <w:tcW w:w="424" w:type="pct"/>
            <w:noWrap/>
            <w:vAlign w:val="center"/>
          </w:tcPr>
          <w:p w14:paraId="2E6FF7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FCB96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CFFBD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6.13E-05</w:t>
            </w:r>
          </w:p>
        </w:tc>
        <w:tc>
          <w:tcPr>
            <w:tcW w:w="412" w:type="pct"/>
            <w:noWrap/>
            <w:vAlign w:val="center"/>
          </w:tcPr>
          <w:p w14:paraId="29F9E9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291C87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D7DF5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275" w:type="pct"/>
            <w:vMerge w:val="restart"/>
            <w:noWrap/>
            <w:vAlign w:val="center"/>
          </w:tcPr>
          <w:p w14:paraId="57E036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1020" w:type="pct"/>
            <w:vMerge w:val="restart"/>
            <w:noWrap/>
            <w:vAlign w:val="center"/>
          </w:tcPr>
          <w:p w14:paraId="5A08B7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商都幼儿园</w:t>
            </w:r>
          </w:p>
        </w:tc>
        <w:tc>
          <w:tcPr>
            <w:tcW w:w="424" w:type="pct"/>
            <w:noWrap/>
            <w:vAlign w:val="center"/>
          </w:tcPr>
          <w:p w14:paraId="7CF1CB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8F3C3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5.66E-04</w:t>
            </w:r>
          </w:p>
        </w:tc>
        <w:tc>
          <w:tcPr>
            <w:tcW w:w="424" w:type="pct"/>
            <w:noWrap/>
            <w:vAlign w:val="center"/>
          </w:tcPr>
          <w:p w14:paraId="0A5ECF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240317</w:t>
            </w:r>
          </w:p>
        </w:tc>
        <w:tc>
          <w:tcPr>
            <w:tcW w:w="672" w:type="pct"/>
            <w:noWrap/>
            <w:vAlign w:val="center"/>
          </w:tcPr>
          <w:p w14:paraId="1AAED8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519AD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5.97E-04</w:t>
            </w:r>
          </w:p>
        </w:tc>
        <w:tc>
          <w:tcPr>
            <w:tcW w:w="412" w:type="pct"/>
            <w:noWrap/>
            <w:vAlign w:val="center"/>
          </w:tcPr>
          <w:p w14:paraId="1D98AE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0.59</w:t>
            </w:r>
          </w:p>
        </w:tc>
        <w:tc>
          <w:tcPr>
            <w:tcW w:w="424" w:type="pct"/>
            <w:noWrap/>
            <w:vAlign w:val="center"/>
          </w:tcPr>
          <w:p w14:paraId="319E3F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097A9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75" w:type="pct"/>
            <w:vMerge w:val="continue"/>
            <w:noWrap/>
            <w:vAlign w:val="center"/>
          </w:tcPr>
          <w:p w14:paraId="3C442C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01BCF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9AF55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9E603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3.75E-05</w:t>
            </w:r>
          </w:p>
        </w:tc>
        <w:tc>
          <w:tcPr>
            <w:tcW w:w="424" w:type="pct"/>
            <w:noWrap/>
            <w:vAlign w:val="center"/>
          </w:tcPr>
          <w:p w14:paraId="36B90E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32D72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52ED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6.50E-05</w:t>
            </w:r>
          </w:p>
        </w:tc>
        <w:tc>
          <w:tcPr>
            <w:tcW w:w="412" w:type="pct"/>
            <w:noWrap/>
            <w:vAlign w:val="center"/>
          </w:tcPr>
          <w:p w14:paraId="0DBD7B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0.13</w:t>
            </w:r>
          </w:p>
        </w:tc>
        <w:tc>
          <w:tcPr>
            <w:tcW w:w="424" w:type="pct"/>
            <w:noWrap/>
            <w:vAlign w:val="center"/>
          </w:tcPr>
          <w:p w14:paraId="6484CE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B1CF7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75" w:type="pct"/>
            <w:vMerge w:val="restart"/>
            <w:noWrap/>
            <w:vAlign w:val="center"/>
          </w:tcPr>
          <w:p w14:paraId="6E83ED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1020" w:type="pct"/>
            <w:vMerge w:val="restart"/>
            <w:noWrap/>
            <w:vAlign w:val="center"/>
          </w:tcPr>
          <w:p w14:paraId="6D344A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424" w:type="pct"/>
            <w:noWrap/>
            <w:vAlign w:val="center"/>
          </w:tcPr>
          <w:p w14:paraId="7B3C7B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14289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1.02E-04</w:t>
            </w:r>
          </w:p>
        </w:tc>
        <w:tc>
          <w:tcPr>
            <w:tcW w:w="424" w:type="pct"/>
            <w:noWrap/>
            <w:vAlign w:val="center"/>
          </w:tcPr>
          <w:p w14:paraId="7762D3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9A119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ADE18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1.32E-04</w:t>
            </w:r>
          </w:p>
        </w:tc>
        <w:tc>
          <w:tcPr>
            <w:tcW w:w="412" w:type="pct"/>
            <w:noWrap/>
            <w:vAlign w:val="center"/>
          </w:tcPr>
          <w:p w14:paraId="5A07A4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0.13</w:t>
            </w:r>
          </w:p>
        </w:tc>
        <w:tc>
          <w:tcPr>
            <w:tcW w:w="424" w:type="pct"/>
            <w:noWrap/>
            <w:vAlign w:val="center"/>
          </w:tcPr>
          <w:p w14:paraId="38A6CB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824A2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75" w:type="pct"/>
            <w:vMerge w:val="continue"/>
            <w:noWrap/>
            <w:vAlign w:val="center"/>
          </w:tcPr>
          <w:p w14:paraId="0363D4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278A3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175A8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503E3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1.35E-06</w:t>
            </w:r>
          </w:p>
        </w:tc>
        <w:tc>
          <w:tcPr>
            <w:tcW w:w="424" w:type="pct"/>
            <w:noWrap/>
            <w:vAlign w:val="center"/>
          </w:tcPr>
          <w:p w14:paraId="7DE863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31446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4B7FD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2.88E-05</w:t>
            </w:r>
          </w:p>
        </w:tc>
        <w:tc>
          <w:tcPr>
            <w:tcW w:w="412" w:type="pct"/>
            <w:noWrap/>
            <w:vAlign w:val="center"/>
          </w:tcPr>
          <w:p w14:paraId="688D2B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2C8A94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94AA6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75" w:type="pct"/>
            <w:vMerge w:val="restart"/>
            <w:noWrap/>
            <w:vAlign w:val="center"/>
          </w:tcPr>
          <w:p w14:paraId="0A2B98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1020" w:type="pct"/>
            <w:vMerge w:val="restart"/>
            <w:noWrap/>
            <w:vAlign w:val="center"/>
          </w:tcPr>
          <w:p w14:paraId="3106EC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424" w:type="pct"/>
            <w:noWrap/>
            <w:vAlign w:val="center"/>
          </w:tcPr>
          <w:p w14:paraId="5BD88C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730CC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8.02E-05</w:t>
            </w:r>
          </w:p>
        </w:tc>
        <w:tc>
          <w:tcPr>
            <w:tcW w:w="424" w:type="pct"/>
            <w:noWrap/>
            <w:vAlign w:val="center"/>
          </w:tcPr>
          <w:p w14:paraId="39A51E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EB150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29F3FD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1.11E-04</w:t>
            </w:r>
          </w:p>
        </w:tc>
        <w:tc>
          <w:tcPr>
            <w:tcW w:w="412" w:type="pct"/>
            <w:noWrap/>
            <w:vAlign w:val="center"/>
          </w:tcPr>
          <w:p w14:paraId="250216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0.76</w:t>
            </w:r>
          </w:p>
        </w:tc>
        <w:tc>
          <w:tcPr>
            <w:tcW w:w="424" w:type="pct"/>
            <w:noWrap/>
            <w:vAlign w:val="center"/>
          </w:tcPr>
          <w:p w14:paraId="247BC9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B1F67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75" w:type="pct"/>
            <w:vMerge w:val="continue"/>
            <w:noWrap/>
            <w:vAlign w:val="center"/>
          </w:tcPr>
          <w:p w14:paraId="26C75D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5F588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8E228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37118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1.13E-06</w:t>
            </w:r>
          </w:p>
        </w:tc>
        <w:tc>
          <w:tcPr>
            <w:tcW w:w="424" w:type="pct"/>
            <w:noWrap/>
            <w:vAlign w:val="center"/>
          </w:tcPr>
          <w:p w14:paraId="0399E9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C092D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D58DA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2.86E-05</w:t>
            </w:r>
          </w:p>
        </w:tc>
        <w:tc>
          <w:tcPr>
            <w:tcW w:w="412" w:type="pct"/>
            <w:noWrap/>
            <w:vAlign w:val="center"/>
          </w:tcPr>
          <w:p w14:paraId="50BEED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0.11</w:t>
            </w:r>
          </w:p>
        </w:tc>
        <w:tc>
          <w:tcPr>
            <w:tcW w:w="424" w:type="pct"/>
            <w:noWrap/>
            <w:vAlign w:val="center"/>
          </w:tcPr>
          <w:p w14:paraId="456452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584D7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75" w:type="pct"/>
            <w:vMerge w:val="restart"/>
            <w:noWrap/>
            <w:vAlign w:val="center"/>
          </w:tcPr>
          <w:p w14:paraId="16253F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1020" w:type="pct"/>
            <w:vMerge w:val="restart"/>
            <w:noWrap/>
            <w:vAlign w:val="center"/>
          </w:tcPr>
          <w:p w14:paraId="0426D6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绥芬河市第三中学</w:t>
            </w:r>
          </w:p>
        </w:tc>
        <w:tc>
          <w:tcPr>
            <w:tcW w:w="424" w:type="pct"/>
            <w:noWrap/>
            <w:vAlign w:val="center"/>
          </w:tcPr>
          <w:p w14:paraId="4766AE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0CCE6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3.15E-04</w:t>
            </w:r>
          </w:p>
        </w:tc>
        <w:tc>
          <w:tcPr>
            <w:tcW w:w="424" w:type="pct"/>
            <w:noWrap/>
            <w:vAlign w:val="center"/>
          </w:tcPr>
          <w:p w14:paraId="2DEF94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651765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07F89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3.46E-04</w:t>
            </w:r>
          </w:p>
        </w:tc>
        <w:tc>
          <w:tcPr>
            <w:tcW w:w="412" w:type="pct"/>
            <w:noWrap/>
            <w:vAlign w:val="center"/>
          </w:tcPr>
          <w:p w14:paraId="13777E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0.35</w:t>
            </w:r>
          </w:p>
        </w:tc>
        <w:tc>
          <w:tcPr>
            <w:tcW w:w="424" w:type="pct"/>
            <w:noWrap/>
            <w:vAlign w:val="center"/>
          </w:tcPr>
          <w:p w14:paraId="17BBFA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54BA1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75" w:type="pct"/>
            <w:vMerge w:val="continue"/>
            <w:noWrap/>
            <w:vAlign w:val="center"/>
          </w:tcPr>
          <w:p w14:paraId="1113D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25E22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2EC77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12253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1.09E-05</w:t>
            </w:r>
          </w:p>
        </w:tc>
        <w:tc>
          <w:tcPr>
            <w:tcW w:w="424" w:type="pct"/>
            <w:noWrap/>
            <w:vAlign w:val="center"/>
          </w:tcPr>
          <w:p w14:paraId="2741C6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27F46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B4FE3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3.83E-05</w:t>
            </w:r>
          </w:p>
        </w:tc>
        <w:tc>
          <w:tcPr>
            <w:tcW w:w="412" w:type="pct"/>
            <w:noWrap/>
            <w:vAlign w:val="center"/>
          </w:tcPr>
          <w:p w14:paraId="616D2B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72C230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8624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75" w:type="pct"/>
            <w:vMerge w:val="restart"/>
            <w:noWrap/>
            <w:vAlign w:val="center"/>
          </w:tcPr>
          <w:p w14:paraId="7CBCB8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1020" w:type="pct"/>
            <w:vMerge w:val="restart"/>
            <w:noWrap/>
            <w:vAlign w:val="center"/>
          </w:tcPr>
          <w:p w14:paraId="427CFC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旅游局家属楼</w:t>
            </w:r>
          </w:p>
        </w:tc>
        <w:tc>
          <w:tcPr>
            <w:tcW w:w="424" w:type="pct"/>
            <w:noWrap/>
            <w:vAlign w:val="center"/>
          </w:tcPr>
          <w:p w14:paraId="33677C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3EE60F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7.18E-05</w:t>
            </w:r>
          </w:p>
        </w:tc>
        <w:tc>
          <w:tcPr>
            <w:tcW w:w="424" w:type="pct"/>
            <w:noWrap/>
            <w:vAlign w:val="center"/>
          </w:tcPr>
          <w:p w14:paraId="76D19E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240228</w:t>
            </w:r>
          </w:p>
        </w:tc>
        <w:tc>
          <w:tcPr>
            <w:tcW w:w="672" w:type="pct"/>
            <w:noWrap/>
            <w:vAlign w:val="center"/>
          </w:tcPr>
          <w:p w14:paraId="757502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91A77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1.03E-04</w:t>
            </w:r>
          </w:p>
        </w:tc>
        <w:tc>
          <w:tcPr>
            <w:tcW w:w="412" w:type="pct"/>
            <w:noWrap/>
            <w:vAlign w:val="center"/>
          </w:tcPr>
          <w:p w14:paraId="1CEDFC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0DE100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BA9A4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75" w:type="pct"/>
            <w:vMerge w:val="continue"/>
            <w:noWrap/>
            <w:vAlign w:val="center"/>
          </w:tcPr>
          <w:p w14:paraId="2AD015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2C1DA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9023B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0373F6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1.40E-06</w:t>
            </w:r>
          </w:p>
        </w:tc>
        <w:tc>
          <w:tcPr>
            <w:tcW w:w="424" w:type="pct"/>
            <w:noWrap/>
            <w:vAlign w:val="center"/>
          </w:tcPr>
          <w:p w14:paraId="0C2796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17F51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82CAA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2.88E-05</w:t>
            </w:r>
          </w:p>
        </w:tc>
        <w:tc>
          <w:tcPr>
            <w:tcW w:w="412" w:type="pct"/>
            <w:noWrap/>
            <w:vAlign w:val="center"/>
          </w:tcPr>
          <w:p w14:paraId="578AC5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5B3AED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8AB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75" w:type="pct"/>
            <w:vMerge w:val="restart"/>
            <w:noWrap/>
            <w:vAlign w:val="center"/>
          </w:tcPr>
          <w:p w14:paraId="7A7A9E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1020" w:type="pct"/>
            <w:vMerge w:val="restart"/>
            <w:noWrap/>
            <w:vAlign w:val="center"/>
          </w:tcPr>
          <w:p w14:paraId="4CE2EF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新安幸福嘉园</w:t>
            </w:r>
          </w:p>
        </w:tc>
        <w:tc>
          <w:tcPr>
            <w:tcW w:w="424" w:type="pct"/>
            <w:noWrap/>
            <w:vAlign w:val="center"/>
          </w:tcPr>
          <w:p w14:paraId="7E2D47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3A960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2.09E-04</w:t>
            </w:r>
          </w:p>
        </w:tc>
        <w:tc>
          <w:tcPr>
            <w:tcW w:w="424" w:type="pct"/>
            <w:noWrap/>
            <w:vAlign w:val="center"/>
          </w:tcPr>
          <w:p w14:paraId="2DE59C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56FA7E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87E6D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2.40E-04</w:t>
            </w:r>
          </w:p>
        </w:tc>
        <w:tc>
          <w:tcPr>
            <w:tcW w:w="412" w:type="pct"/>
            <w:noWrap/>
            <w:vAlign w:val="center"/>
          </w:tcPr>
          <w:p w14:paraId="45479A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0.24</w:t>
            </w:r>
          </w:p>
        </w:tc>
        <w:tc>
          <w:tcPr>
            <w:tcW w:w="424" w:type="pct"/>
            <w:noWrap/>
            <w:vAlign w:val="center"/>
          </w:tcPr>
          <w:p w14:paraId="6C06B8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9BF0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75" w:type="pct"/>
            <w:vMerge w:val="continue"/>
            <w:noWrap/>
            <w:vAlign w:val="center"/>
          </w:tcPr>
          <w:p w14:paraId="02931B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527C4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FB6DA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4995F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4.36E-06</w:t>
            </w:r>
          </w:p>
        </w:tc>
        <w:tc>
          <w:tcPr>
            <w:tcW w:w="424" w:type="pct"/>
            <w:noWrap/>
            <w:vAlign w:val="center"/>
          </w:tcPr>
          <w:p w14:paraId="1907E3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73054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320FA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3.18E-05</w:t>
            </w:r>
          </w:p>
        </w:tc>
        <w:tc>
          <w:tcPr>
            <w:tcW w:w="412" w:type="pct"/>
            <w:noWrap/>
            <w:vAlign w:val="center"/>
          </w:tcPr>
          <w:p w14:paraId="6D62D3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E3E33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6E1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275" w:type="pct"/>
            <w:vMerge w:val="restart"/>
            <w:noWrap/>
            <w:vAlign w:val="center"/>
          </w:tcPr>
          <w:p w14:paraId="079FC2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1020" w:type="pct"/>
            <w:vMerge w:val="restart"/>
            <w:noWrap/>
            <w:vAlign w:val="center"/>
          </w:tcPr>
          <w:p w14:paraId="2A58FD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中兴小区</w:t>
            </w:r>
          </w:p>
        </w:tc>
        <w:tc>
          <w:tcPr>
            <w:tcW w:w="424" w:type="pct"/>
            <w:noWrap/>
            <w:vAlign w:val="center"/>
          </w:tcPr>
          <w:p w14:paraId="19E81F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00C58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2.21E-04</w:t>
            </w:r>
          </w:p>
        </w:tc>
        <w:tc>
          <w:tcPr>
            <w:tcW w:w="424" w:type="pct"/>
            <w:noWrap/>
            <w:vAlign w:val="center"/>
          </w:tcPr>
          <w:p w14:paraId="515998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152C76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83FE1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2.52E-04</w:t>
            </w:r>
          </w:p>
        </w:tc>
        <w:tc>
          <w:tcPr>
            <w:tcW w:w="412" w:type="pct"/>
            <w:noWrap/>
            <w:vAlign w:val="center"/>
          </w:tcPr>
          <w:p w14:paraId="12BCCA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0.25</w:t>
            </w:r>
          </w:p>
        </w:tc>
        <w:tc>
          <w:tcPr>
            <w:tcW w:w="424" w:type="pct"/>
            <w:noWrap/>
            <w:vAlign w:val="center"/>
          </w:tcPr>
          <w:p w14:paraId="2A63E6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51E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275" w:type="pct"/>
            <w:vMerge w:val="continue"/>
            <w:noWrap/>
            <w:vAlign w:val="center"/>
          </w:tcPr>
          <w:p w14:paraId="6E8DAB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850FA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D0E53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201F0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3.20E-06</w:t>
            </w:r>
          </w:p>
        </w:tc>
        <w:tc>
          <w:tcPr>
            <w:tcW w:w="424" w:type="pct"/>
            <w:noWrap/>
            <w:vAlign w:val="center"/>
          </w:tcPr>
          <w:p w14:paraId="7BE123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6987C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8EBE5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3.06E-05</w:t>
            </w:r>
          </w:p>
        </w:tc>
        <w:tc>
          <w:tcPr>
            <w:tcW w:w="412" w:type="pct"/>
            <w:noWrap/>
            <w:vAlign w:val="center"/>
          </w:tcPr>
          <w:p w14:paraId="11E6ED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8426E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A5BCB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75" w:type="pct"/>
            <w:vMerge w:val="restart"/>
            <w:noWrap/>
            <w:vAlign w:val="center"/>
          </w:tcPr>
          <w:p w14:paraId="7A0420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1020" w:type="pct"/>
            <w:vMerge w:val="restart"/>
            <w:noWrap/>
            <w:vAlign w:val="center"/>
          </w:tcPr>
          <w:p w14:paraId="07A1F4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绥兴社区</w:t>
            </w:r>
          </w:p>
        </w:tc>
        <w:tc>
          <w:tcPr>
            <w:tcW w:w="424" w:type="pct"/>
            <w:noWrap/>
            <w:vAlign w:val="center"/>
          </w:tcPr>
          <w:p w14:paraId="671F47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51D3A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5.00E-04</w:t>
            </w:r>
          </w:p>
        </w:tc>
        <w:tc>
          <w:tcPr>
            <w:tcW w:w="424" w:type="pct"/>
            <w:noWrap/>
            <w:vAlign w:val="center"/>
          </w:tcPr>
          <w:p w14:paraId="4DC741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04E7D0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247A1F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5.31E-04</w:t>
            </w:r>
          </w:p>
        </w:tc>
        <w:tc>
          <w:tcPr>
            <w:tcW w:w="412" w:type="pct"/>
            <w:noWrap/>
            <w:vAlign w:val="center"/>
          </w:tcPr>
          <w:p w14:paraId="498543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0.53</w:t>
            </w:r>
          </w:p>
        </w:tc>
        <w:tc>
          <w:tcPr>
            <w:tcW w:w="424" w:type="pct"/>
            <w:noWrap/>
            <w:vAlign w:val="center"/>
          </w:tcPr>
          <w:p w14:paraId="005C06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8FBF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continue"/>
            <w:noWrap/>
            <w:vAlign w:val="center"/>
          </w:tcPr>
          <w:p w14:paraId="1B5552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A63C6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5D630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2BAEC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8.84E-06</w:t>
            </w:r>
          </w:p>
        </w:tc>
        <w:tc>
          <w:tcPr>
            <w:tcW w:w="424" w:type="pct"/>
            <w:noWrap/>
            <w:vAlign w:val="center"/>
          </w:tcPr>
          <w:p w14:paraId="409EAE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DAA73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701DD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3.63E-05</w:t>
            </w:r>
          </w:p>
        </w:tc>
        <w:tc>
          <w:tcPr>
            <w:tcW w:w="412" w:type="pct"/>
            <w:noWrap/>
            <w:vAlign w:val="center"/>
          </w:tcPr>
          <w:p w14:paraId="160EA5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2B7B8B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9F16A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restart"/>
            <w:noWrap/>
            <w:vAlign w:val="center"/>
          </w:tcPr>
          <w:p w14:paraId="273F82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1020" w:type="pct"/>
            <w:vMerge w:val="restart"/>
            <w:noWrap/>
            <w:vAlign w:val="center"/>
          </w:tcPr>
          <w:p w14:paraId="40F695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424" w:type="pct"/>
            <w:noWrap/>
            <w:vAlign w:val="center"/>
          </w:tcPr>
          <w:p w14:paraId="745BA9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92F9B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1.41E-03</w:t>
            </w:r>
          </w:p>
        </w:tc>
        <w:tc>
          <w:tcPr>
            <w:tcW w:w="424" w:type="pct"/>
            <w:noWrap/>
            <w:vAlign w:val="center"/>
          </w:tcPr>
          <w:p w14:paraId="0F3FE3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240301</w:t>
            </w:r>
          </w:p>
        </w:tc>
        <w:tc>
          <w:tcPr>
            <w:tcW w:w="672" w:type="pct"/>
            <w:noWrap/>
            <w:vAlign w:val="center"/>
          </w:tcPr>
          <w:p w14:paraId="4AD506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F9CAA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1.44E-03</w:t>
            </w:r>
          </w:p>
        </w:tc>
        <w:tc>
          <w:tcPr>
            <w:tcW w:w="412" w:type="pct"/>
            <w:noWrap/>
            <w:vAlign w:val="center"/>
          </w:tcPr>
          <w:p w14:paraId="59153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1.44</w:t>
            </w:r>
          </w:p>
        </w:tc>
        <w:tc>
          <w:tcPr>
            <w:tcW w:w="424" w:type="pct"/>
            <w:noWrap/>
            <w:vAlign w:val="center"/>
          </w:tcPr>
          <w:p w14:paraId="2B9044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B6DBC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continue"/>
            <w:noWrap/>
            <w:vAlign w:val="center"/>
          </w:tcPr>
          <w:p w14:paraId="4BEF18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DBDBA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4C92A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A0C83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1.59E-04</w:t>
            </w:r>
          </w:p>
        </w:tc>
        <w:tc>
          <w:tcPr>
            <w:tcW w:w="424" w:type="pct"/>
            <w:noWrap/>
            <w:vAlign w:val="center"/>
          </w:tcPr>
          <w:p w14:paraId="0E9FFF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6E7F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68803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1.87E-04</w:t>
            </w:r>
          </w:p>
        </w:tc>
        <w:tc>
          <w:tcPr>
            <w:tcW w:w="412" w:type="pct"/>
            <w:noWrap/>
            <w:vAlign w:val="center"/>
          </w:tcPr>
          <w:p w14:paraId="76DEDC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0.37</w:t>
            </w:r>
          </w:p>
        </w:tc>
        <w:tc>
          <w:tcPr>
            <w:tcW w:w="424" w:type="pct"/>
            <w:noWrap/>
            <w:vAlign w:val="center"/>
          </w:tcPr>
          <w:p w14:paraId="6CAC0F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F889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275" w:type="pct"/>
            <w:vMerge w:val="restart"/>
            <w:noWrap/>
            <w:vAlign w:val="center"/>
          </w:tcPr>
          <w:p w14:paraId="434ED1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1020" w:type="pct"/>
            <w:vMerge w:val="restart"/>
            <w:noWrap/>
            <w:vAlign w:val="center"/>
          </w:tcPr>
          <w:p w14:paraId="0B08BE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凯丰小区</w:t>
            </w:r>
          </w:p>
        </w:tc>
        <w:tc>
          <w:tcPr>
            <w:tcW w:w="424" w:type="pct"/>
            <w:noWrap/>
            <w:vAlign w:val="center"/>
          </w:tcPr>
          <w:p w14:paraId="38DC7F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8E0D1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8.64E-04</w:t>
            </w:r>
          </w:p>
        </w:tc>
        <w:tc>
          <w:tcPr>
            <w:tcW w:w="424" w:type="pct"/>
            <w:noWrap/>
            <w:vAlign w:val="center"/>
          </w:tcPr>
          <w:p w14:paraId="17BEBE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405A1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341837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8.95E-04</w:t>
            </w:r>
          </w:p>
        </w:tc>
        <w:tc>
          <w:tcPr>
            <w:tcW w:w="412" w:type="pct"/>
            <w:noWrap/>
            <w:vAlign w:val="center"/>
          </w:tcPr>
          <w:p w14:paraId="5A0E80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0.90</w:t>
            </w:r>
          </w:p>
        </w:tc>
        <w:tc>
          <w:tcPr>
            <w:tcW w:w="424" w:type="pct"/>
            <w:noWrap/>
            <w:vAlign w:val="center"/>
          </w:tcPr>
          <w:p w14:paraId="781240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0AE6E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275" w:type="pct"/>
            <w:vMerge w:val="continue"/>
            <w:noWrap/>
            <w:vAlign w:val="center"/>
          </w:tcPr>
          <w:p w14:paraId="497F2D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469BA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3344A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0E27E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3.08E-05</w:t>
            </w:r>
          </w:p>
        </w:tc>
        <w:tc>
          <w:tcPr>
            <w:tcW w:w="424" w:type="pct"/>
            <w:noWrap/>
            <w:vAlign w:val="center"/>
          </w:tcPr>
          <w:p w14:paraId="3621A3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E1621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3E033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5.82E-05</w:t>
            </w:r>
          </w:p>
        </w:tc>
        <w:tc>
          <w:tcPr>
            <w:tcW w:w="412" w:type="pct"/>
            <w:noWrap/>
            <w:vAlign w:val="center"/>
          </w:tcPr>
          <w:p w14:paraId="2CE37E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1F7A12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2932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75" w:type="pct"/>
            <w:vMerge w:val="restart"/>
            <w:noWrap/>
            <w:vAlign w:val="center"/>
          </w:tcPr>
          <w:p w14:paraId="04E8ED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1020" w:type="pct"/>
            <w:vMerge w:val="restart"/>
            <w:noWrap/>
            <w:vAlign w:val="center"/>
          </w:tcPr>
          <w:p w14:paraId="3EE80E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澳运阳光花园</w:t>
            </w:r>
          </w:p>
        </w:tc>
        <w:tc>
          <w:tcPr>
            <w:tcW w:w="424" w:type="pct"/>
            <w:noWrap/>
            <w:vAlign w:val="center"/>
          </w:tcPr>
          <w:p w14:paraId="0F7CCE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31D3F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6.70E-04</w:t>
            </w:r>
          </w:p>
        </w:tc>
        <w:tc>
          <w:tcPr>
            <w:tcW w:w="424" w:type="pct"/>
            <w:noWrap/>
            <w:vAlign w:val="center"/>
          </w:tcPr>
          <w:p w14:paraId="400A36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7FCA5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31EE0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7.01E-04</w:t>
            </w:r>
          </w:p>
        </w:tc>
        <w:tc>
          <w:tcPr>
            <w:tcW w:w="412" w:type="pct"/>
            <w:noWrap/>
            <w:vAlign w:val="center"/>
          </w:tcPr>
          <w:p w14:paraId="2DBBDB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0.70</w:t>
            </w:r>
          </w:p>
        </w:tc>
        <w:tc>
          <w:tcPr>
            <w:tcW w:w="424" w:type="pct"/>
            <w:noWrap/>
            <w:vAlign w:val="center"/>
          </w:tcPr>
          <w:p w14:paraId="627924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8A1B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75" w:type="pct"/>
            <w:vMerge w:val="continue"/>
            <w:noWrap/>
            <w:vAlign w:val="center"/>
          </w:tcPr>
          <w:p w14:paraId="5404D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8F192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90DB9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67D89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2.61E-05</w:t>
            </w:r>
          </w:p>
        </w:tc>
        <w:tc>
          <w:tcPr>
            <w:tcW w:w="424" w:type="pct"/>
            <w:noWrap/>
            <w:vAlign w:val="center"/>
          </w:tcPr>
          <w:p w14:paraId="1F0FF6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E0F42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AA42E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5.35E-05</w:t>
            </w:r>
          </w:p>
        </w:tc>
        <w:tc>
          <w:tcPr>
            <w:tcW w:w="412" w:type="pct"/>
            <w:noWrap/>
            <w:vAlign w:val="center"/>
          </w:tcPr>
          <w:p w14:paraId="120F99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0.11</w:t>
            </w:r>
          </w:p>
        </w:tc>
        <w:tc>
          <w:tcPr>
            <w:tcW w:w="424" w:type="pct"/>
            <w:noWrap/>
            <w:vAlign w:val="center"/>
          </w:tcPr>
          <w:p w14:paraId="313454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904BA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75" w:type="pct"/>
            <w:vMerge w:val="restart"/>
            <w:noWrap/>
            <w:vAlign w:val="center"/>
          </w:tcPr>
          <w:p w14:paraId="291A35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1020" w:type="pct"/>
            <w:vMerge w:val="restart"/>
            <w:noWrap/>
            <w:vAlign w:val="center"/>
          </w:tcPr>
          <w:p w14:paraId="0943DA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朝阳村</w:t>
            </w:r>
          </w:p>
        </w:tc>
        <w:tc>
          <w:tcPr>
            <w:tcW w:w="424" w:type="pct"/>
            <w:noWrap/>
            <w:vAlign w:val="center"/>
          </w:tcPr>
          <w:p w14:paraId="6B93B1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03761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5.55E-04</w:t>
            </w:r>
          </w:p>
        </w:tc>
        <w:tc>
          <w:tcPr>
            <w:tcW w:w="424" w:type="pct"/>
            <w:noWrap/>
            <w:vAlign w:val="center"/>
          </w:tcPr>
          <w:p w14:paraId="0BBAB0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240327</w:t>
            </w:r>
          </w:p>
        </w:tc>
        <w:tc>
          <w:tcPr>
            <w:tcW w:w="672" w:type="pct"/>
            <w:noWrap/>
            <w:vAlign w:val="center"/>
          </w:tcPr>
          <w:p w14:paraId="7C31FA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E5ABC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5.86E-04</w:t>
            </w:r>
          </w:p>
        </w:tc>
        <w:tc>
          <w:tcPr>
            <w:tcW w:w="412" w:type="pct"/>
            <w:noWrap/>
            <w:vAlign w:val="center"/>
          </w:tcPr>
          <w:p w14:paraId="2CF043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0.59</w:t>
            </w:r>
          </w:p>
        </w:tc>
        <w:tc>
          <w:tcPr>
            <w:tcW w:w="424" w:type="pct"/>
            <w:noWrap/>
            <w:vAlign w:val="center"/>
          </w:tcPr>
          <w:p w14:paraId="14D629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768F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75" w:type="pct"/>
            <w:vMerge w:val="continue"/>
            <w:noWrap/>
            <w:vAlign w:val="center"/>
          </w:tcPr>
          <w:p w14:paraId="4702B6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AB25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24117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958D2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2.12E-05</w:t>
            </w:r>
          </w:p>
        </w:tc>
        <w:tc>
          <w:tcPr>
            <w:tcW w:w="424" w:type="pct"/>
            <w:noWrap/>
            <w:vAlign w:val="center"/>
          </w:tcPr>
          <w:p w14:paraId="5B425E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E7802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F0062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4.86E-05</w:t>
            </w:r>
          </w:p>
        </w:tc>
        <w:tc>
          <w:tcPr>
            <w:tcW w:w="412" w:type="pct"/>
            <w:noWrap/>
            <w:vAlign w:val="center"/>
          </w:tcPr>
          <w:p w14:paraId="261806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5BAE3B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50D2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275" w:type="pct"/>
            <w:vMerge w:val="restart"/>
            <w:noWrap/>
            <w:vAlign w:val="center"/>
          </w:tcPr>
          <w:p w14:paraId="4BA095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1020" w:type="pct"/>
            <w:vMerge w:val="restart"/>
            <w:noWrap/>
            <w:vAlign w:val="center"/>
          </w:tcPr>
          <w:p w14:paraId="5E5B21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宏隆花园</w:t>
            </w:r>
          </w:p>
        </w:tc>
        <w:tc>
          <w:tcPr>
            <w:tcW w:w="424" w:type="pct"/>
            <w:noWrap/>
            <w:vAlign w:val="center"/>
          </w:tcPr>
          <w:p w14:paraId="36CAEC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54792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5.00E-04</w:t>
            </w:r>
          </w:p>
        </w:tc>
        <w:tc>
          <w:tcPr>
            <w:tcW w:w="424" w:type="pct"/>
            <w:noWrap/>
            <w:vAlign w:val="center"/>
          </w:tcPr>
          <w:p w14:paraId="15F92B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2487E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3BF09E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5.31E-04</w:t>
            </w:r>
          </w:p>
        </w:tc>
        <w:tc>
          <w:tcPr>
            <w:tcW w:w="412" w:type="pct"/>
            <w:noWrap/>
            <w:vAlign w:val="center"/>
          </w:tcPr>
          <w:p w14:paraId="2D2D39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0.53</w:t>
            </w:r>
          </w:p>
        </w:tc>
        <w:tc>
          <w:tcPr>
            <w:tcW w:w="424" w:type="pct"/>
            <w:noWrap/>
            <w:vAlign w:val="center"/>
          </w:tcPr>
          <w:p w14:paraId="7C1FDE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6A1B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275" w:type="pct"/>
            <w:vMerge w:val="continue"/>
            <w:noWrap/>
            <w:vAlign w:val="center"/>
          </w:tcPr>
          <w:p w14:paraId="2AFDDA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6B4F2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7A8C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DDE1A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9.83E-06</w:t>
            </w:r>
          </w:p>
        </w:tc>
        <w:tc>
          <w:tcPr>
            <w:tcW w:w="424" w:type="pct"/>
            <w:noWrap/>
            <w:vAlign w:val="center"/>
          </w:tcPr>
          <w:p w14:paraId="05C0C2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0DC25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C9D87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3.73E-05</w:t>
            </w:r>
          </w:p>
        </w:tc>
        <w:tc>
          <w:tcPr>
            <w:tcW w:w="412" w:type="pct"/>
            <w:noWrap/>
            <w:vAlign w:val="center"/>
          </w:tcPr>
          <w:p w14:paraId="714D3D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50C707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C47DF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75" w:type="pct"/>
            <w:vMerge w:val="restart"/>
            <w:noWrap/>
            <w:vAlign w:val="center"/>
          </w:tcPr>
          <w:p w14:paraId="11B2BB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1020" w:type="pct"/>
            <w:vMerge w:val="restart"/>
            <w:noWrap/>
            <w:vAlign w:val="center"/>
          </w:tcPr>
          <w:p w14:paraId="3CA42A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中福名都花园</w:t>
            </w:r>
          </w:p>
        </w:tc>
        <w:tc>
          <w:tcPr>
            <w:tcW w:w="424" w:type="pct"/>
            <w:noWrap/>
            <w:vAlign w:val="center"/>
          </w:tcPr>
          <w:p w14:paraId="37F08B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37117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3.94E-04</w:t>
            </w:r>
          </w:p>
        </w:tc>
        <w:tc>
          <w:tcPr>
            <w:tcW w:w="424" w:type="pct"/>
            <w:noWrap/>
            <w:vAlign w:val="center"/>
          </w:tcPr>
          <w:p w14:paraId="6FBB3B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B3781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7D4B1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4.25E-04</w:t>
            </w:r>
          </w:p>
        </w:tc>
        <w:tc>
          <w:tcPr>
            <w:tcW w:w="412" w:type="pct"/>
            <w:noWrap/>
            <w:vAlign w:val="center"/>
          </w:tcPr>
          <w:p w14:paraId="47313B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0.43</w:t>
            </w:r>
          </w:p>
        </w:tc>
        <w:tc>
          <w:tcPr>
            <w:tcW w:w="424" w:type="pct"/>
            <w:noWrap/>
            <w:vAlign w:val="center"/>
          </w:tcPr>
          <w:p w14:paraId="0855B5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D51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275" w:type="pct"/>
            <w:vMerge w:val="continue"/>
            <w:noWrap/>
            <w:vAlign w:val="center"/>
          </w:tcPr>
          <w:p w14:paraId="1221F6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661397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FB1A0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7D3A8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5.55E-06</w:t>
            </w:r>
          </w:p>
        </w:tc>
        <w:tc>
          <w:tcPr>
            <w:tcW w:w="424" w:type="pct"/>
            <w:noWrap/>
            <w:vAlign w:val="center"/>
          </w:tcPr>
          <w:p w14:paraId="2CE247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66E18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4F03A4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3.30E-05</w:t>
            </w:r>
          </w:p>
        </w:tc>
        <w:tc>
          <w:tcPr>
            <w:tcW w:w="412" w:type="pct"/>
            <w:noWrap/>
            <w:vAlign w:val="center"/>
          </w:tcPr>
          <w:p w14:paraId="59333D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7DE457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3F72A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75" w:type="pct"/>
            <w:vMerge w:val="restart"/>
            <w:noWrap/>
            <w:vAlign w:val="center"/>
          </w:tcPr>
          <w:p w14:paraId="3D666A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1020" w:type="pct"/>
            <w:vMerge w:val="restart"/>
            <w:noWrap/>
            <w:vAlign w:val="center"/>
          </w:tcPr>
          <w:p w14:paraId="7507E0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康健花园</w:t>
            </w:r>
          </w:p>
        </w:tc>
        <w:tc>
          <w:tcPr>
            <w:tcW w:w="424" w:type="pct"/>
            <w:noWrap/>
            <w:vAlign w:val="center"/>
          </w:tcPr>
          <w:p w14:paraId="0F5855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03016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4.48E-04</w:t>
            </w:r>
          </w:p>
        </w:tc>
        <w:tc>
          <w:tcPr>
            <w:tcW w:w="424" w:type="pct"/>
            <w:noWrap/>
            <w:vAlign w:val="center"/>
          </w:tcPr>
          <w:p w14:paraId="5E6413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7AF9E2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68E69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4.79E-04</w:t>
            </w:r>
          </w:p>
        </w:tc>
        <w:tc>
          <w:tcPr>
            <w:tcW w:w="412" w:type="pct"/>
            <w:noWrap/>
            <w:vAlign w:val="center"/>
          </w:tcPr>
          <w:p w14:paraId="59DE8E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0.48</w:t>
            </w:r>
          </w:p>
        </w:tc>
        <w:tc>
          <w:tcPr>
            <w:tcW w:w="424" w:type="pct"/>
            <w:noWrap/>
            <w:vAlign w:val="center"/>
          </w:tcPr>
          <w:p w14:paraId="45C61B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8B3A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75" w:type="pct"/>
            <w:vMerge w:val="continue"/>
            <w:noWrap/>
            <w:vAlign w:val="center"/>
          </w:tcPr>
          <w:p w14:paraId="7755F2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33975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60C64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05A07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3.18E-05</w:t>
            </w:r>
          </w:p>
        </w:tc>
        <w:tc>
          <w:tcPr>
            <w:tcW w:w="424" w:type="pct"/>
            <w:noWrap/>
            <w:vAlign w:val="center"/>
          </w:tcPr>
          <w:p w14:paraId="2A08F5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A1124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7EE57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5.92E-05</w:t>
            </w:r>
          </w:p>
        </w:tc>
        <w:tc>
          <w:tcPr>
            <w:tcW w:w="412" w:type="pct"/>
            <w:noWrap/>
            <w:vAlign w:val="center"/>
          </w:tcPr>
          <w:p w14:paraId="20A3B5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1452E1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B579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75" w:type="pct"/>
            <w:vMerge w:val="restart"/>
            <w:noWrap/>
            <w:vAlign w:val="center"/>
          </w:tcPr>
          <w:p w14:paraId="4A8581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1020" w:type="pct"/>
            <w:vMerge w:val="restart"/>
            <w:noWrap/>
            <w:vAlign w:val="center"/>
          </w:tcPr>
          <w:p w14:paraId="0B5763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海融安居里</w:t>
            </w:r>
          </w:p>
        </w:tc>
        <w:tc>
          <w:tcPr>
            <w:tcW w:w="424" w:type="pct"/>
            <w:noWrap/>
            <w:vAlign w:val="center"/>
          </w:tcPr>
          <w:p w14:paraId="5E07CD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84DA2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5.50E-04</w:t>
            </w:r>
          </w:p>
        </w:tc>
        <w:tc>
          <w:tcPr>
            <w:tcW w:w="424" w:type="pct"/>
            <w:noWrap/>
            <w:vAlign w:val="center"/>
          </w:tcPr>
          <w:p w14:paraId="27DC77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241122</w:t>
            </w:r>
          </w:p>
        </w:tc>
        <w:tc>
          <w:tcPr>
            <w:tcW w:w="672" w:type="pct"/>
            <w:noWrap/>
            <w:vAlign w:val="center"/>
          </w:tcPr>
          <w:p w14:paraId="4D18CA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242230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5.81E-04</w:t>
            </w:r>
          </w:p>
        </w:tc>
        <w:tc>
          <w:tcPr>
            <w:tcW w:w="412" w:type="pct"/>
            <w:noWrap/>
            <w:vAlign w:val="center"/>
          </w:tcPr>
          <w:p w14:paraId="761807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0.58</w:t>
            </w:r>
          </w:p>
        </w:tc>
        <w:tc>
          <w:tcPr>
            <w:tcW w:w="424" w:type="pct"/>
            <w:noWrap/>
            <w:vAlign w:val="center"/>
          </w:tcPr>
          <w:p w14:paraId="50D0CB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10CD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75" w:type="pct"/>
            <w:vMerge w:val="continue"/>
            <w:noWrap/>
            <w:vAlign w:val="center"/>
          </w:tcPr>
          <w:p w14:paraId="43F463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F6E1C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496568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090E87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4.66E-05</w:t>
            </w:r>
          </w:p>
        </w:tc>
        <w:tc>
          <w:tcPr>
            <w:tcW w:w="424" w:type="pct"/>
            <w:noWrap/>
            <w:vAlign w:val="center"/>
          </w:tcPr>
          <w:p w14:paraId="36DB0B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1253C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640BD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7.41E-05</w:t>
            </w:r>
          </w:p>
        </w:tc>
        <w:tc>
          <w:tcPr>
            <w:tcW w:w="412" w:type="pct"/>
            <w:noWrap/>
            <w:vAlign w:val="center"/>
          </w:tcPr>
          <w:p w14:paraId="083A6A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0.15</w:t>
            </w:r>
          </w:p>
        </w:tc>
        <w:tc>
          <w:tcPr>
            <w:tcW w:w="424" w:type="pct"/>
            <w:noWrap/>
            <w:vAlign w:val="center"/>
          </w:tcPr>
          <w:p w14:paraId="1A7164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D9B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75" w:type="pct"/>
            <w:vMerge w:val="restart"/>
            <w:noWrap/>
            <w:vAlign w:val="center"/>
          </w:tcPr>
          <w:p w14:paraId="1E4756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1020" w:type="pct"/>
            <w:vMerge w:val="restart"/>
            <w:noWrap/>
            <w:vAlign w:val="center"/>
          </w:tcPr>
          <w:p w14:paraId="6882B1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海融富华苑</w:t>
            </w:r>
          </w:p>
        </w:tc>
        <w:tc>
          <w:tcPr>
            <w:tcW w:w="424" w:type="pct"/>
            <w:noWrap/>
            <w:vAlign w:val="center"/>
          </w:tcPr>
          <w:p w14:paraId="2AAB57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32A6A5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8.50E-05</w:t>
            </w:r>
          </w:p>
        </w:tc>
        <w:tc>
          <w:tcPr>
            <w:tcW w:w="424" w:type="pct"/>
            <w:noWrap/>
            <w:vAlign w:val="center"/>
          </w:tcPr>
          <w:p w14:paraId="7DD17F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2465C4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EB4F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1.16E-04</w:t>
            </w:r>
          </w:p>
        </w:tc>
        <w:tc>
          <w:tcPr>
            <w:tcW w:w="412" w:type="pct"/>
            <w:noWrap/>
            <w:vAlign w:val="center"/>
          </w:tcPr>
          <w:p w14:paraId="57D6A1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6C8527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A6B17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75" w:type="pct"/>
            <w:vMerge w:val="continue"/>
            <w:noWrap/>
            <w:vAlign w:val="center"/>
          </w:tcPr>
          <w:p w14:paraId="77B33D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3BFCD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58378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4E30B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1.32E-06</w:t>
            </w:r>
          </w:p>
        </w:tc>
        <w:tc>
          <w:tcPr>
            <w:tcW w:w="424" w:type="pct"/>
            <w:noWrap/>
            <w:vAlign w:val="center"/>
          </w:tcPr>
          <w:p w14:paraId="09C04A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EBE39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CDF73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2.87E-05</w:t>
            </w:r>
          </w:p>
        </w:tc>
        <w:tc>
          <w:tcPr>
            <w:tcW w:w="412" w:type="pct"/>
            <w:noWrap/>
            <w:vAlign w:val="center"/>
          </w:tcPr>
          <w:p w14:paraId="5A88A3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31A974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C11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275" w:type="pct"/>
            <w:vMerge w:val="restart"/>
            <w:noWrap/>
            <w:vAlign w:val="center"/>
          </w:tcPr>
          <w:p w14:paraId="301A33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1020" w:type="pct"/>
            <w:vMerge w:val="restart"/>
            <w:noWrap/>
            <w:vAlign w:val="center"/>
          </w:tcPr>
          <w:p w14:paraId="4FB2EC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好景园小区</w:t>
            </w:r>
          </w:p>
        </w:tc>
        <w:tc>
          <w:tcPr>
            <w:tcW w:w="424" w:type="pct"/>
            <w:noWrap/>
            <w:vAlign w:val="center"/>
          </w:tcPr>
          <w:p w14:paraId="508AAE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49BA6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9.02E-05</w:t>
            </w:r>
          </w:p>
        </w:tc>
        <w:tc>
          <w:tcPr>
            <w:tcW w:w="424" w:type="pct"/>
            <w:noWrap/>
            <w:vAlign w:val="center"/>
          </w:tcPr>
          <w:p w14:paraId="6A2DFC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6F0FEB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59804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1.21E-04</w:t>
            </w:r>
          </w:p>
        </w:tc>
        <w:tc>
          <w:tcPr>
            <w:tcW w:w="412" w:type="pct"/>
            <w:noWrap/>
            <w:vAlign w:val="center"/>
          </w:tcPr>
          <w:p w14:paraId="6D2F4D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0B10D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8F82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75" w:type="pct"/>
            <w:vMerge w:val="continue"/>
            <w:noWrap/>
            <w:vAlign w:val="center"/>
          </w:tcPr>
          <w:p w14:paraId="4FBE46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86B5C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966BE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ED29C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1.40E-06</w:t>
            </w:r>
          </w:p>
        </w:tc>
        <w:tc>
          <w:tcPr>
            <w:tcW w:w="424" w:type="pct"/>
            <w:noWrap/>
            <w:vAlign w:val="center"/>
          </w:tcPr>
          <w:p w14:paraId="5C8C4E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02287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FE044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2.88E-05</w:t>
            </w:r>
          </w:p>
        </w:tc>
        <w:tc>
          <w:tcPr>
            <w:tcW w:w="412" w:type="pct"/>
            <w:noWrap/>
            <w:vAlign w:val="center"/>
          </w:tcPr>
          <w:p w14:paraId="6BD7A5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5A7C78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CC5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75" w:type="pct"/>
            <w:vMerge w:val="restart"/>
            <w:noWrap/>
            <w:vAlign w:val="center"/>
          </w:tcPr>
          <w:p w14:paraId="608155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1020" w:type="pct"/>
            <w:vMerge w:val="restart"/>
            <w:noWrap/>
            <w:vAlign w:val="center"/>
          </w:tcPr>
          <w:p w14:paraId="270D8C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旗苑家园</w:t>
            </w:r>
          </w:p>
        </w:tc>
        <w:tc>
          <w:tcPr>
            <w:tcW w:w="424" w:type="pct"/>
            <w:noWrap/>
            <w:vAlign w:val="center"/>
          </w:tcPr>
          <w:p w14:paraId="207AD3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322CC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7.05E-05</w:t>
            </w:r>
          </w:p>
        </w:tc>
        <w:tc>
          <w:tcPr>
            <w:tcW w:w="424" w:type="pct"/>
            <w:noWrap/>
            <w:vAlign w:val="center"/>
          </w:tcPr>
          <w:p w14:paraId="44AD72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241113</w:t>
            </w:r>
          </w:p>
        </w:tc>
        <w:tc>
          <w:tcPr>
            <w:tcW w:w="672" w:type="pct"/>
            <w:noWrap/>
            <w:vAlign w:val="center"/>
          </w:tcPr>
          <w:p w14:paraId="321D90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C359C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1.01E-04</w:t>
            </w:r>
          </w:p>
        </w:tc>
        <w:tc>
          <w:tcPr>
            <w:tcW w:w="412" w:type="pct"/>
            <w:noWrap/>
            <w:vAlign w:val="center"/>
          </w:tcPr>
          <w:p w14:paraId="0090E4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14A7B2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FC786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275" w:type="pct"/>
            <w:vMerge w:val="continue"/>
            <w:noWrap/>
            <w:vAlign w:val="center"/>
          </w:tcPr>
          <w:p w14:paraId="677CA0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6CACAD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428A03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F0899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1.04E-06</w:t>
            </w:r>
          </w:p>
        </w:tc>
        <w:tc>
          <w:tcPr>
            <w:tcW w:w="424" w:type="pct"/>
            <w:noWrap/>
            <w:vAlign w:val="center"/>
          </w:tcPr>
          <w:p w14:paraId="4AE74B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F0268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55383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2.85E-05</w:t>
            </w:r>
          </w:p>
        </w:tc>
        <w:tc>
          <w:tcPr>
            <w:tcW w:w="412" w:type="pct"/>
            <w:noWrap/>
            <w:vAlign w:val="center"/>
          </w:tcPr>
          <w:p w14:paraId="0281D7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74FB89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58B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75" w:type="pct"/>
            <w:vMerge w:val="restart"/>
            <w:noWrap/>
            <w:vAlign w:val="center"/>
          </w:tcPr>
          <w:p w14:paraId="4901BA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1020" w:type="pct"/>
            <w:vMerge w:val="restart"/>
            <w:noWrap/>
            <w:vAlign w:val="center"/>
          </w:tcPr>
          <w:p w14:paraId="35BCBE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兴达家园</w:t>
            </w:r>
          </w:p>
        </w:tc>
        <w:tc>
          <w:tcPr>
            <w:tcW w:w="424" w:type="pct"/>
            <w:noWrap/>
            <w:vAlign w:val="center"/>
          </w:tcPr>
          <w:p w14:paraId="41AFA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E97DA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5.59E-05</w:t>
            </w:r>
          </w:p>
        </w:tc>
        <w:tc>
          <w:tcPr>
            <w:tcW w:w="424" w:type="pct"/>
            <w:noWrap/>
            <w:vAlign w:val="center"/>
          </w:tcPr>
          <w:p w14:paraId="475802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30D3FC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1D724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8.69E-05</w:t>
            </w:r>
          </w:p>
        </w:tc>
        <w:tc>
          <w:tcPr>
            <w:tcW w:w="412" w:type="pct"/>
            <w:noWrap/>
            <w:vAlign w:val="center"/>
          </w:tcPr>
          <w:p w14:paraId="42ED78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0.09</w:t>
            </w:r>
          </w:p>
        </w:tc>
        <w:tc>
          <w:tcPr>
            <w:tcW w:w="424" w:type="pct"/>
            <w:noWrap/>
            <w:vAlign w:val="center"/>
          </w:tcPr>
          <w:p w14:paraId="593E03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9D51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75" w:type="pct"/>
            <w:vMerge w:val="continue"/>
            <w:noWrap/>
            <w:vAlign w:val="center"/>
          </w:tcPr>
          <w:p w14:paraId="68EF7A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D91E4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9BA53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DA390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1.48E-06</w:t>
            </w:r>
          </w:p>
        </w:tc>
        <w:tc>
          <w:tcPr>
            <w:tcW w:w="424" w:type="pct"/>
            <w:noWrap/>
            <w:vAlign w:val="center"/>
          </w:tcPr>
          <w:p w14:paraId="2B9FCC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117C4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73D64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2.89E-05</w:t>
            </w:r>
          </w:p>
        </w:tc>
        <w:tc>
          <w:tcPr>
            <w:tcW w:w="412" w:type="pct"/>
            <w:noWrap/>
            <w:vAlign w:val="center"/>
          </w:tcPr>
          <w:p w14:paraId="4CB535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6DD51A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0839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75" w:type="pct"/>
            <w:vMerge w:val="restart"/>
            <w:noWrap/>
            <w:vAlign w:val="center"/>
          </w:tcPr>
          <w:p w14:paraId="6A388C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1020" w:type="pct"/>
            <w:vMerge w:val="restart"/>
            <w:noWrap/>
            <w:vAlign w:val="center"/>
          </w:tcPr>
          <w:p w14:paraId="0AB47A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协会大厦</w:t>
            </w:r>
          </w:p>
        </w:tc>
        <w:tc>
          <w:tcPr>
            <w:tcW w:w="424" w:type="pct"/>
            <w:noWrap/>
            <w:vAlign w:val="center"/>
          </w:tcPr>
          <w:p w14:paraId="5F7DC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C2670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1.65E-04</w:t>
            </w:r>
          </w:p>
        </w:tc>
        <w:tc>
          <w:tcPr>
            <w:tcW w:w="424" w:type="pct"/>
            <w:noWrap/>
            <w:vAlign w:val="center"/>
          </w:tcPr>
          <w:p w14:paraId="303DC7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0C287D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BA922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1.96E-04</w:t>
            </w:r>
          </w:p>
        </w:tc>
        <w:tc>
          <w:tcPr>
            <w:tcW w:w="412" w:type="pct"/>
            <w:noWrap/>
            <w:vAlign w:val="center"/>
          </w:tcPr>
          <w:p w14:paraId="719B48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0.20</w:t>
            </w:r>
          </w:p>
        </w:tc>
        <w:tc>
          <w:tcPr>
            <w:tcW w:w="424" w:type="pct"/>
            <w:noWrap/>
            <w:vAlign w:val="center"/>
          </w:tcPr>
          <w:p w14:paraId="707C6A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ADB51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75" w:type="pct"/>
            <w:vMerge w:val="continue"/>
            <w:noWrap/>
            <w:vAlign w:val="center"/>
          </w:tcPr>
          <w:p w14:paraId="2E3029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713699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73604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0EB68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3.46E-06</w:t>
            </w:r>
          </w:p>
        </w:tc>
        <w:tc>
          <w:tcPr>
            <w:tcW w:w="424" w:type="pct"/>
            <w:noWrap/>
            <w:vAlign w:val="center"/>
          </w:tcPr>
          <w:p w14:paraId="35054F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6F251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79DC45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3.09E-05</w:t>
            </w:r>
          </w:p>
        </w:tc>
        <w:tc>
          <w:tcPr>
            <w:tcW w:w="412" w:type="pct"/>
            <w:noWrap/>
            <w:vAlign w:val="center"/>
          </w:tcPr>
          <w:p w14:paraId="17B400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175AEF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C60E4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75" w:type="pct"/>
            <w:vMerge w:val="restart"/>
            <w:noWrap/>
            <w:vAlign w:val="center"/>
          </w:tcPr>
          <w:p w14:paraId="4F6ABB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1020" w:type="pct"/>
            <w:vMerge w:val="restart"/>
            <w:noWrap/>
            <w:vAlign w:val="center"/>
          </w:tcPr>
          <w:p w14:paraId="34B65E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数码港宾馆</w:t>
            </w:r>
          </w:p>
        </w:tc>
        <w:tc>
          <w:tcPr>
            <w:tcW w:w="424" w:type="pct"/>
            <w:noWrap/>
            <w:vAlign w:val="center"/>
          </w:tcPr>
          <w:p w14:paraId="499C95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B5EA4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8.42E-04</w:t>
            </w:r>
          </w:p>
        </w:tc>
        <w:tc>
          <w:tcPr>
            <w:tcW w:w="424" w:type="pct"/>
            <w:noWrap/>
            <w:vAlign w:val="center"/>
          </w:tcPr>
          <w:p w14:paraId="18EB90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4AB4B9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D8836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8.73E-04</w:t>
            </w:r>
          </w:p>
        </w:tc>
        <w:tc>
          <w:tcPr>
            <w:tcW w:w="412" w:type="pct"/>
            <w:noWrap/>
            <w:vAlign w:val="center"/>
          </w:tcPr>
          <w:p w14:paraId="62F12D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0.87</w:t>
            </w:r>
          </w:p>
        </w:tc>
        <w:tc>
          <w:tcPr>
            <w:tcW w:w="424" w:type="pct"/>
            <w:noWrap/>
            <w:vAlign w:val="center"/>
          </w:tcPr>
          <w:p w14:paraId="6E8CC6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F26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75" w:type="pct"/>
            <w:vMerge w:val="continue"/>
            <w:noWrap/>
            <w:vAlign w:val="center"/>
          </w:tcPr>
          <w:p w14:paraId="79BE20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DE064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1CD0F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D2496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3.67E-05</w:t>
            </w:r>
          </w:p>
        </w:tc>
        <w:tc>
          <w:tcPr>
            <w:tcW w:w="424" w:type="pct"/>
            <w:noWrap/>
            <w:vAlign w:val="center"/>
          </w:tcPr>
          <w:p w14:paraId="5A3E0E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FACCA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96FA8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6.42E-05</w:t>
            </w:r>
          </w:p>
        </w:tc>
        <w:tc>
          <w:tcPr>
            <w:tcW w:w="412" w:type="pct"/>
            <w:noWrap/>
            <w:vAlign w:val="center"/>
          </w:tcPr>
          <w:p w14:paraId="1CEE29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0.13</w:t>
            </w:r>
          </w:p>
        </w:tc>
        <w:tc>
          <w:tcPr>
            <w:tcW w:w="424" w:type="pct"/>
            <w:noWrap/>
            <w:vAlign w:val="center"/>
          </w:tcPr>
          <w:p w14:paraId="49287B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B9F28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75" w:type="pct"/>
            <w:vMerge w:val="restart"/>
            <w:noWrap/>
            <w:vAlign w:val="center"/>
          </w:tcPr>
          <w:p w14:paraId="089DCA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1020" w:type="pct"/>
            <w:vMerge w:val="restart"/>
            <w:noWrap/>
            <w:vAlign w:val="center"/>
          </w:tcPr>
          <w:p w14:paraId="36D3AF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山水国际</w:t>
            </w:r>
          </w:p>
        </w:tc>
        <w:tc>
          <w:tcPr>
            <w:tcW w:w="424" w:type="pct"/>
            <w:noWrap/>
            <w:vAlign w:val="center"/>
          </w:tcPr>
          <w:p w14:paraId="685DA3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6E071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1.38E-03</w:t>
            </w:r>
          </w:p>
        </w:tc>
        <w:tc>
          <w:tcPr>
            <w:tcW w:w="424" w:type="pct"/>
            <w:noWrap/>
            <w:vAlign w:val="center"/>
          </w:tcPr>
          <w:p w14:paraId="1F158B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240408</w:t>
            </w:r>
          </w:p>
        </w:tc>
        <w:tc>
          <w:tcPr>
            <w:tcW w:w="672" w:type="pct"/>
            <w:noWrap/>
            <w:vAlign w:val="center"/>
          </w:tcPr>
          <w:p w14:paraId="63EFE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2D76F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1.41E-03</w:t>
            </w:r>
          </w:p>
        </w:tc>
        <w:tc>
          <w:tcPr>
            <w:tcW w:w="412" w:type="pct"/>
            <w:noWrap/>
            <w:vAlign w:val="center"/>
          </w:tcPr>
          <w:p w14:paraId="764808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1.41</w:t>
            </w:r>
          </w:p>
        </w:tc>
        <w:tc>
          <w:tcPr>
            <w:tcW w:w="424" w:type="pct"/>
            <w:noWrap/>
            <w:vAlign w:val="center"/>
          </w:tcPr>
          <w:p w14:paraId="7FAB83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D2049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75" w:type="pct"/>
            <w:vMerge w:val="continue"/>
            <w:noWrap/>
            <w:vAlign w:val="center"/>
          </w:tcPr>
          <w:p w14:paraId="29477F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685A8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B9D8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4CA07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1.37E-04</w:t>
            </w:r>
          </w:p>
        </w:tc>
        <w:tc>
          <w:tcPr>
            <w:tcW w:w="424" w:type="pct"/>
            <w:noWrap/>
            <w:vAlign w:val="center"/>
          </w:tcPr>
          <w:p w14:paraId="6E5C21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62F81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C16E8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1.65E-04</w:t>
            </w:r>
          </w:p>
        </w:tc>
        <w:tc>
          <w:tcPr>
            <w:tcW w:w="412" w:type="pct"/>
            <w:noWrap/>
            <w:vAlign w:val="center"/>
          </w:tcPr>
          <w:p w14:paraId="0E92CE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0.33</w:t>
            </w:r>
          </w:p>
        </w:tc>
        <w:tc>
          <w:tcPr>
            <w:tcW w:w="424" w:type="pct"/>
            <w:noWrap/>
            <w:vAlign w:val="center"/>
          </w:tcPr>
          <w:p w14:paraId="2B8EDA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CC879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5" w:type="pct"/>
            <w:vMerge w:val="restart"/>
            <w:noWrap/>
            <w:vAlign w:val="center"/>
          </w:tcPr>
          <w:p w14:paraId="25F20E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1020" w:type="pct"/>
            <w:vMerge w:val="restart"/>
            <w:noWrap/>
            <w:vAlign w:val="center"/>
          </w:tcPr>
          <w:p w14:paraId="63014C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湖畔花园小区</w:t>
            </w:r>
          </w:p>
        </w:tc>
        <w:tc>
          <w:tcPr>
            <w:tcW w:w="424" w:type="pct"/>
            <w:noWrap/>
            <w:vAlign w:val="center"/>
          </w:tcPr>
          <w:p w14:paraId="314483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2DEF72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7.45E-04</w:t>
            </w:r>
          </w:p>
        </w:tc>
        <w:tc>
          <w:tcPr>
            <w:tcW w:w="424" w:type="pct"/>
            <w:noWrap/>
            <w:vAlign w:val="center"/>
          </w:tcPr>
          <w:p w14:paraId="357410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240325</w:t>
            </w:r>
          </w:p>
        </w:tc>
        <w:tc>
          <w:tcPr>
            <w:tcW w:w="672" w:type="pct"/>
            <w:noWrap/>
            <w:vAlign w:val="center"/>
          </w:tcPr>
          <w:p w14:paraId="02EA54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72E46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7.76E-04</w:t>
            </w:r>
          </w:p>
        </w:tc>
        <w:tc>
          <w:tcPr>
            <w:tcW w:w="412" w:type="pct"/>
            <w:noWrap/>
            <w:vAlign w:val="center"/>
          </w:tcPr>
          <w:p w14:paraId="594D92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0.78</w:t>
            </w:r>
          </w:p>
        </w:tc>
        <w:tc>
          <w:tcPr>
            <w:tcW w:w="424" w:type="pct"/>
            <w:noWrap/>
            <w:vAlign w:val="center"/>
          </w:tcPr>
          <w:p w14:paraId="0141AE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D7745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275" w:type="pct"/>
            <w:vMerge w:val="continue"/>
            <w:noWrap/>
            <w:vAlign w:val="center"/>
          </w:tcPr>
          <w:p w14:paraId="7FC7FD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1770B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6661A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B3C0C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2.27E-05</w:t>
            </w:r>
          </w:p>
        </w:tc>
        <w:tc>
          <w:tcPr>
            <w:tcW w:w="424" w:type="pct"/>
            <w:noWrap/>
            <w:vAlign w:val="center"/>
          </w:tcPr>
          <w:p w14:paraId="67C409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4542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1F908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5.01E-05</w:t>
            </w:r>
          </w:p>
        </w:tc>
        <w:tc>
          <w:tcPr>
            <w:tcW w:w="412" w:type="pct"/>
            <w:noWrap/>
            <w:vAlign w:val="center"/>
          </w:tcPr>
          <w:p w14:paraId="575AEF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0.10</w:t>
            </w:r>
          </w:p>
        </w:tc>
        <w:tc>
          <w:tcPr>
            <w:tcW w:w="424" w:type="pct"/>
            <w:noWrap/>
            <w:vAlign w:val="center"/>
          </w:tcPr>
          <w:p w14:paraId="067297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4A18C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75" w:type="pct"/>
            <w:vMerge w:val="restart"/>
            <w:noWrap/>
            <w:vAlign w:val="center"/>
          </w:tcPr>
          <w:p w14:paraId="20F747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1020" w:type="pct"/>
            <w:vMerge w:val="restart"/>
            <w:noWrap/>
            <w:vAlign w:val="center"/>
          </w:tcPr>
          <w:p w14:paraId="4BF70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湖滨小区</w:t>
            </w:r>
          </w:p>
        </w:tc>
        <w:tc>
          <w:tcPr>
            <w:tcW w:w="424" w:type="pct"/>
            <w:noWrap/>
            <w:vAlign w:val="center"/>
          </w:tcPr>
          <w:p w14:paraId="598075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63CC5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5.86E-04</w:t>
            </w:r>
          </w:p>
        </w:tc>
        <w:tc>
          <w:tcPr>
            <w:tcW w:w="424" w:type="pct"/>
            <w:noWrap/>
            <w:vAlign w:val="center"/>
          </w:tcPr>
          <w:p w14:paraId="309B9D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240325</w:t>
            </w:r>
          </w:p>
        </w:tc>
        <w:tc>
          <w:tcPr>
            <w:tcW w:w="672" w:type="pct"/>
            <w:noWrap/>
            <w:vAlign w:val="center"/>
          </w:tcPr>
          <w:p w14:paraId="4C2A6C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3F5540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6.17E-04</w:t>
            </w:r>
          </w:p>
        </w:tc>
        <w:tc>
          <w:tcPr>
            <w:tcW w:w="412" w:type="pct"/>
            <w:noWrap/>
            <w:vAlign w:val="center"/>
          </w:tcPr>
          <w:p w14:paraId="669CD6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0.62</w:t>
            </w:r>
          </w:p>
        </w:tc>
        <w:tc>
          <w:tcPr>
            <w:tcW w:w="424" w:type="pct"/>
            <w:noWrap/>
            <w:vAlign w:val="center"/>
          </w:tcPr>
          <w:p w14:paraId="338F11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712E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75" w:type="pct"/>
            <w:vMerge w:val="continue"/>
            <w:noWrap/>
            <w:vAlign w:val="center"/>
          </w:tcPr>
          <w:p w14:paraId="03667F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9FA70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030E5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B9080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1.36E-05</w:t>
            </w:r>
          </w:p>
        </w:tc>
        <w:tc>
          <w:tcPr>
            <w:tcW w:w="424" w:type="pct"/>
            <w:noWrap/>
            <w:vAlign w:val="center"/>
          </w:tcPr>
          <w:p w14:paraId="7CA8E4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78FDE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19E114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4.10E-05</w:t>
            </w:r>
          </w:p>
        </w:tc>
        <w:tc>
          <w:tcPr>
            <w:tcW w:w="412" w:type="pct"/>
            <w:noWrap/>
            <w:vAlign w:val="center"/>
          </w:tcPr>
          <w:p w14:paraId="2E279A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3FFE19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B0593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75" w:type="pct"/>
            <w:vMerge w:val="restart"/>
            <w:noWrap/>
            <w:vAlign w:val="center"/>
          </w:tcPr>
          <w:p w14:paraId="5167B0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1020" w:type="pct"/>
            <w:vMerge w:val="restart"/>
            <w:noWrap/>
            <w:vAlign w:val="center"/>
          </w:tcPr>
          <w:p w14:paraId="0546B3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吉祥小区</w:t>
            </w:r>
          </w:p>
        </w:tc>
        <w:tc>
          <w:tcPr>
            <w:tcW w:w="424" w:type="pct"/>
            <w:noWrap/>
            <w:vAlign w:val="center"/>
          </w:tcPr>
          <w:p w14:paraId="1C7682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224A5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8.25E-05</w:t>
            </w:r>
          </w:p>
        </w:tc>
        <w:tc>
          <w:tcPr>
            <w:tcW w:w="424" w:type="pct"/>
            <w:noWrap/>
            <w:vAlign w:val="center"/>
          </w:tcPr>
          <w:p w14:paraId="543FD2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1C4D73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ED7C5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1.13E-04</w:t>
            </w:r>
          </w:p>
        </w:tc>
        <w:tc>
          <w:tcPr>
            <w:tcW w:w="412" w:type="pct"/>
            <w:noWrap/>
            <w:vAlign w:val="center"/>
          </w:tcPr>
          <w:p w14:paraId="337466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0.11</w:t>
            </w:r>
          </w:p>
        </w:tc>
        <w:tc>
          <w:tcPr>
            <w:tcW w:w="424" w:type="pct"/>
            <w:noWrap/>
            <w:vAlign w:val="center"/>
          </w:tcPr>
          <w:p w14:paraId="40DA5E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933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75" w:type="pct"/>
            <w:vMerge w:val="continue"/>
            <w:noWrap/>
            <w:vAlign w:val="center"/>
          </w:tcPr>
          <w:p w14:paraId="78EE9A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B2846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9D31A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F3D18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1.42E-06</w:t>
            </w:r>
          </w:p>
        </w:tc>
        <w:tc>
          <w:tcPr>
            <w:tcW w:w="424" w:type="pct"/>
            <w:noWrap/>
            <w:vAlign w:val="center"/>
          </w:tcPr>
          <w:p w14:paraId="21ADD5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6BE2F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3840C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2.89E-05</w:t>
            </w:r>
          </w:p>
        </w:tc>
        <w:tc>
          <w:tcPr>
            <w:tcW w:w="412" w:type="pct"/>
            <w:noWrap/>
            <w:vAlign w:val="center"/>
          </w:tcPr>
          <w:p w14:paraId="62A49E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73E20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19EA4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731451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1020" w:type="pct"/>
            <w:vMerge w:val="restart"/>
            <w:noWrap/>
            <w:vAlign w:val="center"/>
          </w:tcPr>
          <w:p w14:paraId="6C7113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天佑国际</w:t>
            </w:r>
          </w:p>
        </w:tc>
        <w:tc>
          <w:tcPr>
            <w:tcW w:w="424" w:type="pct"/>
            <w:noWrap/>
            <w:vAlign w:val="center"/>
          </w:tcPr>
          <w:p w14:paraId="6EF0F6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5403E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7.45E-04</w:t>
            </w:r>
          </w:p>
        </w:tc>
        <w:tc>
          <w:tcPr>
            <w:tcW w:w="424" w:type="pct"/>
            <w:noWrap/>
            <w:vAlign w:val="center"/>
          </w:tcPr>
          <w:p w14:paraId="7FB745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240317</w:t>
            </w:r>
          </w:p>
        </w:tc>
        <w:tc>
          <w:tcPr>
            <w:tcW w:w="672" w:type="pct"/>
            <w:noWrap/>
            <w:vAlign w:val="center"/>
          </w:tcPr>
          <w:p w14:paraId="67B89E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13B407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7.76E-04</w:t>
            </w:r>
          </w:p>
        </w:tc>
        <w:tc>
          <w:tcPr>
            <w:tcW w:w="412" w:type="pct"/>
            <w:noWrap/>
            <w:vAlign w:val="center"/>
          </w:tcPr>
          <w:p w14:paraId="35800A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0.78</w:t>
            </w:r>
          </w:p>
        </w:tc>
        <w:tc>
          <w:tcPr>
            <w:tcW w:w="424" w:type="pct"/>
            <w:noWrap/>
            <w:vAlign w:val="center"/>
          </w:tcPr>
          <w:p w14:paraId="1F684E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5B91B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2C4063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2AB65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DD87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6ACCE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4.71E-05</w:t>
            </w:r>
          </w:p>
        </w:tc>
        <w:tc>
          <w:tcPr>
            <w:tcW w:w="424" w:type="pct"/>
            <w:noWrap/>
            <w:vAlign w:val="center"/>
          </w:tcPr>
          <w:p w14:paraId="3AAEFD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0E65D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E9B2C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7.45E-05</w:t>
            </w:r>
          </w:p>
        </w:tc>
        <w:tc>
          <w:tcPr>
            <w:tcW w:w="412" w:type="pct"/>
            <w:noWrap/>
            <w:vAlign w:val="center"/>
          </w:tcPr>
          <w:p w14:paraId="56C0D0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0.15</w:t>
            </w:r>
          </w:p>
        </w:tc>
        <w:tc>
          <w:tcPr>
            <w:tcW w:w="424" w:type="pct"/>
            <w:noWrap/>
            <w:vAlign w:val="center"/>
          </w:tcPr>
          <w:p w14:paraId="4380B0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9251A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75" w:type="pct"/>
            <w:vMerge w:val="restart"/>
            <w:noWrap/>
            <w:vAlign w:val="center"/>
          </w:tcPr>
          <w:p w14:paraId="155460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1020" w:type="pct"/>
            <w:vMerge w:val="restart"/>
            <w:noWrap/>
            <w:vAlign w:val="center"/>
          </w:tcPr>
          <w:p w14:paraId="353AED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前进社区</w:t>
            </w:r>
          </w:p>
        </w:tc>
        <w:tc>
          <w:tcPr>
            <w:tcW w:w="424" w:type="pct"/>
            <w:noWrap/>
            <w:vAlign w:val="center"/>
          </w:tcPr>
          <w:p w14:paraId="1E0C58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1009B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3.57E-04</w:t>
            </w:r>
          </w:p>
        </w:tc>
        <w:tc>
          <w:tcPr>
            <w:tcW w:w="424" w:type="pct"/>
            <w:noWrap/>
            <w:vAlign w:val="center"/>
          </w:tcPr>
          <w:p w14:paraId="020DCA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722972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0010C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3.88E-04</w:t>
            </w:r>
          </w:p>
        </w:tc>
        <w:tc>
          <w:tcPr>
            <w:tcW w:w="412" w:type="pct"/>
            <w:noWrap/>
            <w:vAlign w:val="center"/>
          </w:tcPr>
          <w:p w14:paraId="774CEF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0.39</w:t>
            </w:r>
          </w:p>
        </w:tc>
        <w:tc>
          <w:tcPr>
            <w:tcW w:w="424" w:type="pct"/>
            <w:noWrap/>
            <w:vAlign w:val="center"/>
          </w:tcPr>
          <w:p w14:paraId="329571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6EC2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275" w:type="pct"/>
            <w:vMerge w:val="continue"/>
            <w:noWrap/>
            <w:vAlign w:val="center"/>
          </w:tcPr>
          <w:p w14:paraId="660C7A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3322D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AA358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002208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1.67E-05</w:t>
            </w:r>
          </w:p>
        </w:tc>
        <w:tc>
          <w:tcPr>
            <w:tcW w:w="424" w:type="pct"/>
            <w:noWrap/>
            <w:vAlign w:val="center"/>
          </w:tcPr>
          <w:p w14:paraId="4D209D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73557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5E709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4.41E-05</w:t>
            </w:r>
          </w:p>
        </w:tc>
        <w:tc>
          <w:tcPr>
            <w:tcW w:w="412" w:type="pct"/>
            <w:noWrap/>
            <w:vAlign w:val="center"/>
          </w:tcPr>
          <w:p w14:paraId="5DC24A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0.09</w:t>
            </w:r>
          </w:p>
        </w:tc>
        <w:tc>
          <w:tcPr>
            <w:tcW w:w="424" w:type="pct"/>
            <w:noWrap/>
            <w:vAlign w:val="center"/>
          </w:tcPr>
          <w:p w14:paraId="417C54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0D2DC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75" w:type="pct"/>
            <w:vMerge w:val="restart"/>
            <w:noWrap/>
            <w:vAlign w:val="center"/>
          </w:tcPr>
          <w:p w14:paraId="16A7D8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1020" w:type="pct"/>
            <w:vMerge w:val="restart"/>
            <w:noWrap/>
            <w:vAlign w:val="center"/>
          </w:tcPr>
          <w:p w14:paraId="019E65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幸福家园</w:t>
            </w:r>
          </w:p>
        </w:tc>
        <w:tc>
          <w:tcPr>
            <w:tcW w:w="424" w:type="pct"/>
            <w:noWrap/>
            <w:vAlign w:val="center"/>
          </w:tcPr>
          <w:p w14:paraId="5EC567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CE681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7.00E-04</w:t>
            </w:r>
          </w:p>
        </w:tc>
        <w:tc>
          <w:tcPr>
            <w:tcW w:w="424" w:type="pct"/>
            <w:noWrap/>
            <w:vAlign w:val="center"/>
          </w:tcPr>
          <w:p w14:paraId="62CBE0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241122</w:t>
            </w:r>
          </w:p>
        </w:tc>
        <w:tc>
          <w:tcPr>
            <w:tcW w:w="672" w:type="pct"/>
            <w:noWrap/>
            <w:vAlign w:val="center"/>
          </w:tcPr>
          <w:p w14:paraId="6D68CA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1C1E3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7.31E-04</w:t>
            </w:r>
          </w:p>
        </w:tc>
        <w:tc>
          <w:tcPr>
            <w:tcW w:w="412" w:type="pct"/>
            <w:noWrap/>
            <w:vAlign w:val="center"/>
          </w:tcPr>
          <w:p w14:paraId="25882C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0.73</w:t>
            </w:r>
          </w:p>
        </w:tc>
        <w:tc>
          <w:tcPr>
            <w:tcW w:w="424" w:type="pct"/>
            <w:noWrap/>
            <w:vAlign w:val="center"/>
          </w:tcPr>
          <w:p w14:paraId="1B5D8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E3540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75" w:type="pct"/>
            <w:vMerge w:val="continue"/>
            <w:noWrap/>
            <w:vAlign w:val="center"/>
          </w:tcPr>
          <w:p w14:paraId="5A9F36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5C5756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06DE46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1D0506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6.32E-05</w:t>
            </w:r>
          </w:p>
        </w:tc>
        <w:tc>
          <w:tcPr>
            <w:tcW w:w="424" w:type="pct"/>
            <w:noWrap/>
            <w:vAlign w:val="center"/>
          </w:tcPr>
          <w:p w14:paraId="6C5BD6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4351A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8E127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9.06E-05</w:t>
            </w:r>
          </w:p>
        </w:tc>
        <w:tc>
          <w:tcPr>
            <w:tcW w:w="412" w:type="pct"/>
            <w:noWrap/>
            <w:vAlign w:val="center"/>
          </w:tcPr>
          <w:p w14:paraId="206645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0.18</w:t>
            </w:r>
          </w:p>
        </w:tc>
        <w:tc>
          <w:tcPr>
            <w:tcW w:w="424" w:type="pct"/>
            <w:noWrap/>
            <w:vAlign w:val="center"/>
          </w:tcPr>
          <w:p w14:paraId="5F41C6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3100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75" w:type="pct"/>
            <w:vMerge w:val="restart"/>
            <w:noWrap/>
            <w:vAlign w:val="center"/>
          </w:tcPr>
          <w:p w14:paraId="79E016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1020" w:type="pct"/>
            <w:vMerge w:val="restart"/>
            <w:noWrap/>
            <w:vAlign w:val="center"/>
          </w:tcPr>
          <w:p w14:paraId="4F3665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盛世嘉园</w:t>
            </w:r>
          </w:p>
        </w:tc>
        <w:tc>
          <w:tcPr>
            <w:tcW w:w="424" w:type="pct"/>
            <w:noWrap/>
            <w:vAlign w:val="center"/>
          </w:tcPr>
          <w:p w14:paraId="0B4FCC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70D32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4.00E-04</w:t>
            </w:r>
          </w:p>
        </w:tc>
        <w:tc>
          <w:tcPr>
            <w:tcW w:w="424" w:type="pct"/>
            <w:noWrap/>
            <w:vAlign w:val="center"/>
          </w:tcPr>
          <w:p w14:paraId="5D60E2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19A38B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1BE59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4.31E-04</w:t>
            </w:r>
          </w:p>
        </w:tc>
        <w:tc>
          <w:tcPr>
            <w:tcW w:w="412" w:type="pct"/>
            <w:noWrap/>
            <w:vAlign w:val="center"/>
          </w:tcPr>
          <w:p w14:paraId="3FF5B1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0.43</w:t>
            </w:r>
          </w:p>
        </w:tc>
        <w:tc>
          <w:tcPr>
            <w:tcW w:w="424" w:type="pct"/>
            <w:noWrap/>
            <w:vAlign w:val="center"/>
          </w:tcPr>
          <w:p w14:paraId="360BFC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7DED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75" w:type="pct"/>
            <w:vMerge w:val="continue"/>
            <w:noWrap/>
            <w:vAlign w:val="center"/>
          </w:tcPr>
          <w:p w14:paraId="48F5F5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48686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3E64F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0482AE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5.98E-06</w:t>
            </w:r>
          </w:p>
        </w:tc>
        <w:tc>
          <w:tcPr>
            <w:tcW w:w="424" w:type="pct"/>
            <w:noWrap/>
            <w:vAlign w:val="center"/>
          </w:tcPr>
          <w:p w14:paraId="698CDE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A265C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967B5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3.34E-05</w:t>
            </w:r>
          </w:p>
        </w:tc>
        <w:tc>
          <w:tcPr>
            <w:tcW w:w="412" w:type="pct"/>
            <w:noWrap/>
            <w:vAlign w:val="center"/>
          </w:tcPr>
          <w:p w14:paraId="3EE45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70C64C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CF99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75" w:type="pct"/>
            <w:vMerge w:val="restart"/>
            <w:noWrap/>
            <w:vAlign w:val="center"/>
          </w:tcPr>
          <w:p w14:paraId="6A3688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1020" w:type="pct"/>
            <w:vMerge w:val="restart"/>
            <w:noWrap/>
            <w:vAlign w:val="center"/>
          </w:tcPr>
          <w:p w14:paraId="5C6B95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兄弟花园</w:t>
            </w:r>
          </w:p>
        </w:tc>
        <w:tc>
          <w:tcPr>
            <w:tcW w:w="424" w:type="pct"/>
            <w:noWrap/>
            <w:vAlign w:val="center"/>
          </w:tcPr>
          <w:p w14:paraId="36A9F6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60F74B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3.25E-04</w:t>
            </w:r>
          </w:p>
        </w:tc>
        <w:tc>
          <w:tcPr>
            <w:tcW w:w="424" w:type="pct"/>
            <w:noWrap/>
            <w:vAlign w:val="center"/>
          </w:tcPr>
          <w:p w14:paraId="17EEED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3A921B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D1228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3.56E-04</w:t>
            </w:r>
          </w:p>
        </w:tc>
        <w:tc>
          <w:tcPr>
            <w:tcW w:w="412" w:type="pct"/>
            <w:noWrap/>
            <w:vAlign w:val="center"/>
          </w:tcPr>
          <w:p w14:paraId="65DF8D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0.35</w:t>
            </w:r>
          </w:p>
        </w:tc>
        <w:tc>
          <w:tcPr>
            <w:tcW w:w="424" w:type="pct"/>
            <w:noWrap/>
            <w:vAlign w:val="center"/>
          </w:tcPr>
          <w:p w14:paraId="56D855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5497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275" w:type="pct"/>
            <w:vMerge w:val="continue"/>
            <w:noWrap/>
            <w:vAlign w:val="center"/>
          </w:tcPr>
          <w:p w14:paraId="448D15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53025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CF51D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7DA73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4.27E-06</w:t>
            </w:r>
          </w:p>
        </w:tc>
        <w:tc>
          <w:tcPr>
            <w:tcW w:w="424" w:type="pct"/>
            <w:noWrap/>
            <w:vAlign w:val="center"/>
          </w:tcPr>
          <w:p w14:paraId="0DB2DE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10897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5F2B2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3.17E-05</w:t>
            </w:r>
          </w:p>
        </w:tc>
        <w:tc>
          <w:tcPr>
            <w:tcW w:w="412" w:type="pct"/>
            <w:noWrap/>
            <w:vAlign w:val="center"/>
          </w:tcPr>
          <w:p w14:paraId="34FA05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78D7C9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C46E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75" w:type="pct"/>
            <w:vMerge w:val="restart"/>
            <w:noWrap/>
            <w:vAlign w:val="center"/>
          </w:tcPr>
          <w:p w14:paraId="4949BD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1020" w:type="pct"/>
            <w:vMerge w:val="restart"/>
            <w:noWrap/>
            <w:vAlign w:val="center"/>
          </w:tcPr>
          <w:p w14:paraId="7B5616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424" w:type="pct"/>
            <w:noWrap/>
            <w:vAlign w:val="center"/>
          </w:tcPr>
          <w:p w14:paraId="05B5C9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7167C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2.94E-04</w:t>
            </w:r>
          </w:p>
        </w:tc>
        <w:tc>
          <w:tcPr>
            <w:tcW w:w="424" w:type="pct"/>
            <w:noWrap/>
            <w:vAlign w:val="center"/>
          </w:tcPr>
          <w:p w14:paraId="2992A2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161264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EA6746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3.25E-04</w:t>
            </w:r>
          </w:p>
        </w:tc>
        <w:tc>
          <w:tcPr>
            <w:tcW w:w="412" w:type="pct"/>
            <w:noWrap/>
            <w:vAlign w:val="center"/>
          </w:tcPr>
          <w:p w14:paraId="341642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0.32</w:t>
            </w:r>
          </w:p>
        </w:tc>
        <w:tc>
          <w:tcPr>
            <w:tcW w:w="424" w:type="pct"/>
            <w:noWrap/>
            <w:vAlign w:val="center"/>
          </w:tcPr>
          <w:p w14:paraId="609416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A82C2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275" w:type="pct"/>
            <w:vMerge w:val="continue"/>
            <w:noWrap/>
            <w:vAlign w:val="center"/>
          </w:tcPr>
          <w:p w14:paraId="2BFA29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6C419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DC4B6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0DFE6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3.65E-06</w:t>
            </w:r>
          </w:p>
        </w:tc>
        <w:tc>
          <w:tcPr>
            <w:tcW w:w="424" w:type="pct"/>
            <w:noWrap/>
            <w:vAlign w:val="center"/>
          </w:tcPr>
          <w:p w14:paraId="011BB3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4ADD2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04ACF7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3.11E-05</w:t>
            </w:r>
          </w:p>
        </w:tc>
        <w:tc>
          <w:tcPr>
            <w:tcW w:w="412" w:type="pct"/>
            <w:noWrap/>
            <w:vAlign w:val="center"/>
          </w:tcPr>
          <w:p w14:paraId="752FF4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5AE6C3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919CE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75" w:type="pct"/>
            <w:vMerge w:val="restart"/>
            <w:noWrap/>
            <w:vAlign w:val="center"/>
          </w:tcPr>
          <w:p w14:paraId="41D2A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1020" w:type="pct"/>
            <w:vMerge w:val="restart"/>
            <w:noWrap/>
            <w:vAlign w:val="center"/>
          </w:tcPr>
          <w:p w14:paraId="2E21FE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424" w:type="pct"/>
            <w:noWrap/>
            <w:vAlign w:val="center"/>
          </w:tcPr>
          <w:p w14:paraId="0C78B4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09E11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2.06E-04</w:t>
            </w:r>
          </w:p>
        </w:tc>
        <w:tc>
          <w:tcPr>
            <w:tcW w:w="424" w:type="pct"/>
            <w:noWrap/>
            <w:vAlign w:val="center"/>
          </w:tcPr>
          <w:p w14:paraId="2E67DE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240319</w:t>
            </w:r>
          </w:p>
        </w:tc>
        <w:tc>
          <w:tcPr>
            <w:tcW w:w="672" w:type="pct"/>
            <w:noWrap/>
            <w:vAlign w:val="center"/>
          </w:tcPr>
          <w:p w14:paraId="12CDCB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47564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2.37E-04</w:t>
            </w:r>
          </w:p>
        </w:tc>
        <w:tc>
          <w:tcPr>
            <w:tcW w:w="412" w:type="pct"/>
            <w:noWrap/>
            <w:vAlign w:val="center"/>
          </w:tcPr>
          <w:p w14:paraId="58B914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0.24</w:t>
            </w:r>
          </w:p>
        </w:tc>
        <w:tc>
          <w:tcPr>
            <w:tcW w:w="424" w:type="pct"/>
            <w:noWrap/>
            <w:vAlign w:val="center"/>
          </w:tcPr>
          <w:p w14:paraId="63AA9D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00E02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275" w:type="pct"/>
            <w:vMerge w:val="continue"/>
            <w:noWrap/>
            <w:vAlign w:val="center"/>
          </w:tcPr>
          <w:p w14:paraId="3DA10D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11F1A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4AA44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C63CC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2.78E-06</w:t>
            </w:r>
          </w:p>
        </w:tc>
        <w:tc>
          <w:tcPr>
            <w:tcW w:w="424" w:type="pct"/>
            <w:noWrap/>
            <w:vAlign w:val="center"/>
          </w:tcPr>
          <w:p w14:paraId="417DE0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2121D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2E55FA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3.02E-05</w:t>
            </w:r>
          </w:p>
        </w:tc>
        <w:tc>
          <w:tcPr>
            <w:tcW w:w="412" w:type="pct"/>
            <w:noWrap/>
            <w:vAlign w:val="center"/>
          </w:tcPr>
          <w:p w14:paraId="32AF8F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78259A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42D1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75" w:type="pct"/>
            <w:vMerge w:val="restart"/>
            <w:noWrap/>
            <w:vAlign w:val="center"/>
          </w:tcPr>
          <w:p w14:paraId="52754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1020" w:type="pct"/>
            <w:vMerge w:val="restart"/>
            <w:noWrap/>
            <w:vAlign w:val="center"/>
          </w:tcPr>
          <w:p w14:paraId="59D3B6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424" w:type="pct"/>
            <w:noWrap/>
            <w:vAlign w:val="center"/>
          </w:tcPr>
          <w:p w14:paraId="420FEA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1B367A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1.43E-04</w:t>
            </w:r>
          </w:p>
        </w:tc>
        <w:tc>
          <w:tcPr>
            <w:tcW w:w="424" w:type="pct"/>
            <w:noWrap/>
            <w:vAlign w:val="center"/>
          </w:tcPr>
          <w:p w14:paraId="55295D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240321</w:t>
            </w:r>
          </w:p>
        </w:tc>
        <w:tc>
          <w:tcPr>
            <w:tcW w:w="672" w:type="pct"/>
            <w:noWrap/>
            <w:vAlign w:val="center"/>
          </w:tcPr>
          <w:p w14:paraId="3F3559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79AC82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1.74E-04</w:t>
            </w:r>
          </w:p>
        </w:tc>
        <w:tc>
          <w:tcPr>
            <w:tcW w:w="412" w:type="pct"/>
            <w:noWrap/>
            <w:vAlign w:val="center"/>
          </w:tcPr>
          <w:p w14:paraId="7A9AD1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0.17</w:t>
            </w:r>
          </w:p>
        </w:tc>
        <w:tc>
          <w:tcPr>
            <w:tcW w:w="424" w:type="pct"/>
            <w:noWrap/>
            <w:vAlign w:val="center"/>
          </w:tcPr>
          <w:p w14:paraId="602791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A90A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275" w:type="pct"/>
            <w:vMerge w:val="continue"/>
            <w:noWrap/>
            <w:vAlign w:val="center"/>
          </w:tcPr>
          <w:p w14:paraId="41B111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733C56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64A6A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44E4B8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3.70E-06</w:t>
            </w:r>
          </w:p>
        </w:tc>
        <w:tc>
          <w:tcPr>
            <w:tcW w:w="424" w:type="pct"/>
            <w:noWrap/>
            <w:vAlign w:val="center"/>
          </w:tcPr>
          <w:p w14:paraId="1D121F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092B2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04A863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3.11E-05</w:t>
            </w:r>
          </w:p>
        </w:tc>
        <w:tc>
          <w:tcPr>
            <w:tcW w:w="412" w:type="pct"/>
            <w:noWrap/>
            <w:vAlign w:val="center"/>
          </w:tcPr>
          <w:p w14:paraId="042866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07B38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C25CB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75" w:type="pct"/>
            <w:vMerge w:val="restart"/>
            <w:noWrap/>
            <w:vAlign w:val="center"/>
          </w:tcPr>
          <w:p w14:paraId="47C9D3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1020" w:type="pct"/>
            <w:vMerge w:val="restart"/>
            <w:noWrap/>
            <w:vAlign w:val="center"/>
          </w:tcPr>
          <w:p w14:paraId="6C8C80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424" w:type="pct"/>
            <w:noWrap/>
            <w:vAlign w:val="center"/>
          </w:tcPr>
          <w:p w14:paraId="04EDAB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BFBD0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3.74E-04</w:t>
            </w:r>
          </w:p>
        </w:tc>
        <w:tc>
          <w:tcPr>
            <w:tcW w:w="424" w:type="pct"/>
            <w:noWrap/>
            <w:vAlign w:val="center"/>
          </w:tcPr>
          <w:p w14:paraId="2FBDF3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7B8D53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4D1D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4.05E-04</w:t>
            </w:r>
          </w:p>
        </w:tc>
        <w:tc>
          <w:tcPr>
            <w:tcW w:w="412" w:type="pct"/>
            <w:noWrap/>
            <w:vAlign w:val="center"/>
          </w:tcPr>
          <w:p w14:paraId="7C9EB9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0.40</w:t>
            </w:r>
          </w:p>
        </w:tc>
        <w:tc>
          <w:tcPr>
            <w:tcW w:w="424" w:type="pct"/>
            <w:noWrap/>
            <w:vAlign w:val="center"/>
          </w:tcPr>
          <w:p w14:paraId="5A3651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95B01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75" w:type="pct"/>
            <w:vMerge w:val="continue"/>
            <w:noWrap/>
            <w:vAlign w:val="center"/>
          </w:tcPr>
          <w:p w14:paraId="3C09F7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0AF81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F7D15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C162F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1.19E-05</w:t>
            </w:r>
          </w:p>
        </w:tc>
        <w:tc>
          <w:tcPr>
            <w:tcW w:w="424" w:type="pct"/>
            <w:noWrap/>
            <w:vAlign w:val="center"/>
          </w:tcPr>
          <w:p w14:paraId="61D75C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A2912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1DE55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3.93E-05</w:t>
            </w:r>
          </w:p>
        </w:tc>
        <w:tc>
          <w:tcPr>
            <w:tcW w:w="412" w:type="pct"/>
            <w:noWrap/>
            <w:vAlign w:val="center"/>
          </w:tcPr>
          <w:p w14:paraId="790B6D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0.08</w:t>
            </w:r>
          </w:p>
        </w:tc>
        <w:tc>
          <w:tcPr>
            <w:tcW w:w="424" w:type="pct"/>
            <w:noWrap/>
            <w:vAlign w:val="center"/>
          </w:tcPr>
          <w:p w14:paraId="772F48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378FC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75" w:type="pct"/>
            <w:vMerge w:val="restart"/>
            <w:noWrap/>
            <w:vAlign w:val="center"/>
          </w:tcPr>
          <w:p w14:paraId="0A80EF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1020" w:type="pct"/>
            <w:vMerge w:val="restart"/>
            <w:noWrap/>
            <w:vAlign w:val="center"/>
          </w:tcPr>
          <w:p w14:paraId="598AF3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424" w:type="pct"/>
            <w:noWrap/>
            <w:vAlign w:val="center"/>
          </w:tcPr>
          <w:p w14:paraId="1E7B00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0C1BC8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6.48E-04</w:t>
            </w:r>
          </w:p>
        </w:tc>
        <w:tc>
          <w:tcPr>
            <w:tcW w:w="424" w:type="pct"/>
            <w:noWrap/>
            <w:vAlign w:val="center"/>
          </w:tcPr>
          <w:p w14:paraId="701A70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271161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6778B3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6.79E-04</w:t>
            </w:r>
          </w:p>
        </w:tc>
        <w:tc>
          <w:tcPr>
            <w:tcW w:w="412" w:type="pct"/>
            <w:noWrap/>
            <w:vAlign w:val="center"/>
          </w:tcPr>
          <w:p w14:paraId="08D99D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0.68</w:t>
            </w:r>
          </w:p>
        </w:tc>
        <w:tc>
          <w:tcPr>
            <w:tcW w:w="424" w:type="pct"/>
            <w:noWrap/>
            <w:vAlign w:val="center"/>
          </w:tcPr>
          <w:p w14:paraId="050806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427A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75" w:type="pct"/>
            <w:vMerge w:val="continue"/>
            <w:noWrap/>
            <w:vAlign w:val="center"/>
          </w:tcPr>
          <w:p w14:paraId="28FD3E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BA1E0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1B57CA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82A17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3.05E-05</w:t>
            </w:r>
          </w:p>
        </w:tc>
        <w:tc>
          <w:tcPr>
            <w:tcW w:w="424" w:type="pct"/>
            <w:noWrap/>
            <w:vAlign w:val="center"/>
          </w:tcPr>
          <w:p w14:paraId="28C032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9E3C2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DFEA0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5.79E-05</w:t>
            </w:r>
          </w:p>
        </w:tc>
        <w:tc>
          <w:tcPr>
            <w:tcW w:w="412" w:type="pct"/>
            <w:noWrap/>
            <w:vAlign w:val="center"/>
          </w:tcPr>
          <w:p w14:paraId="029DAA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38277C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67D2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788DFC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1020" w:type="pct"/>
            <w:vMerge w:val="restart"/>
            <w:noWrap/>
            <w:vAlign w:val="center"/>
          </w:tcPr>
          <w:p w14:paraId="1F09D0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424" w:type="pct"/>
            <w:noWrap/>
            <w:vAlign w:val="center"/>
          </w:tcPr>
          <w:p w14:paraId="28F45A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27904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3.19E-04</w:t>
            </w:r>
          </w:p>
        </w:tc>
        <w:tc>
          <w:tcPr>
            <w:tcW w:w="424" w:type="pct"/>
            <w:noWrap/>
            <w:vAlign w:val="center"/>
          </w:tcPr>
          <w:p w14:paraId="740735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15EA8D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265C3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3.50E-04</w:t>
            </w:r>
          </w:p>
        </w:tc>
        <w:tc>
          <w:tcPr>
            <w:tcW w:w="412" w:type="pct"/>
            <w:noWrap/>
            <w:vAlign w:val="center"/>
          </w:tcPr>
          <w:p w14:paraId="075AD8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0.35</w:t>
            </w:r>
          </w:p>
        </w:tc>
        <w:tc>
          <w:tcPr>
            <w:tcW w:w="424" w:type="pct"/>
            <w:noWrap/>
            <w:vAlign w:val="center"/>
          </w:tcPr>
          <w:p w14:paraId="64C381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4264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52E557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8B310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254551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7BC006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5.88E-06</w:t>
            </w:r>
          </w:p>
        </w:tc>
        <w:tc>
          <w:tcPr>
            <w:tcW w:w="424" w:type="pct"/>
            <w:noWrap/>
            <w:vAlign w:val="center"/>
          </w:tcPr>
          <w:p w14:paraId="3C8F5B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AAB72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6A8983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3.33E-05</w:t>
            </w:r>
          </w:p>
        </w:tc>
        <w:tc>
          <w:tcPr>
            <w:tcW w:w="412" w:type="pct"/>
            <w:noWrap/>
            <w:vAlign w:val="center"/>
          </w:tcPr>
          <w:p w14:paraId="035056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0.07</w:t>
            </w:r>
          </w:p>
        </w:tc>
        <w:tc>
          <w:tcPr>
            <w:tcW w:w="424" w:type="pct"/>
            <w:noWrap/>
            <w:vAlign w:val="center"/>
          </w:tcPr>
          <w:p w14:paraId="316BAC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2E5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75" w:type="pct"/>
            <w:vMerge w:val="restart"/>
            <w:noWrap/>
            <w:vAlign w:val="center"/>
          </w:tcPr>
          <w:p w14:paraId="2CFC8F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1020" w:type="pct"/>
            <w:vMerge w:val="restart"/>
            <w:noWrap/>
            <w:vAlign w:val="center"/>
          </w:tcPr>
          <w:p w14:paraId="23918A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424" w:type="pct"/>
            <w:noWrap/>
            <w:vAlign w:val="center"/>
          </w:tcPr>
          <w:p w14:paraId="1CB491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054BC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1.17E-04</w:t>
            </w:r>
          </w:p>
        </w:tc>
        <w:tc>
          <w:tcPr>
            <w:tcW w:w="424" w:type="pct"/>
            <w:noWrap/>
            <w:vAlign w:val="center"/>
          </w:tcPr>
          <w:p w14:paraId="460C9F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2E1B5D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023153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1.48E-04</w:t>
            </w:r>
          </w:p>
        </w:tc>
        <w:tc>
          <w:tcPr>
            <w:tcW w:w="412" w:type="pct"/>
            <w:noWrap/>
            <w:vAlign w:val="center"/>
          </w:tcPr>
          <w:p w14:paraId="4D656F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0.15</w:t>
            </w:r>
          </w:p>
        </w:tc>
        <w:tc>
          <w:tcPr>
            <w:tcW w:w="424" w:type="pct"/>
            <w:noWrap/>
            <w:vAlign w:val="center"/>
          </w:tcPr>
          <w:p w14:paraId="417FB9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C17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75" w:type="pct"/>
            <w:vMerge w:val="continue"/>
            <w:noWrap/>
            <w:vAlign w:val="center"/>
          </w:tcPr>
          <w:p w14:paraId="665F84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37A0DD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507EAE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51716B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3.29E-06</w:t>
            </w:r>
          </w:p>
        </w:tc>
        <w:tc>
          <w:tcPr>
            <w:tcW w:w="424" w:type="pct"/>
            <w:noWrap/>
            <w:vAlign w:val="center"/>
          </w:tcPr>
          <w:p w14:paraId="02A07F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961EA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C9CAF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3.07E-05</w:t>
            </w:r>
          </w:p>
        </w:tc>
        <w:tc>
          <w:tcPr>
            <w:tcW w:w="412" w:type="pct"/>
            <w:noWrap/>
            <w:vAlign w:val="center"/>
          </w:tcPr>
          <w:p w14:paraId="0A9336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0.06</w:t>
            </w:r>
          </w:p>
        </w:tc>
        <w:tc>
          <w:tcPr>
            <w:tcW w:w="424" w:type="pct"/>
            <w:noWrap/>
            <w:vAlign w:val="center"/>
          </w:tcPr>
          <w:p w14:paraId="117120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2AB8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75" w:type="pct"/>
            <w:vMerge w:val="restart"/>
            <w:noWrap/>
            <w:vAlign w:val="center"/>
          </w:tcPr>
          <w:p w14:paraId="7C107F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1020" w:type="pct"/>
            <w:vMerge w:val="restart"/>
            <w:noWrap/>
            <w:vAlign w:val="center"/>
          </w:tcPr>
          <w:p w14:paraId="6C01F2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424" w:type="pct"/>
            <w:noWrap/>
            <w:vAlign w:val="center"/>
          </w:tcPr>
          <w:p w14:paraId="4BA506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50E41B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4.11E-04</w:t>
            </w:r>
          </w:p>
        </w:tc>
        <w:tc>
          <w:tcPr>
            <w:tcW w:w="424" w:type="pct"/>
            <w:noWrap/>
            <w:vAlign w:val="center"/>
          </w:tcPr>
          <w:p w14:paraId="16D412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241001</w:t>
            </w:r>
          </w:p>
        </w:tc>
        <w:tc>
          <w:tcPr>
            <w:tcW w:w="672" w:type="pct"/>
            <w:noWrap/>
            <w:vAlign w:val="center"/>
          </w:tcPr>
          <w:p w14:paraId="50593C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360ECF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4.42E-04</w:t>
            </w:r>
          </w:p>
        </w:tc>
        <w:tc>
          <w:tcPr>
            <w:tcW w:w="412" w:type="pct"/>
            <w:noWrap/>
            <w:vAlign w:val="center"/>
          </w:tcPr>
          <w:p w14:paraId="5525CB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0.44</w:t>
            </w:r>
          </w:p>
        </w:tc>
        <w:tc>
          <w:tcPr>
            <w:tcW w:w="424" w:type="pct"/>
            <w:noWrap/>
            <w:vAlign w:val="center"/>
          </w:tcPr>
          <w:p w14:paraId="7B2ABD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421F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0D5E76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2EC72B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63EDA6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2AE215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3.04E-05</w:t>
            </w:r>
          </w:p>
        </w:tc>
        <w:tc>
          <w:tcPr>
            <w:tcW w:w="424" w:type="pct"/>
            <w:noWrap/>
            <w:vAlign w:val="center"/>
          </w:tcPr>
          <w:p w14:paraId="50CFEC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76C1A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3DAC90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5.78E-05</w:t>
            </w:r>
          </w:p>
        </w:tc>
        <w:tc>
          <w:tcPr>
            <w:tcW w:w="412" w:type="pct"/>
            <w:noWrap/>
            <w:vAlign w:val="center"/>
          </w:tcPr>
          <w:p w14:paraId="4050BF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0.12</w:t>
            </w:r>
          </w:p>
        </w:tc>
        <w:tc>
          <w:tcPr>
            <w:tcW w:w="424" w:type="pct"/>
            <w:noWrap/>
            <w:vAlign w:val="center"/>
          </w:tcPr>
          <w:p w14:paraId="647B11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D725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restart"/>
            <w:noWrap/>
            <w:vAlign w:val="center"/>
          </w:tcPr>
          <w:p w14:paraId="3D1224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1020" w:type="pct"/>
            <w:vMerge w:val="restart"/>
            <w:noWrap/>
            <w:vAlign w:val="center"/>
          </w:tcPr>
          <w:p w14:paraId="4527EB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绥芬河市传染病医院</w:t>
            </w:r>
          </w:p>
        </w:tc>
        <w:tc>
          <w:tcPr>
            <w:tcW w:w="723" w:type="dxa"/>
            <w:noWrap/>
            <w:vAlign w:val="center"/>
          </w:tcPr>
          <w:p w14:paraId="3D25A9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7FBAF8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5.32E-04</w:t>
            </w:r>
          </w:p>
        </w:tc>
        <w:tc>
          <w:tcPr>
            <w:tcW w:w="424" w:type="pct"/>
            <w:noWrap/>
            <w:vAlign w:val="center"/>
          </w:tcPr>
          <w:p w14:paraId="7E00D6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241119</w:t>
            </w:r>
          </w:p>
        </w:tc>
        <w:tc>
          <w:tcPr>
            <w:tcW w:w="672" w:type="pct"/>
            <w:noWrap/>
            <w:vAlign w:val="center"/>
          </w:tcPr>
          <w:p w14:paraId="2CD494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55439D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5.63E-04</w:t>
            </w:r>
          </w:p>
        </w:tc>
        <w:tc>
          <w:tcPr>
            <w:tcW w:w="412" w:type="pct"/>
            <w:noWrap/>
            <w:vAlign w:val="center"/>
          </w:tcPr>
          <w:p w14:paraId="376AB4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5.32E-04</w:t>
            </w:r>
          </w:p>
        </w:tc>
        <w:tc>
          <w:tcPr>
            <w:tcW w:w="723" w:type="dxa"/>
            <w:noWrap/>
            <w:vAlign w:val="center"/>
          </w:tcPr>
          <w:p w14:paraId="63807A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8D6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514883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1107C1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23" w:type="dxa"/>
            <w:noWrap/>
            <w:vAlign w:val="center"/>
          </w:tcPr>
          <w:p w14:paraId="3BB20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3CCA69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4.37E-05</w:t>
            </w:r>
          </w:p>
        </w:tc>
        <w:tc>
          <w:tcPr>
            <w:tcW w:w="424" w:type="pct"/>
            <w:noWrap/>
            <w:vAlign w:val="center"/>
          </w:tcPr>
          <w:p w14:paraId="66C9B7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51535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551C1A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7.11E-05</w:t>
            </w:r>
          </w:p>
        </w:tc>
        <w:tc>
          <w:tcPr>
            <w:tcW w:w="412" w:type="pct"/>
            <w:noWrap/>
            <w:vAlign w:val="center"/>
          </w:tcPr>
          <w:p w14:paraId="4DF209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4.37E-05</w:t>
            </w:r>
          </w:p>
        </w:tc>
        <w:tc>
          <w:tcPr>
            <w:tcW w:w="723" w:type="dxa"/>
            <w:noWrap/>
            <w:vAlign w:val="center"/>
          </w:tcPr>
          <w:p w14:paraId="13933B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A2D3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restart"/>
            <w:noWrap/>
            <w:vAlign w:val="center"/>
          </w:tcPr>
          <w:p w14:paraId="4CEA9A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1020" w:type="pct"/>
            <w:vMerge w:val="restart"/>
            <w:noWrap/>
            <w:vAlign w:val="center"/>
          </w:tcPr>
          <w:p w14:paraId="7DEA48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424" w:type="pct"/>
            <w:noWrap/>
            <w:vAlign w:val="center"/>
          </w:tcPr>
          <w:p w14:paraId="7A20DC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72" w:type="pct"/>
            <w:noWrap/>
            <w:vAlign w:val="center"/>
          </w:tcPr>
          <w:p w14:paraId="4CBC56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1.48E-03</w:t>
            </w:r>
          </w:p>
        </w:tc>
        <w:tc>
          <w:tcPr>
            <w:tcW w:w="424" w:type="pct"/>
            <w:noWrap/>
            <w:vAlign w:val="center"/>
          </w:tcPr>
          <w:p w14:paraId="4C9A30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240426</w:t>
            </w:r>
          </w:p>
        </w:tc>
        <w:tc>
          <w:tcPr>
            <w:tcW w:w="672" w:type="pct"/>
            <w:noWrap/>
            <w:vAlign w:val="center"/>
          </w:tcPr>
          <w:p w14:paraId="6EBD95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3.10E-05</w:t>
            </w:r>
          </w:p>
        </w:tc>
        <w:tc>
          <w:tcPr>
            <w:tcW w:w="672" w:type="pct"/>
            <w:noWrap/>
            <w:vAlign w:val="center"/>
          </w:tcPr>
          <w:p w14:paraId="48B522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1.51E-03</w:t>
            </w:r>
          </w:p>
        </w:tc>
        <w:tc>
          <w:tcPr>
            <w:tcW w:w="412" w:type="pct"/>
            <w:noWrap/>
            <w:vAlign w:val="center"/>
          </w:tcPr>
          <w:p w14:paraId="182810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1.51</w:t>
            </w:r>
          </w:p>
        </w:tc>
        <w:tc>
          <w:tcPr>
            <w:tcW w:w="424" w:type="pct"/>
            <w:noWrap/>
            <w:vAlign w:val="center"/>
          </w:tcPr>
          <w:p w14:paraId="1DCE81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FE060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505963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1020" w:type="pct"/>
            <w:vMerge w:val="continue"/>
            <w:noWrap/>
            <w:vAlign w:val="center"/>
          </w:tcPr>
          <w:p w14:paraId="0B8877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424" w:type="pct"/>
            <w:noWrap/>
            <w:vAlign w:val="center"/>
          </w:tcPr>
          <w:p w14:paraId="7BBA7A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72" w:type="pct"/>
            <w:noWrap/>
            <w:vAlign w:val="center"/>
          </w:tcPr>
          <w:p w14:paraId="63CB5B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1.87E-04</w:t>
            </w:r>
          </w:p>
        </w:tc>
        <w:tc>
          <w:tcPr>
            <w:tcW w:w="424" w:type="pct"/>
            <w:noWrap/>
            <w:vAlign w:val="center"/>
          </w:tcPr>
          <w:p w14:paraId="04A8D8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CACA5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2.74E-05</w:t>
            </w:r>
          </w:p>
        </w:tc>
        <w:tc>
          <w:tcPr>
            <w:tcW w:w="672" w:type="pct"/>
            <w:noWrap/>
            <w:vAlign w:val="center"/>
          </w:tcPr>
          <w:p w14:paraId="062E2B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2.14E-04</w:t>
            </w:r>
          </w:p>
        </w:tc>
        <w:tc>
          <w:tcPr>
            <w:tcW w:w="412" w:type="pct"/>
            <w:noWrap/>
            <w:vAlign w:val="center"/>
          </w:tcPr>
          <w:p w14:paraId="03E47F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0.43</w:t>
            </w:r>
          </w:p>
        </w:tc>
        <w:tc>
          <w:tcPr>
            <w:tcW w:w="424" w:type="pct"/>
            <w:noWrap/>
            <w:vAlign w:val="center"/>
          </w:tcPr>
          <w:p w14:paraId="3A4040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448FBF95">
      <w:pPr>
        <w:ind w:firstLine="0" w:firstLineChars="0"/>
        <w:rPr>
          <w:rFonts w:ascii="Times New Roman" w:hAnsi="Times New Roman"/>
          <w:color w:val="auto"/>
          <w:sz w:val="21"/>
          <w:highlight w:val="none"/>
        </w:rPr>
      </w:pPr>
      <w:r>
        <w:rPr>
          <w:rFonts w:ascii="Times New Roman" w:hAnsi="Times New Roman"/>
          <w:color w:val="auto"/>
          <w:sz w:val="21"/>
          <w:highlight w:val="none"/>
        </w:rPr>
        <w:t>注：叠加浓度=本项目贡献浓度-区域削减污染源+区域在建+</w:t>
      </w:r>
      <w:r>
        <w:rPr>
          <w:rFonts w:hint="eastAsia" w:ascii="Times New Roman" w:hAnsi="Times New Roman"/>
          <w:color w:val="auto"/>
          <w:sz w:val="21"/>
          <w:highlight w:val="none"/>
        </w:rPr>
        <w:t>拟在建</w:t>
      </w:r>
      <w:r>
        <w:rPr>
          <w:rFonts w:ascii="Times New Roman" w:hAnsi="Times New Roman"/>
          <w:color w:val="auto"/>
          <w:sz w:val="21"/>
          <w:highlight w:val="none"/>
        </w:rPr>
        <w:t>污染源+背景浓度</w:t>
      </w:r>
    </w:p>
    <w:p w14:paraId="089F076A">
      <w:pPr>
        <w:ind w:left="0" w:leftChars="0" w:firstLine="0" w:firstLineChars="0"/>
        <w:jc w:val="center"/>
        <w:rPr>
          <w:rFonts w:hint="eastAsia" w:ascii="Times New Roman" w:hAnsi="Times New Roman" w:eastAsia="宋体"/>
          <w:color w:val="auto"/>
          <w:highlight w:val="none"/>
          <w:lang w:eastAsia="zh-CN"/>
        </w:rPr>
      </w:pPr>
      <w:r>
        <w:rPr>
          <w:highlight w:val="none"/>
        </w:rPr>
        <w:drawing>
          <wp:inline distT="0" distB="0" distL="114300" distR="114300">
            <wp:extent cx="5271135" cy="2412365"/>
            <wp:effectExtent l="0" t="0" r="5715" b="6985"/>
            <wp:docPr id="15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7"/>
                    <pic:cNvPicPr>
                      <a:picLocks noChangeAspect="1"/>
                    </pic:cNvPicPr>
                  </pic:nvPicPr>
                  <pic:blipFill>
                    <a:blip r:embed="rId43"/>
                    <a:stretch>
                      <a:fillRect/>
                    </a:stretch>
                  </pic:blipFill>
                  <pic:spPr>
                    <a:xfrm>
                      <a:off x="0" y="0"/>
                      <a:ext cx="5271135" cy="2412365"/>
                    </a:xfrm>
                    <a:prstGeom prst="rect">
                      <a:avLst/>
                    </a:prstGeom>
                    <a:noFill/>
                    <a:ln>
                      <a:noFill/>
                    </a:ln>
                  </pic:spPr>
                </pic:pic>
              </a:graphicData>
            </a:graphic>
          </wp:inline>
        </w:drawing>
      </w:r>
    </w:p>
    <w:p w14:paraId="6ADAF392">
      <w:pPr>
        <w:ind w:left="0" w:leftChars="0" w:firstLine="0" w:firstLineChars="0"/>
        <w:jc w:val="center"/>
        <w:rPr>
          <w:rFonts w:hint="eastAsia" w:ascii="Times New Roman" w:hAnsi="Times New Roman"/>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2-3</w:t>
      </w:r>
      <w:r>
        <w:rPr>
          <w:rFonts w:hint="eastAsia" w:ascii="黑体" w:hAnsi="黑体" w:eastAsia="黑体" w:cs="黑体"/>
          <w:color w:val="auto"/>
          <w:highlight w:val="none"/>
        </w:rPr>
        <w:t>本项目</w:t>
      </w:r>
      <w:r>
        <w:rPr>
          <w:rFonts w:ascii="Times New Roman" w:hAnsi="Times New Roman"/>
          <w:color w:val="auto"/>
          <w:highlight w:val="none"/>
        </w:rPr>
        <w:t>NO</w:t>
      </w:r>
      <w:r>
        <w:rPr>
          <w:rFonts w:ascii="Times New Roman" w:hAnsi="Times New Roman"/>
          <w:color w:val="auto"/>
          <w:highlight w:val="none"/>
          <w:vertAlign w:val="subscript"/>
        </w:rPr>
        <w:t>2</w:t>
      </w:r>
      <w:r>
        <w:rPr>
          <w:rFonts w:hint="eastAsia" w:ascii="黑体" w:hAnsi="黑体" w:eastAsia="黑体" w:cs="黑体"/>
          <w:color w:val="auto"/>
          <w:highlight w:val="none"/>
        </w:rPr>
        <w:t>保证率日平均质量浓度分布图</w:t>
      </w:r>
      <w:r>
        <w:rPr>
          <w:rFonts w:hint="eastAsia" w:ascii="Times New Roman" w:hAnsi="Times New Roman"/>
          <w:color w:val="auto"/>
          <w:highlight w:val="none"/>
        </w:rPr>
        <w:t>（</w:t>
      </w:r>
      <w:r>
        <w:rPr>
          <w:rFonts w:hint="eastAsia" w:ascii="Times New Roman" w:hAnsi="Times New Roman"/>
          <w:color w:val="auto"/>
          <w:highlight w:val="none"/>
          <w:lang w:val="en-US" w:eastAsia="zh-CN"/>
        </w:rPr>
        <w:t>m</w:t>
      </w:r>
      <w:r>
        <w:rPr>
          <w:rFonts w:hint="eastAsia" w:ascii="Times New Roman" w:hAnsi="Times New Roman"/>
          <w:color w:val="auto"/>
          <w:highlight w:val="none"/>
        </w:rPr>
        <w:t>g/m</w:t>
      </w:r>
      <w:r>
        <w:rPr>
          <w:rFonts w:hint="eastAsia" w:ascii="Times New Roman" w:hAnsi="Times New Roman"/>
          <w:color w:val="auto"/>
          <w:highlight w:val="none"/>
          <w:vertAlign w:val="superscript"/>
        </w:rPr>
        <w:t>3</w:t>
      </w:r>
      <w:r>
        <w:rPr>
          <w:rFonts w:hint="eastAsia" w:ascii="Times New Roman" w:hAnsi="Times New Roman"/>
          <w:color w:val="auto"/>
          <w:highlight w:val="none"/>
        </w:rPr>
        <w:t>）</w:t>
      </w:r>
    </w:p>
    <w:p w14:paraId="332F72BE">
      <w:pPr>
        <w:pStyle w:val="15"/>
        <w:ind w:left="0" w:leftChars="0" w:firstLine="0" w:firstLineChars="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72405" cy="2693035"/>
            <wp:effectExtent l="0" t="0" r="4445" b="12065"/>
            <wp:docPr id="85" name="图片 85" descr="9f302cc826bc32f621073d63b191d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9f302cc826bc32f621073d63b191d030"/>
                    <pic:cNvPicPr>
                      <a:picLocks noChangeAspect="1"/>
                    </pic:cNvPicPr>
                  </pic:nvPicPr>
                  <pic:blipFill>
                    <a:blip r:embed="rId44"/>
                    <a:stretch>
                      <a:fillRect/>
                    </a:stretch>
                  </pic:blipFill>
                  <pic:spPr>
                    <a:xfrm>
                      <a:off x="0" y="0"/>
                      <a:ext cx="5272405" cy="2693035"/>
                    </a:xfrm>
                    <a:prstGeom prst="rect">
                      <a:avLst/>
                    </a:prstGeom>
                  </pic:spPr>
                </pic:pic>
              </a:graphicData>
            </a:graphic>
          </wp:inline>
        </w:drawing>
      </w:r>
    </w:p>
    <w:p w14:paraId="4D3170C9">
      <w:pPr>
        <w:ind w:left="0" w:leftChars="0" w:firstLine="0" w:firstLineChars="0"/>
        <w:jc w:val="center"/>
        <w:rPr>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2-4</w:t>
      </w:r>
      <w:r>
        <w:rPr>
          <w:rFonts w:hint="eastAsia" w:ascii="黑体" w:hAnsi="黑体" w:eastAsia="黑体" w:cs="黑体"/>
          <w:color w:val="auto"/>
          <w:highlight w:val="none"/>
        </w:rPr>
        <w:t>本项目</w:t>
      </w:r>
      <w:r>
        <w:rPr>
          <w:rFonts w:ascii="Times New Roman" w:hAnsi="Times New Roman"/>
          <w:color w:val="auto"/>
          <w:highlight w:val="none"/>
        </w:rPr>
        <w:t>NO</w:t>
      </w:r>
      <w:r>
        <w:rPr>
          <w:rFonts w:ascii="Times New Roman" w:hAnsi="Times New Roman"/>
          <w:color w:val="auto"/>
          <w:highlight w:val="none"/>
          <w:vertAlign w:val="subscript"/>
        </w:rPr>
        <w:t>2</w:t>
      </w:r>
      <w:r>
        <w:rPr>
          <w:rFonts w:hint="eastAsia" w:ascii="黑体" w:hAnsi="黑体" w:eastAsia="黑体" w:cs="黑体"/>
          <w:color w:val="auto"/>
          <w:highlight w:val="none"/>
        </w:rPr>
        <w:t>年平均质量浓度分布图</w:t>
      </w:r>
      <w:r>
        <w:rPr>
          <w:rFonts w:hint="eastAsia"/>
          <w:color w:val="auto"/>
          <w:highlight w:val="none"/>
        </w:rPr>
        <w:t>（</w:t>
      </w:r>
      <w:r>
        <w:rPr>
          <w:rFonts w:hint="eastAsia" w:ascii="Times New Roman" w:hAnsi="Times New Roman"/>
          <w:color w:val="auto"/>
          <w:highlight w:val="none"/>
          <w:lang w:val="en-US" w:eastAsia="zh-CN"/>
        </w:rPr>
        <w:t>m</w:t>
      </w:r>
      <w:r>
        <w:rPr>
          <w:rFonts w:hint="eastAsia" w:ascii="Times New Roman" w:hAnsi="Times New Roman"/>
          <w:color w:val="auto"/>
          <w:highlight w:val="none"/>
        </w:rPr>
        <w:t>g/m</w:t>
      </w:r>
      <w:r>
        <w:rPr>
          <w:rFonts w:hint="eastAsia" w:ascii="Times New Roman" w:hAnsi="Times New Roman"/>
          <w:color w:val="auto"/>
          <w:highlight w:val="none"/>
          <w:vertAlign w:val="superscript"/>
        </w:rPr>
        <w:t>3</w:t>
      </w:r>
      <w:r>
        <w:rPr>
          <w:rFonts w:hint="eastAsia"/>
          <w:color w:val="auto"/>
          <w:highlight w:val="none"/>
        </w:rPr>
        <w:t>）</w:t>
      </w:r>
    </w:p>
    <w:p w14:paraId="7173F572">
      <w:pPr>
        <w:ind w:firstLine="480"/>
        <w:rPr>
          <w:rFonts w:ascii="Times New Roman" w:hAnsi="Times New Roman"/>
          <w:color w:val="auto"/>
          <w:highlight w:val="none"/>
          <w:u w:val="none"/>
        </w:rPr>
      </w:pPr>
      <w:r>
        <w:rPr>
          <w:rFonts w:ascii="Times New Roman" w:hAnsi="Times New Roman"/>
          <w:color w:val="auto"/>
          <w:highlight w:val="none"/>
          <w:u w:val="none"/>
        </w:rPr>
        <w:t>叠加后，污染物NO</w:t>
      </w:r>
      <w:r>
        <w:rPr>
          <w:rFonts w:ascii="Times New Roman" w:hAnsi="Times New Roman"/>
          <w:color w:val="auto"/>
          <w:highlight w:val="none"/>
          <w:u w:val="none"/>
          <w:vertAlign w:val="subscript"/>
        </w:rPr>
        <w:t>2</w:t>
      </w:r>
      <w:r>
        <w:rPr>
          <w:rFonts w:ascii="Times New Roman" w:hAnsi="Times New Roman"/>
          <w:color w:val="auto"/>
          <w:highlight w:val="none"/>
          <w:u w:val="none"/>
        </w:rPr>
        <w:t>保证率（98%）日平均质量浓度和年平均质量浓度均符合《环境空气质量标准》（GB3095-2012）及修改单中二级标准。</w:t>
      </w:r>
    </w:p>
    <w:p w14:paraId="70A78461">
      <w:pPr>
        <w:ind w:firstLine="480"/>
        <w:rPr>
          <w:rFonts w:ascii="Times New Roman" w:hAnsi="Times New Roman"/>
          <w:color w:val="auto"/>
          <w:highlight w:val="none"/>
        </w:rPr>
      </w:pPr>
      <w:r>
        <w:rPr>
          <w:rFonts w:ascii="Times New Roman" w:hAnsi="Times New Roman"/>
          <w:color w:val="auto"/>
          <w:highlight w:val="none"/>
        </w:rPr>
        <w:t>（3）PM</w:t>
      </w:r>
      <w:r>
        <w:rPr>
          <w:rFonts w:ascii="Times New Roman" w:hAnsi="Times New Roman"/>
          <w:color w:val="auto"/>
          <w:highlight w:val="none"/>
          <w:vertAlign w:val="subscript"/>
        </w:rPr>
        <w:t>10</w:t>
      </w:r>
      <w:r>
        <w:rPr>
          <w:rFonts w:ascii="Times New Roman" w:hAnsi="Times New Roman"/>
          <w:color w:val="auto"/>
          <w:highlight w:val="none"/>
        </w:rPr>
        <w:t>叠加现状环境影响预测</w:t>
      </w:r>
    </w:p>
    <w:p w14:paraId="5B065C32">
      <w:pPr>
        <w:ind w:firstLine="480"/>
        <w:rPr>
          <w:rFonts w:ascii="Times New Roman" w:hAnsi="Times New Roman"/>
          <w:color w:val="auto"/>
          <w:highlight w:val="none"/>
        </w:rPr>
      </w:pPr>
      <w:r>
        <w:rPr>
          <w:rFonts w:ascii="Times New Roman" w:hAnsi="Times New Roman"/>
          <w:color w:val="auto"/>
          <w:highlight w:val="none"/>
        </w:rPr>
        <w:t>各敏感点及区域PM</w:t>
      </w:r>
      <w:r>
        <w:rPr>
          <w:rFonts w:ascii="Times New Roman" w:hAnsi="Times New Roman"/>
          <w:color w:val="auto"/>
          <w:highlight w:val="none"/>
          <w:vertAlign w:val="subscript"/>
        </w:rPr>
        <w:t>10</w:t>
      </w:r>
      <w:r>
        <w:rPr>
          <w:rFonts w:ascii="Times New Roman" w:hAnsi="Times New Roman"/>
          <w:color w:val="auto"/>
          <w:highlight w:val="none"/>
        </w:rPr>
        <w:t>最大浓度点叠加背景浓度结果见表5.2-</w:t>
      </w:r>
      <w:r>
        <w:rPr>
          <w:rFonts w:hint="eastAsia" w:ascii="Times New Roman" w:hAnsi="Times New Roman"/>
          <w:color w:val="auto"/>
          <w:highlight w:val="none"/>
          <w:lang w:val="en-US" w:eastAsia="zh-CN"/>
        </w:rPr>
        <w:t>19</w:t>
      </w:r>
      <w:r>
        <w:rPr>
          <w:rFonts w:ascii="Times New Roman" w:hAnsi="Times New Roman"/>
          <w:color w:val="auto"/>
          <w:highlight w:val="none"/>
        </w:rPr>
        <w:t>。</w:t>
      </w:r>
    </w:p>
    <w:p w14:paraId="719E499A">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lang w:val="en-US" w:eastAsia="zh-CN"/>
        </w:rPr>
        <w:t>19</w:t>
      </w:r>
      <w:r>
        <w:rPr>
          <w:rFonts w:hint="eastAsia" w:ascii="Times New Roman" w:hAnsi="Times New Roman"/>
          <w:color w:val="auto"/>
          <w:highlight w:val="none"/>
        </w:rPr>
        <w:t xml:space="preserve">  </w:t>
      </w:r>
      <w:r>
        <w:rPr>
          <w:rFonts w:ascii="Times New Roman" w:hAnsi="Times New Roman"/>
          <w:color w:val="auto"/>
          <w:highlight w:val="none"/>
        </w:rPr>
        <w:t>PM</w:t>
      </w:r>
      <w:r>
        <w:rPr>
          <w:rFonts w:ascii="Times New Roman" w:hAnsi="Times New Roman"/>
          <w:color w:val="auto"/>
          <w:highlight w:val="none"/>
          <w:vertAlign w:val="subscript"/>
        </w:rPr>
        <w:t>10</w:t>
      </w:r>
      <w:r>
        <w:rPr>
          <w:rFonts w:hint="eastAsia" w:ascii="黑体" w:hAnsi="黑体" w:eastAsia="黑体" w:cs="黑体"/>
          <w:color w:val="auto"/>
          <w:highlight w:val="none"/>
        </w:rPr>
        <w:t>预测结果叠加背景浓度结果</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9"/>
        <w:gridCol w:w="1307"/>
        <w:gridCol w:w="878"/>
        <w:gridCol w:w="1039"/>
        <w:gridCol w:w="793"/>
        <w:gridCol w:w="1146"/>
        <w:gridCol w:w="1329"/>
        <w:gridCol w:w="837"/>
        <w:gridCol w:w="724"/>
      </w:tblGrid>
      <w:tr w14:paraId="42CB51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27" w:hRule="atLeast"/>
          <w:jc w:val="center"/>
        </w:trPr>
        <w:tc>
          <w:tcPr>
            <w:tcW w:w="275" w:type="pct"/>
            <w:noWrap/>
            <w:vAlign w:val="center"/>
          </w:tcPr>
          <w:p w14:paraId="1F8F56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序号</w:t>
            </w:r>
          </w:p>
        </w:tc>
        <w:tc>
          <w:tcPr>
            <w:tcW w:w="766" w:type="pct"/>
            <w:noWrap/>
            <w:vAlign w:val="center"/>
          </w:tcPr>
          <w:p w14:paraId="07BBAC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点名称</w:t>
            </w:r>
          </w:p>
        </w:tc>
        <w:tc>
          <w:tcPr>
            <w:tcW w:w="515" w:type="pct"/>
            <w:noWrap/>
            <w:vAlign w:val="center"/>
          </w:tcPr>
          <w:p w14:paraId="4F947D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浓度类型</w:t>
            </w:r>
          </w:p>
        </w:tc>
        <w:tc>
          <w:tcPr>
            <w:tcW w:w="609" w:type="pct"/>
            <w:noWrap/>
            <w:vAlign w:val="center"/>
          </w:tcPr>
          <w:p w14:paraId="430A13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浓度增量(mg/m</w:t>
            </w:r>
            <w:r>
              <w:rPr>
                <w:rFonts w:hint="eastAsia" w:ascii="Times New Roman" w:hAnsi="Times New Roman" w:eastAsia="宋体" w:cs="Times New Roman"/>
                <w:kern w:val="0"/>
                <w:sz w:val="21"/>
                <w:highlight w:val="none"/>
                <w:vertAlign w:val="superscript"/>
                <w:lang w:val="en-US" w:eastAsia="zh-CN" w:bidi="ar"/>
              </w:rPr>
              <w:t>3</w:t>
            </w:r>
            <w:r>
              <w:rPr>
                <w:rFonts w:hint="eastAsia" w:ascii="Times New Roman" w:hAnsi="Times New Roman" w:eastAsia="宋体" w:cs="Times New Roman"/>
                <w:kern w:val="0"/>
                <w:sz w:val="21"/>
                <w:highlight w:val="none"/>
                <w:lang w:val="en-US" w:eastAsia="zh-CN" w:bidi="ar"/>
              </w:rPr>
              <w:t>)</w:t>
            </w:r>
          </w:p>
        </w:tc>
        <w:tc>
          <w:tcPr>
            <w:tcW w:w="465" w:type="pct"/>
            <w:noWrap/>
            <w:vAlign w:val="center"/>
          </w:tcPr>
          <w:p w14:paraId="68223B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出现时间</w:t>
            </w:r>
          </w:p>
        </w:tc>
        <w:tc>
          <w:tcPr>
            <w:tcW w:w="672" w:type="pct"/>
            <w:noWrap/>
            <w:vAlign w:val="center"/>
          </w:tcPr>
          <w:p w14:paraId="25C833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背景浓度(mg/m</w:t>
            </w:r>
            <w:r>
              <w:rPr>
                <w:rFonts w:hint="eastAsia" w:ascii="Times New Roman" w:hAnsi="Times New Roman" w:eastAsia="宋体" w:cs="Times New Roman"/>
                <w:kern w:val="0"/>
                <w:sz w:val="21"/>
                <w:highlight w:val="none"/>
                <w:vertAlign w:val="superscript"/>
                <w:lang w:val="en-US" w:eastAsia="zh-CN" w:bidi="ar"/>
              </w:rPr>
              <w:t>3</w:t>
            </w:r>
            <w:r>
              <w:rPr>
                <w:rFonts w:hint="eastAsia" w:ascii="Times New Roman" w:hAnsi="Times New Roman" w:eastAsia="宋体" w:cs="Times New Roman"/>
                <w:kern w:val="0"/>
                <w:sz w:val="21"/>
                <w:highlight w:val="none"/>
                <w:lang w:val="en-US" w:eastAsia="zh-CN" w:bidi="ar"/>
              </w:rPr>
              <w:t>)</w:t>
            </w:r>
          </w:p>
        </w:tc>
        <w:tc>
          <w:tcPr>
            <w:tcW w:w="779" w:type="pct"/>
            <w:noWrap/>
            <w:vAlign w:val="center"/>
          </w:tcPr>
          <w:p w14:paraId="76404F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叠加浓度(mg/m</w:t>
            </w:r>
            <w:r>
              <w:rPr>
                <w:rFonts w:hint="eastAsia" w:ascii="Times New Roman" w:hAnsi="Times New Roman" w:eastAsia="宋体" w:cs="Times New Roman"/>
                <w:kern w:val="0"/>
                <w:sz w:val="21"/>
                <w:highlight w:val="none"/>
                <w:vertAlign w:val="superscript"/>
                <w:lang w:val="en-US" w:eastAsia="zh-CN" w:bidi="ar"/>
              </w:rPr>
              <w:t>3</w:t>
            </w:r>
            <w:r>
              <w:rPr>
                <w:rFonts w:hint="eastAsia" w:ascii="Times New Roman" w:hAnsi="Times New Roman" w:eastAsia="宋体" w:cs="Times New Roman"/>
                <w:kern w:val="0"/>
                <w:sz w:val="21"/>
                <w:highlight w:val="none"/>
                <w:lang w:val="en-US" w:eastAsia="zh-CN" w:bidi="ar"/>
              </w:rPr>
              <w:t>)</w:t>
            </w:r>
          </w:p>
        </w:tc>
        <w:tc>
          <w:tcPr>
            <w:tcW w:w="491" w:type="pct"/>
            <w:noWrap/>
            <w:vAlign w:val="center"/>
          </w:tcPr>
          <w:p w14:paraId="4C3A4F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占标率%</w:t>
            </w:r>
          </w:p>
        </w:tc>
        <w:tc>
          <w:tcPr>
            <w:tcW w:w="424" w:type="pct"/>
            <w:noWrap/>
            <w:vAlign w:val="center"/>
          </w:tcPr>
          <w:p w14:paraId="78ED05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是否超标</w:t>
            </w:r>
          </w:p>
        </w:tc>
      </w:tr>
      <w:tr w14:paraId="39AD4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45F4B4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w:t>
            </w:r>
          </w:p>
        </w:tc>
        <w:tc>
          <w:tcPr>
            <w:tcW w:w="766" w:type="pct"/>
            <w:vMerge w:val="restart"/>
            <w:noWrap/>
            <w:vAlign w:val="center"/>
          </w:tcPr>
          <w:p w14:paraId="49AE68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绥芬河市政府</w:t>
            </w:r>
          </w:p>
        </w:tc>
        <w:tc>
          <w:tcPr>
            <w:tcW w:w="515" w:type="pct"/>
            <w:noWrap/>
            <w:vAlign w:val="center"/>
          </w:tcPr>
          <w:p w14:paraId="67DD0F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728CF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-6.04E-05</w:t>
            </w:r>
          </w:p>
        </w:tc>
        <w:tc>
          <w:tcPr>
            <w:tcW w:w="465" w:type="pct"/>
            <w:noWrap/>
            <w:vAlign w:val="center"/>
          </w:tcPr>
          <w:p w14:paraId="3A1A41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E4FC2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8621F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1D125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82.63</w:t>
            </w:r>
          </w:p>
        </w:tc>
        <w:tc>
          <w:tcPr>
            <w:tcW w:w="424" w:type="pct"/>
            <w:noWrap/>
            <w:vAlign w:val="center"/>
          </w:tcPr>
          <w:p w14:paraId="5360D6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844C6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03FC82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6E27F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04432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1C8FF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01F34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A6F8A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829BC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B9283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3A589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4460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580639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w:t>
            </w:r>
          </w:p>
        </w:tc>
        <w:tc>
          <w:tcPr>
            <w:tcW w:w="766" w:type="pct"/>
            <w:vMerge w:val="restart"/>
            <w:noWrap/>
            <w:vAlign w:val="center"/>
          </w:tcPr>
          <w:p w14:paraId="4E9B3D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绥芬河市人大</w:t>
            </w:r>
          </w:p>
        </w:tc>
        <w:tc>
          <w:tcPr>
            <w:tcW w:w="515" w:type="pct"/>
            <w:noWrap/>
            <w:vAlign w:val="center"/>
          </w:tcPr>
          <w:p w14:paraId="083E03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955F51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-1.34E-04</w:t>
            </w:r>
          </w:p>
        </w:tc>
        <w:tc>
          <w:tcPr>
            <w:tcW w:w="465" w:type="pct"/>
            <w:noWrap/>
            <w:vAlign w:val="center"/>
          </w:tcPr>
          <w:p w14:paraId="491D10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B4AE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9D1E6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D1813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82.58</w:t>
            </w:r>
          </w:p>
        </w:tc>
        <w:tc>
          <w:tcPr>
            <w:tcW w:w="424" w:type="pct"/>
            <w:noWrap/>
            <w:vAlign w:val="center"/>
          </w:tcPr>
          <w:p w14:paraId="7F0844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23BE1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62256C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D96F6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455BA0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76BB8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F0102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9302A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2BFE5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173B8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EBF41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A0EF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784059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w:t>
            </w:r>
          </w:p>
        </w:tc>
        <w:tc>
          <w:tcPr>
            <w:tcW w:w="766" w:type="pct"/>
            <w:vMerge w:val="restart"/>
            <w:noWrap/>
            <w:vAlign w:val="center"/>
          </w:tcPr>
          <w:p w14:paraId="2B27E6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绥芬河市应急资源局</w:t>
            </w:r>
          </w:p>
        </w:tc>
        <w:tc>
          <w:tcPr>
            <w:tcW w:w="515" w:type="pct"/>
            <w:noWrap/>
            <w:vAlign w:val="center"/>
          </w:tcPr>
          <w:p w14:paraId="4C866D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526F34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-3.99E-04</w:t>
            </w:r>
          </w:p>
        </w:tc>
        <w:tc>
          <w:tcPr>
            <w:tcW w:w="465" w:type="pct"/>
            <w:noWrap/>
            <w:vAlign w:val="center"/>
          </w:tcPr>
          <w:p w14:paraId="3EBBDE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02907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4FB57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83999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82.40</w:t>
            </w:r>
          </w:p>
        </w:tc>
        <w:tc>
          <w:tcPr>
            <w:tcW w:w="424" w:type="pct"/>
            <w:noWrap/>
            <w:vAlign w:val="center"/>
          </w:tcPr>
          <w:p w14:paraId="0C7C2B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359F0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5" w:type="pct"/>
            <w:vMerge w:val="continue"/>
            <w:noWrap/>
            <w:vAlign w:val="center"/>
          </w:tcPr>
          <w:p w14:paraId="2AF943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56BA78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13148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E18E4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36F72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C6FB3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CF5A3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7A4BB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9D6BE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1B69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787E10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w:t>
            </w:r>
          </w:p>
        </w:tc>
        <w:tc>
          <w:tcPr>
            <w:tcW w:w="766" w:type="pct"/>
            <w:vMerge w:val="restart"/>
            <w:noWrap/>
            <w:vAlign w:val="center"/>
          </w:tcPr>
          <w:p w14:paraId="541DD7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绥芬河市住房公积金中心</w:t>
            </w:r>
          </w:p>
        </w:tc>
        <w:tc>
          <w:tcPr>
            <w:tcW w:w="515" w:type="pct"/>
            <w:noWrap/>
            <w:vAlign w:val="center"/>
          </w:tcPr>
          <w:p w14:paraId="3310B9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5CBAC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-2.86E-04</w:t>
            </w:r>
          </w:p>
        </w:tc>
        <w:tc>
          <w:tcPr>
            <w:tcW w:w="465" w:type="pct"/>
            <w:noWrap/>
            <w:vAlign w:val="center"/>
          </w:tcPr>
          <w:p w14:paraId="44B830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B159C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B71A6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BB515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82.48</w:t>
            </w:r>
          </w:p>
        </w:tc>
        <w:tc>
          <w:tcPr>
            <w:tcW w:w="424" w:type="pct"/>
            <w:noWrap/>
            <w:vAlign w:val="center"/>
          </w:tcPr>
          <w:p w14:paraId="2878BB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4157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4E5688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D46EA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F0D73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CCE79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5F94B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3297A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06C69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1A5F3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A1F51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1770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568EDB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w:t>
            </w:r>
          </w:p>
        </w:tc>
        <w:tc>
          <w:tcPr>
            <w:tcW w:w="766" w:type="pct"/>
            <w:vMerge w:val="restart"/>
            <w:noWrap/>
            <w:vAlign w:val="center"/>
          </w:tcPr>
          <w:p w14:paraId="324703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绥芬河市房屋征收办公室</w:t>
            </w:r>
          </w:p>
        </w:tc>
        <w:tc>
          <w:tcPr>
            <w:tcW w:w="515" w:type="pct"/>
            <w:noWrap/>
            <w:vAlign w:val="center"/>
          </w:tcPr>
          <w:p w14:paraId="610BC6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9BE3A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-3.31E-04</w:t>
            </w:r>
          </w:p>
        </w:tc>
        <w:tc>
          <w:tcPr>
            <w:tcW w:w="465" w:type="pct"/>
            <w:noWrap/>
            <w:vAlign w:val="center"/>
          </w:tcPr>
          <w:p w14:paraId="19B6F4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E3211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7D339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CA5657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82.45</w:t>
            </w:r>
          </w:p>
        </w:tc>
        <w:tc>
          <w:tcPr>
            <w:tcW w:w="424" w:type="pct"/>
            <w:noWrap/>
            <w:vAlign w:val="center"/>
          </w:tcPr>
          <w:p w14:paraId="4D4BF7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F135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0DFF2E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5589FE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8FB2F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D7545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FB6BA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36765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D699E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47C39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474BA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7AC1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181B0D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w:t>
            </w:r>
          </w:p>
        </w:tc>
        <w:tc>
          <w:tcPr>
            <w:tcW w:w="766" w:type="pct"/>
            <w:vMerge w:val="restart"/>
            <w:noWrap/>
            <w:vAlign w:val="center"/>
          </w:tcPr>
          <w:p w14:paraId="05A175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绥芬河镇人民政府</w:t>
            </w:r>
          </w:p>
        </w:tc>
        <w:tc>
          <w:tcPr>
            <w:tcW w:w="515" w:type="pct"/>
            <w:noWrap/>
            <w:vAlign w:val="center"/>
          </w:tcPr>
          <w:p w14:paraId="2ED375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32AB1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62691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1F5CC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85164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981C4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64B6A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D086D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25BCFF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5D7571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66C122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3DE44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9B96C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E441B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B81D9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56CBB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7321B3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1087A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restart"/>
            <w:noWrap/>
            <w:vAlign w:val="center"/>
          </w:tcPr>
          <w:p w14:paraId="643F3C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w:t>
            </w:r>
          </w:p>
        </w:tc>
        <w:tc>
          <w:tcPr>
            <w:tcW w:w="766" w:type="pct"/>
            <w:vMerge w:val="restart"/>
            <w:noWrap/>
            <w:vAlign w:val="center"/>
          </w:tcPr>
          <w:p w14:paraId="0710FD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绥芬河邮政管理局</w:t>
            </w:r>
          </w:p>
        </w:tc>
        <w:tc>
          <w:tcPr>
            <w:tcW w:w="515" w:type="pct"/>
            <w:noWrap/>
            <w:vAlign w:val="center"/>
          </w:tcPr>
          <w:p w14:paraId="0A489D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E4D34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3A628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DC54D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FF84B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1C1CC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4CDD6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D1B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75" w:type="pct"/>
            <w:vMerge w:val="continue"/>
            <w:noWrap/>
            <w:vAlign w:val="center"/>
          </w:tcPr>
          <w:p w14:paraId="3588D6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BA468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1C79A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4821F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8615A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85C54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C1089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12467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11858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4B8A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273597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w:t>
            </w:r>
          </w:p>
        </w:tc>
        <w:tc>
          <w:tcPr>
            <w:tcW w:w="766" w:type="pct"/>
            <w:vMerge w:val="restart"/>
            <w:noWrap/>
            <w:vAlign w:val="center"/>
          </w:tcPr>
          <w:p w14:paraId="7CF706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绥芬河市教育局</w:t>
            </w:r>
          </w:p>
        </w:tc>
        <w:tc>
          <w:tcPr>
            <w:tcW w:w="515" w:type="pct"/>
            <w:noWrap/>
            <w:vAlign w:val="center"/>
          </w:tcPr>
          <w:p w14:paraId="2E3B58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4D70D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345FA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31A86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F1C19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45511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E4E35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C2ABB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3F3F92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B4EFD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60C15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F4B4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55E9B0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4D18F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FE047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2DBCE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58EA1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68E80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75" w:type="pct"/>
            <w:vMerge w:val="restart"/>
            <w:noWrap/>
            <w:vAlign w:val="center"/>
          </w:tcPr>
          <w:p w14:paraId="434863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w:t>
            </w:r>
          </w:p>
        </w:tc>
        <w:tc>
          <w:tcPr>
            <w:tcW w:w="766" w:type="pct"/>
            <w:vMerge w:val="restart"/>
            <w:noWrap/>
            <w:vAlign w:val="center"/>
          </w:tcPr>
          <w:p w14:paraId="157241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绥芬河市自然资源局</w:t>
            </w:r>
          </w:p>
        </w:tc>
        <w:tc>
          <w:tcPr>
            <w:tcW w:w="515" w:type="pct"/>
            <w:noWrap/>
            <w:vAlign w:val="center"/>
          </w:tcPr>
          <w:p w14:paraId="7C7BD6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7BAEC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-9.92E-08</w:t>
            </w:r>
          </w:p>
        </w:tc>
        <w:tc>
          <w:tcPr>
            <w:tcW w:w="465" w:type="pct"/>
            <w:noWrap/>
            <w:vAlign w:val="center"/>
          </w:tcPr>
          <w:p w14:paraId="400804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3091A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2EDF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ECF3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7E252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80C68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275" w:type="pct"/>
            <w:vMerge w:val="continue"/>
            <w:noWrap/>
            <w:vAlign w:val="center"/>
          </w:tcPr>
          <w:p w14:paraId="3B7081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4153F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43CB4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E9442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D78C1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7DA4B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7F7C42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74002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708C6C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AF31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75" w:type="pct"/>
            <w:vMerge w:val="restart"/>
            <w:noWrap/>
            <w:vAlign w:val="center"/>
          </w:tcPr>
          <w:p w14:paraId="266A1D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w:t>
            </w:r>
          </w:p>
        </w:tc>
        <w:tc>
          <w:tcPr>
            <w:tcW w:w="766" w:type="pct"/>
            <w:vMerge w:val="restart"/>
            <w:noWrap/>
            <w:vAlign w:val="center"/>
          </w:tcPr>
          <w:p w14:paraId="13265B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绥芬河海关</w:t>
            </w:r>
          </w:p>
        </w:tc>
        <w:tc>
          <w:tcPr>
            <w:tcW w:w="515" w:type="pct"/>
            <w:noWrap/>
            <w:vAlign w:val="center"/>
          </w:tcPr>
          <w:p w14:paraId="57AF60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DD2C5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CB532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1FC0F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65BA8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CEE33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5B695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C6B7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75" w:type="pct"/>
            <w:vMerge w:val="continue"/>
            <w:noWrap/>
            <w:vAlign w:val="center"/>
          </w:tcPr>
          <w:p w14:paraId="109E9D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B869B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8930C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3A04A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EBA01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0680A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61BB7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8F746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8F89D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908F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75" w:type="pct"/>
            <w:vMerge w:val="restart"/>
            <w:noWrap/>
            <w:vAlign w:val="center"/>
          </w:tcPr>
          <w:p w14:paraId="0262C0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11</w:t>
            </w:r>
          </w:p>
        </w:tc>
        <w:tc>
          <w:tcPr>
            <w:tcW w:w="766" w:type="pct"/>
            <w:vMerge w:val="restart"/>
            <w:noWrap/>
            <w:vAlign w:val="center"/>
          </w:tcPr>
          <w:p w14:paraId="3808E2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国家外汇管理局绥芬河分局</w:t>
            </w:r>
          </w:p>
        </w:tc>
        <w:tc>
          <w:tcPr>
            <w:tcW w:w="515" w:type="pct"/>
            <w:noWrap/>
            <w:vAlign w:val="center"/>
          </w:tcPr>
          <w:p w14:paraId="75D24E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413D09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1BDDB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C5F6D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56B41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97006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98959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C9CEB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75" w:type="pct"/>
            <w:vMerge w:val="continue"/>
            <w:noWrap/>
            <w:vAlign w:val="center"/>
          </w:tcPr>
          <w:p w14:paraId="52BAA9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5C90D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44564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FA233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C064D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52A1E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DDAED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E5EA7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76DD1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48EA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75" w:type="pct"/>
            <w:vMerge w:val="restart"/>
            <w:noWrap/>
            <w:vAlign w:val="center"/>
          </w:tcPr>
          <w:p w14:paraId="61195B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w:t>
            </w:r>
          </w:p>
        </w:tc>
        <w:tc>
          <w:tcPr>
            <w:tcW w:w="766" w:type="pct"/>
            <w:vMerge w:val="restart"/>
            <w:noWrap/>
            <w:vAlign w:val="center"/>
          </w:tcPr>
          <w:p w14:paraId="62D5FF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绥芬河市生态环境局</w:t>
            </w:r>
          </w:p>
        </w:tc>
        <w:tc>
          <w:tcPr>
            <w:tcW w:w="515" w:type="pct"/>
            <w:noWrap/>
            <w:vAlign w:val="center"/>
          </w:tcPr>
          <w:p w14:paraId="243374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F36C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EAC52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5B669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4141D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542FD13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4F6EA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46982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275" w:type="pct"/>
            <w:vMerge w:val="continue"/>
            <w:noWrap/>
            <w:vAlign w:val="center"/>
          </w:tcPr>
          <w:p w14:paraId="4A1B25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78AA9D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33D33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0578A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8A16A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5FC26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25DE0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AF12A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E69D3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44E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75" w:type="pct"/>
            <w:vMerge w:val="restart"/>
            <w:noWrap/>
            <w:vAlign w:val="center"/>
          </w:tcPr>
          <w:p w14:paraId="660670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w:t>
            </w:r>
          </w:p>
        </w:tc>
        <w:tc>
          <w:tcPr>
            <w:tcW w:w="766" w:type="pct"/>
            <w:vMerge w:val="restart"/>
            <w:noWrap/>
            <w:vAlign w:val="center"/>
          </w:tcPr>
          <w:p w14:paraId="694B73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绥芬河市民政局</w:t>
            </w:r>
          </w:p>
        </w:tc>
        <w:tc>
          <w:tcPr>
            <w:tcW w:w="515" w:type="pct"/>
            <w:noWrap/>
            <w:vAlign w:val="center"/>
          </w:tcPr>
          <w:p w14:paraId="4C8C08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4B961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-1.89E-06</w:t>
            </w:r>
          </w:p>
        </w:tc>
        <w:tc>
          <w:tcPr>
            <w:tcW w:w="465" w:type="pct"/>
            <w:noWrap/>
            <w:vAlign w:val="center"/>
          </w:tcPr>
          <w:p w14:paraId="2FE6E4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177FF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C2075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226AB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75130A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499E6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75" w:type="pct"/>
            <w:vMerge w:val="continue"/>
            <w:noWrap/>
            <w:vAlign w:val="center"/>
          </w:tcPr>
          <w:p w14:paraId="0E518D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E2A98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13CF0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D4F60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1A45C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55123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27C83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23DA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30003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6CB7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75" w:type="pct"/>
            <w:vMerge w:val="restart"/>
            <w:noWrap/>
            <w:vAlign w:val="center"/>
          </w:tcPr>
          <w:p w14:paraId="5645B6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w:t>
            </w:r>
          </w:p>
        </w:tc>
        <w:tc>
          <w:tcPr>
            <w:tcW w:w="766" w:type="pct"/>
            <w:vMerge w:val="restart"/>
            <w:noWrap/>
            <w:vAlign w:val="center"/>
          </w:tcPr>
          <w:p w14:paraId="3AA269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绥芬河市公安局</w:t>
            </w:r>
          </w:p>
        </w:tc>
        <w:tc>
          <w:tcPr>
            <w:tcW w:w="515" w:type="pct"/>
            <w:noWrap/>
            <w:vAlign w:val="center"/>
          </w:tcPr>
          <w:p w14:paraId="60EF94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7F1D1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-3.82E-06</w:t>
            </w:r>
          </w:p>
        </w:tc>
        <w:tc>
          <w:tcPr>
            <w:tcW w:w="465" w:type="pct"/>
            <w:noWrap/>
            <w:vAlign w:val="center"/>
          </w:tcPr>
          <w:p w14:paraId="786382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2AE72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2CEDA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0A44F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82.66</w:t>
            </w:r>
          </w:p>
        </w:tc>
        <w:tc>
          <w:tcPr>
            <w:tcW w:w="424" w:type="pct"/>
            <w:noWrap/>
            <w:vAlign w:val="center"/>
          </w:tcPr>
          <w:p w14:paraId="1F1297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A78E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75" w:type="pct"/>
            <w:vMerge w:val="continue"/>
            <w:noWrap/>
            <w:vAlign w:val="center"/>
          </w:tcPr>
          <w:p w14:paraId="5B38B1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93340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79C6E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80B84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D0B1B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B18C6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8E773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A7BC4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1757A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7369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75" w:type="pct"/>
            <w:vMerge w:val="restart"/>
            <w:noWrap/>
            <w:vAlign w:val="center"/>
          </w:tcPr>
          <w:p w14:paraId="59D615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15</w:t>
            </w:r>
          </w:p>
        </w:tc>
        <w:tc>
          <w:tcPr>
            <w:tcW w:w="766" w:type="pct"/>
            <w:vMerge w:val="restart"/>
            <w:noWrap/>
            <w:vAlign w:val="center"/>
          </w:tcPr>
          <w:p w14:paraId="05AB88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阜宁镇人民政府</w:t>
            </w:r>
          </w:p>
        </w:tc>
        <w:tc>
          <w:tcPr>
            <w:tcW w:w="515" w:type="pct"/>
            <w:noWrap/>
            <w:vAlign w:val="center"/>
          </w:tcPr>
          <w:p w14:paraId="54D3BA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7A7B1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-2.44E-07</w:t>
            </w:r>
          </w:p>
        </w:tc>
        <w:tc>
          <w:tcPr>
            <w:tcW w:w="465" w:type="pct"/>
            <w:noWrap/>
            <w:vAlign w:val="center"/>
          </w:tcPr>
          <w:p w14:paraId="21E12E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92946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D5F0D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19D49C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3FEE1B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8067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275" w:type="pct"/>
            <w:vMerge w:val="continue"/>
            <w:noWrap/>
            <w:vAlign w:val="center"/>
          </w:tcPr>
          <w:p w14:paraId="6AA3CF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BF79B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F7AB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B2679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021F3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BAE5DF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2B707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91160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C62A9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098D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275" w:type="pct"/>
            <w:vMerge w:val="restart"/>
            <w:noWrap/>
            <w:vAlign w:val="center"/>
          </w:tcPr>
          <w:p w14:paraId="5D3A66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16</w:t>
            </w:r>
          </w:p>
        </w:tc>
        <w:tc>
          <w:tcPr>
            <w:tcW w:w="766" w:type="pct"/>
            <w:vMerge w:val="restart"/>
            <w:noWrap/>
            <w:vAlign w:val="center"/>
          </w:tcPr>
          <w:p w14:paraId="39B07C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绥芬河市广播电视局</w:t>
            </w:r>
          </w:p>
        </w:tc>
        <w:tc>
          <w:tcPr>
            <w:tcW w:w="515" w:type="pct"/>
            <w:noWrap/>
            <w:vAlign w:val="center"/>
          </w:tcPr>
          <w:p w14:paraId="76A2C2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72666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C405F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A0B97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35DBC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F402E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4068BA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D47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75" w:type="pct"/>
            <w:vMerge w:val="continue"/>
            <w:noWrap/>
            <w:vAlign w:val="center"/>
          </w:tcPr>
          <w:p w14:paraId="0DE671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64FD9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388B0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C4427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F8D02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67DF3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71699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C2F99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42022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3C807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275" w:type="pct"/>
            <w:vMerge w:val="restart"/>
            <w:noWrap/>
            <w:vAlign w:val="center"/>
          </w:tcPr>
          <w:p w14:paraId="4AE657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17</w:t>
            </w:r>
          </w:p>
        </w:tc>
        <w:tc>
          <w:tcPr>
            <w:tcW w:w="766" w:type="pct"/>
            <w:vMerge w:val="restart"/>
            <w:noWrap/>
            <w:vAlign w:val="center"/>
          </w:tcPr>
          <w:p w14:paraId="4CF2BB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红太阳未来星幼儿园</w:t>
            </w:r>
          </w:p>
        </w:tc>
        <w:tc>
          <w:tcPr>
            <w:tcW w:w="515" w:type="pct"/>
            <w:noWrap/>
            <w:vAlign w:val="center"/>
          </w:tcPr>
          <w:p w14:paraId="23A2EE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604B0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-2.34E-04</w:t>
            </w:r>
          </w:p>
        </w:tc>
        <w:tc>
          <w:tcPr>
            <w:tcW w:w="465" w:type="pct"/>
            <w:noWrap/>
            <w:vAlign w:val="center"/>
          </w:tcPr>
          <w:p w14:paraId="750270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AAC26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6A891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AB20B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82.51</w:t>
            </w:r>
          </w:p>
        </w:tc>
        <w:tc>
          <w:tcPr>
            <w:tcW w:w="424" w:type="pct"/>
            <w:noWrap/>
            <w:vAlign w:val="center"/>
          </w:tcPr>
          <w:p w14:paraId="1B42DF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A5218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75" w:type="pct"/>
            <w:vMerge w:val="continue"/>
            <w:noWrap/>
            <w:vAlign w:val="center"/>
          </w:tcPr>
          <w:p w14:paraId="7E56C7D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5EEF8F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2D18B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3C831C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BDFAD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EF0D5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1DACE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FCB15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521E2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A9C44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75" w:type="pct"/>
            <w:vMerge w:val="restart"/>
            <w:noWrap/>
            <w:vAlign w:val="center"/>
          </w:tcPr>
          <w:p w14:paraId="0B8D37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18</w:t>
            </w:r>
          </w:p>
        </w:tc>
        <w:tc>
          <w:tcPr>
            <w:tcW w:w="766" w:type="pct"/>
            <w:vMerge w:val="restart"/>
            <w:noWrap/>
            <w:vAlign w:val="center"/>
          </w:tcPr>
          <w:p w14:paraId="461DA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金恒基小学</w:t>
            </w:r>
          </w:p>
        </w:tc>
        <w:tc>
          <w:tcPr>
            <w:tcW w:w="515" w:type="pct"/>
            <w:noWrap/>
            <w:vAlign w:val="center"/>
          </w:tcPr>
          <w:p w14:paraId="47EAB9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5718E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-1.36E-05</w:t>
            </w:r>
          </w:p>
        </w:tc>
        <w:tc>
          <w:tcPr>
            <w:tcW w:w="465" w:type="pct"/>
            <w:noWrap/>
            <w:vAlign w:val="center"/>
          </w:tcPr>
          <w:p w14:paraId="195638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02355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8F69A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84996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82.66</w:t>
            </w:r>
          </w:p>
        </w:tc>
        <w:tc>
          <w:tcPr>
            <w:tcW w:w="424" w:type="pct"/>
            <w:noWrap/>
            <w:vAlign w:val="center"/>
          </w:tcPr>
          <w:p w14:paraId="7A3147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B79B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75" w:type="pct"/>
            <w:vMerge w:val="continue"/>
            <w:noWrap/>
            <w:vAlign w:val="center"/>
          </w:tcPr>
          <w:p w14:paraId="698EA8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7DEBE2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4E6FC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BBC01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A7A42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95ECC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5ADD7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0257A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00AD3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4213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 w:hRule="atLeast"/>
          <w:jc w:val="center"/>
        </w:trPr>
        <w:tc>
          <w:tcPr>
            <w:tcW w:w="275" w:type="pct"/>
            <w:vMerge w:val="restart"/>
            <w:noWrap/>
            <w:vAlign w:val="center"/>
          </w:tcPr>
          <w:p w14:paraId="077633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19</w:t>
            </w:r>
          </w:p>
        </w:tc>
        <w:tc>
          <w:tcPr>
            <w:tcW w:w="766" w:type="pct"/>
            <w:vMerge w:val="restart"/>
            <w:noWrap/>
            <w:vAlign w:val="center"/>
          </w:tcPr>
          <w:p w14:paraId="1866B5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弘孟幼儿园</w:t>
            </w:r>
          </w:p>
        </w:tc>
        <w:tc>
          <w:tcPr>
            <w:tcW w:w="515" w:type="pct"/>
            <w:noWrap/>
            <w:vAlign w:val="center"/>
          </w:tcPr>
          <w:p w14:paraId="2643F3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56F77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-2.21E-05</w:t>
            </w:r>
          </w:p>
        </w:tc>
        <w:tc>
          <w:tcPr>
            <w:tcW w:w="465" w:type="pct"/>
            <w:noWrap/>
            <w:vAlign w:val="center"/>
          </w:tcPr>
          <w:p w14:paraId="6F9804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95754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C0426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4011E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82.65</w:t>
            </w:r>
          </w:p>
        </w:tc>
        <w:tc>
          <w:tcPr>
            <w:tcW w:w="424" w:type="pct"/>
            <w:noWrap/>
            <w:vAlign w:val="center"/>
          </w:tcPr>
          <w:p w14:paraId="487334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F53A0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75" w:type="pct"/>
            <w:vMerge w:val="continue"/>
            <w:noWrap/>
            <w:vAlign w:val="center"/>
          </w:tcPr>
          <w:p w14:paraId="2D3FF0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6CD337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54231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CA529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F7925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76F08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14689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015DA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C699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128E9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3" w:hRule="atLeast"/>
          <w:jc w:val="center"/>
        </w:trPr>
        <w:tc>
          <w:tcPr>
            <w:tcW w:w="275" w:type="pct"/>
            <w:vMerge w:val="restart"/>
            <w:noWrap/>
            <w:vAlign w:val="center"/>
          </w:tcPr>
          <w:p w14:paraId="3D17A3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20</w:t>
            </w:r>
          </w:p>
        </w:tc>
        <w:tc>
          <w:tcPr>
            <w:tcW w:w="766" w:type="pct"/>
            <w:vMerge w:val="restart"/>
            <w:noWrap/>
            <w:vAlign w:val="center"/>
          </w:tcPr>
          <w:p w14:paraId="323F34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红太阳幼儿园</w:t>
            </w:r>
          </w:p>
        </w:tc>
        <w:tc>
          <w:tcPr>
            <w:tcW w:w="515" w:type="pct"/>
            <w:noWrap/>
            <w:vAlign w:val="center"/>
          </w:tcPr>
          <w:p w14:paraId="152CCD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7E11D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18C48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7E2C6A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30F82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65E63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1AFEF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2C7AE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275" w:type="pct"/>
            <w:vMerge w:val="continue"/>
            <w:noWrap/>
            <w:vAlign w:val="center"/>
          </w:tcPr>
          <w:p w14:paraId="08C9D9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8C763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48FA1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AF829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F3D82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6AC92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02278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33CB9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6987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44F7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275" w:type="pct"/>
            <w:vMerge w:val="restart"/>
            <w:noWrap/>
            <w:vAlign w:val="center"/>
          </w:tcPr>
          <w:p w14:paraId="644DE6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21</w:t>
            </w:r>
          </w:p>
        </w:tc>
        <w:tc>
          <w:tcPr>
            <w:tcW w:w="766" w:type="pct"/>
            <w:vMerge w:val="restart"/>
            <w:noWrap/>
            <w:vAlign w:val="center"/>
          </w:tcPr>
          <w:p w14:paraId="648B70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千里幼稚园</w:t>
            </w:r>
          </w:p>
        </w:tc>
        <w:tc>
          <w:tcPr>
            <w:tcW w:w="515" w:type="pct"/>
            <w:noWrap/>
            <w:vAlign w:val="center"/>
          </w:tcPr>
          <w:p w14:paraId="34202F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73B43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70E43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5C483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0290C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2E6FB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30581B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468E2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275" w:type="pct"/>
            <w:vMerge w:val="continue"/>
            <w:noWrap/>
            <w:vAlign w:val="center"/>
          </w:tcPr>
          <w:p w14:paraId="0CB6E9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5CCC26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C00BF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6017A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C1446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CF061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66AD7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A1525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1323C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06E3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275" w:type="pct"/>
            <w:vMerge w:val="restart"/>
            <w:noWrap/>
            <w:vAlign w:val="center"/>
          </w:tcPr>
          <w:p w14:paraId="4851B4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w:t>
            </w:r>
          </w:p>
        </w:tc>
        <w:tc>
          <w:tcPr>
            <w:tcW w:w="766" w:type="pct"/>
            <w:vMerge w:val="restart"/>
            <w:noWrap/>
            <w:vAlign w:val="center"/>
          </w:tcPr>
          <w:p w14:paraId="63E191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绥芬河市第一中学</w:t>
            </w:r>
          </w:p>
        </w:tc>
        <w:tc>
          <w:tcPr>
            <w:tcW w:w="515" w:type="pct"/>
            <w:noWrap/>
            <w:vAlign w:val="center"/>
          </w:tcPr>
          <w:p w14:paraId="17608E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713AF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C51DE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6AF71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60E14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2AE28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467ADE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8031F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275" w:type="pct"/>
            <w:vMerge w:val="continue"/>
            <w:noWrap/>
            <w:vAlign w:val="center"/>
          </w:tcPr>
          <w:p w14:paraId="79F726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B019E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247BD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97F7E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0C4433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6EFA7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36A50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27510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78549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025F6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275" w:type="pct"/>
            <w:vMerge w:val="restart"/>
            <w:noWrap/>
            <w:vAlign w:val="center"/>
          </w:tcPr>
          <w:p w14:paraId="666663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23</w:t>
            </w:r>
          </w:p>
        </w:tc>
        <w:tc>
          <w:tcPr>
            <w:tcW w:w="766" w:type="pct"/>
            <w:vMerge w:val="restart"/>
            <w:noWrap/>
            <w:vAlign w:val="center"/>
          </w:tcPr>
          <w:p w14:paraId="067DF8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商都幼儿园</w:t>
            </w:r>
          </w:p>
        </w:tc>
        <w:tc>
          <w:tcPr>
            <w:tcW w:w="515" w:type="pct"/>
            <w:noWrap/>
            <w:vAlign w:val="center"/>
          </w:tcPr>
          <w:p w14:paraId="26F66C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B9F08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8B96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00043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4E793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F9629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367AAE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67CE2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75" w:type="pct"/>
            <w:vMerge w:val="continue"/>
            <w:noWrap/>
            <w:vAlign w:val="center"/>
          </w:tcPr>
          <w:p w14:paraId="49DE6C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EA937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FC706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3D3C4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B7DC1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5A01A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D6CE4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873CF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33F03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D5C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75" w:type="pct"/>
            <w:vMerge w:val="restart"/>
            <w:noWrap/>
            <w:vAlign w:val="center"/>
          </w:tcPr>
          <w:p w14:paraId="0F0E53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w:t>
            </w:r>
          </w:p>
        </w:tc>
        <w:tc>
          <w:tcPr>
            <w:tcW w:w="766" w:type="pct"/>
            <w:vMerge w:val="restart"/>
            <w:noWrap/>
            <w:vAlign w:val="center"/>
          </w:tcPr>
          <w:p w14:paraId="6931E7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绥芬河市少年儿童业余体校</w:t>
            </w:r>
          </w:p>
        </w:tc>
        <w:tc>
          <w:tcPr>
            <w:tcW w:w="515" w:type="pct"/>
            <w:noWrap/>
            <w:vAlign w:val="center"/>
          </w:tcPr>
          <w:p w14:paraId="46C086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6202C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-6.87E-08</w:t>
            </w:r>
          </w:p>
        </w:tc>
        <w:tc>
          <w:tcPr>
            <w:tcW w:w="465" w:type="pct"/>
            <w:noWrap/>
            <w:vAlign w:val="center"/>
          </w:tcPr>
          <w:p w14:paraId="712393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0BE99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90ACC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90BEB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E61CF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B0B4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75" w:type="pct"/>
            <w:vMerge w:val="continue"/>
            <w:noWrap/>
            <w:vAlign w:val="center"/>
          </w:tcPr>
          <w:p w14:paraId="5FE84B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26BDB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5EF2E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6B32F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B0DCE7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88BDF3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3A55D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7108F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7CCE3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185A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75" w:type="pct"/>
            <w:vMerge w:val="restart"/>
            <w:noWrap/>
            <w:vAlign w:val="center"/>
          </w:tcPr>
          <w:p w14:paraId="021976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25</w:t>
            </w:r>
          </w:p>
        </w:tc>
        <w:tc>
          <w:tcPr>
            <w:tcW w:w="766" w:type="pct"/>
            <w:vMerge w:val="restart"/>
            <w:noWrap/>
            <w:vAlign w:val="center"/>
          </w:tcPr>
          <w:p w14:paraId="0B6FBF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绥芬河市第二中学</w:t>
            </w:r>
          </w:p>
        </w:tc>
        <w:tc>
          <w:tcPr>
            <w:tcW w:w="515" w:type="pct"/>
            <w:noWrap/>
            <w:vAlign w:val="center"/>
          </w:tcPr>
          <w:p w14:paraId="031D1D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A722E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-6.10E-08</w:t>
            </w:r>
          </w:p>
        </w:tc>
        <w:tc>
          <w:tcPr>
            <w:tcW w:w="465" w:type="pct"/>
            <w:noWrap/>
            <w:vAlign w:val="center"/>
          </w:tcPr>
          <w:p w14:paraId="025252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8AD46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7A92E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49EC8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1D210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3C904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75" w:type="pct"/>
            <w:vMerge w:val="continue"/>
            <w:noWrap/>
            <w:vAlign w:val="center"/>
          </w:tcPr>
          <w:p w14:paraId="6762B6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A6EAA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E85F9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8D4EC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933DD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FAE45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13D1E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741A52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A0B0E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FB6E8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75" w:type="pct"/>
            <w:vMerge w:val="restart"/>
            <w:noWrap/>
            <w:vAlign w:val="center"/>
          </w:tcPr>
          <w:p w14:paraId="135513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26</w:t>
            </w:r>
          </w:p>
        </w:tc>
        <w:tc>
          <w:tcPr>
            <w:tcW w:w="766" w:type="pct"/>
            <w:vMerge w:val="restart"/>
            <w:noWrap/>
            <w:vAlign w:val="center"/>
          </w:tcPr>
          <w:p w14:paraId="02150C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绥芬河市第三中学</w:t>
            </w:r>
          </w:p>
        </w:tc>
        <w:tc>
          <w:tcPr>
            <w:tcW w:w="515" w:type="pct"/>
            <w:noWrap/>
            <w:vAlign w:val="center"/>
          </w:tcPr>
          <w:p w14:paraId="30D2D8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CCF8B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BCD07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11A3D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FEDE6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D06AAA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78A3E1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AAEC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75" w:type="pct"/>
            <w:vMerge w:val="continue"/>
            <w:noWrap/>
            <w:vAlign w:val="center"/>
          </w:tcPr>
          <w:p w14:paraId="7ACBFF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40B4F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90F52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0BE63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989E0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41A2F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8362A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2B133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AE874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4674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75" w:type="pct"/>
            <w:vMerge w:val="restart"/>
            <w:noWrap/>
            <w:vAlign w:val="center"/>
          </w:tcPr>
          <w:p w14:paraId="30D8D1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27</w:t>
            </w:r>
          </w:p>
        </w:tc>
        <w:tc>
          <w:tcPr>
            <w:tcW w:w="766" w:type="pct"/>
            <w:vMerge w:val="restart"/>
            <w:noWrap/>
            <w:vAlign w:val="center"/>
          </w:tcPr>
          <w:p w14:paraId="62F979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旅游局家属楼</w:t>
            </w:r>
          </w:p>
        </w:tc>
        <w:tc>
          <w:tcPr>
            <w:tcW w:w="515" w:type="pct"/>
            <w:noWrap/>
            <w:vAlign w:val="center"/>
          </w:tcPr>
          <w:p w14:paraId="1319D7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688BC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2B190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1BD9D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14260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B8FA6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380DA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0671F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75" w:type="pct"/>
            <w:vMerge w:val="continue"/>
            <w:noWrap/>
            <w:vAlign w:val="center"/>
          </w:tcPr>
          <w:p w14:paraId="68236F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3D488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F23ED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6C75C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2DFBB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D07AB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E6D6FE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7FC4F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3FF636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552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275" w:type="pct"/>
            <w:vMerge w:val="restart"/>
            <w:noWrap/>
            <w:vAlign w:val="center"/>
          </w:tcPr>
          <w:p w14:paraId="207203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28</w:t>
            </w:r>
          </w:p>
        </w:tc>
        <w:tc>
          <w:tcPr>
            <w:tcW w:w="766" w:type="pct"/>
            <w:vMerge w:val="restart"/>
            <w:noWrap/>
            <w:vAlign w:val="center"/>
          </w:tcPr>
          <w:p w14:paraId="0D8FAB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新安幸福嘉园</w:t>
            </w:r>
          </w:p>
        </w:tc>
        <w:tc>
          <w:tcPr>
            <w:tcW w:w="515" w:type="pct"/>
            <w:noWrap/>
            <w:vAlign w:val="center"/>
          </w:tcPr>
          <w:p w14:paraId="7B603D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DD0CB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2.25E-05</w:t>
            </w:r>
          </w:p>
        </w:tc>
        <w:tc>
          <w:tcPr>
            <w:tcW w:w="465" w:type="pct"/>
            <w:noWrap/>
            <w:vAlign w:val="center"/>
          </w:tcPr>
          <w:p w14:paraId="28E5E5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A1DA3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5C7C5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92FF2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82.68</w:t>
            </w:r>
          </w:p>
        </w:tc>
        <w:tc>
          <w:tcPr>
            <w:tcW w:w="424" w:type="pct"/>
            <w:noWrap/>
            <w:vAlign w:val="center"/>
          </w:tcPr>
          <w:p w14:paraId="6BA099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0B254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275" w:type="pct"/>
            <w:vMerge w:val="continue"/>
            <w:noWrap/>
            <w:vAlign w:val="center"/>
          </w:tcPr>
          <w:p w14:paraId="56E0B0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36FF6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563D2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63C08A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0145C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93A16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5033B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15171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9E626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31E0E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1" w:hRule="atLeast"/>
          <w:jc w:val="center"/>
        </w:trPr>
        <w:tc>
          <w:tcPr>
            <w:tcW w:w="275" w:type="pct"/>
            <w:vMerge w:val="restart"/>
            <w:noWrap/>
            <w:vAlign w:val="center"/>
          </w:tcPr>
          <w:p w14:paraId="2E78E86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w:t>
            </w:r>
          </w:p>
        </w:tc>
        <w:tc>
          <w:tcPr>
            <w:tcW w:w="766" w:type="pct"/>
            <w:vMerge w:val="restart"/>
            <w:noWrap/>
            <w:vAlign w:val="center"/>
          </w:tcPr>
          <w:p w14:paraId="5477A5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中兴小区</w:t>
            </w:r>
          </w:p>
        </w:tc>
        <w:tc>
          <w:tcPr>
            <w:tcW w:w="515" w:type="pct"/>
            <w:noWrap/>
            <w:vAlign w:val="center"/>
          </w:tcPr>
          <w:p w14:paraId="6DB860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FC296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-4.27E-07</w:t>
            </w:r>
          </w:p>
        </w:tc>
        <w:tc>
          <w:tcPr>
            <w:tcW w:w="465" w:type="pct"/>
            <w:noWrap/>
            <w:vAlign w:val="center"/>
          </w:tcPr>
          <w:p w14:paraId="114EF5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6FE9D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9CADD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B96CF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9740D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01C9B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275" w:type="pct"/>
            <w:vMerge w:val="continue"/>
            <w:noWrap/>
            <w:vAlign w:val="center"/>
          </w:tcPr>
          <w:p w14:paraId="2CA225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F8D78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8C8D3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A9EDA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519A0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EACF5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7EDA87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2AEF8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6D1B3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E2A76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75" w:type="pct"/>
            <w:vMerge w:val="restart"/>
            <w:noWrap/>
            <w:vAlign w:val="center"/>
          </w:tcPr>
          <w:p w14:paraId="294D5C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30</w:t>
            </w:r>
          </w:p>
        </w:tc>
        <w:tc>
          <w:tcPr>
            <w:tcW w:w="766" w:type="pct"/>
            <w:vMerge w:val="restart"/>
            <w:noWrap/>
            <w:vAlign w:val="center"/>
          </w:tcPr>
          <w:p w14:paraId="054BAE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绥兴社区</w:t>
            </w:r>
          </w:p>
        </w:tc>
        <w:tc>
          <w:tcPr>
            <w:tcW w:w="515" w:type="pct"/>
            <w:noWrap/>
            <w:vAlign w:val="center"/>
          </w:tcPr>
          <w:p w14:paraId="3BB33E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EA65B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-1.04E-04</w:t>
            </w:r>
          </w:p>
        </w:tc>
        <w:tc>
          <w:tcPr>
            <w:tcW w:w="465" w:type="pct"/>
            <w:noWrap/>
            <w:vAlign w:val="center"/>
          </w:tcPr>
          <w:p w14:paraId="5AB7DF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721E3C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E2ABE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29237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82.60</w:t>
            </w:r>
          </w:p>
        </w:tc>
        <w:tc>
          <w:tcPr>
            <w:tcW w:w="424" w:type="pct"/>
            <w:noWrap/>
            <w:vAlign w:val="center"/>
          </w:tcPr>
          <w:p w14:paraId="608BFE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6CDB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continue"/>
            <w:noWrap/>
            <w:vAlign w:val="center"/>
          </w:tcPr>
          <w:p w14:paraId="5996E2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064FF4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14FE2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786721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11898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67025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AE716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D67D0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F65EF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EF3B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restart"/>
            <w:noWrap/>
            <w:vAlign w:val="center"/>
          </w:tcPr>
          <w:p w14:paraId="1AE002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31</w:t>
            </w:r>
          </w:p>
        </w:tc>
        <w:tc>
          <w:tcPr>
            <w:tcW w:w="766" w:type="pct"/>
            <w:vMerge w:val="restart"/>
            <w:noWrap/>
            <w:vAlign w:val="center"/>
          </w:tcPr>
          <w:p w14:paraId="540EFC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远东新天地小区</w:t>
            </w:r>
          </w:p>
        </w:tc>
        <w:tc>
          <w:tcPr>
            <w:tcW w:w="515" w:type="pct"/>
            <w:noWrap/>
            <w:vAlign w:val="center"/>
          </w:tcPr>
          <w:p w14:paraId="3594CB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44A7286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08712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79F7E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1F1DB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CC6C2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83184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AF6AB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275" w:type="pct"/>
            <w:vMerge w:val="continue"/>
            <w:noWrap/>
            <w:vAlign w:val="center"/>
          </w:tcPr>
          <w:p w14:paraId="612DAE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2A594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CEE21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D039A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A7281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1B904D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13069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C4960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5A8B9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7E9B8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275" w:type="pct"/>
            <w:vMerge w:val="restart"/>
            <w:noWrap/>
            <w:vAlign w:val="center"/>
          </w:tcPr>
          <w:p w14:paraId="588CB1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32</w:t>
            </w:r>
          </w:p>
        </w:tc>
        <w:tc>
          <w:tcPr>
            <w:tcW w:w="766" w:type="pct"/>
            <w:vMerge w:val="restart"/>
            <w:noWrap/>
            <w:vAlign w:val="center"/>
          </w:tcPr>
          <w:p w14:paraId="578468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凯丰小区</w:t>
            </w:r>
          </w:p>
        </w:tc>
        <w:tc>
          <w:tcPr>
            <w:tcW w:w="515" w:type="pct"/>
            <w:noWrap/>
            <w:vAlign w:val="center"/>
          </w:tcPr>
          <w:p w14:paraId="312E67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5B1E20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-5.26E-04</w:t>
            </w:r>
          </w:p>
        </w:tc>
        <w:tc>
          <w:tcPr>
            <w:tcW w:w="465" w:type="pct"/>
            <w:noWrap/>
            <w:vAlign w:val="center"/>
          </w:tcPr>
          <w:p w14:paraId="0C26D5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96DD0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35055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CA527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82.32</w:t>
            </w:r>
          </w:p>
        </w:tc>
        <w:tc>
          <w:tcPr>
            <w:tcW w:w="424" w:type="pct"/>
            <w:noWrap/>
            <w:vAlign w:val="center"/>
          </w:tcPr>
          <w:p w14:paraId="06BB9F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1C981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275" w:type="pct"/>
            <w:vMerge w:val="continue"/>
            <w:noWrap/>
            <w:vAlign w:val="center"/>
          </w:tcPr>
          <w:p w14:paraId="4EBB14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48869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455F1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2BFCF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90AADB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1BC90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74136C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277EC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8E815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DBDA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75" w:type="pct"/>
            <w:vMerge w:val="restart"/>
            <w:noWrap/>
            <w:vAlign w:val="center"/>
          </w:tcPr>
          <w:p w14:paraId="549B37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w:t>
            </w:r>
          </w:p>
        </w:tc>
        <w:tc>
          <w:tcPr>
            <w:tcW w:w="766" w:type="pct"/>
            <w:vMerge w:val="restart"/>
            <w:noWrap/>
            <w:vAlign w:val="center"/>
          </w:tcPr>
          <w:p w14:paraId="7B3C90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澳运阳光花园</w:t>
            </w:r>
          </w:p>
        </w:tc>
        <w:tc>
          <w:tcPr>
            <w:tcW w:w="515" w:type="pct"/>
            <w:noWrap/>
            <w:vAlign w:val="center"/>
          </w:tcPr>
          <w:p w14:paraId="31CEA3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CB425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-2.92E-04</w:t>
            </w:r>
          </w:p>
        </w:tc>
        <w:tc>
          <w:tcPr>
            <w:tcW w:w="465" w:type="pct"/>
            <w:noWrap/>
            <w:vAlign w:val="center"/>
          </w:tcPr>
          <w:p w14:paraId="564228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F6D36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F1FFA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49C28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82.47</w:t>
            </w:r>
          </w:p>
        </w:tc>
        <w:tc>
          <w:tcPr>
            <w:tcW w:w="424" w:type="pct"/>
            <w:noWrap/>
            <w:vAlign w:val="center"/>
          </w:tcPr>
          <w:p w14:paraId="19405D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156C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75" w:type="pct"/>
            <w:vMerge w:val="continue"/>
            <w:noWrap/>
            <w:vAlign w:val="center"/>
          </w:tcPr>
          <w:p w14:paraId="1DF831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3CA54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3752F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DB0F6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420EF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EAD2C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9A7AA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B616D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3EF05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42D49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75" w:type="pct"/>
            <w:vMerge w:val="restart"/>
            <w:noWrap/>
            <w:vAlign w:val="center"/>
          </w:tcPr>
          <w:p w14:paraId="42A764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34</w:t>
            </w:r>
          </w:p>
        </w:tc>
        <w:tc>
          <w:tcPr>
            <w:tcW w:w="766" w:type="pct"/>
            <w:vMerge w:val="restart"/>
            <w:noWrap/>
            <w:vAlign w:val="center"/>
          </w:tcPr>
          <w:p w14:paraId="5BD659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朝阳村</w:t>
            </w:r>
          </w:p>
        </w:tc>
        <w:tc>
          <w:tcPr>
            <w:tcW w:w="515" w:type="pct"/>
            <w:noWrap/>
            <w:vAlign w:val="center"/>
          </w:tcPr>
          <w:p w14:paraId="54E090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2A670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1.43E-05</w:t>
            </w:r>
          </w:p>
        </w:tc>
        <w:tc>
          <w:tcPr>
            <w:tcW w:w="465" w:type="pct"/>
            <w:noWrap/>
            <w:vAlign w:val="center"/>
          </w:tcPr>
          <w:p w14:paraId="5BC41F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A235E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A7BC6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4756FE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82.68</w:t>
            </w:r>
          </w:p>
        </w:tc>
        <w:tc>
          <w:tcPr>
            <w:tcW w:w="424" w:type="pct"/>
            <w:noWrap/>
            <w:vAlign w:val="center"/>
          </w:tcPr>
          <w:p w14:paraId="37EC57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08C28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75" w:type="pct"/>
            <w:vMerge w:val="continue"/>
            <w:noWrap/>
            <w:vAlign w:val="center"/>
          </w:tcPr>
          <w:p w14:paraId="2F53D3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F067F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308E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A4C01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CAAAF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2C6A8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701D12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3F099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6E77C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BDE4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275" w:type="pct"/>
            <w:vMerge w:val="restart"/>
            <w:noWrap/>
            <w:vAlign w:val="center"/>
          </w:tcPr>
          <w:p w14:paraId="1BB918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35</w:t>
            </w:r>
          </w:p>
        </w:tc>
        <w:tc>
          <w:tcPr>
            <w:tcW w:w="766" w:type="pct"/>
            <w:vMerge w:val="restart"/>
            <w:noWrap/>
            <w:vAlign w:val="center"/>
          </w:tcPr>
          <w:p w14:paraId="0F5740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宏隆花园</w:t>
            </w:r>
          </w:p>
        </w:tc>
        <w:tc>
          <w:tcPr>
            <w:tcW w:w="515" w:type="pct"/>
            <w:noWrap/>
            <w:vAlign w:val="center"/>
          </w:tcPr>
          <w:p w14:paraId="008B5E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5B83E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1.23E-05</w:t>
            </w:r>
          </w:p>
        </w:tc>
        <w:tc>
          <w:tcPr>
            <w:tcW w:w="465" w:type="pct"/>
            <w:noWrap/>
            <w:vAlign w:val="center"/>
          </w:tcPr>
          <w:p w14:paraId="435345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7F6B0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25441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45DD2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70730E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FA076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6" w:hRule="atLeast"/>
          <w:jc w:val="center"/>
        </w:trPr>
        <w:tc>
          <w:tcPr>
            <w:tcW w:w="275" w:type="pct"/>
            <w:vMerge w:val="continue"/>
            <w:noWrap/>
            <w:vAlign w:val="center"/>
          </w:tcPr>
          <w:p w14:paraId="0A40C4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ACD11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D0CC2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615E96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58AF4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E5CFC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3ABB7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787991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90790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FD7CB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275" w:type="pct"/>
            <w:vMerge w:val="restart"/>
            <w:noWrap/>
            <w:vAlign w:val="center"/>
          </w:tcPr>
          <w:p w14:paraId="529829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36</w:t>
            </w:r>
          </w:p>
        </w:tc>
        <w:tc>
          <w:tcPr>
            <w:tcW w:w="766" w:type="pct"/>
            <w:vMerge w:val="restart"/>
            <w:noWrap/>
            <w:vAlign w:val="center"/>
          </w:tcPr>
          <w:p w14:paraId="64CEBD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中福名都花园</w:t>
            </w:r>
          </w:p>
        </w:tc>
        <w:tc>
          <w:tcPr>
            <w:tcW w:w="515" w:type="pct"/>
            <w:noWrap/>
            <w:vAlign w:val="center"/>
          </w:tcPr>
          <w:p w14:paraId="4A1A67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A8406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-5.89E-05</w:t>
            </w:r>
          </w:p>
        </w:tc>
        <w:tc>
          <w:tcPr>
            <w:tcW w:w="465" w:type="pct"/>
            <w:noWrap/>
            <w:vAlign w:val="center"/>
          </w:tcPr>
          <w:p w14:paraId="35F218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E1594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3A843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C91C6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82.63</w:t>
            </w:r>
          </w:p>
        </w:tc>
        <w:tc>
          <w:tcPr>
            <w:tcW w:w="424" w:type="pct"/>
            <w:noWrap/>
            <w:vAlign w:val="center"/>
          </w:tcPr>
          <w:p w14:paraId="4409A3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46E3A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275" w:type="pct"/>
            <w:vMerge w:val="continue"/>
            <w:noWrap/>
            <w:vAlign w:val="center"/>
          </w:tcPr>
          <w:p w14:paraId="45DEB9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CC54F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BE353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5B26E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65A5C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3D9F3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987B4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FD65C7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A12F4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1FFD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75" w:type="pct"/>
            <w:vMerge w:val="restart"/>
            <w:noWrap/>
            <w:vAlign w:val="center"/>
          </w:tcPr>
          <w:p w14:paraId="73CF82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37</w:t>
            </w:r>
          </w:p>
        </w:tc>
        <w:tc>
          <w:tcPr>
            <w:tcW w:w="766" w:type="pct"/>
            <w:vMerge w:val="restart"/>
            <w:noWrap/>
            <w:vAlign w:val="center"/>
          </w:tcPr>
          <w:p w14:paraId="647121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康健花园</w:t>
            </w:r>
          </w:p>
        </w:tc>
        <w:tc>
          <w:tcPr>
            <w:tcW w:w="515" w:type="pct"/>
            <w:noWrap/>
            <w:vAlign w:val="center"/>
          </w:tcPr>
          <w:p w14:paraId="7219E8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6B4C0E3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1F176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8A163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D0278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DA808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08D0B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39048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75" w:type="pct"/>
            <w:vMerge w:val="continue"/>
            <w:noWrap/>
            <w:vAlign w:val="center"/>
          </w:tcPr>
          <w:p w14:paraId="2A838A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6FA87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C6A07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6711D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5EFFF8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B8E02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E80F6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FEC37C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15153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50FC1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275" w:type="pct"/>
            <w:vMerge w:val="restart"/>
            <w:noWrap/>
            <w:vAlign w:val="center"/>
          </w:tcPr>
          <w:p w14:paraId="174EEE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38</w:t>
            </w:r>
          </w:p>
        </w:tc>
        <w:tc>
          <w:tcPr>
            <w:tcW w:w="766" w:type="pct"/>
            <w:vMerge w:val="restart"/>
            <w:noWrap/>
            <w:vAlign w:val="center"/>
          </w:tcPr>
          <w:p w14:paraId="2E4FCB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海融安居里</w:t>
            </w:r>
          </w:p>
        </w:tc>
        <w:tc>
          <w:tcPr>
            <w:tcW w:w="515" w:type="pct"/>
            <w:noWrap/>
            <w:vAlign w:val="center"/>
          </w:tcPr>
          <w:p w14:paraId="698BAB2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A1B08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9528D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5558F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0C4AE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9FF55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63E27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216A2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275" w:type="pct"/>
            <w:vMerge w:val="continue"/>
            <w:noWrap/>
            <w:vAlign w:val="center"/>
          </w:tcPr>
          <w:p w14:paraId="332005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49528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4563B8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446FF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4ECD2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2E7728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F9668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8E3DA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7A0540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2282F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275" w:type="pct"/>
            <w:vMerge w:val="restart"/>
            <w:noWrap/>
            <w:vAlign w:val="center"/>
          </w:tcPr>
          <w:p w14:paraId="0E4E88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39</w:t>
            </w:r>
          </w:p>
        </w:tc>
        <w:tc>
          <w:tcPr>
            <w:tcW w:w="766" w:type="pct"/>
            <w:vMerge w:val="restart"/>
            <w:noWrap/>
            <w:vAlign w:val="center"/>
          </w:tcPr>
          <w:p w14:paraId="153D7F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海融富华苑</w:t>
            </w:r>
          </w:p>
        </w:tc>
        <w:tc>
          <w:tcPr>
            <w:tcW w:w="515" w:type="pct"/>
            <w:noWrap/>
            <w:vAlign w:val="center"/>
          </w:tcPr>
          <w:p w14:paraId="5F0C9D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598A6F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-7.02E-07</w:t>
            </w:r>
          </w:p>
        </w:tc>
        <w:tc>
          <w:tcPr>
            <w:tcW w:w="465" w:type="pct"/>
            <w:noWrap/>
            <w:vAlign w:val="center"/>
          </w:tcPr>
          <w:p w14:paraId="546BE6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7828B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14A1A5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0F3CA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35D02B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920A4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275" w:type="pct"/>
            <w:vMerge w:val="continue"/>
            <w:noWrap/>
            <w:vAlign w:val="center"/>
          </w:tcPr>
          <w:p w14:paraId="3AE335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F43B4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AD54A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0A7A2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0D6F9F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2F0C5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80BC0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7F365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33CAF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3BE4A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 w:hRule="atLeast"/>
          <w:jc w:val="center"/>
        </w:trPr>
        <w:tc>
          <w:tcPr>
            <w:tcW w:w="275" w:type="pct"/>
            <w:vMerge w:val="restart"/>
            <w:noWrap/>
            <w:vAlign w:val="center"/>
          </w:tcPr>
          <w:p w14:paraId="4B2038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w:t>
            </w:r>
          </w:p>
        </w:tc>
        <w:tc>
          <w:tcPr>
            <w:tcW w:w="766" w:type="pct"/>
            <w:vMerge w:val="restart"/>
            <w:noWrap/>
            <w:vAlign w:val="center"/>
          </w:tcPr>
          <w:p w14:paraId="7127C1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好景园小区</w:t>
            </w:r>
          </w:p>
        </w:tc>
        <w:tc>
          <w:tcPr>
            <w:tcW w:w="515" w:type="pct"/>
            <w:noWrap/>
            <w:vAlign w:val="center"/>
          </w:tcPr>
          <w:p w14:paraId="2E3B41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351BE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38205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7B1069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B31E4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6F475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38DAD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5081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75" w:type="pct"/>
            <w:vMerge w:val="continue"/>
            <w:noWrap/>
            <w:vAlign w:val="center"/>
          </w:tcPr>
          <w:p w14:paraId="470372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76CBE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2C96FC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CD3860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C060B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E3A117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E5F776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E4F283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2FC08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578E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275" w:type="pct"/>
            <w:vMerge w:val="restart"/>
            <w:noWrap/>
            <w:vAlign w:val="center"/>
          </w:tcPr>
          <w:p w14:paraId="78D352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41</w:t>
            </w:r>
          </w:p>
        </w:tc>
        <w:tc>
          <w:tcPr>
            <w:tcW w:w="766" w:type="pct"/>
            <w:vMerge w:val="restart"/>
            <w:noWrap/>
            <w:vAlign w:val="center"/>
          </w:tcPr>
          <w:p w14:paraId="61C1AA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旗苑家园</w:t>
            </w:r>
          </w:p>
        </w:tc>
        <w:tc>
          <w:tcPr>
            <w:tcW w:w="515" w:type="pct"/>
            <w:noWrap/>
            <w:vAlign w:val="center"/>
          </w:tcPr>
          <w:p w14:paraId="1691FD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59144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DA501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3CACB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39D0E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F21A8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3604B42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3CD92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 w:hRule="atLeast"/>
          <w:jc w:val="center"/>
        </w:trPr>
        <w:tc>
          <w:tcPr>
            <w:tcW w:w="275" w:type="pct"/>
            <w:vMerge w:val="continue"/>
            <w:noWrap/>
            <w:vAlign w:val="center"/>
          </w:tcPr>
          <w:p w14:paraId="0158AD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BFFA9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CF7E77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BC2F2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F487E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3BF88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08591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480A6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516B9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135CF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75" w:type="pct"/>
            <w:vMerge w:val="restart"/>
            <w:noWrap/>
            <w:vAlign w:val="center"/>
          </w:tcPr>
          <w:p w14:paraId="373A22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w:t>
            </w:r>
          </w:p>
        </w:tc>
        <w:tc>
          <w:tcPr>
            <w:tcW w:w="766" w:type="pct"/>
            <w:vMerge w:val="restart"/>
            <w:noWrap/>
            <w:vAlign w:val="center"/>
          </w:tcPr>
          <w:p w14:paraId="30FF9E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兴达家园</w:t>
            </w:r>
          </w:p>
        </w:tc>
        <w:tc>
          <w:tcPr>
            <w:tcW w:w="515" w:type="pct"/>
            <w:noWrap/>
            <w:vAlign w:val="center"/>
          </w:tcPr>
          <w:p w14:paraId="3E990E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4DC2F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C410A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363B8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F79F6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7B1F2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0082E6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D945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75" w:type="pct"/>
            <w:vMerge w:val="continue"/>
            <w:noWrap/>
            <w:vAlign w:val="center"/>
          </w:tcPr>
          <w:p w14:paraId="7AD0B70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3DE94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A0EE5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5C937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0DDD6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93C91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D4E8A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29410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C7D98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E9E0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75" w:type="pct"/>
            <w:vMerge w:val="restart"/>
            <w:noWrap/>
            <w:vAlign w:val="center"/>
          </w:tcPr>
          <w:p w14:paraId="0F86FD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43</w:t>
            </w:r>
          </w:p>
        </w:tc>
        <w:tc>
          <w:tcPr>
            <w:tcW w:w="766" w:type="pct"/>
            <w:vMerge w:val="restart"/>
            <w:noWrap/>
            <w:vAlign w:val="center"/>
          </w:tcPr>
          <w:p w14:paraId="6513E4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协会大厦</w:t>
            </w:r>
          </w:p>
        </w:tc>
        <w:tc>
          <w:tcPr>
            <w:tcW w:w="515" w:type="pct"/>
            <w:noWrap/>
            <w:vAlign w:val="center"/>
          </w:tcPr>
          <w:p w14:paraId="4DA98E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BA6BE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E4A95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AF085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93374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B085D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945BED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C18A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275" w:type="pct"/>
            <w:vMerge w:val="continue"/>
            <w:noWrap/>
            <w:vAlign w:val="center"/>
          </w:tcPr>
          <w:p w14:paraId="77FD69B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CF2A5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EC209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4A758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2C054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513F5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C3BDC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1FFA0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519D7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A9B22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75" w:type="pct"/>
            <w:vMerge w:val="restart"/>
            <w:noWrap/>
            <w:vAlign w:val="center"/>
          </w:tcPr>
          <w:p w14:paraId="3EEF9A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44</w:t>
            </w:r>
          </w:p>
        </w:tc>
        <w:tc>
          <w:tcPr>
            <w:tcW w:w="766" w:type="pct"/>
            <w:vMerge w:val="restart"/>
            <w:noWrap/>
            <w:vAlign w:val="center"/>
          </w:tcPr>
          <w:p w14:paraId="71186D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数码港宾馆</w:t>
            </w:r>
          </w:p>
        </w:tc>
        <w:tc>
          <w:tcPr>
            <w:tcW w:w="515" w:type="pct"/>
            <w:noWrap/>
            <w:vAlign w:val="center"/>
          </w:tcPr>
          <w:p w14:paraId="2C6CB4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41D8E1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D7A17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43A44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64E5C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F17C4E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23CB0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43F7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275" w:type="pct"/>
            <w:vMerge w:val="continue"/>
            <w:noWrap/>
            <w:vAlign w:val="center"/>
          </w:tcPr>
          <w:p w14:paraId="2364EB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4028A4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E33D2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7EF75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771DF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9C3511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C6435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022B5D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12ECD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5A42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75" w:type="pct"/>
            <w:vMerge w:val="restart"/>
            <w:noWrap/>
            <w:vAlign w:val="center"/>
          </w:tcPr>
          <w:p w14:paraId="2C7015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45</w:t>
            </w:r>
          </w:p>
        </w:tc>
        <w:tc>
          <w:tcPr>
            <w:tcW w:w="766" w:type="pct"/>
            <w:vMerge w:val="restart"/>
            <w:noWrap/>
            <w:vAlign w:val="center"/>
          </w:tcPr>
          <w:p w14:paraId="27DB3A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山水国际</w:t>
            </w:r>
          </w:p>
        </w:tc>
        <w:tc>
          <w:tcPr>
            <w:tcW w:w="515" w:type="pct"/>
            <w:noWrap/>
            <w:vAlign w:val="center"/>
          </w:tcPr>
          <w:p w14:paraId="7EF27E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E72E83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48652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04C25F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1D86C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5DF887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7196A0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8C954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275" w:type="pct"/>
            <w:vMerge w:val="continue"/>
            <w:noWrap/>
            <w:vAlign w:val="center"/>
          </w:tcPr>
          <w:p w14:paraId="3DF849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E8F29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23CCC2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30E4C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4059C1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DF4A7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99491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4B6C80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A73C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243B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5" w:type="pct"/>
            <w:vMerge w:val="restart"/>
            <w:noWrap/>
            <w:vAlign w:val="center"/>
          </w:tcPr>
          <w:p w14:paraId="6CEBB3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46</w:t>
            </w:r>
          </w:p>
        </w:tc>
        <w:tc>
          <w:tcPr>
            <w:tcW w:w="766" w:type="pct"/>
            <w:vMerge w:val="restart"/>
            <w:noWrap/>
            <w:vAlign w:val="center"/>
          </w:tcPr>
          <w:p w14:paraId="067B18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湖畔花园小区</w:t>
            </w:r>
          </w:p>
        </w:tc>
        <w:tc>
          <w:tcPr>
            <w:tcW w:w="515" w:type="pct"/>
            <w:noWrap/>
            <w:vAlign w:val="center"/>
          </w:tcPr>
          <w:p w14:paraId="6E2BA4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5AC286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A475C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8A6C7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01FCD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CFA402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7EF489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D188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275" w:type="pct"/>
            <w:vMerge w:val="continue"/>
            <w:noWrap/>
            <w:vAlign w:val="center"/>
          </w:tcPr>
          <w:p w14:paraId="48CA9B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3D6BA0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0213F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E0503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65AF35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43C741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5ED9C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B3FFAF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5A072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DA80D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75" w:type="pct"/>
            <w:vMerge w:val="restart"/>
            <w:noWrap/>
            <w:vAlign w:val="center"/>
          </w:tcPr>
          <w:p w14:paraId="7B0B70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47</w:t>
            </w:r>
          </w:p>
        </w:tc>
        <w:tc>
          <w:tcPr>
            <w:tcW w:w="766" w:type="pct"/>
            <w:vMerge w:val="restart"/>
            <w:noWrap/>
            <w:vAlign w:val="center"/>
          </w:tcPr>
          <w:p w14:paraId="3D48EE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湖滨小区</w:t>
            </w:r>
          </w:p>
        </w:tc>
        <w:tc>
          <w:tcPr>
            <w:tcW w:w="515" w:type="pct"/>
            <w:noWrap/>
            <w:vAlign w:val="center"/>
          </w:tcPr>
          <w:p w14:paraId="080D062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75BF9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85421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E24FC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514DEF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20BAF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0736D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57CA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1" w:hRule="atLeast"/>
          <w:jc w:val="center"/>
        </w:trPr>
        <w:tc>
          <w:tcPr>
            <w:tcW w:w="275" w:type="pct"/>
            <w:vMerge w:val="continue"/>
            <w:noWrap/>
            <w:vAlign w:val="center"/>
          </w:tcPr>
          <w:p w14:paraId="6BFCA6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7F3E166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1BE485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164C6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2BDBB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34880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508CB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20EE38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CEEFB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00498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75" w:type="pct"/>
            <w:vMerge w:val="restart"/>
            <w:noWrap/>
            <w:vAlign w:val="center"/>
          </w:tcPr>
          <w:p w14:paraId="4D6EDC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48</w:t>
            </w:r>
          </w:p>
        </w:tc>
        <w:tc>
          <w:tcPr>
            <w:tcW w:w="766" w:type="pct"/>
            <w:vMerge w:val="restart"/>
            <w:noWrap/>
            <w:vAlign w:val="center"/>
          </w:tcPr>
          <w:p w14:paraId="4C99A8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吉祥小区</w:t>
            </w:r>
          </w:p>
        </w:tc>
        <w:tc>
          <w:tcPr>
            <w:tcW w:w="515" w:type="pct"/>
            <w:noWrap/>
            <w:vAlign w:val="center"/>
          </w:tcPr>
          <w:p w14:paraId="04BA312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6F1ED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-1.30E-06</w:t>
            </w:r>
          </w:p>
        </w:tc>
        <w:tc>
          <w:tcPr>
            <w:tcW w:w="465" w:type="pct"/>
            <w:noWrap/>
            <w:vAlign w:val="center"/>
          </w:tcPr>
          <w:p w14:paraId="5708FF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D283E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EA2EF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971E4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039F98E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E2853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 w:hRule="atLeast"/>
          <w:jc w:val="center"/>
        </w:trPr>
        <w:tc>
          <w:tcPr>
            <w:tcW w:w="275" w:type="pct"/>
            <w:vMerge w:val="continue"/>
            <w:noWrap/>
            <w:vAlign w:val="center"/>
          </w:tcPr>
          <w:p w14:paraId="4914B56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750071D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18828C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07C9DE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539A7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28136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61D7B4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1A873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A340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7048E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708A71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49</w:t>
            </w:r>
          </w:p>
        </w:tc>
        <w:tc>
          <w:tcPr>
            <w:tcW w:w="766" w:type="pct"/>
            <w:vMerge w:val="restart"/>
            <w:noWrap/>
            <w:vAlign w:val="center"/>
          </w:tcPr>
          <w:p w14:paraId="1B01980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天佑国际</w:t>
            </w:r>
          </w:p>
        </w:tc>
        <w:tc>
          <w:tcPr>
            <w:tcW w:w="515" w:type="pct"/>
            <w:noWrap/>
            <w:vAlign w:val="center"/>
          </w:tcPr>
          <w:p w14:paraId="1607508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1B017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150ED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EF625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B3D28A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366081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A6826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40ED6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0E96CD3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87298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7813F9D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77B1BE5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9F3919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AA99A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551BBF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98126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0ECD8B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0321D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275" w:type="pct"/>
            <w:vMerge w:val="restart"/>
            <w:noWrap/>
            <w:vAlign w:val="center"/>
          </w:tcPr>
          <w:p w14:paraId="302718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50</w:t>
            </w:r>
          </w:p>
        </w:tc>
        <w:tc>
          <w:tcPr>
            <w:tcW w:w="766" w:type="pct"/>
            <w:vMerge w:val="restart"/>
            <w:noWrap/>
            <w:vAlign w:val="center"/>
          </w:tcPr>
          <w:p w14:paraId="2CE0C0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前进社区</w:t>
            </w:r>
          </w:p>
        </w:tc>
        <w:tc>
          <w:tcPr>
            <w:tcW w:w="515" w:type="pct"/>
            <w:noWrap/>
            <w:vAlign w:val="center"/>
          </w:tcPr>
          <w:p w14:paraId="10F8E1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7A25B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E78888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7D15E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B4D182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54914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2FB0CF9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B059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275" w:type="pct"/>
            <w:vMerge w:val="continue"/>
            <w:noWrap/>
            <w:vAlign w:val="center"/>
          </w:tcPr>
          <w:p w14:paraId="43EB94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38C4E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FB643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747B8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609108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7641E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64CB6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1A90C9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4470860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A8A9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75" w:type="pct"/>
            <w:vMerge w:val="restart"/>
            <w:noWrap/>
            <w:vAlign w:val="center"/>
          </w:tcPr>
          <w:p w14:paraId="6B1522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51</w:t>
            </w:r>
          </w:p>
        </w:tc>
        <w:tc>
          <w:tcPr>
            <w:tcW w:w="766" w:type="pct"/>
            <w:vMerge w:val="restart"/>
            <w:noWrap/>
            <w:vAlign w:val="center"/>
          </w:tcPr>
          <w:p w14:paraId="039EB01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幸福家园</w:t>
            </w:r>
          </w:p>
        </w:tc>
        <w:tc>
          <w:tcPr>
            <w:tcW w:w="515" w:type="pct"/>
            <w:noWrap/>
            <w:vAlign w:val="center"/>
          </w:tcPr>
          <w:p w14:paraId="5D5EB65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75EBCC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1B6F83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3BCC5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336DF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D7266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475599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12728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75" w:type="pct"/>
            <w:vMerge w:val="continue"/>
            <w:noWrap/>
            <w:vAlign w:val="center"/>
          </w:tcPr>
          <w:p w14:paraId="4369988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98457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52749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4C1187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38065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4FEA4C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20E1CB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308A9B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B4E5F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6B6A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75" w:type="pct"/>
            <w:vMerge w:val="restart"/>
            <w:noWrap/>
            <w:vAlign w:val="center"/>
          </w:tcPr>
          <w:p w14:paraId="69BE9A3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52</w:t>
            </w:r>
          </w:p>
        </w:tc>
        <w:tc>
          <w:tcPr>
            <w:tcW w:w="766" w:type="pct"/>
            <w:vMerge w:val="restart"/>
            <w:noWrap/>
            <w:vAlign w:val="center"/>
          </w:tcPr>
          <w:p w14:paraId="0AD7BA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盛世嘉园</w:t>
            </w:r>
          </w:p>
        </w:tc>
        <w:tc>
          <w:tcPr>
            <w:tcW w:w="515" w:type="pct"/>
            <w:noWrap/>
            <w:vAlign w:val="center"/>
          </w:tcPr>
          <w:p w14:paraId="62F93FB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C6A8EB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-4.02E-05</w:t>
            </w:r>
          </w:p>
        </w:tc>
        <w:tc>
          <w:tcPr>
            <w:tcW w:w="465" w:type="pct"/>
            <w:noWrap/>
            <w:vAlign w:val="center"/>
          </w:tcPr>
          <w:p w14:paraId="6A60FF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660E0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AC76C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ED215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82.64</w:t>
            </w:r>
          </w:p>
        </w:tc>
        <w:tc>
          <w:tcPr>
            <w:tcW w:w="424" w:type="pct"/>
            <w:noWrap/>
            <w:vAlign w:val="center"/>
          </w:tcPr>
          <w:p w14:paraId="699EBF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5239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75" w:type="pct"/>
            <w:vMerge w:val="continue"/>
            <w:noWrap/>
            <w:vAlign w:val="center"/>
          </w:tcPr>
          <w:p w14:paraId="69AD35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92B80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23386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E98E59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E12F82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D25DC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18241C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50C049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7FE0442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9C602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75" w:type="pct"/>
            <w:vMerge w:val="restart"/>
            <w:noWrap/>
            <w:vAlign w:val="center"/>
          </w:tcPr>
          <w:p w14:paraId="08158C9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w:t>
            </w:r>
          </w:p>
        </w:tc>
        <w:tc>
          <w:tcPr>
            <w:tcW w:w="766" w:type="pct"/>
            <w:vMerge w:val="restart"/>
            <w:noWrap/>
            <w:vAlign w:val="center"/>
          </w:tcPr>
          <w:p w14:paraId="1D8ABE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兄弟花园</w:t>
            </w:r>
          </w:p>
        </w:tc>
        <w:tc>
          <w:tcPr>
            <w:tcW w:w="515" w:type="pct"/>
            <w:noWrap/>
            <w:vAlign w:val="center"/>
          </w:tcPr>
          <w:p w14:paraId="2A71E4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0F682B0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-1.39E-05</w:t>
            </w:r>
          </w:p>
        </w:tc>
        <w:tc>
          <w:tcPr>
            <w:tcW w:w="465" w:type="pct"/>
            <w:noWrap/>
            <w:vAlign w:val="center"/>
          </w:tcPr>
          <w:p w14:paraId="18895F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F959D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D7E93E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2878A4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82.66</w:t>
            </w:r>
          </w:p>
        </w:tc>
        <w:tc>
          <w:tcPr>
            <w:tcW w:w="424" w:type="pct"/>
            <w:noWrap/>
            <w:vAlign w:val="center"/>
          </w:tcPr>
          <w:p w14:paraId="31C3F8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57F9A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275" w:type="pct"/>
            <w:vMerge w:val="continue"/>
            <w:noWrap/>
            <w:vAlign w:val="center"/>
          </w:tcPr>
          <w:p w14:paraId="046A35A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6901E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6CAB88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1A31D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C9887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14E0A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12FAD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2B2F6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00D0A4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200F5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75" w:type="pct"/>
            <w:vMerge w:val="restart"/>
            <w:noWrap/>
            <w:vAlign w:val="center"/>
          </w:tcPr>
          <w:p w14:paraId="327F8A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54</w:t>
            </w:r>
          </w:p>
        </w:tc>
        <w:tc>
          <w:tcPr>
            <w:tcW w:w="766" w:type="pct"/>
            <w:vMerge w:val="restart"/>
            <w:noWrap/>
            <w:vAlign w:val="center"/>
          </w:tcPr>
          <w:p w14:paraId="54BF4D1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同福嘉园</w:t>
            </w:r>
          </w:p>
        </w:tc>
        <w:tc>
          <w:tcPr>
            <w:tcW w:w="515" w:type="pct"/>
            <w:noWrap/>
            <w:vAlign w:val="center"/>
          </w:tcPr>
          <w:p w14:paraId="57ADF95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19D4331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-3.37E-06</w:t>
            </w:r>
          </w:p>
        </w:tc>
        <w:tc>
          <w:tcPr>
            <w:tcW w:w="465" w:type="pct"/>
            <w:noWrap/>
            <w:vAlign w:val="center"/>
          </w:tcPr>
          <w:p w14:paraId="5790F6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44C4DF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53483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7F023C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82.66</w:t>
            </w:r>
          </w:p>
        </w:tc>
        <w:tc>
          <w:tcPr>
            <w:tcW w:w="424" w:type="pct"/>
            <w:noWrap/>
            <w:vAlign w:val="center"/>
          </w:tcPr>
          <w:p w14:paraId="53AF927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FEEA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275" w:type="pct"/>
            <w:vMerge w:val="continue"/>
            <w:noWrap/>
            <w:vAlign w:val="center"/>
          </w:tcPr>
          <w:p w14:paraId="320C172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ED1C3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19EBD6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994AE4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CC498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E2681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56E0D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648FAE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4BE1E4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F9ABC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275" w:type="pct"/>
            <w:vMerge w:val="restart"/>
            <w:noWrap/>
            <w:vAlign w:val="center"/>
          </w:tcPr>
          <w:p w14:paraId="200BD9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55</w:t>
            </w:r>
          </w:p>
        </w:tc>
        <w:tc>
          <w:tcPr>
            <w:tcW w:w="766" w:type="pct"/>
            <w:vMerge w:val="restart"/>
            <w:noWrap/>
            <w:vAlign w:val="center"/>
          </w:tcPr>
          <w:p w14:paraId="08F916E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富邦名苑</w:t>
            </w:r>
          </w:p>
        </w:tc>
        <w:tc>
          <w:tcPr>
            <w:tcW w:w="515" w:type="pct"/>
            <w:noWrap/>
            <w:vAlign w:val="center"/>
          </w:tcPr>
          <w:p w14:paraId="3A1DC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22A3638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-5.34E-08</w:t>
            </w:r>
          </w:p>
        </w:tc>
        <w:tc>
          <w:tcPr>
            <w:tcW w:w="465" w:type="pct"/>
            <w:noWrap/>
            <w:vAlign w:val="center"/>
          </w:tcPr>
          <w:p w14:paraId="3A9A07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1695B4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5E6AE08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EC35D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7E7B81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531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275" w:type="pct"/>
            <w:vMerge w:val="continue"/>
            <w:noWrap/>
            <w:vAlign w:val="center"/>
          </w:tcPr>
          <w:p w14:paraId="68765A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A77E2F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1C00BD0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C562C5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2238F4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524B63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92731E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D38F23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3A0A51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B7D3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275" w:type="pct"/>
            <w:vMerge w:val="restart"/>
            <w:noWrap/>
            <w:vAlign w:val="center"/>
          </w:tcPr>
          <w:p w14:paraId="249B8F7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56</w:t>
            </w:r>
          </w:p>
        </w:tc>
        <w:tc>
          <w:tcPr>
            <w:tcW w:w="766" w:type="pct"/>
            <w:vMerge w:val="restart"/>
            <w:noWrap/>
            <w:vAlign w:val="center"/>
          </w:tcPr>
          <w:p w14:paraId="7DF2EBC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龙海世纪大酒店</w:t>
            </w:r>
          </w:p>
        </w:tc>
        <w:tc>
          <w:tcPr>
            <w:tcW w:w="515" w:type="pct"/>
            <w:noWrap/>
            <w:vAlign w:val="center"/>
          </w:tcPr>
          <w:p w14:paraId="7A81C3F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56C697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4A890C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A0C15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DD4355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534743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0E8595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DB03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275" w:type="pct"/>
            <w:vMerge w:val="continue"/>
            <w:noWrap/>
            <w:vAlign w:val="center"/>
          </w:tcPr>
          <w:p w14:paraId="6BDB02F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31138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3B3A25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4B68798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A8587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69C827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5DED2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7F7A9F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2D374A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A6DE0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 w:hRule="atLeast"/>
          <w:jc w:val="center"/>
        </w:trPr>
        <w:tc>
          <w:tcPr>
            <w:tcW w:w="275" w:type="pct"/>
            <w:vMerge w:val="restart"/>
            <w:noWrap/>
            <w:vAlign w:val="center"/>
          </w:tcPr>
          <w:p w14:paraId="6A360E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57</w:t>
            </w:r>
          </w:p>
        </w:tc>
        <w:tc>
          <w:tcPr>
            <w:tcW w:w="766" w:type="pct"/>
            <w:vMerge w:val="restart"/>
            <w:noWrap/>
            <w:vAlign w:val="center"/>
          </w:tcPr>
          <w:p w14:paraId="445F7A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供电小区</w:t>
            </w:r>
          </w:p>
        </w:tc>
        <w:tc>
          <w:tcPr>
            <w:tcW w:w="515" w:type="pct"/>
            <w:noWrap/>
            <w:vAlign w:val="center"/>
          </w:tcPr>
          <w:p w14:paraId="1C545C1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6D77BD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208687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422538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D606E4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00EE8D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EC110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BBDB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275" w:type="pct"/>
            <w:vMerge w:val="continue"/>
            <w:noWrap/>
            <w:vAlign w:val="center"/>
          </w:tcPr>
          <w:p w14:paraId="2803405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4A416C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09546E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1A73EEA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50992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594425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463BA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7983F8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75B6C6A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6CCCE2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275" w:type="pct"/>
            <w:vMerge w:val="restart"/>
            <w:noWrap/>
            <w:vAlign w:val="center"/>
          </w:tcPr>
          <w:p w14:paraId="64643C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58</w:t>
            </w:r>
          </w:p>
        </w:tc>
        <w:tc>
          <w:tcPr>
            <w:tcW w:w="766" w:type="pct"/>
            <w:vMerge w:val="restart"/>
            <w:noWrap/>
            <w:vAlign w:val="center"/>
          </w:tcPr>
          <w:p w14:paraId="7215FCE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九鹤堂医院</w:t>
            </w:r>
          </w:p>
        </w:tc>
        <w:tc>
          <w:tcPr>
            <w:tcW w:w="515" w:type="pct"/>
            <w:noWrap/>
            <w:vAlign w:val="center"/>
          </w:tcPr>
          <w:p w14:paraId="725BA6B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27A81D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D8941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3DAFC33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38949B7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5F3268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7F1140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BDA6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275" w:type="pct"/>
            <w:vMerge w:val="continue"/>
            <w:noWrap/>
            <w:vAlign w:val="center"/>
          </w:tcPr>
          <w:p w14:paraId="3E18FBA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2631192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4A727E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08137E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23BAE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334C3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4DE9E8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41B0B48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5547CD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0F79F2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75" w:type="pct"/>
            <w:vMerge w:val="restart"/>
            <w:noWrap/>
            <w:vAlign w:val="center"/>
          </w:tcPr>
          <w:p w14:paraId="29709F6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59</w:t>
            </w:r>
          </w:p>
        </w:tc>
        <w:tc>
          <w:tcPr>
            <w:tcW w:w="766" w:type="pct"/>
            <w:vMerge w:val="restart"/>
            <w:noWrap/>
            <w:vAlign w:val="center"/>
          </w:tcPr>
          <w:p w14:paraId="303395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颐民敬老院卫生所</w:t>
            </w:r>
          </w:p>
        </w:tc>
        <w:tc>
          <w:tcPr>
            <w:tcW w:w="515" w:type="pct"/>
            <w:noWrap/>
            <w:vAlign w:val="center"/>
          </w:tcPr>
          <w:p w14:paraId="067EDC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4D9DEE5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3AE1DB9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4A2F4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4E7B64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36A5DC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778D4C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8E33D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275" w:type="pct"/>
            <w:vMerge w:val="continue"/>
            <w:noWrap/>
            <w:vAlign w:val="center"/>
          </w:tcPr>
          <w:p w14:paraId="4D8F0D0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CA0DB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32C3C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6CE089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7C61034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296CFF7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6CF7B5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178509B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5249EE6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22966D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275" w:type="pct"/>
            <w:vMerge w:val="restart"/>
            <w:noWrap/>
            <w:vAlign w:val="center"/>
          </w:tcPr>
          <w:p w14:paraId="5B96244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60</w:t>
            </w:r>
          </w:p>
        </w:tc>
        <w:tc>
          <w:tcPr>
            <w:tcW w:w="766" w:type="pct"/>
            <w:vMerge w:val="restart"/>
            <w:noWrap/>
            <w:vAlign w:val="center"/>
          </w:tcPr>
          <w:p w14:paraId="4C80F4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绥芬河市中医医院</w:t>
            </w:r>
          </w:p>
        </w:tc>
        <w:tc>
          <w:tcPr>
            <w:tcW w:w="515" w:type="pct"/>
            <w:noWrap/>
            <w:vAlign w:val="center"/>
          </w:tcPr>
          <w:p w14:paraId="221E93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75B554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03BA4EC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6358F0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2A52543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6EA10F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6F23EED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1620E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75" w:type="pct"/>
            <w:vMerge w:val="continue"/>
            <w:noWrap/>
            <w:vAlign w:val="center"/>
          </w:tcPr>
          <w:p w14:paraId="0FD3A96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7D476A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489479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04EED95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582239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78CD95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29F768F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3FCE13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1A2BAB5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4746A8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75" w:type="pct"/>
            <w:vMerge w:val="restart"/>
            <w:noWrap/>
            <w:vAlign w:val="center"/>
          </w:tcPr>
          <w:p w14:paraId="288EA5B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w:t>
            </w:r>
          </w:p>
        </w:tc>
        <w:tc>
          <w:tcPr>
            <w:tcW w:w="766" w:type="pct"/>
            <w:vMerge w:val="restart"/>
            <w:noWrap/>
            <w:vAlign w:val="center"/>
          </w:tcPr>
          <w:p w14:paraId="4A3292C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立银医院</w:t>
            </w:r>
          </w:p>
        </w:tc>
        <w:tc>
          <w:tcPr>
            <w:tcW w:w="515" w:type="pct"/>
            <w:noWrap/>
            <w:vAlign w:val="center"/>
          </w:tcPr>
          <w:p w14:paraId="0AAEE0B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44959EE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ACAD1A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2A8D6A9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6ADFF2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1CA0A64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C33009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3B47F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245C536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6EC17C4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55AB49D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3172058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2AF434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0E5320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3A2BF0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790E7E1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3A9CC0B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5119F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restart"/>
            <w:noWrap/>
            <w:vAlign w:val="center"/>
          </w:tcPr>
          <w:p w14:paraId="1F7597A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766" w:type="pct"/>
            <w:vMerge w:val="restart"/>
            <w:noWrap/>
            <w:vAlign w:val="center"/>
          </w:tcPr>
          <w:p w14:paraId="47BB0A0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绥芬河市传染病医院</w:t>
            </w:r>
          </w:p>
        </w:tc>
        <w:tc>
          <w:tcPr>
            <w:tcW w:w="878" w:type="dxa"/>
            <w:noWrap/>
            <w:vAlign w:val="center"/>
          </w:tcPr>
          <w:p w14:paraId="382D1C5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3B626A9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1D1DD0F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598543A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73E40C2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837" w:type="dxa"/>
            <w:noWrap/>
            <w:vAlign w:val="center"/>
          </w:tcPr>
          <w:p w14:paraId="3FF631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53376C4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r>
      <w:tr w14:paraId="5D2640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300D03B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155D361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878" w:type="dxa"/>
            <w:noWrap/>
            <w:vAlign w:val="center"/>
          </w:tcPr>
          <w:p w14:paraId="109986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255E49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4BFDE06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358AD83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5B0792A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837" w:type="dxa"/>
            <w:noWrap/>
            <w:vAlign w:val="center"/>
          </w:tcPr>
          <w:p w14:paraId="0FE7A37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09E1C9B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r>
      <w:tr w14:paraId="3E0425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restart"/>
            <w:noWrap/>
            <w:vAlign w:val="center"/>
          </w:tcPr>
          <w:p w14:paraId="194E8A1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62</w:t>
            </w:r>
          </w:p>
        </w:tc>
        <w:tc>
          <w:tcPr>
            <w:tcW w:w="766" w:type="pct"/>
            <w:vMerge w:val="restart"/>
            <w:noWrap/>
            <w:vAlign w:val="center"/>
          </w:tcPr>
          <w:p w14:paraId="50AE31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网格</w:t>
            </w:r>
          </w:p>
        </w:tc>
        <w:tc>
          <w:tcPr>
            <w:tcW w:w="515" w:type="pct"/>
            <w:noWrap/>
            <w:vAlign w:val="center"/>
          </w:tcPr>
          <w:p w14:paraId="686F05A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日平均</w:t>
            </w:r>
          </w:p>
        </w:tc>
        <w:tc>
          <w:tcPr>
            <w:tcW w:w="609" w:type="pct"/>
            <w:noWrap/>
            <w:vAlign w:val="center"/>
          </w:tcPr>
          <w:p w14:paraId="7FFD51D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7.63E-09</w:t>
            </w:r>
          </w:p>
        </w:tc>
        <w:tc>
          <w:tcPr>
            <w:tcW w:w="465" w:type="pct"/>
            <w:noWrap/>
            <w:vAlign w:val="center"/>
          </w:tcPr>
          <w:p w14:paraId="6563707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240422</w:t>
            </w:r>
          </w:p>
        </w:tc>
        <w:tc>
          <w:tcPr>
            <w:tcW w:w="672" w:type="pct"/>
            <w:noWrap/>
            <w:vAlign w:val="center"/>
          </w:tcPr>
          <w:p w14:paraId="112C5C8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779" w:type="pct"/>
            <w:noWrap/>
            <w:vAlign w:val="center"/>
          </w:tcPr>
          <w:p w14:paraId="07B605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1.24E-01</w:t>
            </w:r>
          </w:p>
        </w:tc>
        <w:tc>
          <w:tcPr>
            <w:tcW w:w="491" w:type="pct"/>
            <w:noWrap/>
            <w:vAlign w:val="center"/>
          </w:tcPr>
          <w:p w14:paraId="45D6788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82.67</w:t>
            </w:r>
          </w:p>
        </w:tc>
        <w:tc>
          <w:tcPr>
            <w:tcW w:w="424" w:type="pct"/>
            <w:noWrap/>
            <w:vAlign w:val="center"/>
          </w:tcPr>
          <w:p w14:paraId="1715E2D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r w14:paraId="78E6A0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275" w:type="pct"/>
            <w:vMerge w:val="continue"/>
            <w:noWrap/>
            <w:vAlign w:val="center"/>
          </w:tcPr>
          <w:p w14:paraId="1EDC9B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766" w:type="pct"/>
            <w:vMerge w:val="continue"/>
            <w:noWrap/>
            <w:vAlign w:val="center"/>
          </w:tcPr>
          <w:p w14:paraId="0B63E5F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p>
        </w:tc>
        <w:tc>
          <w:tcPr>
            <w:tcW w:w="515" w:type="pct"/>
            <w:noWrap/>
            <w:vAlign w:val="center"/>
          </w:tcPr>
          <w:p w14:paraId="252DA406">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年平均</w:t>
            </w:r>
          </w:p>
        </w:tc>
        <w:tc>
          <w:tcPr>
            <w:tcW w:w="609" w:type="pct"/>
            <w:noWrap/>
            <w:vAlign w:val="center"/>
          </w:tcPr>
          <w:p w14:paraId="529D58F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0.00E+00</w:t>
            </w:r>
          </w:p>
        </w:tc>
        <w:tc>
          <w:tcPr>
            <w:tcW w:w="465" w:type="pct"/>
            <w:noWrap/>
            <w:vAlign w:val="center"/>
          </w:tcPr>
          <w:p w14:paraId="6FAB836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平均值</w:t>
            </w:r>
          </w:p>
        </w:tc>
        <w:tc>
          <w:tcPr>
            <w:tcW w:w="672" w:type="pct"/>
            <w:noWrap/>
            <w:vAlign w:val="center"/>
          </w:tcPr>
          <w:p w14:paraId="73B6C5E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779" w:type="pct"/>
            <w:noWrap/>
            <w:vAlign w:val="center"/>
          </w:tcPr>
          <w:p w14:paraId="0A9A789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4.29E-02</w:t>
            </w:r>
          </w:p>
        </w:tc>
        <w:tc>
          <w:tcPr>
            <w:tcW w:w="491" w:type="pct"/>
            <w:noWrap/>
            <w:vAlign w:val="center"/>
          </w:tcPr>
          <w:p w14:paraId="06CB23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61.23</w:t>
            </w:r>
          </w:p>
        </w:tc>
        <w:tc>
          <w:tcPr>
            <w:tcW w:w="424" w:type="pct"/>
            <w:noWrap/>
            <w:vAlign w:val="center"/>
          </w:tcPr>
          <w:p w14:paraId="6836B70F">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highlight w:val="none"/>
                <w:lang w:val="en-US" w:eastAsia="zh-CN" w:bidi="ar"/>
              </w:rPr>
            </w:pPr>
            <w:r>
              <w:rPr>
                <w:rFonts w:hint="eastAsia" w:ascii="Times New Roman" w:hAnsi="Times New Roman" w:eastAsia="宋体" w:cs="Times New Roman"/>
                <w:kern w:val="0"/>
                <w:sz w:val="21"/>
                <w:highlight w:val="none"/>
                <w:lang w:val="en-US" w:eastAsia="zh-CN" w:bidi="ar"/>
              </w:rPr>
              <w:t>达标</w:t>
            </w:r>
          </w:p>
        </w:tc>
      </w:tr>
    </w:tbl>
    <w:p w14:paraId="7AC01E10">
      <w:pPr>
        <w:ind w:left="0" w:leftChars="0" w:firstLine="0" w:firstLineChars="0"/>
        <w:rPr>
          <w:rFonts w:ascii="Times New Roman" w:hAnsi="Times New Roman"/>
          <w:color w:val="auto"/>
          <w:highlight w:val="none"/>
        </w:rPr>
      </w:pPr>
      <w:r>
        <w:rPr>
          <w:rFonts w:ascii="Times New Roman" w:hAnsi="Times New Roman"/>
          <w:color w:val="auto"/>
          <w:highlight w:val="none"/>
        </w:rPr>
        <w:t>注：叠加浓度=本项目PM</w:t>
      </w:r>
      <w:r>
        <w:rPr>
          <w:rFonts w:ascii="Times New Roman" w:hAnsi="Times New Roman"/>
          <w:color w:val="auto"/>
          <w:highlight w:val="none"/>
          <w:vertAlign w:val="subscript"/>
        </w:rPr>
        <w:t>10</w:t>
      </w:r>
      <w:r>
        <w:rPr>
          <w:rFonts w:ascii="Times New Roman" w:hAnsi="Times New Roman"/>
          <w:color w:val="auto"/>
          <w:highlight w:val="none"/>
        </w:rPr>
        <w:t>献浓度-区域削减污染源</w:t>
      </w:r>
      <w:r>
        <w:rPr>
          <w:rFonts w:ascii="Times New Roman" w:hAnsi="Times New Roman"/>
          <w:color w:val="auto"/>
          <w:sz w:val="21"/>
          <w:highlight w:val="none"/>
        </w:rPr>
        <w:t>+</w:t>
      </w:r>
      <w:r>
        <w:rPr>
          <w:rFonts w:hint="eastAsia" w:ascii="Times New Roman" w:hAnsi="Times New Roman"/>
          <w:color w:val="auto"/>
          <w:highlight w:val="none"/>
        </w:rPr>
        <w:t>拟在建</w:t>
      </w:r>
      <w:r>
        <w:rPr>
          <w:rFonts w:ascii="Times New Roman" w:hAnsi="Times New Roman"/>
          <w:color w:val="auto"/>
          <w:highlight w:val="none"/>
        </w:rPr>
        <w:t>污染源+背景浓度</w:t>
      </w:r>
    </w:p>
    <w:p w14:paraId="7B910D81">
      <w:pPr>
        <w:bidi w:val="0"/>
        <w:ind w:left="0" w:leftChars="0" w:firstLine="0" w:firstLineChars="0"/>
        <w:rPr>
          <w:rFonts w:ascii="Times New Roman" w:hAnsi="Times New Roman"/>
          <w:color w:val="auto"/>
          <w:highlight w:val="none"/>
        </w:rPr>
      </w:pPr>
      <w:r>
        <w:rPr>
          <w:highlight w:val="none"/>
        </w:rPr>
        <w:drawing>
          <wp:inline distT="0" distB="0" distL="114300" distR="114300">
            <wp:extent cx="5270500" cy="2502535"/>
            <wp:effectExtent l="0" t="0" r="6350" b="12065"/>
            <wp:docPr id="16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
                    <pic:cNvPicPr>
                      <a:picLocks noChangeAspect="1"/>
                    </pic:cNvPicPr>
                  </pic:nvPicPr>
                  <pic:blipFill>
                    <a:blip r:embed="rId45"/>
                    <a:stretch>
                      <a:fillRect/>
                    </a:stretch>
                  </pic:blipFill>
                  <pic:spPr>
                    <a:xfrm>
                      <a:off x="0" y="0"/>
                      <a:ext cx="5270500" cy="2502535"/>
                    </a:xfrm>
                    <a:prstGeom prst="rect">
                      <a:avLst/>
                    </a:prstGeom>
                    <a:noFill/>
                    <a:ln>
                      <a:noFill/>
                    </a:ln>
                  </pic:spPr>
                </pic:pic>
              </a:graphicData>
            </a:graphic>
          </wp:inline>
        </w:drawing>
      </w:r>
    </w:p>
    <w:p w14:paraId="4D568ECF">
      <w:pPr>
        <w:pStyle w:val="15"/>
        <w:ind w:left="0" w:leftChars="0" w:firstLine="0" w:firstLineChars="0"/>
        <w:jc w:val="center"/>
        <w:rPr>
          <w:rFonts w:cs="Times New Roman"/>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2-</w:t>
      </w:r>
      <w:r>
        <w:rPr>
          <w:rFonts w:hint="eastAsia" w:ascii="Times New Roman" w:hAnsi="Times New Roman"/>
          <w:color w:val="auto"/>
          <w:highlight w:val="none"/>
          <w:lang w:val="en-US" w:eastAsia="zh-CN"/>
        </w:rPr>
        <w:t>5</w:t>
      </w:r>
      <w:r>
        <w:rPr>
          <w:rFonts w:hint="eastAsia" w:ascii="黑体" w:hAnsi="黑体" w:eastAsia="黑体" w:cs="黑体"/>
          <w:color w:val="auto"/>
          <w:highlight w:val="none"/>
        </w:rPr>
        <w:t>本项目</w:t>
      </w:r>
      <w:r>
        <w:rPr>
          <w:rFonts w:ascii="Times New Roman" w:hAnsi="Times New Roman"/>
          <w:color w:val="auto"/>
          <w:highlight w:val="none"/>
        </w:rPr>
        <w:t>PM</w:t>
      </w:r>
      <w:r>
        <w:rPr>
          <w:rFonts w:ascii="Times New Roman" w:hAnsi="Times New Roman"/>
          <w:color w:val="auto"/>
          <w:highlight w:val="none"/>
          <w:vertAlign w:val="subscript"/>
        </w:rPr>
        <w:t>1</w:t>
      </w:r>
      <w:r>
        <w:rPr>
          <w:rFonts w:hint="eastAsia" w:ascii="Times New Roman" w:hAnsi="Times New Roman"/>
          <w:color w:val="auto"/>
          <w:highlight w:val="none"/>
          <w:vertAlign w:val="subscript"/>
          <w:lang w:val="en-US" w:eastAsia="zh-CN"/>
        </w:rPr>
        <w:t>0</w:t>
      </w:r>
      <w:r>
        <w:rPr>
          <w:rFonts w:hint="eastAsia" w:ascii="黑体" w:hAnsi="黑体" w:eastAsia="黑体" w:cs="黑体"/>
          <w:color w:val="auto"/>
          <w:highlight w:val="none"/>
        </w:rPr>
        <w:t>保证率日平均质量浓度分布图</w:t>
      </w:r>
      <w:r>
        <w:rPr>
          <w:rFonts w:hint="eastAsia" w:ascii="Times New Roman" w:hAnsi="Times New Roman"/>
          <w:color w:val="auto"/>
          <w:highlight w:val="none"/>
        </w:rPr>
        <w:t>（</w:t>
      </w:r>
      <w:r>
        <w:rPr>
          <w:rFonts w:hint="eastAsia" w:ascii="Times New Roman" w:hAnsi="Times New Roman"/>
          <w:color w:val="auto"/>
          <w:highlight w:val="none"/>
          <w:lang w:val="en-US" w:eastAsia="zh-CN"/>
        </w:rPr>
        <w:t>m</w:t>
      </w:r>
      <w:r>
        <w:rPr>
          <w:rFonts w:hint="eastAsia" w:ascii="Times New Roman" w:hAnsi="Times New Roman"/>
          <w:color w:val="auto"/>
          <w:highlight w:val="none"/>
        </w:rPr>
        <w:t>g/m</w:t>
      </w:r>
      <w:r>
        <w:rPr>
          <w:rFonts w:hint="eastAsia" w:ascii="Times New Roman" w:hAnsi="Times New Roman"/>
          <w:color w:val="auto"/>
          <w:highlight w:val="none"/>
          <w:vertAlign w:val="superscript"/>
        </w:rPr>
        <w:t>3</w:t>
      </w:r>
      <w:r>
        <w:rPr>
          <w:rFonts w:hint="eastAsia" w:ascii="Times New Roman" w:hAnsi="Times New Roman"/>
          <w:color w:val="auto"/>
          <w:highlight w:val="none"/>
        </w:rPr>
        <w:t>）</w:t>
      </w:r>
    </w:p>
    <w:p w14:paraId="5A704A37">
      <w:pPr>
        <w:pStyle w:val="15"/>
        <w:ind w:left="0" w:leftChars="0" w:firstLine="0" w:firstLineChars="0"/>
        <w:jc w:val="center"/>
        <w:rPr>
          <w:rFonts w:cs="Times New Roman"/>
          <w:color w:val="auto"/>
          <w:highlight w:val="none"/>
        </w:rPr>
      </w:pPr>
      <w:r>
        <w:rPr>
          <w:highlight w:val="none"/>
        </w:rPr>
        <w:drawing>
          <wp:inline distT="0" distB="0" distL="114300" distR="114300">
            <wp:extent cx="5270500" cy="2519045"/>
            <wp:effectExtent l="0" t="0" r="6350" b="14605"/>
            <wp:docPr id="16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7"/>
                    <pic:cNvPicPr>
                      <a:picLocks noChangeAspect="1"/>
                    </pic:cNvPicPr>
                  </pic:nvPicPr>
                  <pic:blipFill>
                    <a:blip r:embed="rId46"/>
                    <a:stretch>
                      <a:fillRect/>
                    </a:stretch>
                  </pic:blipFill>
                  <pic:spPr>
                    <a:xfrm>
                      <a:off x="0" y="0"/>
                      <a:ext cx="5270500" cy="2519045"/>
                    </a:xfrm>
                    <a:prstGeom prst="rect">
                      <a:avLst/>
                    </a:prstGeom>
                    <a:noFill/>
                    <a:ln>
                      <a:noFill/>
                    </a:ln>
                  </pic:spPr>
                </pic:pic>
              </a:graphicData>
            </a:graphic>
          </wp:inline>
        </w:drawing>
      </w:r>
    </w:p>
    <w:p w14:paraId="47927C9E">
      <w:pPr>
        <w:pStyle w:val="15"/>
        <w:ind w:left="0" w:leftChars="0" w:firstLine="0" w:firstLineChars="0"/>
        <w:jc w:val="center"/>
        <w:rPr>
          <w:color w:val="auto"/>
          <w:highlight w:val="none"/>
        </w:rPr>
      </w:pPr>
      <w:r>
        <w:rPr>
          <w:rFonts w:hint="eastAsia" w:ascii="黑体" w:hAnsi="黑体" w:eastAsia="黑体" w:cs="黑体"/>
          <w:color w:val="auto"/>
          <w:highlight w:val="none"/>
        </w:rPr>
        <w:t>图</w:t>
      </w:r>
      <w:r>
        <w:rPr>
          <w:rFonts w:hint="eastAsia" w:ascii="Times New Roman" w:hAnsi="Times New Roman"/>
          <w:color w:val="auto"/>
          <w:highlight w:val="none"/>
        </w:rPr>
        <w:t>5</w:t>
      </w:r>
      <w:r>
        <w:rPr>
          <w:rFonts w:hint="eastAsia" w:ascii="Times New Roman" w:hAnsi="Times New Roman"/>
          <w:color w:val="auto"/>
          <w:highlight w:val="none"/>
          <w:lang w:val="en-US" w:eastAsia="zh-CN"/>
        </w:rPr>
        <w:t>.</w:t>
      </w:r>
      <w:r>
        <w:rPr>
          <w:rFonts w:hint="eastAsia" w:ascii="Times New Roman" w:hAnsi="Times New Roman"/>
          <w:color w:val="auto"/>
          <w:highlight w:val="none"/>
        </w:rPr>
        <w:t xml:space="preserve">2-6 </w:t>
      </w:r>
      <w:r>
        <w:rPr>
          <w:rFonts w:hint="eastAsia" w:ascii="黑体" w:hAnsi="黑体" w:eastAsia="黑体" w:cs="黑体"/>
          <w:color w:val="auto"/>
          <w:highlight w:val="none"/>
        </w:rPr>
        <w:t>本项目</w:t>
      </w:r>
      <w:r>
        <w:rPr>
          <w:rFonts w:ascii="Times New Roman" w:hAnsi="Times New Roman"/>
          <w:color w:val="auto"/>
          <w:highlight w:val="none"/>
        </w:rPr>
        <w:t>PM</w:t>
      </w:r>
      <w:r>
        <w:rPr>
          <w:rFonts w:ascii="Times New Roman" w:hAnsi="Times New Roman"/>
          <w:color w:val="auto"/>
          <w:highlight w:val="none"/>
          <w:vertAlign w:val="subscript"/>
        </w:rPr>
        <w:t>1</w:t>
      </w:r>
      <w:r>
        <w:rPr>
          <w:rFonts w:hint="eastAsia" w:ascii="Times New Roman" w:hAnsi="Times New Roman"/>
          <w:color w:val="auto"/>
          <w:highlight w:val="none"/>
          <w:vertAlign w:val="subscript"/>
          <w:lang w:val="en-US" w:eastAsia="zh-CN"/>
        </w:rPr>
        <w:t>0</w:t>
      </w:r>
      <w:r>
        <w:rPr>
          <w:rFonts w:hint="eastAsia" w:ascii="黑体" w:hAnsi="黑体" w:eastAsia="黑体" w:cs="黑体"/>
          <w:color w:val="auto"/>
          <w:highlight w:val="none"/>
        </w:rPr>
        <w:t>年平均质量浓度分布图</w:t>
      </w:r>
      <w:r>
        <w:rPr>
          <w:rFonts w:cs="Times New Roman"/>
          <w:color w:val="auto"/>
          <w:highlight w:val="none"/>
        </w:rPr>
        <w:t>（</w:t>
      </w:r>
      <w:r>
        <w:rPr>
          <w:rFonts w:hint="eastAsia" w:ascii="Times New Roman" w:hAnsi="Times New Roman"/>
          <w:color w:val="auto"/>
          <w:highlight w:val="none"/>
          <w:lang w:val="en-US" w:eastAsia="zh-CN"/>
        </w:rPr>
        <w:t>mg/m</w:t>
      </w:r>
      <w:r>
        <w:rPr>
          <w:rFonts w:hint="eastAsia" w:ascii="Times New Roman" w:hAnsi="Times New Roman"/>
          <w:color w:val="auto"/>
          <w:highlight w:val="none"/>
          <w:vertAlign w:val="superscript"/>
          <w:lang w:val="en-US" w:eastAsia="zh-CN"/>
        </w:rPr>
        <w:t>3</w:t>
      </w:r>
      <w:r>
        <w:rPr>
          <w:rFonts w:cs="Times New Roman"/>
          <w:color w:val="auto"/>
          <w:highlight w:val="none"/>
        </w:rPr>
        <w:t>）</w:t>
      </w:r>
    </w:p>
    <w:p w14:paraId="5C4BC5C6">
      <w:pPr>
        <w:ind w:firstLine="480"/>
        <w:rPr>
          <w:rFonts w:ascii="Times New Roman" w:hAnsi="Times New Roman"/>
          <w:color w:val="auto"/>
          <w:highlight w:val="none"/>
        </w:rPr>
      </w:pPr>
      <w:r>
        <w:rPr>
          <w:rFonts w:ascii="Times New Roman" w:hAnsi="Times New Roman"/>
          <w:color w:val="auto"/>
          <w:highlight w:val="none"/>
        </w:rPr>
        <w:t>叠加后，污染物PM</w:t>
      </w:r>
      <w:r>
        <w:rPr>
          <w:rFonts w:ascii="Times New Roman" w:hAnsi="Times New Roman"/>
          <w:color w:val="auto"/>
          <w:highlight w:val="none"/>
          <w:vertAlign w:val="subscript"/>
        </w:rPr>
        <w:t>10</w:t>
      </w:r>
      <w:r>
        <w:rPr>
          <w:rFonts w:ascii="Times New Roman" w:hAnsi="Times New Roman"/>
          <w:color w:val="auto"/>
          <w:highlight w:val="none"/>
        </w:rPr>
        <w:t>保证率（95%）日平均质量浓度和年平均质量浓度均符合《环境空气质量标准》（GB3095-2012）及修改单中二级标准。</w:t>
      </w:r>
    </w:p>
    <w:p w14:paraId="62675766">
      <w:pPr>
        <w:ind w:firstLine="480"/>
        <w:rPr>
          <w:rFonts w:ascii="Times New Roman" w:hAnsi="Times New Roman"/>
          <w:color w:val="auto"/>
          <w:highlight w:val="none"/>
        </w:rPr>
      </w:pPr>
      <w:r>
        <w:rPr>
          <w:rFonts w:ascii="Times New Roman" w:hAnsi="Times New Roman"/>
          <w:color w:val="auto"/>
          <w:highlight w:val="none"/>
        </w:rPr>
        <w:t>3、非正常工况预测</w:t>
      </w:r>
    </w:p>
    <w:p w14:paraId="513B9A57">
      <w:pPr>
        <w:ind w:firstLine="480"/>
        <w:rPr>
          <w:rFonts w:ascii="Times New Roman" w:hAnsi="Times New Roman"/>
          <w:color w:val="auto"/>
          <w:highlight w:val="none"/>
        </w:rPr>
      </w:pPr>
      <w:r>
        <w:rPr>
          <w:rFonts w:ascii="Times New Roman" w:hAnsi="Times New Roman"/>
          <w:color w:val="auto"/>
          <w:highlight w:val="none"/>
        </w:rPr>
        <w:t>本项目非正常工况下贡献质量浓度预测结果表见表5.2-</w:t>
      </w:r>
      <w:r>
        <w:rPr>
          <w:rFonts w:hint="eastAsia" w:ascii="Times New Roman" w:hAnsi="Times New Roman"/>
          <w:color w:val="auto"/>
          <w:highlight w:val="none"/>
          <w:lang w:val="en-US" w:eastAsia="zh-CN"/>
        </w:rPr>
        <w:t>20</w:t>
      </w:r>
      <w:r>
        <w:rPr>
          <w:rFonts w:ascii="Times New Roman" w:hAnsi="Times New Roman"/>
          <w:color w:val="auto"/>
          <w:highlight w:val="none"/>
        </w:rPr>
        <w:t>。</w:t>
      </w:r>
    </w:p>
    <w:p w14:paraId="737A2FA1">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lang w:val="en-US" w:eastAsia="zh-CN"/>
        </w:rPr>
        <w:t>20</w:t>
      </w:r>
      <w:r>
        <w:rPr>
          <w:rFonts w:hint="eastAsia" w:ascii="黑体" w:hAnsi="黑体" w:eastAsia="黑体" w:cs="黑体"/>
          <w:color w:val="auto"/>
          <w:highlight w:val="none"/>
        </w:rPr>
        <w:t>非正常工况贡献质量浓度预测结果表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1756"/>
        <w:gridCol w:w="2344"/>
        <w:gridCol w:w="1470"/>
        <w:gridCol w:w="1553"/>
      </w:tblGrid>
      <w:tr w14:paraId="41122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19" w:type="pct"/>
            <w:noWrap w:val="0"/>
            <w:vAlign w:val="center"/>
          </w:tcPr>
          <w:p w14:paraId="622ACFFC">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污染物</w:t>
            </w:r>
          </w:p>
        </w:tc>
        <w:tc>
          <w:tcPr>
            <w:tcW w:w="1030" w:type="pct"/>
            <w:noWrap/>
            <w:vAlign w:val="center"/>
          </w:tcPr>
          <w:p w14:paraId="10AD0BBE">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浓度类型</w:t>
            </w:r>
          </w:p>
        </w:tc>
        <w:tc>
          <w:tcPr>
            <w:tcW w:w="1375" w:type="pct"/>
            <w:noWrap/>
            <w:vAlign w:val="center"/>
          </w:tcPr>
          <w:p w14:paraId="7A16E330">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浓度增量(μg/m</w:t>
            </w:r>
            <w:r>
              <w:rPr>
                <w:rFonts w:ascii="Times New Roman" w:hAnsi="Times New Roman"/>
                <w:color w:val="auto"/>
                <w:sz w:val="21"/>
                <w:szCs w:val="21"/>
                <w:highlight w:val="none"/>
                <w:vertAlign w:val="superscript"/>
              </w:rPr>
              <w:t>3</w:t>
            </w:r>
            <w:r>
              <w:rPr>
                <w:rFonts w:ascii="Times New Roman" w:hAnsi="Times New Roman"/>
                <w:color w:val="auto"/>
                <w:sz w:val="21"/>
                <w:szCs w:val="21"/>
                <w:highlight w:val="none"/>
              </w:rPr>
              <w:t>)</w:t>
            </w:r>
          </w:p>
        </w:tc>
        <w:tc>
          <w:tcPr>
            <w:tcW w:w="862" w:type="pct"/>
            <w:noWrap/>
            <w:vAlign w:val="center"/>
          </w:tcPr>
          <w:p w14:paraId="3FBD1A82">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占标率%</w:t>
            </w:r>
          </w:p>
        </w:tc>
        <w:tc>
          <w:tcPr>
            <w:tcW w:w="911" w:type="pct"/>
            <w:noWrap/>
            <w:vAlign w:val="center"/>
          </w:tcPr>
          <w:p w14:paraId="70667EEE">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是否超标</w:t>
            </w:r>
          </w:p>
        </w:tc>
      </w:tr>
      <w:tr w14:paraId="5B6CF1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19" w:type="pct"/>
            <w:noWrap w:val="0"/>
            <w:vAlign w:val="center"/>
          </w:tcPr>
          <w:p w14:paraId="1B93A5C3">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SO</w:t>
            </w:r>
            <w:r>
              <w:rPr>
                <w:rFonts w:ascii="Times New Roman" w:hAnsi="Times New Roman"/>
                <w:color w:val="auto"/>
                <w:sz w:val="21"/>
                <w:szCs w:val="21"/>
                <w:highlight w:val="none"/>
                <w:vertAlign w:val="subscript"/>
              </w:rPr>
              <w:t>2</w:t>
            </w:r>
          </w:p>
        </w:tc>
        <w:tc>
          <w:tcPr>
            <w:tcW w:w="1030" w:type="pct"/>
            <w:noWrap/>
            <w:vAlign w:val="center"/>
          </w:tcPr>
          <w:p w14:paraId="2F483D52">
            <w:pPr>
              <w:spacing w:line="240" w:lineRule="auto"/>
              <w:ind w:firstLine="0" w:firstLineChars="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24</w:t>
            </w:r>
            <w:r>
              <w:rPr>
                <w:rFonts w:ascii="Times New Roman" w:hAnsi="Times New Roman"/>
                <w:color w:val="auto"/>
                <w:sz w:val="21"/>
                <w:szCs w:val="21"/>
                <w:highlight w:val="none"/>
              </w:rPr>
              <w:t>小时</w:t>
            </w:r>
          </w:p>
        </w:tc>
        <w:tc>
          <w:tcPr>
            <w:tcW w:w="1375" w:type="pct"/>
            <w:noWrap/>
            <w:vAlign w:val="center"/>
          </w:tcPr>
          <w:p w14:paraId="3B8C642D">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33.7</w:t>
            </w:r>
          </w:p>
        </w:tc>
        <w:tc>
          <w:tcPr>
            <w:tcW w:w="862" w:type="pct"/>
            <w:noWrap/>
            <w:vAlign w:val="center"/>
          </w:tcPr>
          <w:p w14:paraId="4EC4FB98">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6.74</w:t>
            </w:r>
          </w:p>
        </w:tc>
        <w:tc>
          <w:tcPr>
            <w:tcW w:w="911" w:type="pct"/>
            <w:noWrap/>
            <w:vAlign w:val="center"/>
          </w:tcPr>
          <w:p w14:paraId="3A8764C2">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14:paraId="6A958D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19" w:type="pct"/>
            <w:noWrap w:val="0"/>
            <w:vAlign w:val="center"/>
          </w:tcPr>
          <w:p w14:paraId="467ADB46">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NO</w:t>
            </w:r>
            <w:r>
              <w:rPr>
                <w:rFonts w:ascii="Times New Roman" w:hAnsi="Times New Roman"/>
                <w:color w:val="auto"/>
                <w:sz w:val="21"/>
                <w:szCs w:val="21"/>
                <w:highlight w:val="none"/>
                <w:vertAlign w:val="subscript"/>
              </w:rPr>
              <w:t>2</w:t>
            </w:r>
          </w:p>
        </w:tc>
        <w:tc>
          <w:tcPr>
            <w:tcW w:w="1030" w:type="pct"/>
            <w:noWrap/>
            <w:vAlign w:val="center"/>
          </w:tcPr>
          <w:p w14:paraId="66C01C00">
            <w:pPr>
              <w:spacing w:line="240" w:lineRule="auto"/>
              <w:ind w:firstLine="0" w:firstLineChars="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24</w:t>
            </w:r>
            <w:r>
              <w:rPr>
                <w:rFonts w:ascii="Times New Roman" w:hAnsi="Times New Roman"/>
                <w:color w:val="auto"/>
                <w:sz w:val="21"/>
                <w:szCs w:val="21"/>
                <w:highlight w:val="none"/>
              </w:rPr>
              <w:t>小时</w:t>
            </w:r>
          </w:p>
        </w:tc>
        <w:tc>
          <w:tcPr>
            <w:tcW w:w="1375" w:type="pct"/>
            <w:noWrap/>
            <w:vAlign w:val="center"/>
          </w:tcPr>
          <w:p w14:paraId="431579D3">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37.5</w:t>
            </w:r>
          </w:p>
        </w:tc>
        <w:tc>
          <w:tcPr>
            <w:tcW w:w="862" w:type="pct"/>
            <w:noWrap/>
            <w:vAlign w:val="center"/>
          </w:tcPr>
          <w:p w14:paraId="2EE27C42">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15</w:t>
            </w:r>
          </w:p>
        </w:tc>
        <w:tc>
          <w:tcPr>
            <w:tcW w:w="911" w:type="pct"/>
            <w:noWrap/>
            <w:vAlign w:val="center"/>
          </w:tcPr>
          <w:p w14:paraId="31D4C9E0">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r w14:paraId="38CC52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19" w:type="pct"/>
            <w:noWrap w:val="0"/>
            <w:vAlign w:val="center"/>
          </w:tcPr>
          <w:p w14:paraId="047CE0AE">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PM</w:t>
            </w:r>
            <w:r>
              <w:rPr>
                <w:rFonts w:ascii="Times New Roman" w:hAnsi="Times New Roman"/>
                <w:color w:val="auto"/>
                <w:sz w:val="21"/>
                <w:szCs w:val="21"/>
                <w:highlight w:val="none"/>
                <w:vertAlign w:val="subscript"/>
              </w:rPr>
              <w:t>10</w:t>
            </w:r>
          </w:p>
        </w:tc>
        <w:tc>
          <w:tcPr>
            <w:tcW w:w="1030" w:type="pct"/>
            <w:noWrap/>
            <w:vAlign w:val="center"/>
          </w:tcPr>
          <w:p w14:paraId="6BCBA1CA">
            <w:pPr>
              <w:spacing w:line="240" w:lineRule="auto"/>
              <w:ind w:firstLine="0" w:firstLineChars="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24</w:t>
            </w:r>
            <w:r>
              <w:rPr>
                <w:rFonts w:ascii="Times New Roman" w:hAnsi="Times New Roman"/>
                <w:color w:val="auto"/>
                <w:sz w:val="21"/>
                <w:szCs w:val="21"/>
                <w:highlight w:val="none"/>
              </w:rPr>
              <w:t>小时</w:t>
            </w:r>
          </w:p>
        </w:tc>
        <w:tc>
          <w:tcPr>
            <w:tcW w:w="1375" w:type="pct"/>
            <w:noWrap/>
            <w:vAlign w:val="center"/>
          </w:tcPr>
          <w:p w14:paraId="5446FBE0">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13.3</w:t>
            </w:r>
          </w:p>
        </w:tc>
        <w:tc>
          <w:tcPr>
            <w:tcW w:w="862" w:type="pct"/>
            <w:noWrap/>
            <w:vAlign w:val="center"/>
          </w:tcPr>
          <w:p w14:paraId="2890FCD3">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2.95</w:t>
            </w:r>
          </w:p>
        </w:tc>
        <w:tc>
          <w:tcPr>
            <w:tcW w:w="911" w:type="pct"/>
            <w:noWrap/>
            <w:vAlign w:val="center"/>
          </w:tcPr>
          <w:p w14:paraId="1D4414ED">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达标</w:t>
            </w:r>
          </w:p>
        </w:tc>
      </w:tr>
    </w:tbl>
    <w:p w14:paraId="54DFEFF9">
      <w:pPr>
        <w:ind w:firstLine="480"/>
        <w:rPr>
          <w:rFonts w:ascii="Times New Roman" w:hAnsi="Times New Roman"/>
          <w:color w:val="auto"/>
          <w:highlight w:val="none"/>
        </w:rPr>
      </w:pPr>
      <w:r>
        <w:rPr>
          <w:rFonts w:ascii="Times New Roman" w:hAnsi="Times New Roman"/>
          <w:color w:val="auto"/>
          <w:highlight w:val="none"/>
        </w:rPr>
        <w:t>由表5.2-</w:t>
      </w:r>
      <w:r>
        <w:rPr>
          <w:rFonts w:hint="eastAsia" w:ascii="Times New Roman" w:hAnsi="Times New Roman"/>
          <w:color w:val="auto"/>
          <w:highlight w:val="none"/>
          <w:lang w:val="en-US" w:eastAsia="zh-CN"/>
        </w:rPr>
        <w:t>20</w:t>
      </w:r>
      <w:r>
        <w:rPr>
          <w:rFonts w:ascii="Times New Roman" w:hAnsi="Times New Roman"/>
          <w:color w:val="auto"/>
          <w:highlight w:val="none"/>
        </w:rPr>
        <w:t>可知，在除尘器布袋破损、脱硫塔设备故障及脱硝系统不能投运的非正常工况下，污染物区域最大浓度点标贡献浓度占标率均小于100%，可以达到《环境空气质量标准》（GB3095-2012）及修改单中限值要求。要求企业也应时刻关注环保设施的运行状况，避免非正常工况的发生。</w:t>
      </w:r>
    </w:p>
    <w:p w14:paraId="0045779E">
      <w:pPr>
        <w:ind w:firstLine="480"/>
        <w:rPr>
          <w:rFonts w:ascii="Times New Roman" w:hAnsi="Times New Roman"/>
          <w:color w:val="auto"/>
          <w:highlight w:val="none"/>
        </w:rPr>
      </w:pPr>
      <w:r>
        <w:rPr>
          <w:rFonts w:ascii="Times New Roman" w:hAnsi="Times New Roman"/>
          <w:color w:val="auto"/>
          <w:highlight w:val="none"/>
        </w:rPr>
        <w:t>4、大气环境防护距离</w:t>
      </w:r>
    </w:p>
    <w:p w14:paraId="7649DB19">
      <w:pPr>
        <w:ind w:firstLine="480"/>
        <w:rPr>
          <w:rFonts w:ascii="Times New Roman" w:hAnsi="Times New Roman"/>
          <w:color w:val="auto"/>
          <w:highlight w:val="none"/>
        </w:rPr>
      </w:pPr>
      <w:r>
        <w:rPr>
          <w:rFonts w:ascii="Times New Roman" w:hAnsi="Times New Roman"/>
          <w:color w:val="auto"/>
          <w:highlight w:val="none"/>
        </w:rPr>
        <w:t>根据《环境影响评价技术导则 大气环境》(HJ2.2-2018)，采用其中规定的进一步预测模型计算</w:t>
      </w:r>
      <w:r>
        <w:rPr>
          <w:rFonts w:hint="eastAsia" w:ascii="Times New Roman" w:hAnsi="Times New Roman"/>
          <w:color w:val="auto"/>
          <w:highlight w:val="none"/>
        </w:rPr>
        <w:t>全厂</w:t>
      </w:r>
      <w:r>
        <w:rPr>
          <w:rFonts w:ascii="Times New Roman" w:hAnsi="Times New Roman"/>
          <w:color w:val="auto"/>
          <w:highlight w:val="none"/>
        </w:rPr>
        <w:t>所有污染源短期贡献浓度，</w:t>
      </w:r>
      <w:r>
        <w:rPr>
          <w:rFonts w:hint="eastAsia" w:ascii="Times New Roman" w:hAnsi="Times New Roman"/>
          <w:color w:val="auto"/>
          <w:highlight w:val="none"/>
          <w:lang w:val="en-US" w:eastAsia="zh-CN"/>
        </w:rPr>
        <w:t>通过软件</w:t>
      </w:r>
      <w:r>
        <w:rPr>
          <w:rFonts w:ascii="Times New Roman" w:hAnsi="Times New Roman"/>
          <w:color w:val="auto"/>
          <w:highlight w:val="none"/>
        </w:rPr>
        <w:t>计算结果表明，本项目所有污染源短期贡献浓度无超标点，不需设置大气环境防护距离。</w:t>
      </w:r>
    </w:p>
    <w:p w14:paraId="624C6108">
      <w:pPr>
        <w:ind w:firstLine="480"/>
        <w:rPr>
          <w:rFonts w:ascii="Times New Roman" w:hAnsi="Times New Roman"/>
          <w:color w:val="auto"/>
          <w:highlight w:val="none"/>
        </w:rPr>
      </w:pPr>
      <w:r>
        <w:rPr>
          <w:rFonts w:ascii="Times New Roman" w:hAnsi="Times New Roman"/>
          <w:color w:val="auto"/>
          <w:highlight w:val="none"/>
        </w:rPr>
        <w:t>5、氨逃逸环境影响分析</w:t>
      </w:r>
    </w:p>
    <w:p w14:paraId="0D421D20">
      <w:pPr>
        <w:ind w:firstLine="480"/>
        <w:rPr>
          <w:rFonts w:ascii="Times New Roman" w:hAnsi="Times New Roman"/>
          <w:color w:val="auto"/>
          <w:highlight w:val="none"/>
        </w:rPr>
      </w:pPr>
      <w:r>
        <w:rPr>
          <w:rFonts w:ascii="Times New Roman" w:hAnsi="Times New Roman"/>
          <w:color w:val="auto"/>
          <w:highlight w:val="none"/>
        </w:rPr>
        <w:t>根据《火电厂脱硝工程技术规范选择性催化还原法》要求脱硝系统氨逃逸质量浓度应分别控制在2.5mg/m</w:t>
      </w:r>
      <w:r>
        <w:rPr>
          <w:rFonts w:ascii="Times New Roman" w:hAnsi="Times New Roman"/>
          <w:color w:val="auto"/>
          <w:highlight w:val="none"/>
          <w:vertAlign w:val="superscript"/>
        </w:rPr>
        <w:t>3</w:t>
      </w:r>
      <w:r>
        <w:rPr>
          <w:rFonts w:ascii="Times New Roman" w:hAnsi="Times New Roman"/>
          <w:color w:val="auto"/>
          <w:highlight w:val="none"/>
        </w:rPr>
        <w:t>以下，可保证厂界氨的浓度可以满足《恶臭污染物排放标准》（GB14554-93）中厂界标准二级（新扩改建）限值1.5mg/m</w:t>
      </w:r>
      <w:r>
        <w:rPr>
          <w:rFonts w:ascii="Times New Roman" w:hAnsi="Times New Roman"/>
          <w:color w:val="auto"/>
          <w:highlight w:val="none"/>
          <w:vertAlign w:val="superscript"/>
        </w:rPr>
        <w:t>3</w:t>
      </w:r>
      <w:r>
        <w:rPr>
          <w:rFonts w:ascii="Times New Roman" w:hAnsi="Times New Roman"/>
          <w:color w:val="auto"/>
          <w:highlight w:val="none"/>
        </w:rPr>
        <w:t>的要求，因此本项目产生的氨逃逸不会对周围环境产生影响。</w:t>
      </w:r>
    </w:p>
    <w:p w14:paraId="01285A15">
      <w:pPr>
        <w:ind w:firstLine="480"/>
        <w:rPr>
          <w:rFonts w:ascii="Times New Roman" w:hAnsi="Times New Roman"/>
          <w:color w:val="auto"/>
          <w:highlight w:val="none"/>
        </w:rPr>
      </w:pPr>
      <w:r>
        <w:rPr>
          <w:rFonts w:ascii="Times New Roman" w:hAnsi="Times New Roman"/>
          <w:color w:val="auto"/>
          <w:highlight w:val="none"/>
        </w:rPr>
        <w:t>6、区域环境质量变化评价</w:t>
      </w:r>
    </w:p>
    <w:p w14:paraId="5E5CD186">
      <w:pPr>
        <w:ind w:firstLine="480"/>
        <w:rPr>
          <w:rFonts w:ascii="Times New Roman" w:hAnsi="Times New Roman"/>
          <w:color w:val="auto"/>
          <w:highlight w:val="none"/>
        </w:rPr>
      </w:pPr>
      <w:r>
        <w:rPr>
          <w:rFonts w:ascii="Times New Roman" w:hAnsi="Times New Roman"/>
          <w:color w:val="auto"/>
          <w:highlight w:val="none"/>
        </w:rPr>
        <w:t>本项目</w:t>
      </w:r>
      <w:r>
        <w:rPr>
          <w:rFonts w:hint="eastAsia" w:ascii="Times New Roman" w:hAnsi="Times New Roman"/>
          <w:color w:val="auto"/>
          <w:highlight w:val="none"/>
          <w:lang w:val="en-US" w:eastAsia="zh-CN"/>
        </w:rPr>
        <w:t>无</w:t>
      </w:r>
      <w:r>
        <w:rPr>
          <w:rFonts w:ascii="Times New Roman" w:hAnsi="Times New Roman"/>
          <w:color w:val="auto"/>
          <w:highlight w:val="none"/>
        </w:rPr>
        <w:t>区域削减</w:t>
      </w:r>
      <w:r>
        <w:rPr>
          <w:rFonts w:hint="eastAsia" w:ascii="Times New Roman" w:hAnsi="Times New Roman"/>
          <w:color w:val="auto"/>
          <w:highlight w:val="none"/>
          <w:lang w:val="en-US" w:eastAsia="zh-CN"/>
        </w:rPr>
        <w:t>污染源</w:t>
      </w:r>
      <w:r>
        <w:rPr>
          <w:rFonts w:ascii="Times New Roman" w:hAnsi="Times New Roman"/>
          <w:color w:val="auto"/>
          <w:highlight w:val="none"/>
        </w:rPr>
        <w:t>。</w:t>
      </w:r>
      <w:r>
        <w:rPr>
          <w:rFonts w:hint="eastAsia" w:ascii="Times New Roman" w:hAnsi="Times New Roman"/>
          <w:color w:val="auto"/>
          <w:highlight w:val="none"/>
          <w:lang w:val="en-US" w:eastAsia="zh-CN"/>
        </w:rPr>
        <w:t>本项目已执行超低排放改造</w:t>
      </w:r>
      <w:r>
        <w:rPr>
          <w:rFonts w:ascii="Times New Roman" w:hAnsi="Times New Roman"/>
          <w:color w:val="auto"/>
          <w:highlight w:val="none"/>
        </w:rPr>
        <w:t>，可判定项目建设后区域环境质量得到整体改善。</w:t>
      </w:r>
    </w:p>
    <w:p w14:paraId="4D94DA2B">
      <w:pPr>
        <w:ind w:firstLine="480"/>
        <w:rPr>
          <w:rFonts w:ascii="Times New Roman" w:hAnsi="Times New Roman"/>
          <w:color w:val="auto"/>
          <w:highlight w:val="none"/>
        </w:rPr>
      </w:pPr>
      <w:r>
        <w:rPr>
          <w:rFonts w:ascii="Times New Roman" w:hAnsi="Times New Roman"/>
          <w:color w:val="auto"/>
          <w:highlight w:val="none"/>
        </w:rPr>
        <w:t>三、污染物排放量核算</w:t>
      </w:r>
    </w:p>
    <w:p w14:paraId="532AF9F0">
      <w:pPr>
        <w:ind w:firstLine="480"/>
        <w:rPr>
          <w:rFonts w:ascii="Times New Roman" w:hAnsi="Times New Roman"/>
          <w:color w:val="auto"/>
          <w:highlight w:val="none"/>
        </w:rPr>
      </w:pPr>
      <w:r>
        <w:rPr>
          <w:rFonts w:ascii="Times New Roman" w:hAnsi="Times New Roman"/>
          <w:color w:val="auto"/>
          <w:highlight w:val="none"/>
        </w:rPr>
        <w:t>本项目污染物排放量核算情况见表5.2-</w:t>
      </w:r>
      <w:r>
        <w:rPr>
          <w:rFonts w:hint="eastAsia" w:ascii="Times New Roman" w:hAnsi="Times New Roman"/>
          <w:color w:val="auto"/>
          <w:highlight w:val="none"/>
        </w:rPr>
        <w:t>2</w:t>
      </w:r>
      <w:r>
        <w:rPr>
          <w:rFonts w:hint="eastAsia" w:ascii="Times New Roman" w:hAnsi="Times New Roman"/>
          <w:color w:val="auto"/>
          <w:highlight w:val="none"/>
          <w:lang w:val="en-US" w:eastAsia="zh-CN"/>
        </w:rPr>
        <w:t>1</w:t>
      </w:r>
      <w:r>
        <w:rPr>
          <w:rFonts w:ascii="Times New Roman" w:hAnsi="Times New Roman"/>
          <w:color w:val="auto"/>
          <w:highlight w:val="none"/>
        </w:rPr>
        <w:t>至表5.2-</w:t>
      </w:r>
      <w:r>
        <w:rPr>
          <w:rFonts w:hint="eastAsia" w:ascii="Times New Roman" w:hAnsi="Times New Roman"/>
          <w:color w:val="auto"/>
          <w:highlight w:val="none"/>
        </w:rPr>
        <w:t>2</w:t>
      </w:r>
      <w:r>
        <w:rPr>
          <w:rFonts w:hint="eastAsia" w:ascii="Times New Roman" w:hAnsi="Times New Roman"/>
          <w:color w:val="auto"/>
          <w:highlight w:val="none"/>
          <w:lang w:val="en-US" w:eastAsia="zh-CN"/>
        </w:rPr>
        <w:t>3</w:t>
      </w:r>
      <w:r>
        <w:rPr>
          <w:rFonts w:hint="eastAsia" w:ascii="Times New Roman" w:hAnsi="Times New Roman"/>
          <w:color w:val="auto"/>
          <w:highlight w:val="none"/>
        </w:rPr>
        <w:t>。</w:t>
      </w:r>
    </w:p>
    <w:p w14:paraId="67ED8E55">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rPr>
        <w:t>2</w:t>
      </w:r>
      <w:r>
        <w:rPr>
          <w:rFonts w:hint="eastAsia" w:ascii="Times New Roman" w:hAnsi="Times New Roman"/>
          <w:color w:val="auto"/>
          <w:highlight w:val="none"/>
          <w:lang w:val="en-US" w:eastAsia="zh-CN"/>
        </w:rPr>
        <w:t>1</w:t>
      </w:r>
      <w:r>
        <w:rPr>
          <w:rFonts w:hint="eastAsia" w:ascii="黑体" w:hAnsi="黑体" w:eastAsia="黑体" w:cs="黑体"/>
          <w:color w:val="auto"/>
          <w:highlight w:val="none"/>
        </w:rPr>
        <w:t>本项目大气污染物有组织排放量核算表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1"/>
        <w:gridCol w:w="2083"/>
        <w:gridCol w:w="1251"/>
        <w:gridCol w:w="1421"/>
        <w:gridCol w:w="1421"/>
        <w:gridCol w:w="1415"/>
      </w:tblGrid>
      <w:tr w14:paraId="417687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3CBFA8D4">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序号</w:t>
            </w:r>
          </w:p>
        </w:tc>
        <w:tc>
          <w:tcPr>
            <w:tcW w:w="1222" w:type="pct"/>
            <w:noWrap w:val="0"/>
            <w:vAlign w:val="center"/>
          </w:tcPr>
          <w:p w14:paraId="46AA8C79">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排放口编号</w:t>
            </w:r>
          </w:p>
        </w:tc>
        <w:tc>
          <w:tcPr>
            <w:tcW w:w="734" w:type="pct"/>
            <w:noWrap w:val="0"/>
            <w:vAlign w:val="center"/>
          </w:tcPr>
          <w:p w14:paraId="73C36368">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污染物</w:t>
            </w:r>
          </w:p>
        </w:tc>
        <w:tc>
          <w:tcPr>
            <w:tcW w:w="834" w:type="pct"/>
            <w:noWrap w:val="0"/>
            <w:vAlign w:val="center"/>
          </w:tcPr>
          <w:p w14:paraId="6509E535">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核算排放浓度/（mg/m</w:t>
            </w:r>
            <w:r>
              <w:rPr>
                <w:rFonts w:ascii="Times New Roman" w:hAnsi="Times New Roman"/>
                <w:bCs/>
                <w:color w:val="auto"/>
                <w:kern w:val="0"/>
                <w:sz w:val="21"/>
                <w:szCs w:val="21"/>
                <w:highlight w:val="none"/>
                <w:vertAlign w:val="superscript"/>
              </w:rPr>
              <w:t>3</w:t>
            </w:r>
            <w:r>
              <w:rPr>
                <w:rFonts w:ascii="Times New Roman" w:hAnsi="Times New Roman"/>
                <w:bCs/>
                <w:color w:val="auto"/>
                <w:kern w:val="0"/>
                <w:sz w:val="21"/>
                <w:szCs w:val="21"/>
                <w:highlight w:val="none"/>
              </w:rPr>
              <w:t>）</w:t>
            </w:r>
          </w:p>
        </w:tc>
        <w:tc>
          <w:tcPr>
            <w:tcW w:w="834" w:type="pct"/>
            <w:noWrap w:val="0"/>
            <w:vAlign w:val="center"/>
          </w:tcPr>
          <w:p w14:paraId="24034ECA">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核算排放速率/（kg/h）</w:t>
            </w:r>
          </w:p>
        </w:tc>
        <w:tc>
          <w:tcPr>
            <w:tcW w:w="830" w:type="pct"/>
            <w:noWrap w:val="0"/>
            <w:vAlign w:val="center"/>
          </w:tcPr>
          <w:p w14:paraId="6D7A6A65">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核算年排放量/（t/a）</w:t>
            </w:r>
          </w:p>
        </w:tc>
      </w:tr>
      <w:tr w14:paraId="682D0A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noWrap w:val="0"/>
            <w:vAlign w:val="center"/>
          </w:tcPr>
          <w:p w14:paraId="4ACAEF9F">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主要排放口</w:t>
            </w:r>
          </w:p>
        </w:tc>
      </w:tr>
      <w:tr w14:paraId="5C3337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6" w:type="pct"/>
            <w:noWrap w:val="0"/>
            <w:vAlign w:val="center"/>
          </w:tcPr>
          <w:p w14:paraId="56E0390A">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1</w:t>
            </w:r>
          </w:p>
        </w:tc>
        <w:tc>
          <w:tcPr>
            <w:tcW w:w="1222" w:type="pct"/>
            <w:vMerge w:val="restart"/>
            <w:noWrap w:val="0"/>
            <w:vAlign w:val="center"/>
          </w:tcPr>
          <w:p w14:paraId="1D646605">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DA00</w:t>
            </w:r>
            <w:r>
              <w:rPr>
                <w:rFonts w:hint="eastAsia" w:ascii="Times New Roman" w:hAnsi="Times New Roman"/>
                <w:bCs/>
                <w:color w:val="auto"/>
                <w:kern w:val="0"/>
                <w:sz w:val="21"/>
                <w:szCs w:val="21"/>
                <w:highlight w:val="none"/>
                <w:lang w:val="en-US" w:eastAsia="zh-CN"/>
              </w:rPr>
              <w:t>1</w:t>
            </w:r>
            <w:r>
              <w:rPr>
                <w:rFonts w:ascii="Times New Roman" w:hAnsi="Times New Roman"/>
                <w:bCs/>
                <w:color w:val="auto"/>
                <w:kern w:val="0"/>
                <w:sz w:val="21"/>
                <w:szCs w:val="21"/>
                <w:highlight w:val="none"/>
              </w:rPr>
              <w:t>（烟囱）</w:t>
            </w:r>
          </w:p>
        </w:tc>
        <w:tc>
          <w:tcPr>
            <w:tcW w:w="734" w:type="pct"/>
            <w:noWrap w:val="0"/>
            <w:vAlign w:val="center"/>
          </w:tcPr>
          <w:p w14:paraId="51AE1166">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烟尘</w:t>
            </w:r>
          </w:p>
        </w:tc>
        <w:tc>
          <w:tcPr>
            <w:tcW w:w="834" w:type="pct"/>
            <w:noWrap w:val="0"/>
            <w:vAlign w:val="center"/>
          </w:tcPr>
          <w:p w14:paraId="487EB650">
            <w:pPr>
              <w:spacing w:line="240" w:lineRule="auto"/>
              <w:ind w:firstLine="0" w:firstLineChars="0"/>
              <w:jc w:val="center"/>
              <w:rPr>
                <w:rFonts w:ascii="Times New Roman" w:hAnsi="Times New Roman"/>
                <w:color w:val="auto"/>
                <w:kern w:val="0"/>
                <w:sz w:val="21"/>
                <w:szCs w:val="21"/>
                <w:highlight w:val="none"/>
              </w:rPr>
            </w:pPr>
            <w:r>
              <w:rPr>
                <w:rFonts w:hint="eastAsia" w:ascii="Times New Roman" w:hAnsi="Times New Roman"/>
                <w:color w:val="auto"/>
                <w:sz w:val="21"/>
                <w:szCs w:val="21"/>
                <w:highlight w:val="none"/>
              </w:rPr>
              <w:t>10</w:t>
            </w:r>
          </w:p>
        </w:tc>
        <w:tc>
          <w:tcPr>
            <w:tcW w:w="1421" w:type="dxa"/>
            <w:noWrap w:val="0"/>
            <w:vAlign w:val="center"/>
          </w:tcPr>
          <w:p w14:paraId="03A9EF8F">
            <w:pPr>
              <w:adjustRightInd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1.57</w:t>
            </w:r>
          </w:p>
        </w:tc>
        <w:tc>
          <w:tcPr>
            <w:tcW w:w="830" w:type="pct"/>
            <w:noWrap w:val="0"/>
            <w:vAlign w:val="center"/>
          </w:tcPr>
          <w:p w14:paraId="1A9DF607">
            <w:pPr>
              <w:adjustRightInd w:val="0"/>
              <w:spacing w:line="240" w:lineRule="auto"/>
              <w:ind w:firstLine="0" w:firstLineChars="0"/>
              <w:jc w:val="center"/>
              <w:textAlignment w:val="center"/>
              <w:rPr>
                <w:rFonts w:hint="default" w:ascii="Times New Roman" w:hAnsi="Times New Roman" w:eastAsia="宋体"/>
                <w:bCs/>
                <w:color w:val="auto"/>
                <w:kern w:val="0"/>
                <w:sz w:val="21"/>
                <w:szCs w:val="21"/>
                <w:highlight w:val="none"/>
                <w:lang w:val="en-US" w:eastAsia="zh-CN"/>
              </w:rPr>
            </w:pPr>
            <w:r>
              <w:rPr>
                <w:rFonts w:hint="eastAsia" w:ascii="Times New Roman" w:hAnsi="Times New Roman"/>
                <w:color w:val="auto"/>
                <w:sz w:val="21"/>
                <w:szCs w:val="21"/>
                <w:highlight w:val="none"/>
                <w:lang w:val="en-US" w:eastAsia="zh-CN"/>
              </w:rPr>
              <w:t>7.902</w:t>
            </w:r>
          </w:p>
        </w:tc>
      </w:tr>
      <w:tr w14:paraId="26AC04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00B48689">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2</w:t>
            </w:r>
          </w:p>
        </w:tc>
        <w:tc>
          <w:tcPr>
            <w:tcW w:w="1222" w:type="pct"/>
            <w:vMerge w:val="continue"/>
            <w:noWrap w:val="0"/>
            <w:vAlign w:val="center"/>
          </w:tcPr>
          <w:p w14:paraId="2AA1468C">
            <w:pPr>
              <w:adjustRightInd w:val="0"/>
              <w:snapToGrid w:val="0"/>
              <w:spacing w:line="240" w:lineRule="auto"/>
              <w:ind w:firstLine="0" w:firstLineChars="0"/>
              <w:jc w:val="center"/>
              <w:rPr>
                <w:rFonts w:ascii="Times New Roman" w:hAnsi="Times New Roman"/>
                <w:bCs/>
                <w:color w:val="auto"/>
                <w:kern w:val="0"/>
                <w:sz w:val="21"/>
                <w:szCs w:val="21"/>
                <w:highlight w:val="none"/>
              </w:rPr>
            </w:pPr>
          </w:p>
        </w:tc>
        <w:tc>
          <w:tcPr>
            <w:tcW w:w="734" w:type="pct"/>
            <w:noWrap w:val="0"/>
            <w:vAlign w:val="center"/>
          </w:tcPr>
          <w:p w14:paraId="63265426">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SO</w:t>
            </w:r>
            <w:r>
              <w:rPr>
                <w:rFonts w:ascii="Times New Roman" w:hAnsi="Times New Roman"/>
                <w:bCs/>
                <w:color w:val="auto"/>
                <w:kern w:val="0"/>
                <w:sz w:val="21"/>
                <w:szCs w:val="21"/>
                <w:highlight w:val="none"/>
                <w:vertAlign w:val="subscript"/>
              </w:rPr>
              <w:t>2</w:t>
            </w:r>
          </w:p>
        </w:tc>
        <w:tc>
          <w:tcPr>
            <w:tcW w:w="834" w:type="pct"/>
            <w:noWrap w:val="0"/>
            <w:vAlign w:val="center"/>
          </w:tcPr>
          <w:p w14:paraId="655FD96E">
            <w:pPr>
              <w:spacing w:line="240" w:lineRule="auto"/>
              <w:ind w:firstLine="0" w:firstLineChars="0"/>
              <w:jc w:val="center"/>
              <w:rPr>
                <w:rFonts w:ascii="Times New Roman" w:hAnsi="Times New Roman"/>
                <w:color w:val="auto"/>
                <w:kern w:val="0"/>
                <w:sz w:val="21"/>
                <w:szCs w:val="21"/>
                <w:highlight w:val="none"/>
              </w:rPr>
            </w:pPr>
            <w:r>
              <w:rPr>
                <w:rFonts w:hint="eastAsia" w:ascii="Times New Roman" w:hAnsi="Times New Roman"/>
                <w:color w:val="auto"/>
                <w:kern w:val="0"/>
                <w:sz w:val="21"/>
                <w:szCs w:val="21"/>
                <w:highlight w:val="none"/>
              </w:rPr>
              <w:t>35</w:t>
            </w:r>
          </w:p>
        </w:tc>
        <w:tc>
          <w:tcPr>
            <w:tcW w:w="1421" w:type="dxa"/>
            <w:noWrap w:val="0"/>
            <w:vAlign w:val="center"/>
          </w:tcPr>
          <w:p w14:paraId="4209D758">
            <w:pPr>
              <w:adjustRightInd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5.49</w:t>
            </w:r>
          </w:p>
        </w:tc>
        <w:tc>
          <w:tcPr>
            <w:tcW w:w="830" w:type="pct"/>
            <w:noWrap w:val="0"/>
            <w:vAlign w:val="center"/>
          </w:tcPr>
          <w:p w14:paraId="2C911666">
            <w:pPr>
              <w:adjustRightInd w:val="0"/>
              <w:spacing w:line="240" w:lineRule="auto"/>
              <w:ind w:firstLine="0" w:firstLineChars="0"/>
              <w:jc w:val="center"/>
              <w:textAlignment w:val="center"/>
              <w:rPr>
                <w:rFonts w:hint="default" w:ascii="Times New Roman" w:hAnsi="Times New Roman" w:eastAsia="宋体"/>
                <w:bCs/>
                <w:color w:val="auto"/>
                <w:kern w:val="0"/>
                <w:sz w:val="21"/>
                <w:szCs w:val="21"/>
                <w:highlight w:val="none"/>
                <w:lang w:val="en-US" w:eastAsia="zh-CN"/>
              </w:rPr>
            </w:pPr>
            <w:r>
              <w:rPr>
                <w:rFonts w:hint="eastAsia" w:ascii="Times New Roman" w:hAnsi="Times New Roman" w:eastAsia="黑体"/>
                <w:color w:val="auto"/>
                <w:kern w:val="0"/>
                <w:sz w:val="21"/>
                <w:szCs w:val="21"/>
                <w:highlight w:val="none"/>
                <w:lang w:val="en-US" w:eastAsia="zh-CN"/>
              </w:rPr>
              <w:t>27.658</w:t>
            </w:r>
          </w:p>
        </w:tc>
      </w:tr>
      <w:tr w14:paraId="0BD42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7CF4B78F">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3</w:t>
            </w:r>
          </w:p>
        </w:tc>
        <w:tc>
          <w:tcPr>
            <w:tcW w:w="1222" w:type="pct"/>
            <w:vMerge w:val="continue"/>
            <w:noWrap w:val="0"/>
            <w:vAlign w:val="center"/>
          </w:tcPr>
          <w:p w14:paraId="1B39096E">
            <w:pPr>
              <w:adjustRightInd w:val="0"/>
              <w:snapToGrid w:val="0"/>
              <w:spacing w:line="240" w:lineRule="auto"/>
              <w:ind w:firstLine="0" w:firstLineChars="0"/>
              <w:jc w:val="center"/>
              <w:rPr>
                <w:rFonts w:ascii="Times New Roman" w:hAnsi="Times New Roman"/>
                <w:bCs/>
                <w:color w:val="auto"/>
                <w:kern w:val="0"/>
                <w:sz w:val="21"/>
                <w:szCs w:val="21"/>
                <w:highlight w:val="none"/>
              </w:rPr>
            </w:pPr>
          </w:p>
        </w:tc>
        <w:tc>
          <w:tcPr>
            <w:tcW w:w="734" w:type="pct"/>
            <w:noWrap w:val="0"/>
            <w:vAlign w:val="center"/>
          </w:tcPr>
          <w:p w14:paraId="58DB14B4">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NOx</w:t>
            </w:r>
          </w:p>
        </w:tc>
        <w:tc>
          <w:tcPr>
            <w:tcW w:w="834" w:type="pct"/>
            <w:noWrap w:val="0"/>
            <w:vAlign w:val="center"/>
          </w:tcPr>
          <w:p w14:paraId="1AEACA61">
            <w:pPr>
              <w:spacing w:line="240" w:lineRule="auto"/>
              <w:ind w:firstLine="0" w:firstLineChars="0"/>
              <w:jc w:val="center"/>
              <w:rPr>
                <w:rFonts w:ascii="Times New Roman" w:hAnsi="Times New Roman"/>
                <w:color w:val="auto"/>
                <w:kern w:val="0"/>
                <w:sz w:val="21"/>
                <w:szCs w:val="21"/>
                <w:highlight w:val="none"/>
              </w:rPr>
            </w:pPr>
            <w:r>
              <w:rPr>
                <w:rFonts w:hint="eastAsia" w:ascii="Times New Roman" w:hAnsi="Times New Roman"/>
                <w:color w:val="auto"/>
                <w:sz w:val="21"/>
                <w:szCs w:val="21"/>
                <w:highlight w:val="none"/>
              </w:rPr>
              <w:t>50</w:t>
            </w:r>
          </w:p>
        </w:tc>
        <w:tc>
          <w:tcPr>
            <w:tcW w:w="1421" w:type="dxa"/>
            <w:noWrap w:val="0"/>
            <w:vAlign w:val="center"/>
          </w:tcPr>
          <w:p w14:paraId="4B39B181">
            <w:pPr>
              <w:adjustRightInd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7.84</w:t>
            </w:r>
          </w:p>
        </w:tc>
        <w:tc>
          <w:tcPr>
            <w:tcW w:w="830" w:type="pct"/>
            <w:noWrap w:val="0"/>
            <w:vAlign w:val="center"/>
          </w:tcPr>
          <w:p w14:paraId="6D221975">
            <w:pPr>
              <w:adjustRightInd w:val="0"/>
              <w:spacing w:line="240" w:lineRule="auto"/>
              <w:ind w:firstLine="0" w:firstLineChars="0"/>
              <w:jc w:val="center"/>
              <w:textAlignment w:val="center"/>
              <w:rPr>
                <w:rFonts w:hint="default" w:ascii="Times New Roman" w:hAnsi="Times New Roman" w:eastAsia="宋体"/>
                <w:bCs/>
                <w:color w:val="auto"/>
                <w:kern w:val="0"/>
                <w:sz w:val="21"/>
                <w:szCs w:val="21"/>
                <w:highlight w:val="none"/>
                <w:lang w:val="en-US" w:eastAsia="zh-CN"/>
              </w:rPr>
            </w:pPr>
            <w:r>
              <w:rPr>
                <w:rFonts w:hint="eastAsia" w:ascii="Times New Roman" w:hAnsi="Times New Roman"/>
                <w:color w:val="auto"/>
                <w:sz w:val="21"/>
                <w:szCs w:val="21"/>
                <w:highlight w:val="none"/>
                <w:lang w:val="en-US" w:eastAsia="zh-CN"/>
              </w:rPr>
              <w:t>39.511</w:t>
            </w:r>
          </w:p>
        </w:tc>
      </w:tr>
      <w:tr w14:paraId="14AF92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38F8DCD9">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4</w:t>
            </w:r>
          </w:p>
        </w:tc>
        <w:tc>
          <w:tcPr>
            <w:tcW w:w="1222" w:type="pct"/>
            <w:vMerge w:val="continue"/>
            <w:noWrap w:val="0"/>
            <w:vAlign w:val="center"/>
          </w:tcPr>
          <w:p w14:paraId="2A655493">
            <w:pPr>
              <w:adjustRightInd w:val="0"/>
              <w:snapToGrid w:val="0"/>
              <w:spacing w:line="240" w:lineRule="auto"/>
              <w:ind w:firstLine="0" w:firstLineChars="0"/>
              <w:jc w:val="center"/>
              <w:rPr>
                <w:rFonts w:ascii="Times New Roman" w:hAnsi="Times New Roman"/>
                <w:bCs/>
                <w:color w:val="auto"/>
                <w:kern w:val="0"/>
                <w:sz w:val="21"/>
                <w:szCs w:val="21"/>
                <w:highlight w:val="none"/>
              </w:rPr>
            </w:pPr>
          </w:p>
        </w:tc>
        <w:tc>
          <w:tcPr>
            <w:tcW w:w="734" w:type="pct"/>
            <w:noWrap w:val="0"/>
            <w:vAlign w:val="center"/>
          </w:tcPr>
          <w:p w14:paraId="16D8AB54">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汞及其化合物</w:t>
            </w:r>
          </w:p>
        </w:tc>
        <w:tc>
          <w:tcPr>
            <w:tcW w:w="834" w:type="pct"/>
            <w:noWrap w:val="0"/>
            <w:vAlign w:val="center"/>
          </w:tcPr>
          <w:p w14:paraId="619529F0">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0.002</w:t>
            </w:r>
          </w:p>
        </w:tc>
        <w:tc>
          <w:tcPr>
            <w:tcW w:w="1421" w:type="dxa"/>
            <w:noWrap w:val="0"/>
            <w:vAlign w:val="center"/>
          </w:tcPr>
          <w:p w14:paraId="5BA9B5F4">
            <w:pPr>
              <w:adjustRightInd w:val="0"/>
              <w:spacing w:line="240" w:lineRule="auto"/>
              <w:ind w:firstLine="0" w:firstLineChars="0"/>
              <w:jc w:val="center"/>
              <w:textAlignment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w:t>
            </w:r>
          </w:p>
        </w:tc>
        <w:tc>
          <w:tcPr>
            <w:tcW w:w="830" w:type="pct"/>
            <w:noWrap w:val="0"/>
            <w:vAlign w:val="center"/>
          </w:tcPr>
          <w:p w14:paraId="204208CE">
            <w:pPr>
              <w:adjustRightInd w:val="0"/>
              <w:spacing w:line="240" w:lineRule="auto"/>
              <w:ind w:firstLine="0" w:firstLineChars="0"/>
              <w:jc w:val="center"/>
              <w:textAlignment w:val="center"/>
              <w:rPr>
                <w:rFonts w:hint="default" w:ascii="Times New Roman" w:hAnsi="Times New Roman" w:eastAsia="宋体"/>
                <w:color w:val="auto"/>
                <w:sz w:val="21"/>
                <w:szCs w:val="21"/>
                <w:highlight w:val="none"/>
                <w:lang w:val="en-US" w:eastAsia="zh-CN"/>
              </w:rPr>
            </w:pPr>
            <w:r>
              <w:rPr>
                <w:rFonts w:ascii="Times New Roman" w:hAnsi="Times New Roman"/>
                <w:color w:val="auto"/>
                <w:sz w:val="21"/>
                <w:szCs w:val="21"/>
                <w:highlight w:val="none"/>
              </w:rPr>
              <w:t>0.00</w:t>
            </w:r>
            <w:r>
              <w:rPr>
                <w:rFonts w:hint="eastAsia" w:ascii="Times New Roman" w:hAnsi="Times New Roman"/>
                <w:color w:val="auto"/>
                <w:sz w:val="21"/>
                <w:szCs w:val="21"/>
                <w:highlight w:val="none"/>
                <w:lang w:val="en-US" w:eastAsia="zh-CN"/>
              </w:rPr>
              <w:t>16</w:t>
            </w:r>
          </w:p>
        </w:tc>
      </w:tr>
      <w:tr w14:paraId="7234A3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7F73BF4C">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5</w:t>
            </w:r>
          </w:p>
        </w:tc>
        <w:tc>
          <w:tcPr>
            <w:tcW w:w="1222" w:type="pct"/>
            <w:vMerge w:val="continue"/>
            <w:noWrap w:val="0"/>
            <w:vAlign w:val="center"/>
          </w:tcPr>
          <w:p w14:paraId="32D727D5">
            <w:pPr>
              <w:adjustRightInd w:val="0"/>
              <w:snapToGrid w:val="0"/>
              <w:spacing w:line="240" w:lineRule="auto"/>
              <w:ind w:firstLine="0" w:firstLineChars="0"/>
              <w:jc w:val="center"/>
              <w:rPr>
                <w:rFonts w:ascii="Times New Roman" w:hAnsi="Times New Roman"/>
                <w:bCs/>
                <w:color w:val="auto"/>
                <w:kern w:val="0"/>
                <w:sz w:val="21"/>
                <w:szCs w:val="21"/>
                <w:highlight w:val="none"/>
              </w:rPr>
            </w:pPr>
          </w:p>
        </w:tc>
        <w:tc>
          <w:tcPr>
            <w:tcW w:w="734" w:type="pct"/>
            <w:noWrap w:val="0"/>
            <w:vAlign w:val="center"/>
          </w:tcPr>
          <w:p w14:paraId="00E4D9F5">
            <w:pPr>
              <w:adjustRightInd w:val="0"/>
              <w:snapToGrid w:val="0"/>
              <w:spacing w:line="240" w:lineRule="auto"/>
              <w:ind w:firstLine="0" w:firstLineChars="0"/>
              <w:jc w:val="center"/>
              <w:rPr>
                <w:rFonts w:ascii="Times New Roman" w:hAnsi="Times New Roman"/>
                <w:bCs/>
                <w:color w:val="auto"/>
                <w:kern w:val="0"/>
                <w:sz w:val="21"/>
                <w:szCs w:val="21"/>
                <w:highlight w:val="none"/>
              </w:rPr>
            </w:pPr>
            <w:r>
              <w:rPr>
                <w:rFonts w:ascii="Times New Roman" w:hAnsi="Times New Roman"/>
                <w:bCs/>
                <w:color w:val="auto"/>
                <w:kern w:val="0"/>
                <w:sz w:val="21"/>
                <w:szCs w:val="21"/>
                <w:highlight w:val="none"/>
              </w:rPr>
              <w:t>氨</w:t>
            </w:r>
          </w:p>
        </w:tc>
        <w:tc>
          <w:tcPr>
            <w:tcW w:w="834" w:type="pct"/>
            <w:noWrap w:val="0"/>
            <w:vAlign w:val="center"/>
          </w:tcPr>
          <w:p w14:paraId="3220FD88">
            <w:pPr>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2.5</w:t>
            </w:r>
          </w:p>
        </w:tc>
        <w:tc>
          <w:tcPr>
            <w:tcW w:w="1421" w:type="dxa"/>
            <w:noWrap w:val="0"/>
            <w:vAlign w:val="center"/>
          </w:tcPr>
          <w:p w14:paraId="765DE50A">
            <w:pPr>
              <w:adjustRightInd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0.39</w:t>
            </w:r>
          </w:p>
        </w:tc>
        <w:tc>
          <w:tcPr>
            <w:tcW w:w="830" w:type="pct"/>
            <w:noWrap w:val="0"/>
            <w:vAlign w:val="center"/>
          </w:tcPr>
          <w:p w14:paraId="08D8363A">
            <w:pPr>
              <w:adjustRightInd w:val="0"/>
              <w:spacing w:line="240" w:lineRule="auto"/>
              <w:ind w:firstLine="0" w:firstLineChars="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1.96</w:t>
            </w:r>
          </w:p>
        </w:tc>
      </w:tr>
      <w:tr w14:paraId="068EEA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 w:type="pct"/>
            <w:noWrap w:val="0"/>
            <w:vAlign w:val="center"/>
          </w:tcPr>
          <w:p w14:paraId="279F0047">
            <w:pPr>
              <w:adjustRightInd w:val="0"/>
              <w:snapToGrid w:val="0"/>
              <w:spacing w:line="240" w:lineRule="auto"/>
              <w:ind w:firstLine="0" w:firstLineChars="0"/>
              <w:jc w:val="center"/>
              <w:rPr>
                <w:rFonts w:hint="eastAsia" w:ascii="Times New Roman" w:hAnsi="Times New Roman" w:eastAsia="宋体"/>
                <w:bCs/>
                <w:color w:val="auto"/>
                <w:kern w:val="0"/>
                <w:sz w:val="21"/>
                <w:szCs w:val="21"/>
                <w:highlight w:val="none"/>
                <w:lang w:val="en-US" w:eastAsia="zh-CN"/>
              </w:rPr>
            </w:pPr>
            <w:r>
              <w:rPr>
                <w:rFonts w:hint="eastAsia" w:ascii="Times New Roman" w:hAnsi="Times New Roman"/>
                <w:bCs/>
                <w:color w:val="auto"/>
                <w:kern w:val="0"/>
                <w:sz w:val="21"/>
                <w:szCs w:val="21"/>
                <w:highlight w:val="none"/>
                <w:lang w:val="en-US" w:eastAsia="zh-CN"/>
              </w:rPr>
              <w:t>6</w:t>
            </w:r>
          </w:p>
        </w:tc>
        <w:tc>
          <w:tcPr>
            <w:tcW w:w="1222" w:type="pct"/>
            <w:noWrap w:val="0"/>
            <w:vAlign w:val="center"/>
          </w:tcPr>
          <w:p w14:paraId="7A6C124A">
            <w:pPr>
              <w:adjustRightInd w:val="0"/>
              <w:snapToGrid w:val="0"/>
              <w:spacing w:line="240" w:lineRule="auto"/>
              <w:ind w:firstLine="0" w:firstLineChars="0"/>
              <w:jc w:val="center"/>
              <w:rPr>
                <w:rFonts w:hint="default" w:ascii="Times New Roman" w:hAnsi="Times New Roman" w:eastAsia="宋体"/>
                <w:bCs/>
                <w:color w:val="auto"/>
                <w:kern w:val="0"/>
                <w:sz w:val="21"/>
                <w:szCs w:val="21"/>
                <w:highlight w:val="none"/>
                <w:lang w:val="en-US" w:eastAsia="zh-CN"/>
              </w:rPr>
            </w:pPr>
            <w:r>
              <w:rPr>
                <w:rFonts w:hint="eastAsia" w:ascii="Times New Roman" w:hAnsi="Times New Roman"/>
                <w:bCs/>
                <w:color w:val="auto"/>
                <w:kern w:val="0"/>
                <w:sz w:val="21"/>
                <w:szCs w:val="21"/>
                <w:highlight w:val="none"/>
                <w:lang w:val="en-US" w:eastAsia="zh-CN"/>
              </w:rPr>
              <w:t>DA002（碎煤机室排气筒）</w:t>
            </w:r>
          </w:p>
        </w:tc>
        <w:tc>
          <w:tcPr>
            <w:tcW w:w="734" w:type="pct"/>
            <w:noWrap w:val="0"/>
            <w:vAlign w:val="center"/>
          </w:tcPr>
          <w:p w14:paraId="442B4DA5">
            <w:pPr>
              <w:adjustRightInd w:val="0"/>
              <w:snapToGrid w:val="0"/>
              <w:spacing w:line="240" w:lineRule="auto"/>
              <w:ind w:firstLine="0" w:firstLineChars="0"/>
              <w:jc w:val="center"/>
              <w:rPr>
                <w:rFonts w:hint="eastAsia" w:ascii="Times New Roman" w:hAnsi="Times New Roman" w:eastAsia="宋体"/>
                <w:bCs/>
                <w:color w:val="auto"/>
                <w:kern w:val="0"/>
                <w:sz w:val="21"/>
                <w:szCs w:val="21"/>
                <w:highlight w:val="none"/>
                <w:lang w:val="en-US" w:eastAsia="zh-CN"/>
              </w:rPr>
            </w:pPr>
            <w:r>
              <w:rPr>
                <w:rFonts w:hint="eastAsia" w:ascii="Times New Roman" w:hAnsi="Times New Roman"/>
                <w:bCs/>
                <w:color w:val="auto"/>
                <w:kern w:val="0"/>
                <w:sz w:val="21"/>
                <w:szCs w:val="21"/>
                <w:highlight w:val="none"/>
                <w:lang w:val="en-US" w:eastAsia="zh-CN"/>
              </w:rPr>
              <w:t>烟尘</w:t>
            </w:r>
          </w:p>
        </w:tc>
        <w:tc>
          <w:tcPr>
            <w:tcW w:w="834" w:type="pct"/>
            <w:noWrap w:val="0"/>
            <w:vAlign w:val="center"/>
          </w:tcPr>
          <w:p w14:paraId="1F9E0A87">
            <w:pPr>
              <w:spacing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120</w:t>
            </w:r>
          </w:p>
        </w:tc>
        <w:tc>
          <w:tcPr>
            <w:tcW w:w="1421" w:type="dxa"/>
            <w:noWrap w:val="0"/>
            <w:vAlign w:val="center"/>
          </w:tcPr>
          <w:p w14:paraId="281515DE">
            <w:pPr>
              <w:adjustRightInd w:val="0"/>
              <w:spacing w:line="240" w:lineRule="auto"/>
              <w:ind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0.48</w:t>
            </w:r>
          </w:p>
        </w:tc>
        <w:tc>
          <w:tcPr>
            <w:tcW w:w="830" w:type="pct"/>
            <w:noWrap w:val="0"/>
            <w:vAlign w:val="center"/>
          </w:tcPr>
          <w:p w14:paraId="096AECAF">
            <w:pPr>
              <w:adjustRightInd w:val="0"/>
              <w:spacing w:line="240" w:lineRule="auto"/>
              <w:ind w:firstLine="0" w:firstLineChars="0"/>
              <w:jc w:val="center"/>
              <w:textAlignment w:val="center"/>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2.419</w:t>
            </w:r>
          </w:p>
        </w:tc>
      </w:tr>
    </w:tbl>
    <w:p w14:paraId="3B659D3E">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lang w:val="en-US" w:eastAsia="zh-CN"/>
        </w:rPr>
        <w:t>22</w:t>
      </w:r>
      <w:r>
        <w:rPr>
          <w:rFonts w:hint="eastAsia" w:ascii="黑体" w:hAnsi="黑体" w:eastAsia="黑体" w:cs="黑体"/>
          <w:color w:val="auto"/>
          <w:highlight w:val="none"/>
        </w:rPr>
        <w:t>大气污染物无组织排放量核算表</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709"/>
        <w:gridCol w:w="851"/>
        <w:gridCol w:w="283"/>
        <w:gridCol w:w="1134"/>
        <w:gridCol w:w="1843"/>
        <w:gridCol w:w="1417"/>
        <w:gridCol w:w="709"/>
        <w:gridCol w:w="901"/>
      </w:tblGrid>
      <w:tr w14:paraId="47FE72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Merge w:val="restart"/>
            <w:noWrap w:val="0"/>
            <w:vAlign w:val="center"/>
          </w:tcPr>
          <w:p w14:paraId="0B0B7AD7">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序号</w:t>
            </w:r>
          </w:p>
        </w:tc>
        <w:tc>
          <w:tcPr>
            <w:tcW w:w="709" w:type="dxa"/>
            <w:vMerge w:val="restart"/>
            <w:noWrap w:val="0"/>
            <w:vAlign w:val="center"/>
          </w:tcPr>
          <w:p w14:paraId="50BBDDA7">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排放口编号</w:t>
            </w:r>
          </w:p>
        </w:tc>
        <w:tc>
          <w:tcPr>
            <w:tcW w:w="1134" w:type="dxa"/>
            <w:gridSpan w:val="2"/>
            <w:vMerge w:val="restart"/>
            <w:noWrap w:val="0"/>
            <w:vAlign w:val="center"/>
          </w:tcPr>
          <w:p w14:paraId="640286A8">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排放源</w:t>
            </w:r>
          </w:p>
        </w:tc>
        <w:tc>
          <w:tcPr>
            <w:tcW w:w="1134" w:type="dxa"/>
            <w:vMerge w:val="restart"/>
            <w:noWrap w:val="0"/>
            <w:vAlign w:val="center"/>
          </w:tcPr>
          <w:p w14:paraId="67F6A41C">
            <w:pPr>
              <w:pStyle w:val="7"/>
              <w:spacing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污染物</w:t>
            </w:r>
          </w:p>
        </w:tc>
        <w:tc>
          <w:tcPr>
            <w:tcW w:w="1843" w:type="dxa"/>
            <w:vMerge w:val="restart"/>
            <w:noWrap w:val="0"/>
            <w:vAlign w:val="center"/>
          </w:tcPr>
          <w:p w14:paraId="268E334C">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主要防治措施</w:t>
            </w:r>
          </w:p>
        </w:tc>
        <w:tc>
          <w:tcPr>
            <w:tcW w:w="2126" w:type="dxa"/>
            <w:gridSpan w:val="2"/>
            <w:noWrap w:val="0"/>
            <w:vAlign w:val="center"/>
          </w:tcPr>
          <w:p w14:paraId="2345CFA5">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国家或地方标准排放限值</w:t>
            </w:r>
          </w:p>
        </w:tc>
        <w:tc>
          <w:tcPr>
            <w:tcW w:w="901" w:type="dxa"/>
            <w:vMerge w:val="restart"/>
            <w:noWrap w:val="0"/>
            <w:vAlign w:val="center"/>
          </w:tcPr>
          <w:p w14:paraId="56C050E2">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年排放量(t/a)</w:t>
            </w:r>
          </w:p>
        </w:tc>
      </w:tr>
      <w:tr w14:paraId="126EB4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vMerge w:val="continue"/>
            <w:noWrap w:val="0"/>
            <w:vAlign w:val="center"/>
          </w:tcPr>
          <w:p w14:paraId="741840B2">
            <w:pPr>
              <w:pStyle w:val="7"/>
              <w:spacing w:after="0" w:line="240" w:lineRule="auto"/>
              <w:ind w:firstLine="0" w:firstLineChars="0"/>
              <w:jc w:val="center"/>
              <w:rPr>
                <w:rFonts w:ascii="Times New Roman" w:hAnsi="Times New Roman"/>
                <w:color w:val="auto"/>
                <w:sz w:val="21"/>
                <w:szCs w:val="21"/>
                <w:highlight w:val="none"/>
              </w:rPr>
            </w:pPr>
          </w:p>
        </w:tc>
        <w:tc>
          <w:tcPr>
            <w:tcW w:w="709" w:type="dxa"/>
            <w:vMerge w:val="continue"/>
            <w:noWrap w:val="0"/>
            <w:vAlign w:val="center"/>
          </w:tcPr>
          <w:p w14:paraId="5356CA86">
            <w:pPr>
              <w:pStyle w:val="7"/>
              <w:spacing w:after="0" w:line="240" w:lineRule="auto"/>
              <w:ind w:firstLine="0" w:firstLineChars="0"/>
              <w:jc w:val="center"/>
              <w:rPr>
                <w:rFonts w:ascii="Times New Roman" w:hAnsi="Times New Roman"/>
                <w:color w:val="auto"/>
                <w:sz w:val="21"/>
                <w:szCs w:val="21"/>
                <w:highlight w:val="none"/>
              </w:rPr>
            </w:pPr>
          </w:p>
        </w:tc>
        <w:tc>
          <w:tcPr>
            <w:tcW w:w="1134" w:type="dxa"/>
            <w:gridSpan w:val="2"/>
            <w:vMerge w:val="continue"/>
            <w:noWrap w:val="0"/>
            <w:vAlign w:val="center"/>
          </w:tcPr>
          <w:p w14:paraId="009F4C03">
            <w:pPr>
              <w:pStyle w:val="7"/>
              <w:spacing w:after="0" w:line="240" w:lineRule="auto"/>
              <w:ind w:firstLine="0" w:firstLineChars="0"/>
              <w:jc w:val="center"/>
              <w:rPr>
                <w:rFonts w:ascii="Times New Roman" w:hAnsi="Times New Roman"/>
                <w:color w:val="auto"/>
                <w:sz w:val="21"/>
                <w:szCs w:val="21"/>
                <w:highlight w:val="none"/>
              </w:rPr>
            </w:pPr>
          </w:p>
        </w:tc>
        <w:tc>
          <w:tcPr>
            <w:tcW w:w="1134" w:type="dxa"/>
            <w:vMerge w:val="continue"/>
            <w:noWrap w:val="0"/>
            <w:vAlign w:val="center"/>
          </w:tcPr>
          <w:p w14:paraId="757694BD">
            <w:pPr>
              <w:pStyle w:val="7"/>
              <w:spacing w:after="0" w:line="240" w:lineRule="auto"/>
              <w:ind w:firstLine="0" w:firstLineChars="0"/>
              <w:jc w:val="center"/>
              <w:rPr>
                <w:rFonts w:ascii="Times New Roman" w:hAnsi="Times New Roman"/>
                <w:color w:val="auto"/>
                <w:sz w:val="21"/>
                <w:szCs w:val="21"/>
                <w:highlight w:val="none"/>
              </w:rPr>
            </w:pPr>
          </w:p>
        </w:tc>
        <w:tc>
          <w:tcPr>
            <w:tcW w:w="1843" w:type="dxa"/>
            <w:vMerge w:val="continue"/>
            <w:noWrap w:val="0"/>
            <w:vAlign w:val="center"/>
          </w:tcPr>
          <w:p w14:paraId="5FA04609">
            <w:pPr>
              <w:pStyle w:val="7"/>
              <w:spacing w:after="0" w:line="240" w:lineRule="auto"/>
              <w:ind w:firstLine="0" w:firstLineChars="0"/>
              <w:jc w:val="center"/>
              <w:rPr>
                <w:rFonts w:ascii="Times New Roman" w:hAnsi="Times New Roman"/>
                <w:color w:val="auto"/>
                <w:sz w:val="21"/>
                <w:szCs w:val="21"/>
                <w:highlight w:val="none"/>
              </w:rPr>
            </w:pPr>
          </w:p>
        </w:tc>
        <w:tc>
          <w:tcPr>
            <w:tcW w:w="1417" w:type="dxa"/>
            <w:noWrap w:val="0"/>
            <w:vAlign w:val="center"/>
          </w:tcPr>
          <w:p w14:paraId="3F892699">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标准名称</w:t>
            </w:r>
          </w:p>
        </w:tc>
        <w:tc>
          <w:tcPr>
            <w:tcW w:w="709" w:type="dxa"/>
            <w:noWrap w:val="0"/>
            <w:vAlign w:val="center"/>
          </w:tcPr>
          <w:p w14:paraId="6E55F519">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浓度限值(mg/m</w:t>
            </w:r>
            <w:r>
              <w:rPr>
                <w:rFonts w:ascii="Times New Roman" w:hAnsi="Times New Roman"/>
                <w:color w:val="auto"/>
                <w:sz w:val="21"/>
                <w:szCs w:val="21"/>
                <w:highlight w:val="none"/>
                <w:vertAlign w:val="superscript"/>
              </w:rPr>
              <w:t>3</w:t>
            </w:r>
            <w:r>
              <w:rPr>
                <w:rFonts w:ascii="Times New Roman" w:hAnsi="Times New Roman"/>
                <w:color w:val="auto"/>
                <w:sz w:val="21"/>
                <w:szCs w:val="21"/>
                <w:highlight w:val="none"/>
              </w:rPr>
              <w:t>)</w:t>
            </w:r>
          </w:p>
        </w:tc>
        <w:tc>
          <w:tcPr>
            <w:tcW w:w="901" w:type="dxa"/>
            <w:vMerge w:val="continue"/>
            <w:noWrap w:val="0"/>
            <w:vAlign w:val="center"/>
          </w:tcPr>
          <w:p w14:paraId="68C774BD">
            <w:pPr>
              <w:pStyle w:val="7"/>
              <w:spacing w:after="0" w:line="240" w:lineRule="auto"/>
              <w:ind w:firstLine="0" w:firstLineChars="0"/>
              <w:jc w:val="center"/>
              <w:rPr>
                <w:rFonts w:ascii="Times New Roman" w:hAnsi="Times New Roman"/>
                <w:color w:val="auto"/>
                <w:sz w:val="21"/>
                <w:szCs w:val="21"/>
                <w:highlight w:val="none"/>
              </w:rPr>
            </w:pPr>
          </w:p>
        </w:tc>
      </w:tr>
      <w:tr w14:paraId="0F049C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675" w:type="dxa"/>
            <w:noWrap w:val="0"/>
            <w:vAlign w:val="center"/>
          </w:tcPr>
          <w:p w14:paraId="4326A352">
            <w:pPr>
              <w:adjustRightInd w:val="0"/>
              <w:spacing w:line="240" w:lineRule="auto"/>
              <w:ind w:firstLine="0" w:firstLineChars="0"/>
              <w:jc w:val="center"/>
              <w:textAlignment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1</w:t>
            </w:r>
          </w:p>
        </w:tc>
        <w:tc>
          <w:tcPr>
            <w:tcW w:w="709" w:type="dxa"/>
            <w:noWrap w:val="0"/>
            <w:vAlign w:val="center"/>
          </w:tcPr>
          <w:p w14:paraId="0BC02905">
            <w:pPr>
              <w:adjustRightInd w:val="0"/>
              <w:spacing w:line="240" w:lineRule="auto"/>
              <w:ind w:firstLine="0" w:firstLineChars="0"/>
              <w:jc w:val="center"/>
              <w:textAlignment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A1</w:t>
            </w:r>
          </w:p>
        </w:tc>
        <w:tc>
          <w:tcPr>
            <w:tcW w:w="1134" w:type="dxa"/>
            <w:gridSpan w:val="2"/>
            <w:noWrap w:val="0"/>
            <w:vAlign w:val="center"/>
          </w:tcPr>
          <w:p w14:paraId="2CE40642">
            <w:pPr>
              <w:adjustRightInd w:val="0"/>
              <w:spacing w:line="240" w:lineRule="auto"/>
              <w:ind w:firstLine="0" w:firstLineChars="0"/>
              <w:jc w:val="center"/>
              <w:textAlignment w:val="center"/>
              <w:rPr>
                <w:rFonts w:ascii="Times New Roman" w:hAnsi="Times New Roman"/>
                <w:color w:val="auto"/>
                <w:sz w:val="21"/>
                <w:szCs w:val="21"/>
                <w:highlight w:val="none"/>
              </w:rPr>
            </w:pPr>
            <w:r>
              <w:rPr>
                <w:rFonts w:hint="eastAsia" w:ascii="Times New Roman" w:hAnsi="Times New Roman"/>
                <w:color w:val="auto"/>
                <w:sz w:val="21"/>
                <w:szCs w:val="21"/>
                <w:highlight w:val="none"/>
              </w:rPr>
              <w:t>灰仓</w:t>
            </w:r>
          </w:p>
        </w:tc>
        <w:tc>
          <w:tcPr>
            <w:tcW w:w="1134" w:type="dxa"/>
            <w:tcBorders>
              <w:bottom w:val="single" w:color="auto" w:sz="4" w:space="0"/>
            </w:tcBorders>
            <w:noWrap w:val="0"/>
            <w:vAlign w:val="center"/>
          </w:tcPr>
          <w:p w14:paraId="303951F1">
            <w:pPr>
              <w:adjustRightInd w:val="0"/>
              <w:spacing w:line="240" w:lineRule="auto"/>
              <w:ind w:firstLine="0" w:firstLineChars="0"/>
              <w:jc w:val="center"/>
              <w:textAlignment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工业粉尘</w:t>
            </w:r>
          </w:p>
        </w:tc>
        <w:tc>
          <w:tcPr>
            <w:tcW w:w="1843" w:type="dxa"/>
            <w:vMerge w:val="restart"/>
            <w:noWrap w:val="0"/>
            <w:vAlign w:val="center"/>
          </w:tcPr>
          <w:p w14:paraId="17CB91DA">
            <w:pPr>
              <w:adjustRightInd w:val="0"/>
              <w:spacing w:line="240" w:lineRule="auto"/>
              <w:ind w:firstLine="0" w:firstLineChars="0"/>
              <w:jc w:val="center"/>
              <w:textAlignment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密闭+脉冲布袋除尘器</w:t>
            </w:r>
          </w:p>
        </w:tc>
        <w:tc>
          <w:tcPr>
            <w:tcW w:w="1417" w:type="dxa"/>
            <w:vMerge w:val="restart"/>
            <w:noWrap w:val="0"/>
            <w:vAlign w:val="center"/>
          </w:tcPr>
          <w:p w14:paraId="0ADAB235">
            <w:pPr>
              <w:adjustRightInd w:val="0"/>
              <w:spacing w:line="240" w:lineRule="auto"/>
              <w:ind w:firstLine="0" w:firstLineChars="0"/>
              <w:jc w:val="center"/>
              <w:textAlignment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《大气污染物综合排放标准》（GB16297-1996）</w:t>
            </w:r>
          </w:p>
        </w:tc>
        <w:tc>
          <w:tcPr>
            <w:tcW w:w="709" w:type="dxa"/>
            <w:vMerge w:val="restart"/>
            <w:noWrap w:val="0"/>
            <w:vAlign w:val="center"/>
          </w:tcPr>
          <w:p w14:paraId="5241590E">
            <w:pPr>
              <w:adjustRightInd w:val="0"/>
              <w:spacing w:line="240" w:lineRule="auto"/>
              <w:ind w:firstLine="0" w:firstLineChars="0"/>
              <w:jc w:val="center"/>
              <w:textAlignment w:val="center"/>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1.0</w:t>
            </w:r>
          </w:p>
        </w:tc>
        <w:tc>
          <w:tcPr>
            <w:tcW w:w="901" w:type="dxa"/>
            <w:noWrap w:val="0"/>
            <w:vAlign w:val="center"/>
          </w:tcPr>
          <w:p w14:paraId="7F9402B1">
            <w:pPr>
              <w:adjustRightInd w:val="0"/>
              <w:spacing w:line="240" w:lineRule="auto"/>
              <w:ind w:firstLine="0" w:firstLineChars="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0.0605</w:t>
            </w:r>
          </w:p>
        </w:tc>
      </w:tr>
      <w:tr w14:paraId="6916BC9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675" w:type="dxa"/>
            <w:noWrap w:val="0"/>
            <w:vAlign w:val="center"/>
          </w:tcPr>
          <w:p w14:paraId="3E536873">
            <w:pPr>
              <w:pStyle w:val="7"/>
              <w:spacing w:after="0" w:line="240" w:lineRule="auto"/>
              <w:ind w:firstLine="0" w:firstLineChars="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709" w:type="dxa"/>
            <w:noWrap w:val="0"/>
            <w:vAlign w:val="center"/>
          </w:tcPr>
          <w:p w14:paraId="72DD8E9D">
            <w:pPr>
              <w:pStyle w:val="7"/>
              <w:spacing w:after="0" w:line="240" w:lineRule="auto"/>
              <w:ind w:firstLine="0" w:firstLineChars="0"/>
              <w:jc w:val="center"/>
              <w:rPr>
                <w:rFonts w:hint="eastAsia" w:ascii="Times New Roman" w:hAnsi="Times New Roman" w:eastAsia="宋体"/>
                <w:color w:val="auto"/>
                <w:sz w:val="21"/>
                <w:szCs w:val="21"/>
                <w:highlight w:val="none"/>
                <w:lang w:eastAsia="zh-CN"/>
              </w:rPr>
            </w:pPr>
            <w:r>
              <w:rPr>
                <w:rFonts w:ascii="Times New Roman" w:hAnsi="Times New Roman"/>
                <w:color w:val="auto"/>
                <w:sz w:val="21"/>
                <w:szCs w:val="21"/>
                <w:highlight w:val="none"/>
              </w:rPr>
              <w:t>A</w:t>
            </w:r>
            <w:r>
              <w:rPr>
                <w:rFonts w:hint="eastAsia" w:ascii="Times New Roman" w:hAnsi="Times New Roman"/>
                <w:color w:val="auto"/>
                <w:sz w:val="21"/>
                <w:szCs w:val="21"/>
                <w:highlight w:val="none"/>
                <w:lang w:val="en-US" w:eastAsia="zh-CN"/>
              </w:rPr>
              <w:t>2</w:t>
            </w:r>
          </w:p>
        </w:tc>
        <w:tc>
          <w:tcPr>
            <w:tcW w:w="1134" w:type="dxa"/>
            <w:gridSpan w:val="2"/>
            <w:noWrap w:val="0"/>
            <w:vAlign w:val="center"/>
          </w:tcPr>
          <w:p w14:paraId="7768A427">
            <w:pPr>
              <w:pStyle w:val="7"/>
              <w:spacing w:after="0" w:line="240" w:lineRule="auto"/>
              <w:ind w:firstLine="0" w:firstLineChars="0"/>
              <w:jc w:val="center"/>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石灰石粉</w:t>
            </w:r>
            <w:r>
              <w:rPr>
                <w:rFonts w:hint="eastAsia" w:ascii="Times New Roman" w:hAnsi="Times New Roman"/>
                <w:color w:val="auto"/>
                <w:sz w:val="21"/>
                <w:szCs w:val="21"/>
                <w:highlight w:val="none"/>
              </w:rPr>
              <w:t>仓</w:t>
            </w:r>
          </w:p>
        </w:tc>
        <w:tc>
          <w:tcPr>
            <w:tcW w:w="1134" w:type="dxa"/>
            <w:tcBorders>
              <w:top w:val="single" w:color="auto" w:sz="4" w:space="0"/>
            </w:tcBorders>
            <w:noWrap w:val="0"/>
            <w:vAlign w:val="center"/>
          </w:tcPr>
          <w:p w14:paraId="72B038EC">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工业粉尘</w:t>
            </w:r>
          </w:p>
        </w:tc>
        <w:tc>
          <w:tcPr>
            <w:tcW w:w="1843" w:type="dxa"/>
            <w:vMerge w:val="continue"/>
            <w:noWrap w:val="0"/>
            <w:vAlign w:val="center"/>
          </w:tcPr>
          <w:p w14:paraId="5085DA65">
            <w:pPr>
              <w:pStyle w:val="7"/>
              <w:spacing w:after="0" w:line="240" w:lineRule="auto"/>
              <w:ind w:firstLine="0" w:firstLineChars="0"/>
              <w:jc w:val="center"/>
              <w:rPr>
                <w:rFonts w:ascii="Times New Roman" w:hAnsi="Times New Roman"/>
                <w:color w:val="auto"/>
                <w:sz w:val="21"/>
                <w:szCs w:val="21"/>
                <w:highlight w:val="none"/>
              </w:rPr>
            </w:pPr>
          </w:p>
        </w:tc>
        <w:tc>
          <w:tcPr>
            <w:tcW w:w="1417" w:type="dxa"/>
            <w:vMerge w:val="continue"/>
            <w:noWrap w:val="0"/>
            <w:vAlign w:val="center"/>
          </w:tcPr>
          <w:p w14:paraId="46F1074C">
            <w:pPr>
              <w:pStyle w:val="7"/>
              <w:spacing w:after="0" w:line="240" w:lineRule="auto"/>
              <w:ind w:firstLine="0" w:firstLineChars="0"/>
              <w:jc w:val="center"/>
              <w:rPr>
                <w:rFonts w:ascii="Times New Roman" w:hAnsi="Times New Roman"/>
                <w:color w:val="auto"/>
                <w:sz w:val="21"/>
                <w:szCs w:val="21"/>
                <w:highlight w:val="none"/>
              </w:rPr>
            </w:pPr>
          </w:p>
        </w:tc>
        <w:tc>
          <w:tcPr>
            <w:tcW w:w="709" w:type="dxa"/>
            <w:vMerge w:val="continue"/>
            <w:noWrap w:val="0"/>
            <w:vAlign w:val="center"/>
          </w:tcPr>
          <w:p w14:paraId="1FA9B738">
            <w:pPr>
              <w:pStyle w:val="7"/>
              <w:spacing w:after="0" w:line="240" w:lineRule="auto"/>
              <w:ind w:firstLine="0" w:firstLineChars="0"/>
              <w:jc w:val="center"/>
              <w:rPr>
                <w:rFonts w:ascii="Times New Roman" w:hAnsi="Times New Roman"/>
                <w:color w:val="auto"/>
                <w:sz w:val="21"/>
                <w:szCs w:val="21"/>
                <w:highlight w:val="none"/>
              </w:rPr>
            </w:pPr>
          </w:p>
        </w:tc>
        <w:tc>
          <w:tcPr>
            <w:tcW w:w="901" w:type="dxa"/>
            <w:noWrap w:val="0"/>
            <w:vAlign w:val="center"/>
          </w:tcPr>
          <w:p w14:paraId="737F70CE">
            <w:pPr>
              <w:adjustRightInd w:val="0"/>
              <w:spacing w:line="240" w:lineRule="auto"/>
              <w:ind w:firstLine="0" w:firstLineChars="0"/>
              <w:jc w:val="center"/>
              <w:textAlignment w:val="center"/>
              <w:rPr>
                <w:rFonts w:hint="default" w:ascii="Times New Roman" w:hAnsi="Times New Roman"/>
                <w:color w:val="auto"/>
                <w:sz w:val="21"/>
                <w:szCs w:val="21"/>
                <w:highlight w:val="none"/>
                <w:lang w:val="en-US"/>
              </w:rPr>
            </w:pPr>
            <w:r>
              <w:rPr>
                <w:rFonts w:hint="eastAsia" w:ascii="Times New Roman" w:hAnsi="Times New Roman"/>
                <w:color w:val="auto"/>
                <w:sz w:val="21"/>
                <w:szCs w:val="21"/>
                <w:highlight w:val="none"/>
                <w:lang w:val="en-US" w:eastAsia="zh-CN"/>
              </w:rPr>
              <w:t>0.02592</w:t>
            </w:r>
          </w:p>
        </w:tc>
      </w:tr>
      <w:tr w14:paraId="6F6C4E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noWrap w:val="0"/>
            <w:vAlign w:val="center"/>
          </w:tcPr>
          <w:p w14:paraId="09D0A354">
            <w:pPr>
              <w:pStyle w:val="7"/>
              <w:spacing w:after="0" w:line="240" w:lineRule="auto"/>
              <w:ind w:firstLine="0" w:firstLineChars="0"/>
              <w:jc w:val="center"/>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3</w:t>
            </w:r>
          </w:p>
        </w:tc>
        <w:tc>
          <w:tcPr>
            <w:tcW w:w="709" w:type="dxa"/>
            <w:noWrap w:val="0"/>
            <w:vAlign w:val="center"/>
          </w:tcPr>
          <w:p w14:paraId="30A39543">
            <w:pPr>
              <w:pStyle w:val="7"/>
              <w:spacing w:after="0" w:line="240" w:lineRule="auto"/>
              <w:ind w:firstLine="0" w:firstLineChars="0"/>
              <w:jc w:val="center"/>
              <w:rPr>
                <w:rFonts w:hint="eastAsia" w:ascii="Times New Roman" w:hAnsi="Times New Roman" w:eastAsia="宋体"/>
                <w:color w:val="auto"/>
                <w:sz w:val="21"/>
                <w:szCs w:val="21"/>
                <w:highlight w:val="none"/>
                <w:lang w:eastAsia="zh-CN"/>
              </w:rPr>
            </w:pPr>
            <w:r>
              <w:rPr>
                <w:rFonts w:ascii="Times New Roman" w:hAnsi="Times New Roman"/>
                <w:color w:val="auto"/>
                <w:sz w:val="21"/>
                <w:szCs w:val="21"/>
                <w:highlight w:val="none"/>
              </w:rPr>
              <w:t>A</w:t>
            </w:r>
            <w:r>
              <w:rPr>
                <w:rFonts w:hint="eastAsia" w:ascii="Times New Roman" w:hAnsi="Times New Roman"/>
                <w:color w:val="auto"/>
                <w:sz w:val="21"/>
                <w:szCs w:val="21"/>
                <w:highlight w:val="none"/>
                <w:lang w:val="en-US" w:eastAsia="zh-CN"/>
              </w:rPr>
              <w:t>3</w:t>
            </w:r>
          </w:p>
        </w:tc>
        <w:tc>
          <w:tcPr>
            <w:tcW w:w="1134" w:type="dxa"/>
            <w:gridSpan w:val="2"/>
            <w:noWrap w:val="0"/>
            <w:vAlign w:val="center"/>
          </w:tcPr>
          <w:p w14:paraId="07947188">
            <w:pPr>
              <w:pStyle w:val="7"/>
              <w:spacing w:after="0"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渣仓</w:t>
            </w:r>
          </w:p>
        </w:tc>
        <w:tc>
          <w:tcPr>
            <w:tcW w:w="1134" w:type="dxa"/>
            <w:tcBorders>
              <w:right w:val="single" w:color="auto" w:sz="4" w:space="0"/>
            </w:tcBorders>
            <w:noWrap w:val="0"/>
            <w:vAlign w:val="center"/>
          </w:tcPr>
          <w:p w14:paraId="010944F7">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工业粉尘</w:t>
            </w:r>
          </w:p>
        </w:tc>
        <w:tc>
          <w:tcPr>
            <w:tcW w:w="1843" w:type="dxa"/>
            <w:vMerge w:val="continue"/>
            <w:noWrap w:val="0"/>
            <w:vAlign w:val="center"/>
          </w:tcPr>
          <w:p w14:paraId="3FFF1DD4">
            <w:pPr>
              <w:pStyle w:val="7"/>
              <w:spacing w:after="0" w:line="240" w:lineRule="auto"/>
              <w:ind w:firstLine="0" w:firstLineChars="0"/>
              <w:jc w:val="center"/>
              <w:rPr>
                <w:rFonts w:ascii="Times New Roman" w:hAnsi="Times New Roman"/>
                <w:color w:val="auto"/>
                <w:sz w:val="21"/>
                <w:szCs w:val="21"/>
                <w:highlight w:val="none"/>
              </w:rPr>
            </w:pPr>
          </w:p>
        </w:tc>
        <w:tc>
          <w:tcPr>
            <w:tcW w:w="1417" w:type="dxa"/>
            <w:vMerge w:val="continue"/>
            <w:noWrap w:val="0"/>
            <w:vAlign w:val="center"/>
          </w:tcPr>
          <w:p w14:paraId="6EA71168">
            <w:pPr>
              <w:pStyle w:val="7"/>
              <w:spacing w:after="0" w:line="240" w:lineRule="auto"/>
              <w:ind w:firstLine="0" w:firstLineChars="0"/>
              <w:jc w:val="center"/>
              <w:rPr>
                <w:rFonts w:ascii="Times New Roman" w:hAnsi="Times New Roman"/>
                <w:color w:val="auto"/>
                <w:sz w:val="21"/>
                <w:szCs w:val="21"/>
                <w:highlight w:val="none"/>
              </w:rPr>
            </w:pPr>
          </w:p>
        </w:tc>
        <w:tc>
          <w:tcPr>
            <w:tcW w:w="709" w:type="dxa"/>
            <w:vMerge w:val="continue"/>
            <w:noWrap w:val="0"/>
            <w:vAlign w:val="center"/>
          </w:tcPr>
          <w:p w14:paraId="57BAD5B6">
            <w:pPr>
              <w:pStyle w:val="7"/>
              <w:spacing w:after="0" w:line="240" w:lineRule="auto"/>
              <w:ind w:firstLine="0" w:firstLineChars="0"/>
              <w:jc w:val="center"/>
              <w:rPr>
                <w:rFonts w:ascii="Times New Roman" w:hAnsi="Times New Roman"/>
                <w:color w:val="auto"/>
                <w:sz w:val="21"/>
                <w:szCs w:val="21"/>
                <w:highlight w:val="none"/>
              </w:rPr>
            </w:pPr>
          </w:p>
        </w:tc>
        <w:tc>
          <w:tcPr>
            <w:tcW w:w="901" w:type="dxa"/>
            <w:noWrap w:val="0"/>
            <w:vAlign w:val="center"/>
          </w:tcPr>
          <w:p w14:paraId="5A0D84E4">
            <w:pPr>
              <w:adjustRightInd w:val="0"/>
              <w:spacing w:line="240" w:lineRule="auto"/>
              <w:ind w:firstLine="0" w:firstLineChars="0"/>
              <w:jc w:val="center"/>
              <w:textAlignment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rPr>
              <w:t>0.</w:t>
            </w:r>
            <w:r>
              <w:rPr>
                <w:rFonts w:hint="eastAsia" w:ascii="Times New Roman" w:hAnsi="Times New Roman"/>
                <w:color w:val="auto"/>
                <w:sz w:val="21"/>
                <w:szCs w:val="21"/>
                <w:highlight w:val="none"/>
                <w:lang w:val="en-US" w:eastAsia="zh-CN"/>
              </w:rPr>
              <w:t>003</w:t>
            </w:r>
          </w:p>
        </w:tc>
      </w:tr>
      <w:tr w14:paraId="09BF9B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gridSpan w:val="9"/>
            <w:noWrap w:val="0"/>
            <w:vAlign w:val="center"/>
          </w:tcPr>
          <w:p w14:paraId="2FFCF577">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无组织排放总计</w:t>
            </w:r>
          </w:p>
        </w:tc>
      </w:tr>
      <w:tr w14:paraId="22C96D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2235" w:type="dxa"/>
            <w:gridSpan w:val="3"/>
            <w:noWrap w:val="0"/>
            <w:vAlign w:val="center"/>
          </w:tcPr>
          <w:p w14:paraId="2905999B">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无组织排放总计</w:t>
            </w:r>
          </w:p>
        </w:tc>
        <w:tc>
          <w:tcPr>
            <w:tcW w:w="5386" w:type="dxa"/>
            <w:gridSpan w:val="5"/>
            <w:noWrap w:val="0"/>
            <w:vAlign w:val="center"/>
          </w:tcPr>
          <w:p w14:paraId="79291283">
            <w:pPr>
              <w:pStyle w:val="7"/>
              <w:spacing w:after="0" w:line="240" w:lineRule="auto"/>
              <w:ind w:firstLine="0" w:firstLineChars="0"/>
              <w:jc w:val="center"/>
              <w:rPr>
                <w:rFonts w:ascii="Times New Roman" w:hAnsi="Times New Roman"/>
                <w:color w:val="auto"/>
                <w:sz w:val="21"/>
                <w:szCs w:val="21"/>
                <w:highlight w:val="none"/>
              </w:rPr>
            </w:pPr>
            <w:r>
              <w:rPr>
                <w:rFonts w:ascii="Times New Roman" w:hAnsi="Times New Roman"/>
                <w:color w:val="auto"/>
                <w:sz w:val="21"/>
                <w:szCs w:val="21"/>
                <w:highlight w:val="none"/>
              </w:rPr>
              <w:t>工业粉尘</w:t>
            </w:r>
          </w:p>
        </w:tc>
        <w:tc>
          <w:tcPr>
            <w:tcW w:w="901" w:type="dxa"/>
            <w:noWrap w:val="0"/>
            <w:vAlign w:val="center"/>
          </w:tcPr>
          <w:p w14:paraId="399FB723">
            <w:pPr>
              <w:pStyle w:val="7"/>
              <w:spacing w:after="0" w:line="240" w:lineRule="auto"/>
              <w:ind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0.0894</w:t>
            </w:r>
          </w:p>
        </w:tc>
      </w:tr>
    </w:tbl>
    <w:p w14:paraId="16406348">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5.2-</w:t>
      </w:r>
      <w:r>
        <w:rPr>
          <w:rFonts w:hint="eastAsia" w:ascii="Times New Roman" w:hAnsi="Times New Roman"/>
          <w:color w:val="auto"/>
          <w:highlight w:val="none"/>
        </w:rPr>
        <w:t>2</w:t>
      </w:r>
      <w:r>
        <w:rPr>
          <w:rFonts w:hint="eastAsia" w:ascii="Times New Roman" w:hAnsi="Times New Roman"/>
          <w:color w:val="auto"/>
          <w:highlight w:val="none"/>
          <w:lang w:val="en-US" w:eastAsia="zh-CN"/>
        </w:rPr>
        <w:t>3</w:t>
      </w:r>
      <w:r>
        <w:rPr>
          <w:rFonts w:hint="eastAsia" w:ascii="黑体" w:hAnsi="黑体" w:eastAsia="黑体" w:cs="黑体"/>
          <w:color w:val="auto"/>
          <w:highlight w:val="none"/>
        </w:rPr>
        <w:t>本项目大气污染物年排放量核算表</w:t>
      </w:r>
    </w:p>
    <w:tbl>
      <w:tblPr>
        <w:tblStyle w:val="17"/>
        <w:tblW w:w="5000"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0668DD22">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12" w:space="0"/>
              <w:left w:val="nil"/>
              <w:bottom w:val="single" w:color="auto" w:sz="4" w:space="0"/>
              <w:right w:val="single" w:color="auto" w:sz="4" w:space="0"/>
            </w:tcBorders>
            <w:noWrap w:val="0"/>
            <w:vAlign w:val="center"/>
          </w:tcPr>
          <w:p w14:paraId="65F9739D">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序号</w:t>
            </w:r>
          </w:p>
        </w:tc>
        <w:tc>
          <w:tcPr>
            <w:tcW w:w="1667" w:type="pct"/>
            <w:tcBorders>
              <w:top w:val="single" w:color="auto" w:sz="12" w:space="0"/>
              <w:left w:val="single" w:color="auto" w:sz="4" w:space="0"/>
              <w:bottom w:val="single" w:color="auto" w:sz="4" w:space="0"/>
              <w:right w:val="single" w:color="auto" w:sz="4" w:space="0"/>
            </w:tcBorders>
            <w:noWrap w:val="0"/>
            <w:vAlign w:val="center"/>
          </w:tcPr>
          <w:p w14:paraId="4C0EF797">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污染物</w:t>
            </w:r>
          </w:p>
        </w:tc>
        <w:tc>
          <w:tcPr>
            <w:tcW w:w="1667" w:type="pct"/>
            <w:tcBorders>
              <w:top w:val="single" w:color="auto" w:sz="12" w:space="0"/>
              <w:left w:val="single" w:color="auto" w:sz="4" w:space="0"/>
              <w:bottom w:val="single" w:color="auto" w:sz="4" w:space="0"/>
              <w:right w:val="nil"/>
            </w:tcBorders>
            <w:noWrap w:val="0"/>
            <w:vAlign w:val="center"/>
          </w:tcPr>
          <w:p w14:paraId="638C8895">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年排放量/（t/a）</w:t>
            </w:r>
          </w:p>
        </w:tc>
      </w:tr>
      <w:tr w14:paraId="51194A4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4" w:space="0"/>
              <w:right w:val="single" w:color="auto" w:sz="4" w:space="0"/>
            </w:tcBorders>
            <w:noWrap w:val="0"/>
            <w:vAlign w:val="center"/>
          </w:tcPr>
          <w:p w14:paraId="7202A590">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1</w:t>
            </w:r>
          </w:p>
        </w:tc>
        <w:tc>
          <w:tcPr>
            <w:tcW w:w="1667" w:type="pct"/>
            <w:tcBorders>
              <w:top w:val="single" w:color="auto" w:sz="4" w:space="0"/>
              <w:left w:val="single" w:color="auto" w:sz="4" w:space="0"/>
              <w:bottom w:val="single" w:color="auto" w:sz="4" w:space="0"/>
              <w:right w:val="single" w:color="auto" w:sz="4" w:space="0"/>
            </w:tcBorders>
            <w:noWrap w:val="0"/>
            <w:vAlign w:val="center"/>
          </w:tcPr>
          <w:p w14:paraId="3BA82E46">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烟尘</w:t>
            </w:r>
          </w:p>
        </w:tc>
        <w:tc>
          <w:tcPr>
            <w:tcW w:w="2841" w:type="dxa"/>
            <w:tcBorders>
              <w:top w:val="single" w:color="auto" w:sz="4" w:space="0"/>
              <w:left w:val="single" w:color="auto" w:sz="4" w:space="0"/>
              <w:bottom w:val="single" w:color="auto" w:sz="4" w:space="0"/>
              <w:right w:val="nil"/>
            </w:tcBorders>
            <w:noWrap w:val="0"/>
            <w:vAlign w:val="center"/>
          </w:tcPr>
          <w:p w14:paraId="27B4FF34">
            <w:pPr>
              <w:adjustRightInd w:val="0"/>
              <w:spacing w:line="240" w:lineRule="auto"/>
              <w:ind w:firstLine="0" w:firstLineChars="0"/>
              <w:jc w:val="center"/>
              <w:textAlignment w:val="center"/>
              <w:rPr>
                <w:rFonts w:hint="default" w:ascii="Times New Roman" w:hAnsi="Times New Roman"/>
                <w:bCs/>
                <w:color w:val="auto"/>
                <w:kern w:val="0"/>
                <w:sz w:val="21"/>
                <w:szCs w:val="21"/>
                <w:highlight w:val="none"/>
                <w:lang w:val="en-US"/>
              </w:rPr>
            </w:pPr>
            <w:r>
              <w:rPr>
                <w:rFonts w:hint="eastAsia" w:ascii="Times New Roman" w:hAnsi="Times New Roman"/>
                <w:color w:val="auto"/>
                <w:sz w:val="21"/>
                <w:szCs w:val="21"/>
                <w:highlight w:val="none"/>
                <w:lang w:val="en-US" w:eastAsia="zh-CN"/>
              </w:rPr>
              <w:t>10.321</w:t>
            </w:r>
          </w:p>
        </w:tc>
      </w:tr>
      <w:tr w14:paraId="3FAF7F21">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4" w:space="0"/>
              <w:right w:val="single" w:color="auto" w:sz="4" w:space="0"/>
            </w:tcBorders>
            <w:noWrap w:val="0"/>
            <w:vAlign w:val="center"/>
          </w:tcPr>
          <w:p w14:paraId="132EB4BA">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2</w:t>
            </w:r>
          </w:p>
        </w:tc>
        <w:tc>
          <w:tcPr>
            <w:tcW w:w="1667" w:type="pct"/>
            <w:tcBorders>
              <w:top w:val="single" w:color="auto" w:sz="4" w:space="0"/>
              <w:left w:val="single" w:color="auto" w:sz="4" w:space="0"/>
              <w:bottom w:val="single" w:color="auto" w:sz="4" w:space="0"/>
              <w:right w:val="single" w:color="auto" w:sz="4" w:space="0"/>
            </w:tcBorders>
            <w:noWrap w:val="0"/>
            <w:vAlign w:val="center"/>
          </w:tcPr>
          <w:p w14:paraId="2F37382E">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SO</w:t>
            </w:r>
            <w:r>
              <w:rPr>
                <w:rFonts w:ascii="Times New Roman" w:hAnsi="Times New Roman"/>
                <w:color w:val="auto"/>
                <w:kern w:val="0"/>
                <w:sz w:val="21"/>
                <w:szCs w:val="21"/>
                <w:highlight w:val="none"/>
                <w:vertAlign w:val="subscript"/>
                <w:lang w:bidi="ar"/>
              </w:rPr>
              <w:t>2</w:t>
            </w:r>
          </w:p>
        </w:tc>
        <w:tc>
          <w:tcPr>
            <w:tcW w:w="2841" w:type="dxa"/>
            <w:tcBorders>
              <w:top w:val="single" w:color="auto" w:sz="4" w:space="0"/>
              <w:left w:val="single" w:color="auto" w:sz="4" w:space="0"/>
              <w:bottom w:val="single" w:color="auto" w:sz="4" w:space="0"/>
              <w:right w:val="nil"/>
            </w:tcBorders>
            <w:noWrap w:val="0"/>
            <w:vAlign w:val="center"/>
          </w:tcPr>
          <w:p w14:paraId="2B048FCF">
            <w:pPr>
              <w:adjustRightInd w:val="0"/>
              <w:spacing w:line="240" w:lineRule="auto"/>
              <w:ind w:firstLine="0" w:firstLineChars="0"/>
              <w:jc w:val="center"/>
              <w:textAlignment w:val="center"/>
              <w:rPr>
                <w:rFonts w:hint="default" w:ascii="Times New Roman" w:hAnsi="Times New Roman"/>
                <w:bCs/>
                <w:color w:val="auto"/>
                <w:kern w:val="0"/>
                <w:sz w:val="21"/>
                <w:szCs w:val="21"/>
                <w:highlight w:val="none"/>
                <w:lang w:val="en-US"/>
              </w:rPr>
            </w:pPr>
            <w:r>
              <w:rPr>
                <w:rFonts w:hint="eastAsia" w:ascii="Times New Roman" w:hAnsi="Times New Roman" w:eastAsia="黑体"/>
                <w:color w:val="auto"/>
                <w:kern w:val="0"/>
                <w:sz w:val="21"/>
                <w:szCs w:val="21"/>
                <w:highlight w:val="none"/>
                <w:lang w:val="en-US" w:eastAsia="zh-CN"/>
              </w:rPr>
              <w:t>27.658</w:t>
            </w:r>
          </w:p>
        </w:tc>
      </w:tr>
      <w:tr w14:paraId="6DC1DDB6">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4" w:space="0"/>
              <w:right w:val="single" w:color="auto" w:sz="4" w:space="0"/>
            </w:tcBorders>
            <w:noWrap w:val="0"/>
            <w:vAlign w:val="center"/>
          </w:tcPr>
          <w:p w14:paraId="6B527D94">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3</w:t>
            </w:r>
          </w:p>
        </w:tc>
        <w:tc>
          <w:tcPr>
            <w:tcW w:w="1667" w:type="pct"/>
            <w:tcBorders>
              <w:top w:val="single" w:color="auto" w:sz="4" w:space="0"/>
              <w:left w:val="single" w:color="auto" w:sz="4" w:space="0"/>
              <w:bottom w:val="single" w:color="auto" w:sz="4" w:space="0"/>
              <w:right w:val="single" w:color="auto" w:sz="4" w:space="0"/>
            </w:tcBorders>
            <w:noWrap w:val="0"/>
            <w:vAlign w:val="center"/>
          </w:tcPr>
          <w:p w14:paraId="010E97B3">
            <w:pPr>
              <w:spacing w:line="240" w:lineRule="auto"/>
              <w:ind w:firstLine="0" w:firstLineChars="0"/>
              <w:jc w:val="center"/>
              <w:rPr>
                <w:rFonts w:ascii="Times New Roman" w:hAnsi="Times New Roman"/>
                <w:color w:val="auto"/>
                <w:kern w:val="0"/>
                <w:sz w:val="21"/>
                <w:szCs w:val="21"/>
                <w:highlight w:val="none"/>
              </w:rPr>
            </w:pPr>
            <w:r>
              <w:rPr>
                <w:rFonts w:ascii="Times New Roman" w:hAnsi="Times New Roman"/>
                <w:color w:val="auto"/>
                <w:kern w:val="0"/>
                <w:sz w:val="21"/>
                <w:szCs w:val="21"/>
                <w:highlight w:val="none"/>
                <w:lang w:bidi="ar"/>
              </w:rPr>
              <w:t>NOx</w:t>
            </w:r>
          </w:p>
        </w:tc>
        <w:tc>
          <w:tcPr>
            <w:tcW w:w="2841" w:type="dxa"/>
            <w:tcBorders>
              <w:top w:val="single" w:color="auto" w:sz="4" w:space="0"/>
              <w:left w:val="single" w:color="auto" w:sz="4" w:space="0"/>
              <w:bottom w:val="single" w:color="auto" w:sz="4" w:space="0"/>
              <w:right w:val="nil"/>
            </w:tcBorders>
            <w:noWrap w:val="0"/>
            <w:vAlign w:val="center"/>
          </w:tcPr>
          <w:p w14:paraId="4704AF57">
            <w:pPr>
              <w:adjustRightInd w:val="0"/>
              <w:spacing w:line="240" w:lineRule="auto"/>
              <w:ind w:firstLine="0" w:firstLineChars="0"/>
              <w:jc w:val="center"/>
              <w:textAlignment w:val="center"/>
              <w:rPr>
                <w:rFonts w:hint="default" w:ascii="Times New Roman" w:hAnsi="Times New Roman"/>
                <w:bCs/>
                <w:color w:val="auto"/>
                <w:kern w:val="0"/>
                <w:sz w:val="21"/>
                <w:szCs w:val="21"/>
                <w:highlight w:val="none"/>
                <w:lang w:val="en-US"/>
              </w:rPr>
            </w:pPr>
            <w:r>
              <w:rPr>
                <w:rFonts w:hint="eastAsia" w:ascii="Times New Roman" w:hAnsi="Times New Roman"/>
                <w:color w:val="auto"/>
                <w:sz w:val="21"/>
                <w:szCs w:val="21"/>
                <w:highlight w:val="none"/>
                <w:lang w:val="en-US" w:eastAsia="zh-CN"/>
              </w:rPr>
              <w:t>39.511</w:t>
            </w:r>
          </w:p>
        </w:tc>
      </w:tr>
      <w:tr w14:paraId="238D387B">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4" w:space="0"/>
              <w:right w:val="single" w:color="auto" w:sz="4" w:space="0"/>
            </w:tcBorders>
            <w:noWrap w:val="0"/>
            <w:vAlign w:val="center"/>
          </w:tcPr>
          <w:p w14:paraId="2FFD8EA9">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4</w:t>
            </w:r>
          </w:p>
        </w:tc>
        <w:tc>
          <w:tcPr>
            <w:tcW w:w="1667" w:type="pct"/>
            <w:tcBorders>
              <w:top w:val="single" w:color="auto" w:sz="4" w:space="0"/>
              <w:left w:val="single" w:color="auto" w:sz="4" w:space="0"/>
              <w:bottom w:val="single" w:color="auto" w:sz="4" w:space="0"/>
              <w:right w:val="single" w:color="auto" w:sz="4" w:space="0"/>
            </w:tcBorders>
            <w:noWrap w:val="0"/>
            <w:vAlign w:val="center"/>
          </w:tcPr>
          <w:p w14:paraId="11E99AC6">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汞及其化合物</w:t>
            </w:r>
          </w:p>
        </w:tc>
        <w:tc>
          <w:tcPr>
            <w:tcW w:w="2841" w:type="dxa"/>
            <w:tcBorders>
              <w:top w:val="single" w:color="auto" w:sz="4" w:space="0"/>
              <w:left w:val="single" w:color="auto" w:sz="4" w:space="0"/>
              <w:bottom w:val="single" w:color="auto" w:sz="4" w:space="0"/>
              <w:right w:val="nil"/>
            </w:tcBorders>
            <w:noWrap w:val="0"/>
            <w:vAlign w:val="center"/>
          </w:tcPr>
          <w:p w14:paraId="3DC1CC54">
            <w:pPr>
              <w:adjustRightInd w:val="0"/>
              <w:spacing w:line="240" w:lineRule="auto"/>
              <w:ind w:firstLine="0" w:firstLineChars="0"/>
              <w:jc w:val="center"/>
              <w:textAlignment w:val="center"/>
              <w:rPr>
                <w:rFonts w:ascii="Times New Roman" w:hAnsi="Times New Roman"/>
                <w:color w:val="auto"/>
                <w:sz w:val="21"/>
                <w:szCs w:val="21"/>
                <w:highlight w:val="none"/>
              </w:rPr>
            </w:pPr>
            <w:r>
              <w:rPr>
                <w:rFonts w:ascii="Times New Roman" w:hAnsi="Times New Roman"/>
                <w:color w:val="auto"/>
                <w:sz w:val="21"/>
                <w:szCs w:val="21"/>
                <w:highlight w:val="none"/>
              </w:rPr>
              <w:t>0.00</w:t>
            </w:r>
            <w:r>
              <w:rPr>
                <w:rFonts w:hint="eastAsia" w:ascii="Times New Roman" w:hAnsi="Times New Roman"/>
                <w:color w:val="auto"/>
                <w:sz w:val="21"/>
                <w:szCs w:val="21"/>
                <w:highlight w:val="none"/>
                <w:lang w:val="en-US" w:eastAsia="zh-CN"/>
              </w:rPr>
              <w:t>16</w:t>
            </w:r>
          </w:p>
        </w:tc>
      </w:tr>
      <w:tr w14:paraId="26EE8A26">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4" w:space="0"/>
              <w:right w:val="single" w:color="auto" w:sz="4" w:space="0"/>
            </w:tcBorders>
            <w:noWrap w:val="0"/>
            <w:vAlign w:val="center"/>
          </w:tcPr>
          <w:p w14:paraId="4DC5EDD0">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5</w:t>
            </w:r>
          </w:p>
        </w:tc>
        <w:tc>
          <w:tcPr>
            <w:tcW w:w="1667" w:type="pct"/>
            <w:tcBorders>
              <w:top w:val="single" w:color="auto" w:sz="4" w:space="0"/>
              <w:left w:val="single" w:color="auto" w:sz="4" w:space="0"/>
              <w:bottom w:val="single" w:color="auto" w:sz="4" w:space="0"/>
              <w:right w:val="single" w:color="auto" w:sz="4" w:space="0"/>
            </w:tcBorders>
            <w:noWrap w:val="0"/>
            <w:vAlign w:val="center"/>
          </w:tcPr>
          <w:p w14:paraId="2C1C1662">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氨</w:t>
            </w:r>
          </w:p>
        </w:tc>
        <w:tc>
          <w:tcPr>
            <w:tcW w:w="2841" w:type="dxa"/>
            <w:tcBorders>
              <w:top w:val="single" w:color="auto" w:sz="4" w:space="0"/>
              <w:left w:val="single" w:color="auto" w:sz="4" w:space="0"/>
              <w:bottom w:val="single" w:color="auto" w:sz="4" w:space="0"/>
              <w:right w:val="nil"/>
            </w:tcBorders>
            <w:noWrap w:val="0"/>
            <w:vAlign w:val="center"/>
          </w:tcPr>
          <w:p w14:paraId="6242EFBB">
            <w:pPr>
              <w:adjustRightInd w:val="0"/>
              <w:spacing w:line="240" w:lineRule="auto"/>
              <w:ind w:firstLine="0" w:firstLineChars="0"/>
              <w:jc w:val="center"/>
              <w:textAlignment w:val="center"/>
              <w:rPr>
                <w:rFonts w:hint="default" w:ascii="Times New Roman" w:hAnsi="Times New Roman"/>
                <w:color w:val="auto"/>
                <w:sz w:val="21"/>
                <w:szCs w:val="21"/>
                <w:highlight w:val="none"/>
                <w:lang w:val="en-US"/>
              </w:rPr>
            </w:pPr>
            <w:r>
              <w:rPr>
                <w:rFonts w:hint="eastAsia" w:ascii="Times New Roman" w:hAnsi="Times New Roman"/>
                <w:color w:val="auto"/>
                <w:sz w:val="21"/>
                <w:szCs w:val="21"/>
                <w:highlight w:val="none"/>
                <w:lang w:val="en-US" w:eastAsia="zh-CN"/>
              </w:rPr>
              <w:t>1.96</w:t>
            </w:r>
          </w:p>
        </w:tc>
      </w:tr>
      <w:tr w14:paraId="23B145F5">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jc w:val="center"/>
        </w:trPr>
        <w:tc>
          <w:tcPr>
            <w:tcW w:w="1666" w:type="pct"/>
            <w:tcBorders>
              <w:top w:val="single" w:color="auto" w:sz="4" w:space="0"/>
              <w:left w:val="nil"/>
              <w:bottom w:val="single" w:color="auto" w:sz="12" w:space="0"/>
              <w:right w:val="single" w:color="auto" w:sz="4" w:space="0"/>
            </w:tcBorders>
            <w:noWrap w:val="0"/>
            <w:vAlign w:val="center"/>
          </w:tcPr>
          <w:p w14:paraId="21B3196A">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6</w:t>
            </w:r>
          </w:p>
        </w:tc>
        <w:tc>
          <w:tcPr>
            <w:tcW w:w="1667" w:type="pct"/>
            <w:tcBorders>
              <w:top w:val="single" w:color="auto" w:sz="4" w:space="0"/>
              <w:left w:val="single" w:color="auto" w:sz="4" w:space="0"/>
              <w:bottom w:val="single" w:color="auto" w:sz="12" w:space="0"/>
              <w:right w:val="single" w:color="auto" w:sz="4" w:space="0"/>
            </w:tcBorders>
            <w:noWrap w:val="0"/>
            <w:vAlign w:val="center"/>
          </w:tcPr>
          <w:p w14:paraId="4C281B50">
            <w:pPr>
              <w:spacing w:line="240" w:lineRule="auto"/>
              <w:ind w:firstLine="0" w:firstLineChars="0"/>
              <w:jc w:val="center"/>
              <w:rPr>
                <w:rFonts w:ascii="Times New Roman" w:hAnsi="Times New Roman"/>
                <w:color w:val="auto"/>
                <w:kern w:val="0"/>
                <w:sz w:val="21"/>
                <w:szCs w:val="21"/>
                <w:highlight w:val="none"/>
                <w:lang w:bidi="ar"/>
              </w:rPr>
            </w:pPr>
            <w:r>
              <w:rPr>
                <w:rFonts w:ascii="Times New Roman" w:hAnsi="Times New Roman"/>
                <w:color w:val="auto"/>
                <w:kern w:val="0"/>
                <w:sz w:val="21"/>
                <w:szCs w:val="21"/>
                <w:highlight w:val="none"/>
                <w:lang w:bidi="ar"/>
              </w:rPr>
              <w:t>工业粉尘</w:t>
            </w:r>
          </w:p>
        </w:tc>
        <w:tc>
          <w:tcPr>
            <w:tcW w:w="1667" w:type="pct"/>
            <w:tcBorders>
              <w:top w:val="single" w:color="auto" w:sz="4" w:space="0"/>
              <w:left w:val="single" w:color="auto" w:sz="4" w:space="0"/>
              <w:bottom w:val="single" w:color="auto" w:sz="12" w:space="0"/>
              <w:right w:val="nil"/>
            </w:tcBorders>
            <w:noWrap w:val="0"/>
            <w:vAlign w:val="center"/>
          </w:tcPr>
          <w:p w14:paraId="35107027">
            <w:pPr>
              <w:adjustRightInd w:val="0"/>
              <w:spacing w:line="240" w:lineRule="auto"/>
              <w:ind w:firstLine="0" w:firstLineChars="0"/>
              <w:jc w:val="center"/>
              <w:textAlignment w:val="center"/>
              <w:rPr>
                <w:rFonts w:hint="default" w:ascii="Times New Roman" w:hAnsi="Times New Roman"/>
                <w:color w:val="auto"/>
                <w:sz w:val="21"/>
                <w:szCs w:val="21"/>
                <w:highlight w:val="none"/>
                <w:lang w:val="en-US"/>
              </w:rPr>
            </w:pPr>
            <w:r>
              <w:rPr>
                <w:rFonts w:hint="eastAsia" w:ascii="Times New Roman" w:hAnsi="Times New Roman"/>
                <w:color w:val="auto"/>
                <w:sz w:val="21"/>
                <w:szCs w:val="21"/>
                <w:highlight w:val="none"/>
                <w:lang w:val="en-US" w:eastAsia="zh-CN"/>
              </w:rPr>
              <w:t>0.0894</w:t>
            </w:r>
          </w:p>
        </w:tc>
      </w:tr>
    </w:tbl>
    <w:p w14:paraId="6DDE9B04">
      <w:pPr>
        <w:ind w:firstLine="480"/>
        <w:rPr>
          <w:rFonts w:ascii="Times New Roman" w:hAnsi="Times New Roman"/>
          <w:color w:val="auto"/>
          <w:highlight w:val="none"/>
        </w:rPr>
      </w:pPr>
      <w:r>
        <w:rPr>
          <w:rFonts w:ascii="Times New Roman" w:hAnsi="Times New Roman"/>
          <w:color w:val="auto"/>
          <w:highlight w:val="none"/>
        </w:rPr>
        <w:t>四、大气环境影响评价结论</w:t>
      </w:r>
    </w:p>
    <w:p w14:paraId="2623CBDE">
      <w:pPr>
        <w:ind w:firstLine="480"/>
        <w:rPr>
          <w:rFonts w:ascii="Times New Roman" w:hAnsi="Times New Roman"/>
          <w:color w:val="auto"/>
          <w:highlight w:val="none"/>
        </w:rPr>
      </w:pPr>
      <w:r>
        <w:rPr>
          <w:rFonts w:ascii="Times New Roman" w:hAnsi="Times New Roman"/>
          <w:color w:val="auto"/>
          <w:highlight w:val="none"/>
        </w:rPr>
        <w:t>项目位于环境空气二类区的环境空气质量达标区。评价范围</w:t>
      </w:r>
      <w:r>
        <w:rPr>
          <w:rFonts w:hint="eastAsia" w:ascii="Times New Roman" w:hAnsi="Times New Roman"/>
          <w:color w:val="auto"/>
          <w:highlight w:val="none"/>
          <w:lang w:val="en-US" w:eastAsia="zh-CN"/>
        </w:rPr>
        <w:t>二</w:t>
      </w:r>
      <w:r>
        <w:rPr>
          <w:rFonts w:ascii="Times New Roman" w:hAnsi="Times New Roman"/>
          <w:color w:val="auto"/>
          <w:highlight w:val="none"/>
        </w:rPr>
        <w:t>类区的环境空气质量</w:t>
      </w:r>
      <w:r>
        <w:rPr>
          <w:rFonts w:hint="eastAsia" w:ascii="Times New Roman" w:hAnsi="Times New Roman"/>
          <w:color w:val="auto"/>
          <w:highlight w:val="none"/>
          <w:lang w:val="en-US" w:eastAsia="zh-CN"/>
        </w:rPr>
        <w:t>为</w:t>
      </w:r>
      <w:r>
        <w:rPr>
          <w:rFonts w:ascii="Times New Roman" w:hAnsi="Times New Roman"/>
          <w:color w:val="auto"/>
          <w:highlight w:val="none"/>
        </w:rPr>
        <w:t>达标区</w:t>
      </w:r>
      <w:r>
        <w:rPr>
          <w:rFonts w:hint="eastAsia" w:ascii="Times New Roman" w:hAnsi="Times New Roman"/>
          <w:color w:val="auto"/>
          <w:highlight w:val="none"/>
          <w:lang w:eastAsia="zh-CN"/>
        </w:rPr>
        <w:t>。</w:t>
      </w:r>
      <w:r>
        <w:rPr>
          <w:rFonts w:ascii="Times New Roman" w:hAnsi="Times New Roman"/>
          <w:color w:val="auto"/>
          <w:highlight w:val="none"/>
        </w:rPr>
        <w:t>大气环境影响评价结论如下：</w:t>
      </w:r>
    </w:p>
    <w:p w14:paraId="28BE12D5">
      <w:pPr>
        <w:ind w:firstLine="480"/>
        <w:rPr>
          <w:rFonts w:ascii="Times New Roman" w:hAnsi="Times New Roman"/>
          <w:color w:val="auto"/>
          <w:highlight w:val="none"/>
        </w:rPr>
      </w:pPr>
      <w:r>
        <w:rPr>
          <w:rFonts w:ascii="Times New Roman" w:hAnsi="Times New Roman"/>
          <w:color w:val="auto"/>
          <w:highlight w:val="none"/>
        </w:rPr>
        <w:t>（1）新增污染源正常排放下最大落地浓度点及敏感点PM</w:t>
      </w:r>
      <w:r>
        <w:rPr>
          <w:rFonts w:ascii="Times New Roman" w:hAnsi="Times New Roman"/>
          <w:color w:val="auto"/>
          <w:highlight w:val="none"/>
          <w:vertAlign w:val="subscript"/>
        </w:rPr>
        <w:t>10</w:t>
      </w:r>
      <w:r>
        <w:rPr>
          <w:rFonts w:ascii="Times New Roman" w:hAnsi="Times New Roman"/>
          <w:color w:val="auto"/>
          <w:highlight w:val="none"/>
        </w:rPr>
        <w:t>、SO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2</w:t>
      </w:r>
      <w:r>
        <w:rPr>
          <w:rFonts w:ascii="Times New Roman" w:hAnsi="Times New Roman"/>
          <w:color w:val="auto"/>
          <w:highlight w:val="none"/>
        </w:rPr>
        <w:t>、氨气短期浓度贡献值的最大落地浓度占标均≤100%。</w:t>
      </w:r>
    </w:p>
    <w:p w14:paraId="0B045462">
      <w:pPr>
        <w:ind w:firstLine="480"/>
        <w:rPr>
          <w:rFonts w:ascii="Times New Roman" w:hAnsi="Times New Roman"/>
          <w:color w:val="auto"/>
          <w:highlight w:val="none"/>
        </w:rPr>
      </w:pPr>
      <w:r>
        <w:rPr>
          <w:rFonts w:ascii="Times New Roman" w:hAnsi="Times New Roman"/>
          <w:color w:val="auto"/>
          <w:highlight w:val="none"/>
        </w:rPr>
        <w:t>（2）新增污染源正常排放下最大落地浓度点及敏感点PM</w:t>
      </w:r>
      <w:r>
        <w:rPr>
          <w:rFonts w:ascii="Times New Roman" w:hAnsi="Times New Roman"/>
          <w:color w:val="auto"/>
          <w:highlight w:val="none"/>
          <w:vertAlign w:val="subscript"/>
        </w:rPr>
        <w:t>10</w:t>
      </w:r>
      <w:r>
        <w:rPr>
          <w:rFonts w:ascii="Times New Roman" w:hAnsi="Times New Roman"/>
          <w:color w:val="auto"/>
          <w:highlight w:val="none"/>
        </w:rPr>
        <w:t>、SO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2</w:t>
      </w:r>
      <w:r>
        <w:rPr>
          <w:rFonts w:ascii="Times New Roman" w:hAnsi="Times New Roman"/>
          <w:color w:val="auto"/>
          <w:highlight w:val="none"/>
        </w:rPr>
        <w:t>、Hg年浓度贡献值的最大落地浓度占标均≤30%。</w:t>
      </w:r>
    </w:p>
    <w:p w14:paraId="76B60D0A">
      <w:pPr>
        <w:ind w:firstLine="480"/>
        <w:rPr>
          <w:rFonts w:ascii="Times New Roman" w:hAnsi="Times New Roman"/>
          <w:color w:val="auto"/>
          <w:highlight w:val="none"/>
        </w:rPr>
      </w:pPr>
      <w:r>
        <w:rPr>
          <w:rFonts w:ascii="Times New Roman" w:hAnsi="Times New Roman"/>
          <w:color w:val="auto"/>
          <w:highlight w:val="none"/>
        </w:rPr>
        <w:t>（3）项目环境影响符合区域环境功能区划。</w:t>
      </w:r>
    </w:p>
    <w:p w14:paraId="26642B3C">
      <w:pPr>
        <w:ind w:firstLine="480"/>
        <w:rPr>
          <w:rFonts w:ascii="Times New Roman" w:hAnsi="Times New Roman"/>
          <w:color w:val="auto"/>
          <w:highlight w:val="none"/>
        </w:rPr>
      </w:pPr>
      <w:r>
        <w:rPr>
          <w:rFonts w:ascii="Times New Roman" w:hAnsi="Times New Roman"/>
          <w:color w:val="auto"/>
          <w:highlight w:val="none"/>
        </w:rPr>
        <w:t>（4）叠加现状浓度、</w:t>
      </w:r>
      <w:r>
        <w:rPr>
          <w:rFonts w:hint="eastAsia" w:ascii="Times New Roman" w:hAnsi="Times New Roman"/>
          <w:color w:val="auto"/>
          <w:highlight w:val="none"/>
        </w:rPr>
        <w:t>拟在建浓度、</w:t>
      </w:r>
      <w:r>
        <w:rPr>
          <w:rFonts w:ascii="Times New Roman" w:hAnsi="Times New Roman"/>
          <w:color w:val="auto"/>
          <w:highlight w:val="none"/>
        </w:rPr>
        <w:t>区域削减浓度的环境影响后，最大落地浓度点及敏感点PM</w:t>
      </w:r>
      <w:r>
        <w:rPr>
          <w:rFonts w:ascii="Times New Roman" w:hAnsi="Times New Roman"/>
          <w:color w:val="auto"/>
          <w:highlight w:val="none"/>
          <w:vertAlign w:val="subscript"/>
        </w:rPr>
        <w:t>10</w:t>
      </w:r>
      <w:r>
        <w:rPr>
          <w:rFonts w:ascii="Times New Roman" w:hAnsi="Times New Roman"/>
          <w:color w:val="auto"/>
          <w:highlight w:val="none"/>
        </w:rPr>
        <w:t>、SO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2</w:t>
      </w:r>
      <w:r>
        <w:rPr>
          <w:rFonts w:hint="eastAsia" w:ascii="Times New Roman" w:hAnsi="Times New Roman"/>
          <w:color w:val="auto"/>
          <w:highlight w:val="none"/>
          <w:vertAlign w:val="subscript"/>
        </w:rPr>
        <w:t>、</w:t>
      </w:r>
      <w:r>
        <w:rPr>
          <w:rFonts w:hint="eastAsia" w:ascii="Times New Roman" w:hAnsi="Times New Roman"/>
          <w:color w:val="auto"/>
          <w:highlight w:val="none"/>
        </w:rPr>
        <w:t>氨的小时值、</w:t>
      </w:r>
      <w:r>
        <w:rPr>
          <w:rFonts w:ascii="Times New Roman" w:hAnsi="Times New Roman"/>
          <w:color w:val="auto"/>
          <w:highlight w:val="none"/>
        </w:rPr>
        <w:t>保证率日平均质量浓度和年平均质量浓度均符合《环境空气质量标准》（GB3095-2012）。</w:t>
      </w:r>
    </w:p>
    <w:p w14:paraId="3C1EF96F">
      <w:pPr>
        <w:ind w:firstLine="480"/>
        <w:rPr>
          <w:rFonts w:ascii="Times New Roman" w:hAnsi="Times New Roman"/>
          <w:color w:val="auto"/>
          <w:highlight w:val="none"/>
        </w:rPr>
      </w:pPr>
      <w:r>
        <w:rPr>
          <w:rFonts w:ascii="Times New Roman" w:hAnsi="Times New Roman"/>
          <w:color w:val="auto"/>
          <w:highlight w:val="none"/>
        </w:rPr>
        <w:t>（5）本项目</w:t>
      </w:r>
      <w:r>
        <w:rPr>
          <w:rFonts w:hint="eastAsia" w:ascii="Times New Roman" w:hAnsi="Times New Roman"/>
          <w:color w:val="auto"/>
          <w:highlight w:val="none"/>
          <w:lang w:val="en-US" w:eastAsia="zh-CN"/>
        </w:rPr>
        <w:t>无</w:t>
      </w:r>
      <w:r>
        <w:rPr>
          <w:rFonts w:ascii="Times New Roman" w:hAnsi="Times New Roman"/>
          <w:color w:val="auto"/>
          <w:highlight w:val="none"/>
        </w:rPr>
        <w:t>区域削减</w:t>
      </w:r>
      <w:r>
        <w:rPr>
          <w:rFonts w:hint="eastAsia" w:ascii="Times New Roman" w:hAnsi="Times New Roman"/>
          <w:color w:val="auto"/>
          <w:highlight w:val="none"/>
          <w:lang w:val="en-US" w:eastAsia="zh-CN"/>
        </w:rPr>
        <w:t>污染源</w:t>
      </w:r>
      <w:r>
        <w:rPr>
          <w:rFonts w:ascii="Times New Roman" w:hAnsi="Times New Roman"/>
          <w:color w:val="auto"/>
          <w:highlight w:val="none"/>
        </w:rPr>
        <w:t>。</w:t>
      </w:r>
      <w:r>
        <w:rPr>
          <w:rFonts w:hint="eastAsia" w:ascii="Times New Roman" w:hAnsi="Times New Roman"/>
          <w:color w:val="auto"/>
          <w:highlight w:val="none"/>
          <w:lang w:val="en-US" w:eastAsia="zh-CN"/>
        </w:rPr>
        <w:t>本项目已执行超低排放改造</w:t>
      </w:r>
      <w:r>
        <w:rPr>
          <w:rFonts w:ascii="Times New Roman" w:hAnsi="Times New Roman"/>
          <w:color w:val="auto"/>
          <w:highlight w:val="none"/>
        </w:rPr>
        <w:t>，可判定项目建设后区域环境质量得到整体改善。</w:t>
      </w:r>
    </w:p>
    <w:p w14:paraId="76270E91">
      <w:pPr>
        <w:ind w:firstLine="480"/>
        <w:rPr>
          <w:rFonts w:ascii="Times New Roman" w:hAnsi="Times New Roman"/>
          <w:color w:val="auto"/>
          <w:highlight w:val="none"/>
        </w:rPr>
      </w:pPr>
      <w:r>
        <w:rPr>
          <w:rFonts w:ascii="Times New Roman" w:hAnsi="Times New Roman"/>
          <w:color w:val="auto"/>
          <w:highlight w:val="none"/>
        </w:rPr>
        <w:t>（6）根据EIApro2018大气软件的环境防护区域预测模式的计算结果，项目各污染物小时贡献浓度、日均贡献浓度均无超标点，无需设置大气环境防护距离。</w:t>
      </w:r>
    </w:p>
    <w:p w14:paraId="748F4692">
      <w:pPr>
        <w:ind w:firstLine="480"/>
        <w:rPr>
          <w:rFonts w:hint="default" w:ascii="Times New Roman" w:hAnsi="Times New Roman" w:eastAsia="宋体"/>
          <w:color w:val="auto"/>
          <w:highlight w:val="none"/>
          <w:lang w:val="en-US" w:eastAsia="zh-CN"/>
        </w:rPr>
      </w:pPr>
      <w:r>
        <w:rPr>
          <w:rFonts w:ascii="Times New Roman" w:hAnsi="Times New Roman"/>
          <w:color w:val="auto"/>
          <w:highlight w:val="none"/>
        </w:rPr>
        <w:t>（7）本项目厂界颗粒物浓度能够满足《大气污染物综合排放标准》（GB16297-1996）表2无组织排放监控浓度限值。根据《火电厂脱硝工程技术规范选择性非催化还原法》要求脱硝系统氨逃逸质量浓度应分别控制在2.5mg/m</w:t>
      </w:r>
      <w:r>
        <w:rPr>
          <w:rFonts w:ascii="Times New Roman" w:hAnsi="Times New Roman"/>
          <w:color w:val="auto"/>
          <w:highlight w:val="none"/>
          <w:vertAlign w:val="superscript"/>
        </w:rPr>
        <w:t>3</w:t>
      </w:r>
      <w:r>
        <w:rPr>
          <w:rFonts w:ascii="Times New Roman" w:hAnsi="Times New Roman"/>
          <w:color w:val="auto"/>
          <w:highlight w:val="none"/>
        </w:rPr>
        <w:t>以下。可保证厂界氨的浓度满足《恶臭污染物排放标准》（GB14554-93）中表1二级标准值要求。</w:t>
      </w:r>
    </w:p>
    <w:p w14:paraId="124635EF">
      <w:pPr>
        <w:ind w:firstLine="480"/>
        <w:rPr>
          <w:rFonts w:ascii="Times New Roman" w:hAnsi="Times New Roman"/>
          <w:color w:val="auto"/>
          <w:highlight w:val="none"/>
        </w:rPr>
      </w:pPr>
      <w:r>
        <w:rPr>
          <w:rFonts w:ascii="Times New Roman" w:hAnsi="Times New Roman"/>
          <w:color w:val="auto"/>
          <w:highlight w:val="none"/>
        </w:rPr>
        <w:t>（8）在除尘器布袋破损、脱硫塔设备故障及脱硝系统不能投运的非正常工况下，区域最大浓度点及各敏感目标贡献浓度占标率均小于100%，可以达到《环境空气质量标准》（GB3095-2012）中限值要求，不会对环境空气产生影响，但企业也应时刻关注环保设施的运行状况，避免非正常工况的发生。</w:t>
      </w:r>
    </w:p>
    <w:p w14:paraId="377CB27A">
      <w:pPr>
        <w:ind w:firstLine="480"/>
        <w:rPr>
          <w:rFonts w:ascii="Times New Roman" w:hAnsi="Times New Roman"/>
          <w:color w:val="auto"/>
          <w:highlight w:val="none"/>
        </w:rPr>
      </w:pPr>
      <w:r>
        <w:rPr>
          <w:rFonts w:ascii="Times New Roman" w:hAnsi="Times New Roman"/>
          <w:color w:val="auto"/>
          <w:highlight w:val="none"/>
        </w:rPr>
        <w:t>因此，本项目建成后，大气环境影响可接受，项目大气污染物排放方案可行。</w:t>
      </w:r>
    </w:p>
    <w:p w14:paraId="5996E626">
      <w:pPr>
        <w:pStyle w:val="4"/>
        <w:bidi w:val="0"/>
        <w:ind w:left="0" w:leftChars="0" w:firstLine="0" w:firstLineChars="0"/>
        <w:rPr>
          <w:rFonts w:hint="default"/>
          <w:highlight w:val="none"/>
          <w:lang w:val="en-US" w:eastAsia="zh-CN"/>
        </w:rPr>
      </w:pPr>
      <w:bookmarkStart w:id="133" w:name="_Toc31935"/>
      <w:r>
        <w:rPr>
          <w:rFonts w:hint="default" w:ascii="Times New Roman" w:hAnsi="Times New Roman" w:cs="Times New Roman"/>
          <w:highlight w:val="none"/>
          <w:lang w:val="en-US" w:eastAsia="zh-CN"/>
        </w:rPr>
        <w:t>5.3</w:t>
      </w:r>
      <w:r>
        <w:rPr>
          <w:rFonts w:hint="eastAsia"/>
          <w:highlight w:val="none"/>
          <w:lang w:val="en-US" w:eastAsia="zh-CN"/>
        </w:rPr>
        <w:t>地表水环境影响分析</w:t>
      </w:r>
      <w:bookmarkEnd w:id="133"/>
    </w:p>
    <w:p w14:paraId="40CB2552">
      <w:pPr>
        <w:ind w:firstLine="480"/>
        <w:rPr>
          <w:rFonts w:ascii="Times New Roman" w:hAnsi="Times New Roman"/>
          <w:highlight w:val="none"/>
        </w:rPr>
      </w:pPr>
      <w:r>
        <w:rPr>
          <w:rFonts w:ascii="Times New Roman" w:hAnsi="Times New Roman"/>
          <w:highlight w:val="none"/>
        </w:rPr>
        <w:t>本工程在运行过程中废水主要为生产废水，生产废水主要为锅炉排污水、脱硫废水，处理后全部回收利用不外排。本项目工作人员</w:t>
      </w:r>
      <w:r>
        <w:rPr>
          <w:rFonts w:hint="eastAsia" w:ascii="Times New Roman" w:hAnsi="Times New Roman"/>
          <w:highlight w:val="none"/>
          <w:lang w:val="en-US" w:eastAsia="zh-CN"/>
        </w:rPr>
        <w:t>175</w:t>
      </w:r>
      <w:r>
        <w:rPr>
          <w:rFonts w:ascii="Times New Roman" w:hAnsi="Times New Roman"/>
          <w:highlight w:val="none"/>
        </w:rPr>
        <w:t>人。</w:t>
      </w:r>
    </w:p>
    <w:p w14:paraId="06D6461D">
      <w:pPr>
        <w:ind w:firstLine="480"/>
        <w:rPr>
          <w:rFonts w:ascii="Times New Roman" w:hAnsi="Times New Roman"/>
          <w:highlight w:val="none"/>
        </w:rPr>
      </w:pPr>
      <w:r>
        <w:rPr>
          <w:rFonts w:ascii="Times New Roman" w:hAnsi="Times New Roman"/>
          <w:highlight w:val="none"/>
        </w:rPr>
        <w:t>厂区内排水系统采用分流制：雨水排水系统。生产废水主要有锅炉排污水、脱硫废水等，锅炉排污水、脱硫废水回用于生产，不外排。本项目不设置化学实验室，无实验室废液。</w:t>
      </w:r>
    </w:p>
    <w:p w14:paraId="69542CAE">
      <w:pPr>
        <w:pStyle w:val="7"/>
        <w:ind w:firstLine="480"/>
        <w:rPr>
          <w:rFonts w:ascii="Times New Roman" w:hAnsi="Times New Roman"/>
          <w:szCs w:val="24"/>
          <w:highlight w:val="none"/>
        </w:rPr>
      </w:pPr>
      <w:r>
        <w:rPr>
          <w:rFonts w:ascii="Times New Roman" w:hAnsi="Times New Roman"/>
          <w:szCs w:val="24"/>
          <w:highlight w:val="none"/>
        </w:rPr>
        <w:t>锅炉排污水回用于</w:t>
      </w:r>
      <w:r>
        <w:rPr>
          <w:rFonts w:hint="eastAsia" w:ascii="Times New Roman" w:hAnsi="Times New Roman"/>
          <w:szCs w:val="24"/>
          <w:highlight w:val="none"/>
        </w:rPr>
        <w:t>用于冷渣器冷却水系统补水（</w:t>
      </w:r>
      <w:r>
        <w:rPr>
          <w:rFonts w:hint="eastAsia" w:ascii="Times New Roman" w:hAnsi="Times New Roman"/>
          <w:szCs w:val="24"/>
          <w:highlight w:val="none"/>
          <w:lang w:val="en-US" w:eastAsia="zh-CN"/>
        </w:rPr>
        <w:t>6m³/h，30240</w:t>
      </w:r>
      <w:r>
        <w:rPr>
          <w:rFonts w:hint="eastAsia" w:ascii="Times New Roman" w:hAnsi="Times New Roman"/>
          <w:highlight w:val="none"/>
          <w:lang w:val="en-US" w:eastAsia="zh-CN"/>
        </w:rPr>
        <w:t>t/a</w:t>
      </w:r>
      <w:r>
        <w:rPr>
          <w:rFonts w:hint="eastAsia" w:ascii="Times New Roman" w:hAnsi="Times New Roman"/>
          <w:szCs w:val="24"/>
          <w:highlight w:val="none"/>
        </w:rPr>
        <w:t>）</w:t>
      </w:r>
      <w:r>
        <w:rPr>
          <w:rFonts w:ascii="Times New Roman" w:hAnsi="Times New Roman"/>
          <w:szCs w:val="24"/>
          <w:highlight w:val="none"/>
        </w:rPr>
        <w:t>。脱硫废水采用回流水池→一体化污水处理装置→高效旋流分离器→生物净化装置→多介质净化装置→多功能处理剂→净水箱处理工艺，回用于灰渣加湿</w:t>
      </w:r>
      <w:r>
        <w:rPr>
          <w:rFonts w:hint="eastAsia" w:ascii="Times New Roman" w:hAnsi="Times New Roman"/>
          <w:szCs w:val="24"/>
          <w:highlight w:val="none"/>
        </w:rPr>
        <w:t>（</w:t>
      </w:r>
      <w:r>
        <w:rPr>
          <w:rFonts w:hint="eastAsia" w:ascii="Times New Roman" w:hAnsi="Times New Roman"/>
          <w:szCs w:val="24"/>
          <w:highlight w:val="none"/>
          <w:lang w:val="en-US" w:eastAsia="zh-CN"/>
        </w:rPr>
        <w:t>2</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10080t/a</w:t>
      </w:r>
      <w:r>
        <w:rPr>
          <w:rFonts w:hint="eastAsia" w:ascii="Times New Roman" w:hAnsi="Times New Roman"/>
          <w:szCs w:val="24"/>
          <w:highlight w:val="none"/>
        </w:rPr>
        <w:t>）、煤场洒水降尘（</w:t>
      </w:r>
      <w:r>
        <w:rPr>
          <w:rFonts w:hint="eastAsia" w:ascii="Times New Roman" w:hAnsi="Times New Roman"/>
          <w:szCs w:val="24"/>
          <w:highlight w:val="none"/>
          <w:lang w:val="en-US" w:eastAsia="zh-CN"/>
        </w:rPr>
        <w:t>3</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15069.75t/a</w:t>
      </w:r>
      <w:r>
        <w:rPr>
          <w:rFonts w:hint="eastAsia" w:ascii="Times New Roman" w:hAnsi="Times New Roman"/>
          <w:szCs w:val="24"/>
          <w:highlight w:val="none"/>
        </w:rPr>
        <w:t>）。生活污水（</w:t>
      </w:r>
      <w:r>
        <w:rPr>
          <w:rFonts w:hint="eastAsia" w:ascii="Times New Roman" w:hAnsi="Times New Roman"/>
          <w:szCs w:val="24"/>
          <w:highlight w:val="none"/>
          <w:lang w:val="en-US" w:eastAsia="zh-CN"/>
        </w:rPr>
        <w:t>0.464</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2352t/a</w:t>
      </w:r>
      <w:r>
        <w:rPr>
          <w:rFonts w:hint="eastAsia" w:ascii="Times New Roman" w:hAnsi="Times New Roman"/>
          <w:szCs w:val="24"/>
          <w:highlight w:val="none"/>
        </w:rPr>
        <w:t>）排入化粪池处理后排入市政管网（食堂废水经隔油池处理后与生活污水一同排入化粪池），</w:t>
      </w:r>
      <w:r>
        <w:rPr>
          <w:rFonts w:hint="eastAsia" w:ascii="Times New Roman" w:hAnsi="Times New Roman"/>
          <w:szCs w:val="24"/>
          <w:highlight w:val="none"/>
          <w:lang w:val="en-US" w:eastAsia="zh-CN"/>
        </w:rPr>
        <w:t>经污水管网排入绥芬河中环污水处理有限公司，处理达到《城镇污水处理厂污染物排放标准》(GB18918—2002)一级B标准后最终汇入小绥芬河。</w:t>
      </w:r>
    </w:p>
    <w:p w14:paraId="0DB13CA5">
      <w:pPr>
        <w:rPr>
          <w:rFonts w:ascii="Times New Roman" w:hAnsi="Times New Roman"/>
          <w:highlight w:val="none"/>
        </w:rPr>
      </w:pPr>
      <w:r>
        <w:rPr>
          <w:rFonts w:ascii="Times New Roman" w:hAnsi="Times New Roman"/>
          <w:highlight w:val="none"/>
        </w:rPr>
        <w:t>根据以上分析，本项目投产运行后，对地表水环境的影响较小。</w:t>
      </w:r>
    </w:p>
    <w:p w14:paraId="62EE97CC">
      <w:pPr>
        <w:pStyle w:val="4"/>
        <w:bidi w:val="0"/>
        <w:ind w:left="0" w:leftChars="0" w:firstLine="0" w:firstLineChars="0"/>
        <w:rPr>
          <w:rFonts w:hint="eastAsia"/>
          <w:highlight w:val="none"/>
          <w:lang w:val="en-US" w:eastAsia="zh-CN"/>
        </w:rPr>
      </w:pPr>
      <w:bookmarkStart w:id="134" w:name="_Toc31707"/>
      <w:r>
        <w:rPr>
          <w:rFonts w:hint="default" w:ascii="Times New Roman" w:hAnsi="Times New Roman" w:cs="Times New Roman"/>
          <w:highlight w:val="none"/>
          <w:lang w:val="en-US" w:eastAsia="zh-CN"/>
        </w:rPr>
        <w:t>5.4</w:t>
      </w:r>
      <w:r>
        <w:rPr>
          <w:rFonts w:hint="eastAsia"/>
          <w:highlight w:val="none"/>
          <w:lang w:val="en-US" w:eastAsia="zh-CN"/>
        </w:rPr>
        <w:t>声环境影响预测与评价</w:t>
      </w:r>
      <w:bookmarkEnd w:id="134"/>
    </w:p>
    <w:p w14:paraId="3C0CDC95">
      <w:pPr>
        <w:pStyle w:val="5"/>
        <w:bidi w:val="0"/>
        <w:ind w:left="0" w:leftChars="0" w:firstLine="0" w:firstLineChars="0"/>
        <w:rPr>
          <w:rFonts w:hint="eastAsia"/>
          <w:sz w:val="30"/>
          <w:szCs w:val="30"/>
          <w:highlight w:val="none"/>
          <w:lang w:val="en-US" w:eastAsia="zh-CN"/>
        </w:rPr>
      </w:pPr>
      <w:bookmarkStart w:id="135" w:name="_Toc20206"/>
      <w:r>
        <w:rPr>
          <w:rFonts w:hint="default" w:ascii="Times New Roman" w:hAnsi="Times New Roman" w:cs="Times New Roman"/>
          <w:sz w:val="30"/>
          <w:szCs w:val="30"/>
          <w:highlight w:val="none"/>
          <w:lang w:val="en-US" w:eastAsia="zh-CN"/>
        </w:rPr>
        <w:t>5.4.1</w:t>
      </w:r>
      <w:r>
        <w:rPr>
          <w:rFonts w:hint="eastAsia"/>
          <w:sz w:val="30"/>
          <w:szCs w:val="30"/>
          <w:highlight w:val="none"/>
          <w:lang w:val="en-US" w:eastAsia="zh-CN"/>
        </w:rPr>
        <w:t>预测因子</w:t>
      </w:r>
      <w:bookmarkEnd w:id="135"/>
    </w:p>
    <w:p w14:paraId="6035400A">
      <w:pPr>
        <w:rPr>
          <w:rFonts w:ascii="Times New Roman" w:hAnsi="Times New Roman"/>
          <w:highlight w:val="none"/>
        </w:rPr>
      </w:pPr>
      <w:r>
        <w:rPr>
          <w:rFonts w:ascii="Times New Roman" w:hAnsi="Times New Roman"/>
          <w:highlight w:val="none"/>
        </w:rPr>
        <w:t>昼间等效连续A声级Ld、夜间等效连续A声级Ln。</w:t>
      </w:r>
    </w:p>
    <w:p w14:paraId="331AAC3E">
      <w:pPr>
        <w:pStyle w:val="5"/>
        <w:bidi w:val="0"/>
        <w:ind w:left="0" w:leftChars="0" w:firstLine="0" w:firstLineChars="0"/>
        <w:rPr>
          <w:rFonts w:hint="default" w:ascii="Times New Roman" w:hAnsi="Times New Roman" w:eastAsia="宋体" w:cs="Times New Roman"/>
          <w:sz w:val="30"/>
          <w:szCs w:val="30"/>
          <w:highlight w:val="none"/>
          <w:lang w:val="en-US" w:eastAsia="zh-CN"/>
        </w:rPr>
      </w:pPr>
      <w:bookmarkStart w:id="136" w:name="_Toc26544"/>
      <w:r>
        <w:rPr>
          <w:rFonts w:hint="eastAsia" w:ascii="Times New Roman" w:hAnsi="Times New Roman" w:eastAsia="宋体" w:cs="Times New Roman"/>
          <w:sz w:val="30"/>
          <w:szCs w:val="30"/>
          <w:highlight w:val="none"/>
          <w:lang w:val="en-US" w:eastAsia="zh-CN"/>
        </w:rPr>
        <w:t>5.4.2预测范围</w:t>
      </w:r>
      <w:bookmarkEnd w:id="136"/>
    </w:p>
    <w:p w14:paraId="6A73D954">
      <w:pPr>
        <w:pStyle w:val="23"/>
        <w:rPr>
          <w:rFonts w:ascii="Times New Roman" w:hAnsi="Times New Roman"/>
          <w:highlight w:val="none"/>
        </w:rPr>
      </w:pPr>
      <w:r>
        <w:rPr>
          <w:rFonts w:ascii="Times New Roman" w:hAnsi="Times New Roman"/>
          <w:highlight w:val="none"/>
        </w:rPr>
        <w:t>建设项目厂界向外200m。</w:t>
      </w:r>
    </w:p>
    <w:p w14:paraId="01E5A8FE">
      <w:pPr>
        <w:pStyle w:val="5"/>
        <w:bidi w:val="0"/>
        <w:ind w:left="0" w:leftChars="0" w:firstLine="0" w:firstLineChars="0"/>
        <w:rPr>
          <w:rFonts w:hint="default" w:ascii="Times New Roman" w:hAnsi="Times New Roman" w:eastAsia="宋体" w:cs="Times New Roman"/>
          <w:sz w:val="30"/>
          <w:szCs w:val="30"/>
          <w:highlight w:val="none"/>
          <w:lang w:val="en-US" w:eastAsia="zh-CN"/>
        </w:rPr>
      </w:pPr>
      <w:bookmarkStart w:id="137" w:name="_Toc7659"/>
      <w:r>
        <w:rPr>
          <w:rFonts w:hint="eastAsia" w:ascii="Times New Roman" w:hAnsi="Times New Roman" w:eastAsia="宋体" w:cs="Times New Roman"/>
          <w:sz w:val="30"/>
          <w:szCs w:val="30"/>
          <w:highlight w:val="none"/>
          <w:lang w:val="en-US" w:eastAsia="zh-CN"/>
        </w:rPr>
        <w:t>5.4.3噪声源资料</w:t>
      </w:r>
      <w:bookmarkEnd w:id="137"/>
    </w:p>
    <w:p w14:paraId="6D29945F">
      <w:pPr>
        <w:rPr>
          <w:rFonts w:ascii="Times New Roman" w:hAnsi="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highlight w:val="none"/>
        </w:rPr>
        <w:t>项目产生噪声的噪声源强调查清单见表5.4-1、表5.4-2。噪声源分布见图5.4-1</w:t>
      </w:r>
      <w:r>
        <w:rPr>
          <w:rFonts w:ascii="Times New Roman" w:hAnsi="Times New Roman"/>
          <w:highlight w:val="none"/>
        </w:rPr>
        <w:t>。</w:t>
      </w:r>
    </w:p>
    <w:p w14:paraId="1FF65E6C">
      <w:pPr>
        <w:pStyle w:val="15"/>
        <w:ind w:left="0" w:leftChars="0" w:firstLine="0" w:firstLineChars="0"/>
        <w:jc w:val="center"/>
        <w:rPr>
          <w:highlight w:val="none"/>
        </w:rPr>
      </w:pPr>
      <w:r>
        <w:rPr>
          <w:rFonts w:hint="eastAsia" w:ascii="黑体" w:hAnsi="黑体" w:eastAsia="黑体" w:cs="黑体"/>
          <w:highlight w:val="none"/>
        </w:rPr>
        <w:t>表</w:t>
      </w:r>
      <w:r>
        <w:rPr>
          <w:rFonts w:hint="eastAsia"/>
          <w:highlight w:val="none"/>
        </w:rPr>
        <w:t>5.4-1</w:t>
      </w:r>
      <w:r>
        <w:rPr>
          <w:rFonts w:hint="eastAsia" w:ascii="黑体" w:hAnsi="黑体" w:eastAsia="黑体" w:cs="黑体"/>
          <w:highlight w:val="none"/>
        </w:rPr>
        <w:t>工业企业噪声源强调查清单（室外声源）</w:t>
      </w:r>
    </w:p>
    <w:tbl>
      <w:tblPr>
        <w:tblStyle w:val="17"/>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0" w:type="dxa"/>
          <w:bottom w:w="0" w:type="dxa"/>
          <w:right w:w="0" w:type="dxa"/>
        </w:tblCellMar>
      </w:tblPr>
      <w:tblGrid>
        <w:gridCol w:w="665"/>
        <w:gridCol w:w="1743"/>
        <w:gridCol w:w="989"/>
        <w:gridCol w:w="833"/>
        <w:gridCol w:w="933"/>
        <w:gridCol w:w="3909"/>
        <w:gridCol w:w="3570"/>
        <w:gridCol w:w="1316"/>
      </w:tblGrid>
      <w:tr w14:paraId="4269EC3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vMerge w:val="restart"/>
            <w:noWrap w:val="0"/>
            <w:vAlign w:val="center"/>
          </w:tcPr>
          <w:p w14:paraId="470DD684">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序号</w:t>
            </w:r>
          </w:p>
        </w:tc>
        <w:tc>
          <w:tcPr>
            <w:tcW w:w="624" w:type="pct"/>
            <w:vMerge w:val="restart"/>
            <w:noWrap w:val="0"/>
            <w:vAlign w:val="center"/>
          </w:tcPr>
          <w:p w14:paraId="6DE3BD7E">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声源名称</w:t>
            </w:r>
          </w:p>
        </w:tc>
        <w:tc>
          <w:tcPr>
            <w:tcW w:w="986" w:type="pct"/>
            <w:gridSpan w:val="3"/>
            <w:noWrap w:val="0"/>
            <w:vAlign w:val="center"/>
          </w:tcPr>
          <w:p w14:paraId="459F93EA">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空间相对位置/m</w:t>
            </w:r>
          </w:p>
        </w:tc>
        <w:tc>
          <w:tcPr>
            <w:tcW w:w="1399" w:type="pct"/>
            <w:noWrap w:val="0"/>
            <w:vAlign w:val="center"/>
          </w:tcPr>
          <w:p w14:paraId="30BA32A8">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声源源强</w:t>
            </w:r>
          </w:p>
        </w:tc>
        <w:tc>
          <w:tcPr>
            <w:tcW w:w="1278" w:type="pct"/>
            <w:vMerge w:val="restart"/>
            <w:noWrap w:val="0"/>
            <w:vAlign w:val="center"/>
          </w:tcPr>
          <w:p w14:paraId="75083133">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声源控制措施</w:t>
            </w:r>
          </w:p>
        </w:tc>
        <w:tc>
          <w:tcPr>
            <w:tcW w:w="471" w:type="pct"/>
            <w:vMerge w:val="restart"/>
            <w:noWrap w:val="0"/>
            <w:vAlign w:val="center"/>
          </w:tcPr>
          <w:p w14:paraId="0839D888">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运行时段</w:t>
            </w:r>
          </w:p>
        </w:tc>
      </w:tr>
      <w:tr w14:paraId="1D73BEE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vMerge w:val="continue"/>
            <w:noWrap w:val="0"/>
            <w:vAlign w:val="center"/>
          </w:tcPr>
          <w:p w14:paraId="56E1B8DB">
            <w:pPr>
              <w:autoSpaceDE w:val="0"/>
              <w:autoSpaceDN w:val="0"/>
              <w:spacing w:line="240" w:lineRule="auto"/>
              <w:ind w:firstLine="0" w:firstLineChars="0"/>
              <w:jc w:val="center"/>
              <w:rPr>
                <w:sz w:val="21"/>
                <w:szCs w:val="21"/>
                <w:highlight w:val="none"/>
                <w:lang w:eastAsia="en-US"/>
              </w:rPr>
            </w:pPr>
          </w:p>
        </w:tc>
        <w:tc>
          <w:tcPr>
            <w:tcW w:w="624" w:type="pct"/>
            <w:vMerge w:val="continue"/>
            <w:noWrap w:val="0"/>
            <w:vAlign w:val="center"/>
          </w:tcPr>
          <w:p w14:paraId="4605C632">
            <w:pPr>
              <w:autoSpaceDE w:val="0"/>
              <w:autoSpaceDN w:val="0"/>
              <w:spacing w:line="240" w:lineRule="auto"/>
              <w:ind w:firstLine="0" w:firstLineChars="0"/>
              <w:jc w:val="center"/>
              <w:rPr>
                <w:sz w:val="21"/>
                <w:szCs w:val="21"/>
                <w:highlight w:val="none"/>
                <w:lang w:eastAsia="en-US"/>
              </w:rPr>
            </w:pPr>
          </w:p>
        </w:tc>
        <w:tc>
          <w:tcPr>
            <w:tcW w:w="354" w:type="pct"/>
            <w:noWrap w:val="0"/>
            <w:vAlign w:val="center"/>
          </w:tcPr>
          <w:p w14:paraId="3DCE5ADA">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X</w:t>
            </w:r>
          </w:p>
        </w:tc>
        <w:tc>
          <w:tcPr>
            <w:tcW w:w="298" w:type="pct"/>
            <w:noWrap w:val="0"/>
            <w:vAlign w:val="center"/>
          </w:tcPr>
          <w:p w14:paraId="73E41C90">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Y</w:t>
            </w:r>
          </w:p>
        </w:tc>
        <w:tc>
          <w:tcPr>
            <w:tcW w:w="333" w:type="pct"/>
            <w:noWrap w:val="0"/>
            <w:vAlign w:val="center"/>
          </w:tcPr>
          <w:p w14:paraId="6C5BEE4D">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Z</w:t>
            </w:r>
          </w:p>
        </w:tc>
        <w:tc>
          <w:tcPr>
            <w:tcW w:w="1399" w:type="pct"/>
            <w:noWrap w:val="0"/>
            <w:vAlign w:val="center"/>
          </w:tcPr>
          <w:p w14:paraId="1EB6FB00">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（声压级/距声源距离）/（dB(A)/m）</w:t>
            </w:r>
          </w:p>
        </w:tc>
        <w:tc>
          <w:tcPr>
            <w:tcW w:w="1278" w:type="pct"/>
            <w:vMerge w:val="continue"/>
            <w:noWrap w:val="0"/>
            <w:vAlign w:val="center"/>
          </w:tcPr>
          <w:p w14:paraId="2B1537E0">
            <w:pPr>
              <w:autoSpaceDE w:val="0"/>
              <w:autoSpaceDN w:val="0"/>
              <w:spacing w:line="240" w:lineRule="auto"/>
              <w:ind w:firstLine="0" w:firstLineChars="0"/>
              <w:jc w:val="center"/>
              <w:rPr>
                <w:sz w:val="21"/>
                <w:szCs w:val="21"/>
                <w:highlight w:val="none"/>
                <w:lang w:eastAsia="en-US"/>
              </w:rPr>
            </w:pPr>
          </w:p>
        </w:tc>
        <w:tc>
          <w:tcPr>
            <w:tcW w:w="471" w:type="pct"/>
            <w:vMerge w:val="continue"/>
            <w:noWrap w:val="0"/>
            <w:vAlign w:val="center"/>
          </w:tcPr>
          <w:p w14:paraId="10B94D22">
            <w:pPr>
              <w:autoSpaceDE w:val="0"/>
              <w:autoSpaceDN w:val="0"/>
              <w:spacing w:line="240" w:lineRule="auto"/>
              <w:ind w:firstLine="0" w:firstLineChars="0"/>
              <w:jc w:val="center"/>
              <w:rPr>
                <w:sz w:val="21"/>
                <w:szCs w:val="21"/>
                <w:highlight w:val="none"/>
                <w:lang w:eastAsia="en-US"/>
              </w:rPr>
            </w:pPr>
          </w:p>
        </w:tc>
      </w:tr>
      <w:tr w14:paraId="08647D5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22F8D807">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1</w:t>
            </w:r>
          </w:p>
        </w:tc>
        <w:tc>
          <w:tcPr>
            <w:tcW w:w="624" w:type="pct"/>
            <w:noWrap w:val="0"/>
            <w:vAlign w:val="center"/>
          </w:tcPr>
          <w:p w14:paraId="3D8BF903">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一次风机1#</w:t>
            </w:r>
          </w:p>
        </w:tc>
        <w:tc>
          <w:tcPr>
            <w:tcW w:w="354" w:type="pct"/>
            <w:noWrap w:val="0"/>
            <w:vAlign w:val="center"/>
          </w:tcPr>
          <w:p w14:paraId="2BA5E9E1">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-5.04</w:t>
            </w:r>
          </w:p>
        </w:tc>
        <w:tc>
          <w:tcPr>
            <w:tcW w:w="298" w:type="pct"/>
            <w:noWrap w:val="0"/>
            <w:vAlign w:val="center"/>
          </w:tcPr>
          <w:p w14:paraId="58A60B7D">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-32.49</w:t>
            </w:r>
          </w:p>
        </w:tc>
        <w:tc>
          <w:tcPr>
            <w:tcW w:w="333" w:type="pct"/>
            <w:noWrap w:val="0"/>
            <w:vAlign w:val="center"/>
          </w:tcPr>
          <w:p w14:paraId="75C61293">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432A8D6D">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1D90A164">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restart"/>
            <w:noWrap w:val="0"/>
            <w:vAlign w:val="center"/>
          </w:tcPr>
          <w:p w14:paraId="4F6B670F">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昼间、夜间</w:t>
            </w:r>
          </w:p>
        </w:tc>
      </w:tr>
      <w:tr w14:paraId="719EBD7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0583C814">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2</w:t>
            </w:r>
          </w:p>
        </w:tc>
        <w:tc>
          <w:tcPr>
            <w:tcW w:w="624" w:type="pct"/>
            <w:noWrap w:val="0"/>
            <w:vAlign w:val="center"/>
          </w:tcPr>
          <w:p w14:paraId="0877453C">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二次风机1#</w:t>
            </w:r>
          </w:p>
        </w:tc>
        <w:tc>
          <w:tcPr>
            <w:tcW w:w="354" w:type="pct"/>
            <w:noWrap w:val="0"/>
            <w:vAlign w:val="center"/>
          </w:tcPr>
          <w:p w14:paraId="068B9636">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-5.92</w:t>
            </w:r>
          </w:p>
        </w:tc>
        <w:tc>
          <w:tcPr>
            <w:tcW w:w="298" w:type="pct"/>
            <w:noWrap w:val="0"/>
            <w:vAlign w:val="center"/>
          </w:tcPr>
          <w:p w14:paraId="3989F806">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-33.4</w:t>
            </w:r>
          </w:p>
        </w:tc>
        <w:tc>
          <w:tcPr>
            <w:tcW w:w="333" w:type="pct"/>
            <w:noWrap w:val="0"/>
            <w:vAlign w:val="center"/>
          </w:tcPr>
          <w:p w14:paraId="45E1F614">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70CBA1F4">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0B2CA4C2">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continue"/>
            <w:noWrap w:val="0"/>
            <w:vAlign w:val="center"/>
          </w:tcPr>
          <w:p w14:paraId="69041840">
            <w:pPr>
              <w:autoSpaceDE w:val="0"/>
              <w:autoSpaceDN w:val="0"/>
              <w:spacing w:line="240" w:lineRule="auto"/>
              <w:ind w:firstLine="0" w:firstLineChars="0"/>
              <w:jc w:val="center"/>
              <w:rPr>
                <w:sz w:val="21"/>
                <w:szCs w:val="21"/>
                <w:highlight w:val="none"/>
              </w:rPr>
            </w:pPr>
          </w:p>
        </w:tc>
      </w:tr>
      <w:tr w14:paraId="7B60C98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2249C9B3">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3</w:t>
            </w:r>
          </w:p>
        </w:tc>
        <w:tc>
          <w:tcPr>
            <w:tcW w:w="624" w:type="pct"/>
            <w:noWrap w:val="0"/>
            <w:vAlign w:val="center"/>
          </w:tcPr>
          <w:p w14:paraId="02DF255B">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一次风机</w:t>
            </w:r>
            <w:r>
              <w:rPr>
                <w:rFonts w:hint="eastAsia"/>
                <w:sz w:val="21"/>
                <w:szCs w:val="21"/>
                <w:highlight w:val="none"/>
              </w:rPr>
              <w:t>2</w:t>
            </w:r>
            <w:r>
              <w:rPr>
                <w:rFonts w:hint="eastAsia"/>
                <w:sz w:val="21"/>
                <w:szCs w:val="21"/>
                <w:highlight w:val="none"/>
                <w:lang w:eastAsia="en-US"/>
              </w:rPr>
              <w:t>#</w:t>
            </w:r>
          </w:p>
        </w:tc>
        <w:tc>
          <w:tcPr>
            <w:tcW w:w="354" w:type="pct"/>
            <w:noWrap w:val="0"/>
            <w:vAlign w:val="center"/>
          </w:tcPr>
          <w:p w14:paraId="0474298F">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1.36</w:t>
            </w:r>
          </w:p>
        </w:tc>
        <w:tc>
          <w:tcPr>
            <w:tcW w:w="298" w:type="pct"/>
            <w:noWrap w:val="0"/>
            <w:vAlign w:val="center"/>
          </w:tcPr>
          <w:p w14:paraId="534EB503">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-28.06</w:t>
            </w:r>
          </w:p>
        </w:tc>
        <w:tc>
          <w:tcPr>
            <w:tcW w:w="333" w:type="pct"/>
            <w:noWrap w:val="0"/>
            <w:vAlign w:val="center"/>
          </w:tcPr>
          <w:p w14:paraId="2F5D285F">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037E9727">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058945F8">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continue"/>
            <w:noWrap w:val="0"/>
            <w:vAlign w:val="center"/>
          </w:tcPr>
          <w:p w14:paraId="43ACBE2F">
            <w:pPr>
              <w:autoSpaceDE w:val="0"/>
              <w:autoSpaceDN w:val="0"/>
              <w:spacing w:line="240" w:lineRule="auto"/>
              <w:ind w:firstLine="0" w:firstLineChars="0"/>
              <w:jc w:val="center"/>
              <w:rPr>
                <w:sz w:val="21"/>
                <w:szCs w:val="21"/>
                <w:highlight w:val="none"/>
              </w:rPr>
            </w:pPr>
          </w:p>
        </w:tc>
      </w:tr>
      <w:tr w14:paraId="3FFB660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68237B6F">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4</w:t>
            </w:r>
          </w:p>
        </w:tc>
        <w:tc>
          <w:tcPr>
            <w:tcW w:w="624" w:type="pct"/>
            <w:noWrap w:val="0"/>
            <w:vAlign w:val="center"/>
          </w:tcPr>
          <w:p w14:paraId="4C5D2355">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二次风机</w:t>
            </w:r>
            <w:r>
              <w:rPr>
                <w:rFonts w:hint="eastAsia"/>
                <w:sz w:val="21"/>
                <w:szCs w:val="21"/>
                <w:highlight w:val="none"/>
              </w:rPr>
              <w:t>2</w:t>
            </w:r>
            <w:r>
              <w:rPr>
                <w:rFonts w:hint="eastAsia"/>
                <w:sz w:val="21"/>
                <w:szCs w:val="21"/>
                <w:highlight w:val="none"/>
                <w:lang w:eastAsia="en-US"/>
              </w:rPr>
              <w:t>#</w:t>
            </w:r>
          </w:p>
        </w:tc>
        <w:tc>
          <w:tcPr>
            <w:tcW w:w="354" w:type="pct"/>
            <w:noWrap w:val="0"/>
            <w:vAlign w:val="center"/>
          </w:tcPr>
          <w:p w14:paraId="52AE2B5E">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1.36</w:t>
            </w:r>
          </w:p>
        </w:tc>
        <w:tc>
          <w:tcPr>
            <w:tcW w:w="298" w:type="pct"/>
            <w:noWrap w:val="0"/>
            <w:vAlign w:val="center"/>
          </w:tcPr>
          <w:p w14:paraId="1ED72BA5">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-30.14</w:t>
            </w:r>
          </w:p>
        </w:tc>
        <w:tc>
          <w:tcPr>
            <w:tcW w:w="333" w:type="pct"/>
            <w:noWrap w:val="0"/>
            <w:vAlign w:val="center"/>
          </w:tcPr>
          <w:p w14:paraId="2F93C94E">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741197DB">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6D7041BA">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continue"/>
            <w:noWrap w:val="0"/>
            <w:vAlign w:val="center"/>
          </w:tcPr>
          <w:p w14:paraId="6C813720">
            <w:pPr>
              <w:autoSpaceDE w:val="0"/>
              <w:autoSpaceDN w:val="0"/>
              <w:spacing w:line="240" w:lineRule="auto"/>
              <w:ind w:firstLine="0" w:firstLineChars="0"/>
              <w:jc w:val="center"/>
              <w:rPr>
                <w:sz w:val="21"/>
                <w:szCs w:val="21"/>
                <w:highlight w:val="none"/>
              </w:rPr>
            </w:pPr>
          </w:p>
        </w:tc>
      </w:tr>
      <w:tr w14:paraId="6AC1B3D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4D173282">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5</w:t>
            </w:r>
          </w:p>
        </w:tc>
        <w:tc>
          <w:tcPr>
            <w:tcW w:w="624" w:type="pct"/>
            <w:noWrap w:val="0"/>
            <w:vAlign w:val="center"/>
          </w:tcPr>
          <w:p w14:paraId="442E55EF">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一次风机</w:t>
            </w:r>
            <w:r>
              <w:rPr>
                <w:rFonts w:hint="eastAsia"/>
                <w:sz w:val="21"/>
                <w:szCs w:val="21"/>
                <w:highlight w:val="none"/>
              </w:rPr>
              <w:t>3</w:t>
            </w:r>
            <w:r>
              <w:rPr>
                <w:rFonts w:hint="eastAsia"/>
                <w:sz w:val="21"/>
                <w:szCs w:val="21"/>
                <w:highlight w:val="none"/>
                <w:lang w:eastAsia="en-US"/>
              </w:rPr>
              <w:t>#</w:t>
            </w:r>
          </w:p>
        </w:tc>
        <w:tc>
          <w:tcPr>
            <w:tcW w:w="354" w:type="pct"/>
            <w:noWrap w:val="0"/>
            <w:vAlign w:val="center"/>
          </w:tcPr>
          <w:p w14:paraId="7AB6090E">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13.54</w:t>
            </w:r>
          </w:p>
        </w:tc>
        <w:tc>
          <w:tcPr>
            <w:tcW w:w="298" w:type="pct"/>
            <w:noWrap w:val="0"/>
            <w:vAlign w:val="center"/>
          </w:tcPr>
          <w:p w14:paraId="074A69F4">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-28.65</w:t>
            </w:r>
          </w:p>
        </w:tc>
        <w:tc>
          <w:tcPr>
            <w:tcW w:w="333" w:type="pct"/>
            <w:noWrap w:val="0"/>
            <w:vAlign w:val="center"/>
          </w:tcPr>
          <w:p w14:paraId="704FF6A9">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15A57478">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52E73DFE">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continue"/>
            <w:noWrap w:val="0"/>
            <w:vAlign w:val="center"/>
          </w:tcPr>
          <w:p w14:paraId="454AA303">
            <w:pPr>
              <w:autoSpaceDE w:val="0"/>
              <w:autoSpaceDN w:val="0"/>
              <w:spacing w:line="240" w:lineRule="auto"/>
              <w:ind w:firstLine="0" w:firstLineChars="0"/>
              <w:jc w:val="center"/>
              <w:rPr>
                <w:sz w:val="21"/>
                <w:szCs w:val="21"/>
                <w:highlight w:val="none"/>
              </w:rPr>
            </w:pPr>
          </w:p>
        </w:tc>
      </w:tr>
      <w:tr w14:paraId="204C25C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78E0B492">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6</w:t>
            </w:r>
          </w:p>
        </w:tc>
        <w:tc>
          <w:tcPr>
            <w:tcW w:w="624" w:type="pct"/>
            <w:noWrap w:val="0"/>
            <w:vAlign w:val="center"/>
          </w:tcPr>
          <w:p w14:paraId="223992A6">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二次风机</w:t>
            </w:r>
            <w:r>
              <w:rPr>
                <w:rFonts w:hint="eastAsia"/>
                <w:sz w:val="21"/>
                <w:szCs w:val="21"/>
                <w:highlight w:val="none"/>
              </w:rPr>
              <w:t>3</w:t>
            </w:r>
            <w:r>
              <w:rPr>
                <w:rFonts w:hint="eastAsia"/>
                <w:sz w:val="21"/>
                <w:szCs w:val="21"/>
                <w:highlight w:val="none"/>
                <w:lang w:eastAsia="en-US"/>
              </w:rPr>
              <w:t>#</w:t>
            </w:r>
          </w:p>
        </w:tc>
        <w:tc>
          <w:tcPr>
            <w:tcW w:w="354" w:type="pct"/>
            <w:noWrap w:val="0"/>
            <w:vAlign w:val="center"/>
          </w:tcPr>
          <w:p w14:paraId="7C8F8EFF">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13.54</w:t>
            </w:r>
          </w:p>
        </w:tc>
        <w:tc>
          <w:tcPr>
            <w:tcW w:w="298" w:type="pct"/>
            <w:noWrap w:val="0"/>
            <w:vAlign w:val="center"/>
          </w:tcPr>
          <w:p w14:paraId="0A9779E6">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-25.68</w:t>
            </w:r>
          </w:p>
        </w:tc>
        <w:tc>
          <w:tcPr>
            <w:tcW w:w="333" w:type="pct"/>
            <w:noWrap w:val="0"/>
            <w:vAlign w:val="center"/>
          </w:tcPr>
          <w:p w14:paraId="32800DC6">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23DD91FD">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95 dB(A)/吸风口外3m</w:t>
            </w:r>
          </w:p>
        </w:tc>
        <w:tc>
          <w:tcPr>
            <w:tcW w:w="1278" w:type="pct"/>
            <w:noWrap w:val="0"/>
            <w:vAlign w:val="center"/>
          </w:tcPr>
          <w:p w14:paraId="35DB684B">
            <w:pPr>
              <w:autoSpaceDE w:val="0"/>
              <w:autoSpaceDN w:val="0"/>
              <w:spacing w:line="240" w:lineRule="auto"/>
              <w:ind w:firstLine="0" w:firstLineChars="0"/>
              <w:jc w:val="center"/>
              <w:rPr>
                <w:sz w:val="21"/>
                <w:szCs w:val="21"/>
                <w:highlight w:val="none"/>
              </w:rPr>
            </w:pPr>
            <w:r>
              <w:rPr>
                <w:rFonts w:hint="eastAsia"/>
                <w:sz w:val="21"/>
                <w:szCs w:val="21"/>
                <w:highlight w:val="none"/>
              </w:rPr>
              <w:t>进风口消声器、管道外壳阻尼</w:t>
            </w:r>
          </w:p>
        </w:tc>
        <w:tc>
          <w:tcPr>
            <w:tcW w:w="471" w:type="pct"/>
            <w:vMerge w:val="continue"/>
            <w:noWrap w:val="0"/>
            <w:vAlign w:val="center"/>
          </w:tcPr>
          <w:p w14:paraId="2D91F1E0">
            <w:pPr>
              <w:autoSpaceDE w:val="0"/>
              <w:autoSpaceDN w:val="0"/>
              <w:spacing w:line="240" w:lineRule="auto"/>
              <w:ind w:firstLine="0" w:firstLineChars="0"/>
              <w:jc w:val="center"/>
              <w:rPr>
                <w:sz w:val="21"/>
                <w:szCs w:val="21"/>
                <w:highlight w:val="none"/>
              </w:rPr>
            </w:pPr>
          </w:p>
        </w:tc>
      </w:tr>
      <w:tr w14:paraId="2542EDA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14AE5263">
            <w:pPr>
              <w:autoSpaceDE w:val="0"/>
              <w:autoSpaceDN w:val="0"/>
              <w:spacing w:line="240" w:lineRule="auto"/>
              <w:ind w:firstLine="0" w:firstLineChars="0"/>
              <w:jc w:val="center"/>
              <w:rPr>
                <w:rFonts w:hint="eastAsia"/>
                <w:sz w:val="21"/>
                <w:szCs w:val="21"/>
                <w:highlight w:val="none"/>
              </w:rPr>
            </w:pPr>
            <w:r>
              <w:rPr>
                <w:rFonts w:hint="eastAsia"/>
                <w:sz w:val="21"/>
                <w:szCs w:val="21"/>
                <w:highlight w:val="none"/>
              </w:rPr>
              <w:t>7</w:t>
            </w:r>
          </w:p>
        </w:tc>
        <w:tc>
          <w:tcPr>
            <w:tcW w:w="624" w:type="pct"/>
            <w:noWrap w:val="0"/>
            <w:vAlign w:val="center"/>
          </w:tcPr>
          <w:p w14:paraId="73992985">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氧化风机1#</w:t>
            </w:r>
          </w:p>
        </w:tc>
        <w:tc>
          <w:tcPr>
            <w:tcW w:w="354" w:type="pct"/>
            <w:noWrap w:val="0"/>
            <w:vAlign w:val="center"/>
          </w:tcPr>
          <w:p w14:paraId="5FB56DAE">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-6.81</w:t>
            </w:r>
          </w:p>
        </w:tc>
        <w:tc>
          <w:tcPr>
            <w:tcW w:w="298" w:type="pct"/>
            <w:noWrap w:val="0"/>
            <w:vAlign w:val="center"/>
          </w:tcPr>
          <w:p w14:paraId="6C917872">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-34</w:t>
            </w:r>
          </w:p>
        </w:tc>
        <w:tc>
          <w:tcPr>
            <w:tcW w:w="333" w:type="pct"/>
            <w:noWrap w:val="0"/>
            <w:vAlign w:val="center"/>
          </w:tcPr>
          <w:p w14:paraId="14D8B70D">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372FA499">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95</w:t>
            </w:r>
            <w:r>
              <w:rPr>
                <w:rFonts w:hint="eastAsia"/>
                <w:sz w:val="21"/>
                <w:szCs w:val="21"/>
                <w:highlight w:val="none"/>
                <w:lang w:eastAsia="en-US"/>
              </w:rPr>
              <w:t xml:space="preserve"> dB(A)/设备外1m</w:t>
            </w:r>
          </w:p>
        </w:tc>
        <w:tc>
          <w:tcPr>
            <w:tcW w:w="1278" w:type="pct"/>
            <w:noWrap w:val="0"/>
            <w:vAlign w:val="center"/>
          </w:tcPr>
          <w:p w14:paraId="3B04E91B">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进风口消声器</w:t>
            </w:r>
          </w:p>
        </w:tc>
        <w:tc>
          <w:tcPr>
            <w:tcW w:w="471" w:type="pct"/>
            <w:vMerge w:val="continue"/>
            <w:noWrap w:val="0"/>
            <w:vAlign w:val="center"/>
          </w:tcPr>
          <w:p w14:paraId="08135E7D">
            <w:pPr>
              <w:autoSpaceDE w:val="0"/>
              <w:autoSpaceDN w:val="0"/>
              <w:spacing w:line="240" w:lineRule="auto"/>
              <w:ind w:firstLine="0" w:firstLineChars="0"/>
              <w:jc w:val="center"/>
              <w:rPr>
                <w:sz w:val="21"/>
                <w:szCs w:val="21"/>
                <w:highlight w:val="none"/>
                <w:lang w:eastAsia="en-US"/>
              </w:rPr>
            </w:pPr>
          </w:p>
        </w:tc>
      </w:tr>
      <w:tr w14:paraId="113281A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32CF91EE">
            <w:pPr>
              <w:autoSpaceDE w:val="0"/>
              <w:autoSpaceDN w:val="0"/>
              <w:spacing w:line="240" w:lineRule="auto"/>
              <w:ind w:firstLine="0" w:firstLineChars="0"/>
              <w:jc w:val="center"/>
              <w:rPr>
                <w:rFonts w:hint="eastAsia"/>
                <w:sz w:val="21"/>
                <w:szCs w:val="21"/>
                <w:highlight w:val="none"/>
              </w:rPr>
            </w:pPr>
            <w:r>
              <w:rPr>
                <w:rFonts w:hint="eastAsia"/>
                <w:sz w:val="21"/>
                <w:szCs w:val="21"/>
                <w:highlight w:val="none"/>
              </w:rPr>
              <w:t>8</w:t>
            </w:r>
          </w:p>
        </w:tc>
        <w:tc>
          <w:tcPr>
            <w:tcW w:w="624" w:type="pct"/>
            <w:noWrap w:val="0"/>
            <w:vAlign w:val="center"/>
          </w:tcPr>
          <w:p w14:paraId="6C0B9D81">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氧化风机</w:t>
            </w:r>
            <w:r>
              <w:rPr>
                <w:rFonts w:hint="eastAsia"/>
                <w:sz w:val="21"/>
                <w:szCs w:val="21"/>
                <w:highlight w:val="none"/>
              </w:rPr>
              <w:t>2</w:t>
            </w:r>
            <w:r>
              <w:rPr>
                <w:rFonts w:hint="eastAsia"/>
                <w:sz w:val="21"/>
                <w:szCs w:val="21"/>
                <w:highlight w:val="none"/>
                <w:lang w:eastAsia="en-US"/>
              </w:rPr>
              <w:t>#</w:t>
            </w:r>
          </w:p>
        </w:tc>
        <w:tc>
          <w:tcPr>
            <w:tcW w:w="354" w:type="pct"/>
            <w:noWrap w:val="0"/>
            <w:vAlign w:val="center"/>
          </w:tcPr>
          <w:p w14:paraId="4AB98B9A">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1.5</w:t>
            </w:r>
          </w:p>
        </w:tc>
        <w:tc>
          <w:tcPr>
            <w:tcW w:w="298" w:type="pct"/>
            <w:noWrap w:val="0"/>
            <w:vAlign w:val="center"/>
          </w:tcPr>
          <w:p w14:paraId="6C82391D">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-31.62</w:t>
            </w:r>
          </w:p>
        </w:tc>
        <w:tc>
          <w:tcPr>
            <w:tcW w:w="333" w:type="pct"/>
            <w:noWrap w:val="0"/>
            <w:vAlign w:val="center"/>
          </w:tcPr>
          <w:p w14:paraId="5ACE7CDF">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0D74CD6C">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95</w:t>
            </w:r>
            <w:r>
              <w:rPr>
                <w:rFonts w:hint="eastAsia"/>
                <w:sz w:val="21"/>
                <w:szCs w:val="21"/>
                <w:highlight w:val="none"/>
                <w:lang w:eastAsia="en-US"/>
              </w:rPr>
              <w:t xml:space="preserve"> dB(A)/设备外1m</w:t>
            </w:r>
          </w:p>
        </w:tc>
        <w:tc>
          <w:tcPr>
            <w:tcW w:w="1278" w:type="pct"/>
            <w:noWrap w:val="0"/>
            <w:vAlign w:val="top"/>
          </w:tcPr>
          <w:p w14:paraId="1C0D1969">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进风口消声器</w:t>
            </w:r>
          </w:p>
        </w:tc>
        <w:tc>
          <w:tcPr>
            <w:tcW w:w="471" w:type="pct"/>
            <w:vMerge w:val="continue"/>
            <w:noWrap w:val="0"/>
            <w:vAlign w:val="center"/>
          </w:tcPr>
          <w:p w14:paraId="678351B1">
            <w:pPr>
              <w:autoSpaceDE w:val="0"/>
              <w:autoSpaceDN w:val="0"/>
              <w:spacing w:line="240" w:lineRule="auto"/>
              <w:ind w:firstLine="0" w:firstLineChars="0"/>
              <w:jc w:val="center"/>
              <w:rPr>
                <w:sz w:val="21"/>
                <w:szCs w:val="21"/>
                <w:highlight w:val="none"/>
                <w:lang w:eastAsia="en-US"/>
              </w:rPr>
            </w:pPr>
          </w:p>
        </w:tc>
      </w:tr>
      <w:tr w14:paraId="2ABE602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238" w:type="pct"/>
            <w:noWrap w:val="0"/>
            <w:vAlign w:val="center"/>
          </w:tcPr>
          <w:p w14:paraId="5FE943EE">
            <w:pPr>
              <w:autoSpaceDE w:val="0"/>
              <w:autoSpaceDN w:val="0"/>
              <w:spacing w:line="240" w:lineRule="auto"/>
              <w:ind w:firstLine="0" w:firstLineChars="0"/>
              <w:jc w:val="center"/>
              <w:rPr>
                <w:rFonts w:hint="eastAsia"/>
                <w:sz w:val="21"/>
                <w:szCs w:val="21"/>
                <w:highlight w:val="none"/>
              </w:rPr>
            </w:pPr>
            <w:r>
              <w:rPr>
                <w:rFonts w:hint="eastAsia"/>
                <w:sz w:val="21"/>
                <w:szCs w:val="21"/>
                <w:highlight w:val="none"/>
              </w:rPr>
              <w:t>9</w:t>
            </w:r>
          </w:p>
        </w:tc>
        <w:tc>
          <w:tcPr>
            <w:tcW w:w="624" w:type="pct"/>
            <w:noWrap w:val="0"/>
            <w:vAlign w:val="center"/>
          </w:tcPr>
          <w:p w14:paraId="7D8D3267">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氧化风机</w:t>
            </w:r>
            <w:r>
              <w:rPr>
                <w:rFonts w:hint="eastAsia"/>
                <w:sz w:val="21"/>
                <w:szCs w:val="21"/>
                <w:highlight w:val="none"/>
              </w:rPr>
              <w:t>3</w:t>
            </w:r>
            <w:r>
              <w:rPr>
                <w:rFonts w:hint="eastAsia"/>
                <w:sz w:val="21"/>
                <w:szCs w:val="21"/>
                <w:highlight w:val="none"/>
                <w:lang w:eastAsia="en-US"/>
              </w:rPr>
              <w:t>#</w:t>
            </w:r>
          </w:p>
        </w:tc>
        <w:tc>
          <w:tcPr>
            <w:tcW w:w="354" w:type="pct"/>
            <w:noWrap w:val="0"/>
            <w:vAlign w:val="center"/>
          </w:tcPr>
          <w:p w14:paraId="6739A196">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13.84</w:t>
            </w:r>
          </w:p>
        </w:tc>
        <w:tc>
          <w:tcPr>
            <w:tcW w:w="298" w:type="pct"/>
            <w:noWrap w:val="0"/>
            <w:vAlign w:val="center"/>
          </w:tcPr>
          <w:p w14:paraId="04F048E1">
            <w:pPr>
              <w:autoSpaceDE w:val="0"/>
              <w:autoSpaceDN w:val="0"/>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-24.05</w:t>
            </w:r>
          </w:p>
        </w:tc>
        <w:tc>
          <w:tcPr>
            <w:tcW w:w="333" w:type="pct"/>
            <w:noWrap w:val="0"/>
            <w:vAlign w:val="center"/>
          </w:tcPr>
          <w:p w14:paraId="7DDB5956">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1</w:t>
            </w:r>
          </w:p>
        </w:tc>
        <w:tc>
          <w:tcPr>
            <w:tcW w:w="1399" w:type="pct"/>
            <w:noWrap w:val="0"/>
            <w:vAlign w:val="center"/>
          </w:tcPr>
          <w:p w14:paraId="75ECDA83">
            <w:pPr>
              <w:autoSpaceDE w:val="0"/>
              <w:autoSpaceDN w:val="0"/>
              <w:spacing w:line="240" w:lineRule="auto"/>
              <w:ind w:firstLine="0" w:firstLineChars="0"/>
              <w:jc w:val="center"/>
              <w:rPr>
                <w:sz w:val="21"/>
                <w:szCs w:val="21"/>
                <w:highlight w:val="none"/>
                <w:lang w:eastAsia="en-US"/>
              </w:rPr>
            </w:pPr>
            <w:r>
              <w:rPr>
                <w:sz w:val="21"/>
                <w:szCs w:val="21"/>
                <w:highlight w:val="none"/>
                <w:lang w:eastAsia="en-US"/>
              </w:rPr>
              <w:t>95</w:t>
            </w:r>
            <w:r>
              <w:rPr>
                <w:rFonts w:hint="eastAsia"/>
                <w:sz w:val="21"/>
                <w:szCs w:val="21"/>
                <w:highlight w:val="none"/>
                <w:lang w:eastAsia="en-US"/>
              </w:rPr>
              <w:t xml:space="preserve"> dB(A)/设备外1m</w:t>
            </w:r>
          </w:p>
        </w:tc>
        <w:tc>
          <w:tcPr>
            <w:tcW w:w="1278" w:type="pct"/>
            <w:noWrap w:val="0"/>
            <w:vAlign w:val="top"/>
          </w:tcPr>
          <w:p w14:paraId="2CFC3A1C">
            <w:pPr>
              <w:autoSpaceDE w:val="0"/>
              <w:autoSpaceDN w:val="0"/>
              <w:spacing w:line="240" w:lineRule="auto"/>
              <w:ind w:firstLine="0" w:firstLineChars="0"/>
              <w:jc w:val="center"/>
              <w:rPr>
                <w:sz w:val="21"/>
                <w:szCs w:val="21"/>
                <w:highlight w:val="none"/>
                <w:lang w:eastAsia="en-US"/>
              </w:rPr>
            </w:pPr>
            <w:r>
              <w:rPr>
                <w:rFonts w:hint="eastAsia"/>
                <w:sz w:val="21"/>
                <w:szCs w:val="21"/>
                <w:highlight w:val="none"/>
                <w:lang w:eastAsia="en-US"/>
              </w:rPr>
              <w:t>进风口消声器</w:t>
            </w:r>
          </w:p>
        </w:tc>
        <w:tc>
          <w:tcPr>
            <w:tcW w:w="471" w:type="pct"/>
            <w:vMerge w:val="continue"/>
            <w:noWrap w:val="0"/>
            <w:vAlign w:val="center"/>
          </w:tcPr>
          <w:p w14:paraId="0D1E6A76">
            <w:pPr>
              <w:autoSpaceDE w:val="0"/>
              <w:autoSpaceDN w:val="0"/>
              <w:spacing w:line="240" w:lineRule="auto"/>
              <w:ind w:firstLine="0" w:firstLineChars="0"/>
              <w:jc w:val="center"/>
              <w:rPr>
                <w:sz w:val="21"/>
                <w:szCs w:val="21"/>
                <w:highlight w:val="none"/>
                <w:lang w:eastAsia="en-US"/>
              </w:rPr>
            </w:pPr>
          </w:p>
        </w:tc>
      </w:tr>
    </w:tbl>
    <w:p w14:paraId="4B6CFABB">
      <w:pPr>
        <w:pStyle w:val="15"/>
        <w:ind w:left="0" w:leftChars="0" w:firstLine="0" w:firstLineChars="0"/>
        <w:jc w:val="center"/>
        <w:rPr>
          <w:highlight w:val="none"/>
        </w:rPr>
      </w:pPr>
      <w:r>
        <w:rPr>
          <w:rFonts w:hint="eastAsia" w:ascii="黑体" w:hAnsi="黑体" w:eastAsia="黑体" w:cs="黑体"/>
          <w:highlight w:val="none"/>
        </w:rPr>
        <w:t>表</w:t>
      </w:r>
      <w:r>
        <w:rPr>
          <w:rFonts w:hint="eastAsia"/>
          <w:highlight w:val="none"/>
        </w:rPr>
        <w:t>5.4-2</w:t>
      </w:r>
      <w:r>
        <w:rPr>
          <w:rFonts w:hint="eastAsia" w:ascii="黑体" w:hAnsi="黑体" w:eastAsia="黑体" w:cs="黑体"/>
          <w:highlight w:val="none"/>
        </w:rPr>
        <w:t>工业企业噪声源强调查清单（室内声源）</w:t>
      </w:r>
    </w:p>
    <w:tbl>
      <w:tblPr>
        <w:tblStyle w:val="1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802"/>
        <w:gridCol w:w="1358"/>
        <w:gridCol w:w="508"/>
        <w:gridCol w:w="984"/>
        <w:gridCol w:w="1395"/>
        <w:gridCol w:w="2041"/>
        <w:gridCol w:w="1015"/>
        <w:gridCol w:w="1012"/>
        <w:gridCol w:w="695"/>
        <w:gridCol w:w="862"/>
        <w:gridCol w:w="970"/>
        <w:gridCol w:w="1018"/>
        <w:gridCol w:w="995"/>
      </w:tblGrid>
      <w:tr w14:paraId="6B0CBA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restart"/>
            <w:noWrap w:val="0"/>
            <w:vAlign w:val="center"/>
          </w:tcPr>
          <w:p w14:paraId="398CC408">
            <w:pPr>
              <w:spacing w:line="240" w:lineRule="auto"/>
              <w:ind w:firstLine="0" w:firstLineChars="0"/>
              <w:jc w:val="center"/>
              <w:rPr>
                <w:sz w:val="21"/>
                <w:szCs w:val="21"/>
                <w:highlight w:val="none"/>
              </w:rPr>
            </w:pPr>
            <w:r>
              <w:rPr>
                <w:rFonts w:hint="eastAsia"/>
                <w:sz w:val="21"/>
                <w:szCs w:val="21"/>
                <w:highlight w:val="none"/>
              </w:rPr>
              <w:t>工序/生产线</w:t>
            </w:r>
          </w:p>
        </w:tc>
        <w:tc>
          <w:tcPr>
            <w:tcW w:w="283" w:type="pct"/>
            <w:vMerge w:val="restart"/>
            <w:noWrap w:val="0"/>
            <w:vAlign w:val="center"/>
          </w:tcPr>
          <w:p w14:paraId="6C276A75">
            <w:pPr>
              <w:spacing w:line="240" w:lineRule="auto"/>
              <w:ind w:firstLine="0" w:firstLineChars="0"/>
              <w:jc w:val="center"/>
              <w:rPr>
                <w:sz w:val="21"/>
                <w:szCs w:val="21"/>
                <w:highlight w:val="none"/>
              </w:rPr>
            </w:pPr>
            <w:r>
              <w:rPr>
                <w:rFonts w:hint="eastAsia"/>
                <w:sz w:val="21"/>
                <w:szCs w:val="21"/>
                <w:highlight w:val="none"/>
              </w:rPr>
              <w:t>建筑物名称</w:t>
            </w:r>
          </w:p>
        </w:tc>
        <w:tc>
          <w:tcPr>
            <w:tcW w:w="479" w:type="pct"/>
            <w:vMerge w:val="restart"/>
            <w:noWrap w:val="0"/>
            <w:vAlign w:val="center"/>
          </w:tcPr>
          <w:p w14:paraId="7E479D08">
            <w:pPr>
              <w:spacing w:line="240" w:lineRule="auto"/>
              <w:ind w:firstLine="0" w:firstLineChars="0"/>
              <w:jc w:val="center"/>
              <w:rPr>
                <w:sz w:val="21"/>
                <w:szCs w:val="21"/>
                <w:highlight w:val="none"/>
              </w:rPr>
            </w:pPr>
            <w:r>
              <w:rPr>
                <w:rFonts w:hint="eastAsia"/>
                <w:sz w:val="21"/>
                <w:szCs w:val="21"/>
                <w:highlight w:val="none"/>
              </w:rPr>
              <w:t>声源名称</w:t>
            </w:r>
          </w:p>
        </w:tc>
        <w:tc>
          <w:tcPr>
            <w:tcW w:w="179" w:type="pct"/>
            <w:vMerge w:val="restart"/>
            <w:noWrap w:val="0"/>
            <w:vAlign w:val="center"/>
          </w:tcPr>
          <w:p w14:paraId="0ECCBCB5">
            <w:pPr>
              <w:spacing w:line="240" w:lineRule="auto"/>
              <w:ind w:firstLine="0" w:firstLineChars="0"/>
              <w:jc w:val="center"/>
              <w:rPr>
                <w:sz w:val="21"/>
                <w:szCs w:val="21"/>
                <w:highlight w:val="none"/>
              </w:rPr>
            </w:pPr>
            <w:r>
              <w:rPr>
                <w:rFonts w:hint="eastAsia"/>
                <w:sz w:val="21"/>
                <w:szCs w:val="21"/>
                <w:highlight w:val="none"/>
              </w:rPr>
              <w:t>数量</w:t>
            </w:r>
          </w:p>
        </w:tc>
        <w:tc>
          <w:tcPr>
            <w:tcW w:w="839" w:type="pct"/>
            <w:gridSpan w:val="2"/>
            <w:noWrap w:val="0"/>
            <w:vAlign w:val="center"/>
          </w:tcPr>
          <w:p w14:paraId="2809989C">
            <w:pPr>
              <w:spacing w:line="240" w:lineRule="auto"/>
              <w:ind w:firstLine="0" w:firstLineChars="0"/>
              <w:jc w:val="center"/>
              <w:rPr>
                <w:sz w:val="21"/>
                <w:szCs w:val="21"/>
                <w:highlight w:val="none"/>
              </w:rPr>
            </w:pPr>
            <w:r>
              <w:rPr>
                <w:rFonts w:hint="eastAsia"/>
                <w:sz w:val="21"/>
                <w:szCs w:val="21"/>
                <w:highlight w:val="none"/>
              </w:rPr>
              <w:t>声源源强</w:t>
            </w:r>
          </w:p>
        </w:tc>
        <w:tc>
          <w:tcPr>
            <w:tcW w:w="720" w:type="pct"/>
            <w:noWrap w:val="0"/>
            <w:vAlign w:val="center"/>
          </w:tcPr>
          <w:p w14:paraId="5136325C">
            <w:pPr>
              <w:spacing w:line="240" w:lineRule="auto"/>
              <w:ind w:firstLine="0" w:firstLineChars="0"/>
              <w:jc w:val="center"/>
              <w:rPr>
                <w:sz w:val="21"/>
                <w:szCs w:val="21"/>
                <w:highlight w:val="none"/>
              </w:rPr>
            </w:pPr>
            <w:r>
              <w:rPr>
                <w:rFonts w:hint="eastAsia"/>
                <w:sz w:val="21"/>
                <w:szCs w:val="21"/>
                <w:highlight w:val="none"/>
              </w:rPr>
              <w:t>声源控制措施</w:t>
            </w:r>
          </w:p>
        </w:tc>
        <w:tc>
          <w:tcPr>
            <w:tcW w:w="960" w:type="pct"/>
            <w:gridSpan w:val="3"/>
            <w:noWrap w:val="0"/>
            <w:vAlign w:val="center"/>
          </w:tcPr>
          <w:p w14:paraId="7FB1DCD1">
            <w:pPr>
              <w:spacing w:line="240" w:lineRule="auto"/>
              <w:ind w:firstLine="0" w:firstLineChars="0"/>
              <w:jc w:val="center"/>
              <w:rPr>
                <w:sz w:val="21"/>
                <w:szCs w:val="21"/>
                <w:highlight w:val="none"/>
              </w:rPr>
            </w:pPr>
            <w:r>
              <w:rPr>
                <w:rFonts w:hint="eastAsia"/>
                <w:sz w:val="21"/>
                <w:szCs w:val="21"/>
                <w:highlight w:val="none"/>
              </w:rPr>
              <w:t>空间相对位置/m</w:t>
            </w:r>
          </w:p>
        </w:tc>
        <w:tc>
          <w:tcPr>
            <w:tcW w:w="304" w:type="pct"/>
            <w:vMerge w:val="restart"/>
            <w:noWrap w:val="0"/>
            <w:vAlign w:val="center"/>
          </w:tcPr>
          <w:p w14:paraId="7FE19FCE">
            <w:pPr>
              <w:spacing w:line="240" w:lineRule="auto"/>
              <w:ind w:firstLine="0" w:firstLineChars="0"/>
              <w:jc w:val="center"/>
              <w:rPr>
                <w:sz w:val="21"/>
                <w:szCs w:val="21"/>
                <w:highlight w:val="none"/>
              </w:rPr>
            </w:pPr>
            <w:r>
              <w:rPr>
                <w:rFonts w:hint="eastAsia"/>
                <w:sz w:val="21"/>
                <w:szCs w:val="21"/>
                <w:highlight w:val="none"/>
              </w:rPr>
              <w:t>运行时段</w:t>
            </w:r>
          </w:p>
        </w:tc>
        <w:tc>
          <w:tcPr>
            <w:tcW w:w="342" w:type="pct"/>
            <w:vMerge w:val="restart"/>
            <w:noWrap w:val="0"/>
            <w:vAlign w:val="center"/>
          </w:tcPr>
          <w:p w14:paraId="3E67F920">
            <w:pPr>
              <w:spacing w:line="240" w:lineRule="auto"/>
              <w:ind w:firstLine="0" w:firstLineChars="0"/>
              <w:jc w:val="center"/>
              <w:rPr>
                <w:sz w:val="21"/>
                <w:szCs w:val="21"/>
                <w:highlight w:val="none"/>
              </w:rPr>
            </w:pPr>
            <w:r>
              <w:rPr>
                <w:rFonts w:hint="eastAsia"/>
                <w:sz w:val="21"/>
                <w:szCs w:val="21"/>
                <w:highlight w:val="none"/>
              </w:rPr>
              <w:t>建筑物插入损失/dB(A)</w:t>
            </w:r>
          </w:p>
        </w:tc>
        <w:tc>
          <w:tcPr>
            <w:tcW w:w="710" w:type="pct"/>
            <w:gridSpan w:val="2"/>
            <w:noWrap w:val="0"/>
            <w:vAlign w:val="center"/>
          </w:tcPr>
          <w:p w14:paraId="4A56C221">
            <w:pPr>
              <w:spacing w:line="240" w:lineRule="auto"/>
              <w:ind w:firstLine="0" w:firstLineChars="0"/>
              <w:jc w:val="center"/>
              <w:rPr>
                <w:sz w:val="21"/>
                <w:szCs w:val="21"/>
                <w:highlight w:val="none"/>
              </w:rPr>
            </w:pPr>
            <w:r>
              <w:rPr>
                <w:rFonts w:hint="eastAsia"/>
                <w:sz w:val="21"/>
                <w:szCs w:val="21"/>
                <w:highlight w:val="none"/>
              </w:rPr>
              <w:t>建筑物外噪声</w:t>
            </w:r>
          </w:p>
        </w:tc>
      </w:tr>
      <w:tr w14:paraId="32E845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79" w:type="pct"/>
            <w:vMerge w:val="continue"/>
            <w:noWrap w:val="0"/>
            <w:vAlign w:val="center"/>
          </w:tcPr>
          <w:p w14:paraId="2BC8B0D2">
            <w:pPr>
              <w:spacing w:line="240" w:lineRule="auto"/>
              <w:ind w:firstLine="0" w:firstLineChars="0"/>
              <w:jc w:val="center"/>
              <w:rPr>
                <w:sz w:val="21"/>
                <w:szCs w:val="21"/>
                <w:highlight w:val="none"/>
              </w:rPr>
            </w:pPr>
          </w:p>
        </w:tc>
        <w:tc>
          <w:tcPr>
            <w:tcW w:w="283" w:type="pct"/>
            <w:vMerge w:val="continue"/>
            <w:noWrap w:val="0"/>
            <w:vAlign w:val="center"/>
          </w:tcPr>
          <w:p w14:paraId="0C4AAB40">
            <w:pPr>
              <w:spacing w:line="240" w:lineRule="auto"/>
              <w:ind w:firstLine="0" w:firstLineChars="0"/>
              <w:jc w:val="center"/>
              <w:rPr>
                <w:sz w:val="21"/>
                <w:szCs w:val="21"/>
                <w:highlight w:val="none"/>
              </w:rPr>
            </w:pPr>
          </w:p>
        </w:tc>
        <w:tc>
          <w:tcPr>
            <w:tcW w:w="479" w:type="pct"/>
            <w:vMerge w:val="continue"/>
            <w:noWrap w:val="0"/>
            <w:vAlign w:val="center"/>
          </w:tcPr>
          <w:p w14:paraId="50D70B2A">
            <w:pPr>
              <w:spacing w:line="240" w:lineRule="auto"/>
              <w:ind w:firstLine="0" w:firstLineChars="0"/>
              <w:jc w:val="center"/>
              <w:rPr>
                <w:sz w:val="21"/>
                <w:szCs w:val="21"/>
                <w:highlight w:val="none"/>
              </w:rPr>
            </w:pPr>
          </w:p>
        </w:tc>
        <w:tc>
          <w:tcPr>
            <w:tcW w:w="179" w:type="pct"/>
            <w:vMerge w:val="continue"/>
            <w:noWrap w:val="0"/>
            <w:vAlign w:val="center"/>
          </w:tcPr>
          <w:p w14:paraId="08B5D3E0">
            <w:pPr>
              <w:spacing w:line="240" w:lineRule="auto"/>
              <w:ind w:firstLine="0" w:firstLineChars="0"/>
              <w:jc w:val="center"/>
              <w:rPr>
                <w:sz w:val="21"/>
                <w:szCs w:val="21"/>
                <w:highlight w:val="none"/>
              </w:rPr>
            </w:pPr>
          </w:p>
        </w:tc>
        <w:tc>
          <w:tcPr>
            <w:tcW w:w="839" w:type="pct"/>
            <w:gridSpan w:val="2"/>
            <w:noWrap w:val="0"/>
            <w:vAlign w:val="center"/>
          </w:tcPr>
          <w:p w14:paraId="0A5ED15B">
            <w:pPr>
              <w:spacing w:line="240" w:lineRule="auto"/>
              <w:ind w:firstLine="0" w:firstLineChars="0"/>
              <w:jc w:val="center"/>
              <w:rPr>
                <w:sz w:val="21"/>
                <w:szCs w:val="21"/>
                <w:highlight w:val="none"/>
              </w:rPr>
            </w:pPr>
            <w:r>
              <w:rPr>
                <w:rFonts w:hint="eastAsia"/>
                <w:sz w:val="21"/>
                <w:szCs w:val="21"/>
                <w:highlight w:val="none"/>
              </w:rPr>
              <w:t>（声压级/距声源距离）/（dB(A)/m）</w:t>
            </w:r>
          </w:p>
        </w:tc>
        <w:tc>
          <w:tcPr>
            <w:tcW w:w="720" w:type="pct"/>
            <w:noWrap w:val="0"/>
            <w:vAlign w:val="center"/>
          </w:tcPr>
          <w:p w14:paraId="6D15CC11">
            <w:pPr>
              <w:spacing w:line="240" w:lineRule="auto"/>
              <w:ind w:firstLine="0" w:firstLineChars="0"/>
              <w:jc w:val="center"/>
              <w:rPr>
                <w:sz w:val="21"/>
                <w:szCs w:val="21"/>
                <w:highlight w:val="none"/>
              </w:rPr>
            </w:pPr>
            <w:r>
              <w:rPr>
                <w:rFonts w:hint="eastAsia"/>
                <w:sz w:val="21"/>
                <w:szCs w:val="21"/>
                <w:highlight w:val="none"/>
              </w:rPr>
              <w:t>工艺</w:t>
            </w:r>
          </w:p>
        </w:tc>
        <w:tc>
          <w:tcPr>
            <w:tcW w:w="358" w:type="pct"/>
            <w:noWrap w:val="0"/>
            <w:vAlign w:val="center"/>
          </w:tcPr>
          <w:p w14:paraId="06C3590D">
            <w:pPr>
              <w:spacing w:line="240" w:lineRule="auto"/>
              <w:ind w:firstLine="0" w:firstLineChars="0"/>
              <w:jc w:val="center"/>
              <w:rPr>
                <w:sz w:val="21"/>
                <w:szCs w:val="21"/>
                <w:highlight w:val="none"/>
              </w:rPr>
            </w:pPr>
            <w:r>
              <w:rPr>
                <w:rFonts w:hint="eastAsia"/>
                <w:sz w:val="21"/>
                <w:szCs w:val="21"/>
                <w:highlight w:val="none"/>
              </w:rPr>
              <w:t>X</w:t>
            </w:r>
          </w:p>
        </w:tc>
        <w:tc>
          <w:tcPr>
            <w:tcW w:w="357" w:type="pct"/>
            <w:noWrap w:val="0"/>
            <w:vAlign w:val="center"/>
          </w:tcPr>
          <w:p w14:paraId="5EBB650A">
            <w:pPr>
              <w:spacing w:line="240" w:lineRule="auto"/>
              <w:ind w:firstLine="0" w:firstLineChars="0"/>
              <w:jc w:val="center"/>
              <w:rPr>
                <w:sz w:val="21"/>
                <w:szCs w:val="21"/>
                <w:highlight w:val="none"/>
              </w:rPr>
            </w:pPr>
            <w:r>
              <w:rPr>
                <w:rFonts w:hint="eastAsia"/>
                <w:sz w:val="21"/>
                <w:szCs w:val="21"/>
                <w:highlight w:val="none"/>
              </w:rPr>
              <w:t>Y</w:t>
            </w:r>
          </w:p>
        </w:tc>
        <w:tc>
          <w:tcPr>
            <w:tcW w:w="245" w:type="pct"/>
            <w:noWrap w:val="0"/>
            <w:vAlign w:val="center"/>
          </w:tcPr>
          <w:p w14:paraId="7D295AFA">
            <w:pPr>
              <w:spacing w:line="240" w:lineRule="auto"/>
              <w:ind w:firstLine="0" w:firstLineChars="0"/>
              <w:jc w:val="center"/>
              <w:rPr>
                <w:sz w:val="21"/>
                <w:szCs w:val="21"/>
                <w:highlight w:val="none"/>
              </w:rPr>
            </w:pPr>
            <w:r>
              <w:rPr>
                <w:rFonts w:hint="eastAsia"/>
                <w:sz w:val="21"/>
                <w:szCs w:val="21"/>
                <w:highlight w:val="none"/>
              </w:rPr>
              <w:t>Z</w:t>
            </w:r>
          </w:p>
        </w:tc>
        <w:tc>
          <w:tcPr>
            <w:tcW w:w="304" w:type="pct"/>
            <w:vMerge w:val="continue"/>
            <w:noWrap w:val="0"/>
            <w:vAlign w:val="center"/>
          </w:tcPr>
          <w:p w14:paraId="78927EAB">
            <w:pPr>
              <w:spacing w:line="240" w:lineRule="auto"/>
              <w:ind w:firstLine="0" w:firstLineChars="0"/>
              <w:jc w:val="center"/>
              <w:rPr>
                <w:sz w:val="21"/>
                <w:szCs w:val="21"/>
                <w:highlight w:val="none"/>
              </w:rPr>
            </w:pPr>
          </w:p>
        </w:tc>
        <w:tc>
          <w:tcPr>
            <w:tcW w:w="342" w:type="pct"/>
            <w:vMerge w:val="continue"/>
            <w:noWrap w:val="0"/>
            <w:vAlign w:val="center"/>
          </w:tcPr>
          <w:p w14:paraId="754C6475">
            <w:pPr>
              <w:spacing w:line="240" w:lineRule="auto"/>
              <w:ind w:firstLine="0" w:firstLineChars="0"/>
              <w:jc w:val="center"/>
              <w:rPr>
                <w:sz w:val="21"/>
                <w:szCs w:val="21"/>
                <w:highlight w:val="none"/>
              </w:rPr>
            </w:pPr>
          </w:p>
        </w:tc>
        <w:tc>
          <w:tcPr>
            <w:tcW w:w="359" w:type="pct"/>
            <w:noWrap w:val="0"/>
            <w:vAlign w:val="center"/>
          </w:tcPr>
          <w:p w14:paraId="271831D4">
            <w:pPr>
              <w:spacing w:line="240" w:lineRule="auto"/>
              <w:ind w:firstLine="0" w:firstLineChars="0"/>
              <w:jc w:val="center"/>
              <w:rPr>
                <w:sz w:val="21"/>
                <w:szCs w:val="21"/>
                <w:highlight w:val="none"/>
              </w:rPr>
            </w:pPr>
            <w:r>
              <w:rPr>
                <w:rFonts w:hint="eastAsia"/>
                <w:sz w:val="21"/>
                <w:szCs w:val="21"/>
                <w:highlight w:val="none"/>
              </w:rPr>
              <w:t>声压级</w:t>
            </w:r>
          </w:p>
          <w:p w14:paraId="43EFD3D6">
            <w:pPr>
              <w:spacing w:line="240" w:lineRule="auto"/>
              <w:ind w:firstLine="0" w:firstLineChars="0"/>
              <w:jc w:val="center"/>
              <w:rPr>
                <w:sz w:val="21"/>
                <w:szCs w:val="21"/>
                <w:highlight w:val="none"/>
              </w:rPr>
            </w:pPr>
            <w:r>
              <w:rPr>
                <w:sz w:val="21"/>
                <w:szCs w:val="21"/>
                <w:highlight w:val="none"/>
              </w:rPr>
              <w:t>/dB(A)</w:t>
            </w:r>
          </w:p>
        </w:tc>
        <w:tc>
          <w:tcPr>
            <w:tcW w:w="351" w:type="pct"/>
            <w:noWrap w:val="0"/>
            <w:vAlign w:val="center"/>
          </w:tcPr>
          <w:p w14:paraId="3C0E74BD">
            <w:pPr>
              <w:spacing w:line="240" w:lineRule="auto"/>
              <w:ind w:firstLine="0" w:firstLineChars="0"/>
              <w:jc w:val="center"/>
              <w:rPr>
                <w:sz w:val="21"/>
                <w:szCs w:val="21"/>
                <w:highlight w:val="none"/>
              </w:rPr>
            </w:pPr>
            <w:r>
              <w:rPr>
                <w:rFonts w:hint="eastAsia"/>
                <w:sz w:val="21"/>
                <w:szCs w:val="21"/>
                <w:highlight w:val="none"/>
              </w:rPr>
              <w:t>建筑物外距离（m）</w:t>
            </w:r>
          </w:p>
        </w:tc>
      </w:tr>
      <w:tr w14:paraId="71E36C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79" w:type="pct"/>
            <w:vMerge w:val="restart"/>
            <w:noWrap w:val="0"/>
            <w:vAlign w:val="center"/>
          </w:tcPr>
          <w:p w14:paraId="7EB04790">
            <w:pPr>
              <w:spacing w:line="240" w:lineRule="auto"/>
              <w:ind w:firstLine="0" w:firstLineChars="0"/>
              <w:jc w:val="center"/>
              <w:rPr>
                <w:sz w:val="21"/>
                <w:szCs w:val="21"/>
                <w:highlight w:val="none"/>
              </w:rPr>
            </w:pPr>
            <w:r>
              <w:rPr>
                <w:rFonts w:hint="eastAsia"/>
                <w:sz w:val="21"/>
                <w:szCs w:val="21"/>
                <w:highlight w:val="none"/>
              </w:rPr>
              <w:t>热源厂</w:t>
            </w:r>
          </w:p>
        </w:tc>
        <w:tc>
          <w:tcPr>
            <w:tcW w:w="283" w:type="pct"/>
            <w:vMerge w:val="restart"/>
            <w:noWrap w:val="0"/>
            <w:vAlign w:val="center"/>
          </w:tcPr>
          <w:p w14:paraId="3DDEEBAE">
            <w:pPr>
              <w:spacing w:line="240" w:lineRule="auto"/>
              <w:ind w:firstLine="0" w:firstLineChars="0"/>
              <w:jc w:val="center"/>
              <w:rPr>
                <w:sz w:val="21"/>
                <w:szCs w:val="21"/>
                <w:highlight w:val="none"/>
              </w:rPr>
            </w:pPr>
            <w:r>
              <w:rPr>
                <w:rFonts w:hint="eastAsia"/>
                <w:sz w:val="21"/>
                <w:szCs w:val="21"/>
                <w:highlight w:val="none"/>
              </w:rPr>
              <w:t>锅炉间</w:t>
            </w:r>
          </w:p>
        </w:tc>
        <w:tc>
          <w:tcPr>
            <w:tcW w:w="479" w:type="pct"/>
            <w:vMerge w:val="restart"/>
            <w:noWrap w:val="0"/>
            <w:vAlign w:val="center"/>
          </w:tcPr>
          <w:p w14:paraId="56D8510C">
            <w:pPr>
              <w:spacing w:line="240" w:lineRule="auto"/>
              <w:ind w:firstLine="0" w:firstLineChars="0"/>
              <w:jc w:val="center"/>
              <w:rPr>
                <w:sz w:val="21"/>
                <w:szCs w:val="21"/>
                <w:highlight w:val="none"/>
              </w:rPr>
            </w:pPr>
            <w:r>
              <w:rPr>
                <w:rFonts w:hint="eastAsia"/>
                <w:sz w:val="21"/>
                <w:szCs w:val="21"/>
                <w:highlight w:val="none"/>
              </w:rPr>
              <w:t>锅炉给水泵</w:t>
            </w:r>
          </w:p>
        </w:tc>
        <w:tc>
          <w:tcPr>
            <w:tcW w:w="179" w:type="pct"/>
            <w:noWrap w:val="0"/>
            <w:vAlign w:val="center"/>
          </w:tcPr>
          <w:p w14:paraId="35027A2D">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461117A8">
            <w:pPr>
              <w:spacing w:line="240" w:lineRule="auto"/>
              <w:ind w:firstLine="0" w:firstLineChars="0"/>
              <w:jc w:val="center"/>
              <w:rPr>
                <w:sz w:val="21"/>
                <w:szCs w:val="21"/>
                <w:highlight w:val="none"/>
              </w:rPr>
            </w:pPr>
            <w:r>
              <w:rPr>
                <w:rFonts w:hint="eastAsia"/>
                <w:sz w:val="21"/>
                <w:szCs w:val="21"/>
                <w:highlight w:val="none"/>
              </w:rPr>
              <w:t>90</w:t>
            </w:r>
          </w:p>
        </w:tc>
        <w:tc>
          <w:tcPr>
            <w:tcW w:w="492" w:type="pct"/>
            <w:noWrap w:val="0"/>
            <w:vAlign w:val="center"/>
          </w:tcPr>
          <w:p w14:paraId="46BEEDDF">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6A614E12">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3ABFA866">
            <w:pPr>
              <w:spacing w:line="240" w:lineRule="auto"/>
              <w:ind w:firstLine="0" w:firstLineChars="0"/>
              <w:jc w:val="center"/>
              <w:rPr>
                <w:rFonts w:hint="default" w:eastAsia="宋体"/>
                <w:sz w:val="21"/>
                <w:szCs w:val="21"/>
                <w:highlight w:val="none"/>
                <w:lang w:val="en-US" w:eastAsia="zh-CN"/>
              </w:rPr>
            </w:pPr>
            <w:r>
              <w:rPr>
                <w:rFonts w:hint="eastAsia" w:eastAsia="等线"/>
                <w:sz w:val="21"/>
                <w:szCs w:val="21"/>
                <w:highlight w:val="none"/>
                <w:lang w:val="en-US" w:eastAsia="zh-CN"/>
              </w:rPr>
              <w:t>-19.28</w:t>
            </w:r>
          </w:p>
        </w:tc>
        <w:tc>
          <w:tcPr>
            <w:tcW w:w="357" w:type="pct"/>
            <w:noWrap w:val="0"/>
            <w:vAlign w:val="center"/>
          </w:tcPr>
          <w:p w14:paraId="65E91469">
            <w:pPr>
              <w:spacing w:line="240" w:lineRule="auto"/>
              <w:ind w:firstLine="0" w:firstLineChars="0"/>
              <w:jc w:val="center"/>
              <w:rPr>
                <w:rFonts w:hint="default" w:eastAsia="宋体"/>
                <w:sz w:val="21"/>
                <w:szCs w:val="21"/>
                <w:highlight w:val="none"/>
                <w:lang w:val="en-US" w:eastAsia="zh-CN"/>
              </w:rPr>
            </w:pPr>
            <w:r>
              <w:rPr>
                <w:rFonts w:hint="eastAsia" w:eastAsia="等线"/>
                <w:sz w:val="21"/>
                <w:szCs w:val="21"/>
                <w:highlight w:val="none"/>
                <w:lang w:val="en-US" w:eastAsia="zh-CN"/>
              </w:rPr>
              <w:t>-28.92</w:t>
            </w:r>
          </w:p>
        </w:tc>
        <w:tc>
          <w:tcPr>
            <w:tcW w:w="245" w:type="pct"/>
            <w:noWrap w:val="0"/>
            <w:vAlign w:val="center"/>
          </w:tcPr>
          <w:p w14:paraId="78CC70D3">
            <w:pPr>
              <w:spacing w:line="240" w:lineRule="auto"/>
              <w:ind w:firstLine="0" w:firstLineChars="0"/>
              <w:jc w:val="center"/>
              <w:rPr>
                <w:sz w:val="21"/>
                <w:szCs w:val="21"/>
                <w:highlight w:val="none"/>
              </w:rPr>
            </w:pPr>
            <w:r>
              <w:rPr>
                <w:rFonts w:hint="eastAsia" w:eastAsia="等线"/>
                <w:sz w:val="21"/>
                <w:szCs w:val="21"/>
                <w:highlight w:val="none"/>
              </w:rPr>
              <w:t>1</w:t>
            </w:r>
          </w:p>
        </w:tc>
        <w:tc>
          <w:tcPr>
            <w:tcW w:w="304" w:type="pct"/>
            <w:vMerge w:val="restart"/>
            <w:noWrap w:val="0"/>
            <w:vAlign w:val="center"/>
          </w:tcPr>
          <w:p w14:paraId="30D30B91">
            <w:pPr>
              <w:spacing w:line="240" w:lineRule="auto"/>
              <w:ind w:firstLine="0" w:firstLineChars="0"/>
              <w:jc w:val="center"/>
              <w:rPr>
                <w:sz w:val="21"/>
                <w:szCs w:val="21"/>
                <w:highlight w:val="none"/>
              </w:rPr>
            </w:pPr>
            <w:r>
              <w:rPr>
                <w:rFonts w:hint="eastAsia"/>
                <w:sz w:val="21"/>
                <w:szCs w:val="21"/>
                <w:highlight w:val="none"/>
              </w:rPr>
              <w:t>昼间、夜间</w:t>
            </w:r>
          </w:p>
        </w:tc>
        <w:tc>
          <w:tcPr>
            <w:tcW w:w="342" w:type="pct"/>
            <w:noWrap w:val="0"/>
            <w:vAlign w:val="center"/>
          </w:tcPr>
          <w:p w14:paraId="46C51598">
            <w:pPr>
              <w:spacing w:line="240" w:lineRule="auto"/>
              <w:ind w:firstLine="0" w:firstLineChars="0"/>
              <w:jc w:val="center"/>
              <w:rPr>
                <w:rFonts w:hint="default" w:eastAsia="宋体"/>
                <w:sz w:val="21"/>
                <w:szCs w:val="21"/>
                <w:highlight w:val="none"/>
                <w:lang w:val="en-US" w:eastAsia="zh-CN"/>
              </w:rPr>
            </w:pPr>
            <w:r>
              <w:rPr>
                <w:rFonts w:hint="eastAsia" w:eastAsia="等线"/>
                <w:sz w:val="21"/>
                <w:szCs w:val="21"/>
                <w:highlight w:val="none"/>
                <w:lang w:val="en-US" w:eastAsia="zh-CN"/>
              </w:rPr>
              <w:t>25</w:t>
            </w:r>
          </w:p>
        </w:tc>
        <w:tc>
          <w:tcPr>
            <w:tcW w:w="359" w:type="pct"/>
            <w:noWrap w:val="0"/>
            <w:vAlign w:val="center"/>
          </w:tcPr>
          <w:p w14:paraId="701427A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65A59044">
            <w:pPr>
              <w:spacing w:line="240" w:lineRule="auto"/>
              <w:ind w:firstLine="0" w:firstLineChars="0"/>
              <w:jc w:val="center"/>
              <w:rPr>
                <w:sz w:val="21"/>
                <w:szCs w:val="21"/>
                <w:highlight w:val="none"/>
              </w:rPr>
            </w:pPr>
            <w:r>
              <w:rPr>
                <w:rFonts w:hint="eastAsia"/>
                <w:sz w:val="21"/>
                <w:szCs w:val="21"/>
                <w:highlight w:val="none"/>
              </w:rPr>
              <w:t>1</w:t>
            </w:r>
          </w:p>
        </w:tc>
      </w:tr>
      <w:tr w14:paraId="119AF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79" w:type="pct"/>
            <w:vMerge w:val="continue"/>
            <w:noWrap w:val="0"/>
            <w:vAlign w:val="center"/>
          </w:tcPr>
          <w:p w14:paraId="45845C8C">
            <w:pPr>
              <w:spacing w:line="240" w:lineRule="auto"/>
              <w:ind w:firstLine="0" w:firstLineChars="0"/>
              <w:jc w:val="center"/>
              <w:rPr>
                <w:rFonts w:hint="eastAsia"/>
                <w:sz w:val="21"/>
                <w:szCs w:val="21"/>
                <w:highlight w:val="none"/>
              </w:rPr>
            </w:pPr>
          </w:p>
        </w:tc>
        <w:tc>
          <w:tcPr>
            <w:tcW w:w="283" w:type="pct"/>
            <w:vMerge w:val="continue"/>
            <w:noWrap w:val="0"/>
            <w:vAlign w:val="center"/>
          </w:tcPr>
          <w:p w14:paraId="10EE554D">
            <w:pPr>
              <w:spacing w:line="240" w:lineRule="auto"/>
              <w:ind w:firstLine="0" w:firstLineChars="0"/>
              <w:jc w:val="center"/>
              <w:rPr>
                <w:rFonts w:hint="eastAsia"/>
                <w:sz w:val="21"/>
                <w:szCs w:val="21"/>
                <w:highlight w:val="none"/>
              </w:rPr>
            </w:pPr>
          </w:p>
        </w:tc>
        <w:tc>
          <w:tcPr>
            <w:tcW w:w="479" w:type="pct"/>
            <w:vMerge w:val="continue"/>
            <w:noWrap w:val="0"/>
            <w:vAlign w:val="center"/>
          </w:tcPr>
          <w:p w14:paraId="745F5DD6">
            <w:pPr>
              <w:spacing w:line="240" w:lineRule="auto"/>
              <w:ind w:firstLine="0" w:firstLineChars="0"/>
              <w:jc w:val="center"/>
              <w:rPr>
                <w:rFonts w:hint="eastAsia"/>
                <w:sz w:val="21"/>
                <w:szCs w:val="21"/>
                <w:highlight w:val="none"/>
              </w:rPr>
            </w:pPr>
          </w:p>
        </w:tc>
        <w:tc>
          <w:tcPr>
            <w:tcW w:w="179" w:type="pct"/>
            <w:noWrap w:val="0"/>
            <w:vAlign w:val="center"/>
          </w:tcPr>
          <w:p w14:paraId="217C8D9B">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714D5A14">
            <w:pPr>
              <w:spacing w:line="240" w:lineRule="auto"/>
              <w:ind w:firstLine="0" w:firstLineChars="0"/>
              <w:jc w:val="center"/>
              <w:rPr>
                <w:rFonts w:hint="eastAsia"/>
                <w:sz w:val="21"/>
                <w:szCs w:val="21"/>
                <w:highlight w:val="none"/>
              </w:rPr>
            </w:pPr>
            <w:r>
              <w:rPr>
                <w:rFonts w:hint="eastAsia"/>
                <w:sz w:val="21"/>
                <w:szCs w:val="21"/>
                <w:highlight w:val="none"/>
              </w:rPr>
              <w:t>90</w:t>
            </w:r>
          </w:p>
        </w:tc>
        <w:tc>
          <w:tcPr>
            <w:tcW w:w="492" w:type="pct"/>
            <w:noWrap w:val="0"/>
            <w:vAlign w:val="center"/>
          </w:tcPr>
          <w:p w14:paraId="0EACFEEE">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56172141">
            <w:pPr>
              <w:spacing w:line="240" w:lineRule="auto"/>
              <w:ind w:firstLine="0" w:firstLineChars="0"/>
              <w:jc w:val="center"/>
              <w:rPr>
                <w:rFonts w:hint="eastAsia"/>
                <w:sz w:val="21"/>
                <w:szCs w:val="21"/>
                <w:highlight w:val="none"/>
              </w:rPr>
            </w:pPr>
            <w:r>
              <w:rPr>
                <w:rFonts w:hint="eastAsia"/>
                <w:sz w:val="21"/>
                <w:szCs w:val="21"/>
                <w:highlight w:val="none"/>
              </w:rPr>
              <w:t>隔声罩壳、厂房隔声</w:t>
            </w:r>
          </w:p>
        </w:tc>
        <w:tc>
          <w:tcPr>
            <w:tcW w:w="358" w:type="pct"/>
            <w:noWrap w:val="0"/>
            <w:vAlign w:val="center"/>
          </w:tcPr>
          <w:p w14:paraId="33415944">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-19.83</w:t>
            </w:r>
          </w:p>
        </w:tc>
        <w:tc>
          <w:tcPr>
            <w:tcW w:w="357" w:type="pct"/>
            <w:noWrap w:val="0"/>
            <w:vAlign w:val="center"/>
          </w:tcPr>
          <w:p w14:paraId="3FB7A51A">
            <w:pPr>
              <w:spacing w:line="240" w:lineRule="auto"/>
              <w:ind w:firstLine="0" w:firstLineChars="0"/>
              <w:jc w:val="center"/>
              <w:rPr>
                <w:rFonts w:eastAsia="等线"/>
                <w:sz w:val="21"/>
                <w:szCs w:val="21"/>
                <w:highlight w:val="none"/>
              </w:rPr>
            </w:pPr>
            <w:r>
              <w:rPr>
                <w:rFonts w:eastAsia="等线"/>
                <w:sz w:val="21"/>
                <w:szCs w:val="21"/>
                <w:highlight w:val="none"/>
              </w:rPr>
              <w:t>47.04</w:t>
            </w:r>
          </w:p>
        </w:tc>
        <w:tc>
          <w:tcPr>
            <w:tcW w:w="245" w:type="pct"/>
            <w:noWrap w:val="0"/>
            <w:vAlign w:val="center"/>
          </w:tcPr>
          <w:p w14:paraId="2C66E773">
            <w:pPr>
              <w:spacing w:line="240" w:lineRule="auto"/>
              <w:ind w:firstLine="0" w:firstLineChars="0"/>
              <w:jc w:val="center"/>
              <w:rPr>
                <w:rFonts w:hint="eastAsia"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4BB217ED">
            <w:pPr>
              <w:spacing w:line="240" w:lineRule="auto"/>
              <w:ind w:firstLine="0" w:firstLineChars="0"/>
              <w:jc w:val="center"/>
              <w:rPr>
                <w:rFonts w:hint="eastAsia"/>
                <w:sz w:val="21"/>
                <w:szCs w:val="21"/>
                <w:highlight w:val="none"/>
              </w:rPr>
            </w:pPr>
          </w:p>
        </w:tc>
        <w:tc>
          <w:tcPr>
            <w:tcW w:w="342" w:type="pct"/>
            <w:noWrap w:val="0"/>
            <w:vAlign w:val="center"/>
          </w:tcPr>
          <w:p w14:paraId="6A63A6BD">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1FB64146">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327D7D53">
            <w:pPr>
              <w:spacing w:line="240" w:lineRule="auto"/>
              <w:ind w:firstLine="0" w:firstLineChars="0"/>
              <w:jc w:val="center"/>
              <w:rPr>
                <w:rFonts w:hint="eastAsia"/>
                <w:sz w:val="21"/>
                <w:szCs w:val="21"/>
                <w:highlight w:val="none"/>
              </w:rPr>
            </w:pPr>
            <w:r>
              <w:rPr>
                <w:rFonts w:hint="eastAsia"/>
                <w:sz w:val="21"/>
                <w:szCs w:val="21"/>
                <w:highlight w:val="none"/>
              </w:rPr>
              <w:t>1</w:t>
            </w:r>
          </w:p>
        </w:tc>
      </w:tr>
      <w:tr w14:paraId="588A9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39E4323F">
            <w:pPr>
              <w:spacing w:line="240" w:lineRule="auto"/>
              <w:ind w:firstLine="0" w:firstLineChars="0"/>
              <w:jc w:val="center"/>
              <w:rPr>
                <w:sz w:val="21"/>
                <w:szCs w:val="21"/>
                <w:highlight w:val="none"/>
              </w:rPr>
            </w:pPr>
          </w:p>
        </w:tc>
        <w:tc>
          <w:tcPr>
            <w:tcW w:w="283" w:type="pct"/>
            <w:vMerge w:val="continue"/>
            <w:noWrap w:val="0"/>
            <w:vAlign w:val="center"/>
          </w:tcPr>
          <w:p w14:paraId="296DB029">
            <w:pPr>
              <w:spacing w:line="240" w:lineRule="auto"/>
              <w:ind w:firstLine="0" w:firstLineChars="0"/>
              <w:jc w:val="center"/>
              <w:rPr>
                <w:sz w:val="21"/>
                <w:szCs w:val="21"/>
                <w:highlight w:val="none"/>
              </w:rPr>
            </w:pPr>
          </w:p>
        </w:tc>
        <w:tc>
          <w:tcPr>
            <w:tcW w:w="479" w:type="pct"/>
            <w:vMerge w:val="restart"/>
            <w:noWrap w:val="0"/>
            <w:vAlign w:val="center"/>
          </w:tcPr>
          <w:p w14:paraId="45E069E8">
            <w:pPr>
              <w:spacing w:line="240" w:lineRule="auto"/>
              <w:ind w:firstLine="0" w:firstLineChars="0"/>
              <w:jc w:val="center"/>
              <w:rPr>
                <w:sz w:val="21"/>
                <w:szCs w:val="21"/>
                <w:highlight w:val="none"/>
              </w:rPr>
            </w:pPr>
            <w:r>
              <w:rPr>
                <w:rFonts w:hint="eastAsia"/>
                <w:sz w:val="21"/>
                <w:szCs w:val="21"/>
                <w:highlight w:val="none"/>
              </w:rPr>
              <w:t>引风机</w:t>
            </w:r>
          </w:p>
        </w:tc>
        <w:tc>
          <w:tcPr>
            <w:tcW w:w="179" w:type="pct"/>
            <w:noWrap w:val="0"/>
            <w:vAlign w:val="center"/>
          </w:tcPr>
          <w:p w14:paraId="45B400C9">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59A02583">
            <w:pPr>
              <w:spacing w:line="240" w:lineRule="auto"/>
              <w:ind w:firstLine="0" w:firstLineChars="0"/>
              <w:jc w:val="center"/>
              <w:rPr>
                <w:sz w:val="21"/>
                <w:szCs w:val="21"/>
                <w:highlight w:val="none"/>
              </w:rPr>
            </w:pPr>
            <w:r>
              <w:rPr>
                <w:rFonts w:hint="eastAsia"/>
                <w:sz w:val="21"/>
                <w:szCs w:val="21"/>
                <w:highlight w:val="none"/>
              </w:rPr>
              <w:t>90</w:t>
            </w:r>
          </w:p>
        </w:tc>
        <w:tc>
          <w:tcPr>
            <w:tcW w:w="492" w:type="pct"/>
            <w:noWrap w:val="0"/>
            <w:vAlign w:val="center"/>
          </w:tcPr>
          <w:p w14:paraId="4C3F4BA0">
            <w:pPr>
              <w:spacing w:line="240" w:lineRule="auto"/>
              <w:ind w:firstLine="0" w:firstLineChars="0"/>
              <w:jc w:val="center"/>
              <w:rPr>
                <w:rFonts w:eastAsia="等线"/>
                <w:sz w:val="21"/>
                <w:szCs w:val="21"/>
                <w:highlight w:val="none"/>
              </w:rPr>
            </w:pPr>
            <w:r>
              <w:rPr>
                <w:sz w:val="21"/>
                <w:szCs w:val="21"/>
                <w:highlight w:val="none"/>
              </w:rPr>
              <w:t>罩壳外1m</w:t>
            </w:r>
          </w:p>
        </w:tc>
        <w:tc>
          <w:tcPr>
            <w:tcW w:w="720" w:type="pct"/>
            <w:noWrap w:val="0"/>
            <w:vAlign w:val="center"/>
          </w:tcPr>
          <w:p w14:paraId="70F8FA2B">
            <w:pPr>
              <w:spacing w:line="240" w:lineRule="auto"/>
              <w:ind w:firstLine="0" w:firstLineChars="0"/>
              <w:jc w:val="center"/>
              <w:rPr>
                <w:sz w:val="21"/>
                <w:szCs w:val="21"/>
                <w:highlight w:val="none"/>
              </w:rPr>
            </w:pPr>
            <w:r>
              <w:rPr>
                <w:rFonts w:hint="eastAsia"/>
                <w:sz w:val="21"/>
                <w:szCs w:val="21"/>
                <w:highlight w:val="none"/>
              </w:rPr>
              <w:t>隔声罩壳、管道外壳阻尼</w:t>
            </w:r>
          </w:p>
        </w:tc>
        <w:tc>
          <w:tcPr>
            <w:tcW w:w="358" w:type="pct"/>
            <w:noWrap w:val="0"/>
            <w:vAlign w:val="center"/>
          </w:tcPr>
          <w:p w14:paraId="01BC4F65">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-9.88</w:t>
            </w:r>
          </w:p>
        </w:tc>
        <w:tc>
          <w:tcPr>
            <w:tcW w:w="357" w:type="pct"/>
            <w:noWrap w:val="0"/>
            <w:vAlign w:val="center"/>
          </w:tcPr>
          <w:p w14:paraId="59A986A2">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-22.83</w:t>
            </w:r>
          </w:p>
        </w:tc>
        <w:tc>
          <w:tcPr>
            <w:tcW w:w="245" w:type="pct"/>
            <w:noWrap w:val="0"/>
            <w:vAlign w:val="center"/>
          </w:tcPr>
          <w:p w14:paraId="1C45955C">
            <w:pPr>
              <w:spacing w:line="240" w:lineRule="auto"/>
              <w:ind w:firstLine="0" w:firstLineChars="0"/>
              <w:jc w:val="center"/>
              <w:rPr>
                <w:rFonts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3205E28E">
            <w:pPr>
              <w:spacing w:line="240" w:lineRule="auto"/>
              <w:ind w:firstLine="0" w:firstLineChars="0"/>
              <w:jc w:val="center"/>
              <w:rPr>
                <w:rFonts w:eastAsia="等线"/>
                <w:sz w:val="21"/>
                <w:szCs w:val="21"/>
                <w:highlight w:val="none"/>
              </w:rPr>
            </w:pPr>
          </w:p>
        </w:tc>
        <w:tc>
          <w:tcPr>
            <w:tcW w:w="342" w:type="pct"/>
            <w:noWrap w:val="0"/>
            <w:vAlign w:val="center"/>
          </w:tcPr>
          <w:p w14:paraId="561BD93C">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5125F245">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eastAsia="zh-CN"/>
              </w:rPr>
              <w:t>6</w:t>
            </w:r>
            <w:r>
              <w:rPr>
                <w:rFonts w:hint="eastAsia"/>
                <w:sz w:val="21"/>
                <w:szCs w:val="21"/>
                <w:highlight w:val="none"/>
                <w:lang w:val="en-US" w:eastAsia="zh-CN"/>
              </w:rPr>
              <w:t>5</w:t>
            </w:r>
          </w:p>
        </w:tc>
        <w:tc>
          <w:tcPr>
            <w:tcW w:w="351" w:type="pct"/>
            <w:noWrap w:val="0"/>
            <w:vAlign w:val="center"/>
          </w:tcPr>
          <w:p w14:paraId="47F21DA6">
            <w:pPr>
              <w:spacing w:line="240" w:lineRule="auto"/>
              <w:ind w:firstLine="0" w:firstLineChars="0"/>
              <w:jc w:val="center"/>
              <w:rPr>
                <w:sz w:val="21"/>
                <w:szCs w:val="21"/>
                <w:highlight w:val="none"/>
              </w:rPr>
            </w:pPr>
            <w:r>
              <w:rPr>
                <w:rFonts w:hint="eastAsia"/>
                <w:sz w:val="21"/>
                <w:szCs w:val="21"/>
                <w:highlight w:val="none"/>
              </w:rPr>
              <w:t>1</w:t>
            </w:r>
          </w:p>
        </w:tc>
      </w:tr>
      <w:tr w14:paraId="01C1C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0437E70D">
            <w:pPr>
              <w:spacing w:line="240" w:lineRule="auto"/>
              <w:ind w:firstLine="0" w:firstLineChars="0"/>
              <w:jc w:val="center"/>
              <w:rPr>
                <w:sz w:val="21"/>
                <w:szCs w:val="21"/>
                <w:highlight w:val="none"/>
              </w:rPr>
            </w:pPr>
          </w:p>
        </w:tc>
        <w:tc>
          <w:tcPr>
            <w:tcW w:w="283" w:type="pct"/>
            <w:vMerge w:val="continue"/>
            <w:noWrap w:val="0"/>
            <w:vAlign w:val="center"/>
          </w:tcPr>
          <w:p w14:paraId="063D3C7A">
            <w:pPr>
              <w:spacing w:line="240" w:lineRule="auto"/>
              <w:ind w:firstLine="0" w:firstLineChars="0"/>
              <w:jc w:val="center"/>
              <w:rPr>
                <w:sz w:val="21"/>
                <w:szCs w:val="21"/>
                <w:highlight w:val="none"/>
              </w:rPr>
            </w:pPr>
          </w:p>
        </w:tc>
        <w:tc>
          <w:tcPr>
            <w:tcW w:w="479" w:type="pct"/>
            <w:vMerge w:val="continue"/>
            <w:noWrap w:val="0"/>
            <w:vAlign w:val="center"/>
          </w:tcPr>
          <w:p w14:paraId="0761AAAC">
            <w:pPr>
              <w:spacing w:line="240" w:lineRule="auto"/>
              <w:ind w:firstLine="0" w:firstLineChars="0"/>
              <w:jc w:val="center"/>
              <w:rPr>
                <w:rFonts w:hint="eastAsia"/>
                <w:sz w:val="21"/>
                <w:szCs w:val="21"/>
                <w:highlight w:val="none"/>
              </w:rPr>
            </w:pPr>
          </w:p>
        </w:tc>
        <w:tc>
          <w:tcPr>
            <w:tcW w:w="179" w:type="pct"/>
            <w:noWrap w:val="0"/>
            <w:vAlign w:val="center"/>
          </w:tcPr>
          <w:p w14:paraId="3032DB07">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1FC33BB9">
            <w:pPr>
              <w:spacing w:line="240" w:lineRule="auto"/>
              <w:ind w:firstLine="0" w:firstLineChars="0"/>
              <w:jc w:val="center"/>
              <w:rPr>
                <w:rFonts w:hint="eastAsia"/>
                <w:sz w:val="21"/>
                <w:szCs w:val="21"/>
                <w:highlight w:val="none"/>
              </w:rPr>
            </w:pPr>
            <w:r>
              <w:rPr>
                <w:rFonts w:hint="eastAsia"/>
                <w:sz w:val="21"/>
                <w:szCs w:val="21"/>
                <w:highlight w:val="none"/>
              </w:rPr>
              <w:t>90</w:t>
            </w:r>
          </w:p>
        </w:tc>
        <w:tc>
          <w:tcPr>
            <w:tcW w:w="492" w:type="pct"/>
            <w:noWrap w:val="0"/>
            <w:vAlign w:val="center"/>
          </w:tcPr>
          <w:p w14:paraId="001A7C9E">
            <w:pPr>
              <w:spacing w:line="240" w:lineRule="auto"/>
              <w:ind w:firstLine="0" w:firstLineChars="0"/>
              <w:jc w:val="center"/>
              <w:rPr>
                <w:sz w:val="21"/>
                <w:szCs w:val="21"/>
                <w:highlight w:val="none"/>
              </w:rPr>
            </w:pPr>
            <w:r>
              <w:rPr>
                <w:sz w:val="21"/>
                <w:szCs w:val="21"/>
                <w:highlight w:val="none"/>
              </w:rPr>
              <w:t>罩壳外1m</w:t>
            </w:r>
          </w:p>
        </w:tc>
        <w:tc>
          <w:tcPr>
            <w:tcW w:w="720" w:type="pct"/>
            <w:noWrap w:val="0"/>
            <w:vAlign w:val="center"/>
          </w:tcPr>
          <w:p w14:paraId="555AEFDC">
            <w:pPr>
              <w:spacing w:line="240" w:lineRule="auto"/>
              <w:ind w:firstLine="0" w:firstLineChars="0"/>
              <w:jc w:val="center"/>
              <w:rPr>
                <w:rFonts w:hint="eastAsia"/>
                <w:sz w:val="21"/>
                <w:szCs w:val="21"/>
                <w:highlight w:val="none"/>
              </w:rPr>
            </w:pPr>
            <w:r>
              <w:rPr>
                <w:rFonts w:hint="eastAsia"/>
                <w:sz w:val="21"/>
                <w:szCs w:val="21"/>
                <w:highlight w:val="none"/>
              </w:rPr>
              <w:t>隔声罩壳、管道外壳阻尼</w:t>
            </w:r>
          </w:p>
        </w:tc>
        <w:tc>
          <w:tcPr>
            <w:tcW w:w="358" w:type="pct"/>
            <w:noWrap w:val="0"/>
            <w:vAlign w:val="center"/>
          </w:tcPr>
          <w:p w14:paraId="4F8AB5E1">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1.18</w:t>
            </w:r>
          </w:p>
        </w:tc>
        <w:tc>
          <w:tcPr>
            <w:tcW w:w="357" w:type="pct"/>
            <w:noWrap w:val="0"/>
            <w:vAlign w:val="center"/>
          </w:tcPr>
          <w:p w14:paraId="1BB3F6C1">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-22.83</w:t>
            </w:r>
          </w:p>
        </w:tc>
        <w:tc>
          <w:tcPr>
            <w:tcW w:w="245" w:type="pct"/>
            <w:noWrap w:val="0"/>
            <w:vAlign w:val="center"/>
          </w:tcPr>
          <w:p w14:paraId="036A8348">
            <w:pPr>
              <w:spacing w:line="240" w:lineRule="auto"/>
              <w:ind w:firstLine="0" w:firstLineChars="0"/>
              <w:jc w:val="center"/>
              <w:rPr>
                <w:rFonts w:hint="eastAsia"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083EA3CD">
            <w:pPr>
              <w:spacing w:line="240" w:lineRule="auto"/>
              <w:ind w:firstLine="0" w:firstLineChars="0"/>
              <w:jc w:val="center"/>
              <w:rPr>
                <w:rFonts w:eastAsia="等线"/>
                <w:sz w:val="21"/>
                <w:szCs w:val="21"/>
                <w:highlight w:val="none"/>
              </w:rPr>
            </w:pPr>
          </w:p>
        </w:tc>
        <w:tc>
          <w:tcPr>
            <w:tcW w:w="342" w:type="pct"/>
            <w:noWrap w:val="0"/>
            <w:vAlign w:val="center"/>
          </w:tcPr>
          <w:p w14:paraId="31436567">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109A8ADA">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55AE85DC">
            <w:pPr>
              <w:spacing w:line="240" w:lineRule="auto"/>
              <w:ind w:firstLine="0" w:firstLineChars="0"/>
              <w:jc w:val="center"/>
              <w:rPr>
                <w:sz w:val="21"/>
                <w:szCs w:val="21"/>
                <w:highlight w:val="none"/>
              </w:rPr>
            </w:pPr>
            <w:r>
              <w:rPr>
                <w:rFonts w:hint="eastAsia"/>
                <w:sz w:val="21"/>
                <w:szCs w:val="21"/>
                <w:highlight w:val="none"/>
              </w:rPr>
              <w:t>1</w:t>
            </w:r>
          </w:p>
        </w:tc>
      </w:tr>
      <w:tr w14:paraId="75C92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79" w:type="pct"/>
            <w:vMerge w:val="continue"/>
            <w:noWrap w:val="0"/>
            <w:vAlign w:val="center"/>
          </w:tcPr>
          <w:p w14:paraId="052DB36A">
            <w:pPr>
              <w:spacing w:line="240" w:lineRule="auto"/>
              <w:ind w:firstLine="0" w:firstLineChars="0"/>
              <w:jc w:val="center"/>
              <w:rPr>
                <w:sz w:val="21"/>
                <w:szCs w:val="21"/>
                <w:highlight w:val="none"/>
              </w:rPr>
            </w:pPr>
          </w:p>
        </w:tc>
        <w:tc>
          <w:tcPr>
            <w:tcW w:w="283" w:type="pct"/>
            <w:vMerge w:val="continue"/>
            <w:noWrap w:val="0"/>
            <w:vAlign w:val="center"/>
          </w:tcPr>
          <w:p w14:paraId="3589202A">
            <w:pPr>
              <w:spacing w:line="240" w:lineRule="auto"/>
              <w:ind w:firstLine="0" w:firstLineChars="0"/>
              <w:jc w:val="center"/>
              <w:rPr>
                <w:sz w:val="21"/>
                <w:szCs w:val="21"/>
                <w:highlight w:val="none"/>
              </w:rPr>
            </w:pPr>
          </w:p>
        </w:tc>
        <w:tc>
          <w:tcPr>
            <w:tcW w:w="479" w:type="pct"/>
            <w:vMerge w:val="continue"/>
            <w:noWrap w:val="0"/>
            <w:vAlign w:val="center"/>
          </w:tcPr>
          <w:p w14:paraId="7E41D0B5">
            <w:pPr>
              <w:spacing w:line="240" w:lineRule="auto"/>
              <w:ind w:firstLine="0" w:firstLineChars="0"/>
              <w:jc w:val="center"/>
              <w:rPr>
                <w:rFonts w:hint="eastAsia"/>
                <w:sz w:val="21"/>
                <w:szCs w:val="21"/>
                <w:highlight w:val="none"/>
              </w:rPr>
            </w:pPr>
          </w:p>
        </w:tc>
        <w:tc>
          <w:tcPr>
            <w:tcW w:w="179" w:type="pct"/>
            <w:noWrap w:val="0"/>
            <w:vAlign w:val="center"/>
          </w:tcPr>
          <w:p w14:paraId="075A3B53">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0C3F41E8">
            <w:pPr>
              <w:spacing w:line="240" w:lineRule="auto"/>
              <w:ind w:firstLine="0" w:firstLineChars="0"/>
              <w:jc w:val="center"/>
              <w:rPr>
                <w:rFonts w:hint="eastAsia"/>
                <w:sz w:val="21"/>
                <w:szCs w:val="21"/>
                <w:highlight w:val="none"/>
              </w:rPr>
            </w:pPr>
            <w:r>
              <w:rPr>
                <w:rFonts w:hint="eastAsia"/>
                <w:sz w:val="21"/>
                <w:szCs w:val="21"/>
                <w:highlight w:val="none"/>
              </w:rPr>
              <w:t>90</w:t>
            </w:r>
          </w:p>
        </w:tc>
        <w:tc>
          <w:tcPr>
            <w:tcW w:w="492" w:type="pct"/>
            <w:noWrap w:val="0"/>
            <w:vAlign w:val="center"/>
          </w:tcPr>
          <w:p w14:paraId="0244FF59">
            <w:pPr>
              <w:spacing w:line="240" w:lineRule="auto"/>
              <w:ind w:firstLine="0" w:firstLineChars="0"/>
              <w:jc w:val="center"/>
              <w:rPr>
                <w:sz w:val="21"/>
                <w:szCs w:val="21"/>
                <w:highlight w:val="none"/>
              </w:rPr>
            </w:pPr>
            <w:r>
              <w:rPr>
                <w:sz w:val="21"/>
                <w:szCs w:val="21"/>
                <w:highlight w:val="none"/>
              </w:rPr>
              <w:t>罩壳外1m</w:t>
            </w:r>
          </w:p>
        </w:tc>
        <w:tc>
          <w:tcPr>
            <w:tcW w:w="720" w:type="pct"/>
            <w:noWrap w:val="0"/>
            <w:vAlign w:val="center"/>
          </w:tcPr>
          <w:p w14:paraId="0C1E8383">
            <w:pPr>
              <w:spacing w:line="240" w:lineRule="auto"/>
              <w:ind w:firstLine="0" w:firstLineChars="0"/>
              <w:jc w:val="center"/>
              <w:rPr>
                <w:rFonts w:hint="eastAsia"/>
                <w:sz w:val="21"/>
                <w:szCs w:val="21"/>
                <w:highlight w:val="none"/>
              </w:rPr>
            </w:pPr>
            <w:r>
              <w:rPr>
                <w:rFonts w:hint="eastAsia"/>
                <w:sz w:val="21"/>
                <w:szCs w:val="21"/>
                <w:highlight w:val="none"/>
              </w:rPr>
              <w:t>隔声罩壳、管道外壳阻尼</w:t>
            </w:r>
          </w:p>
        </w:tc>
        <w:tc>
          <w:tcPr>
            <w:tcW w:w="358" w:type="pct"/>
            <w:noWrap w:val="0"/>
            <w:vAlign w:val="center"/>
          </w:tcPr>
          <w:p w14:paraId="1D24D5EB">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13.35</w:t>
            </w:r>
          </w:p>
        </w:tc>
        <w:tc>
          <w:tcPr>
            <w:tcW w:w="357" w:type="pct"/>
            <w:noWrap w:val="0"/>
            <w:vAlign w:val="center"/>
          </w:tcPr>
          <w:p w14:paraId="4ABBE782">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-27.81</w:t>
            </w:r>
          </w:p>
        </w:tc>
        <w:tc>
          <w:tcPr>
            <w:tcW w:w="245" w:type="pct"/>
            <w:noWrap w:val="0"/>
            <w:vAlign w:val="center"/>
          </w:tcPr>
          <w:p w14:paraId="1003CED6">
            <w:pPr>
              <w:spacing w:line="240" w:lineRule="auto"/>
              <w:ind w:firstLine="0" w:firstLineChars="0"/>
              <w:jc w:val="center"/>
              <w:rPr>
                <w:rFonts w:hint="eastAsia"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012538F5">
            <w:pPr>
              <w:spacing w:line="240" w:lineRule="auto"/>
              <w:ind w:firstLine="0" w:firstLineChars="0"/>
              <w:jc w:val="center"/>
              <w:rPr>
                <w:rFonts w:eastAsia="等线"/>
                <w:sz w:val="21"/>
                <w:szCs w:val="21"/>
                <w:highlight w:val="none"/>
              </w:rPr>
            </w:pPr>
          </w:p>
        </w:tc>
        <w:tc>
          <w:tcPr>
            <w:tcW w:w="342" w:type="pct"/>
            <w:noWrap w:val="0"/>
            <w:vAlign w:val="center"/>
          </w:tcPr>
          <w:p w14:paraId="18E24CC7">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0E9E416F">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08CA7180">
            <w:pPr>
              <w:spacing w:line="240" w:lineRule="auto"/>
              <w:ind w:firstLine="0" w:firstLineChars="0"/>
              <w:jc w:val="center"/>
              <w:rPr>
                <w:sz w:val="21"/>
                <w:szCs w:val="21"/>
                <w:highlight w:val="none"/>
              </w:rPr>
            </w:pPr>
            <w:r>
              <w:rPr>
                <w:rFonts w:hint="eastAsia"/>
                <w:sz w:val="21"/>
                <w:szCs w:val="21"/>
                <w:highlight w:val="none"/>
              </w:rPr>
              <w:t>1</w:t>
            </w:r>
          </w:p>
        </w:tc>
      </w:tr>
      <w:tr w14:paraId="1DF479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3FD0E903">
            <w:pPr>
              <w:spacing w:line="240" w:lineRule="auto"/>
              <w:ind w:firstLine="0" w:firstLineChars="0"/>
              <w:jc w:val="center"/>
              <w:rPr>
                <w:sz w:val="21"/>
                <w:szCs w:val="21"/>
                <w:highlight w:val="none"/>
              </w:rPr>
            </w:pPr>
          </w:p>
        </w:tc>
        <w:tc>
          <w:tcPr>
            <w:tcW w:w="283" w:type="pct"/>
            <w:vMerge w:val="continue"/>
            <w:noWrap w:val="0"/>
            <w:vAlign w:val="center"/>
          </w:tcPr>
          <w:p w14:paraId="57F4B2A8">
            <w:pPr>
              <w:spacing w:line="240" w:lineRule="auto"/>
              <w:ind w:firstLine="0" w:firstLineChars="0"/>
              <w:jc w:val="center"/>
              <w:rPr>
                <w:sz w:val="21"/>
                <w:szCs w:val="21"/>
                <w:highlight w:val="none"/>
              </w:rPr>
            </w:pPr>
          </w:p>
        </w:tc>
        <w:tc>
          <w:tcPr>
            <w:tcW w:w="479" w:type="pct"/>
            <w:noWrap w:val="0"/>
            <w:vAlign w:val="center"/>
          </w:tcPr>
          <w:p w14:paraId="52486459">
            <w:pPr>
              <w:spacing w:line="240" w:lineRule="auto"/>
              <w:ind w:firstLine="0" w:firstLineChars="0"/>
              <w:jc w:val="center"/>
              <w:rPr>
                <w:sz w:val="21"/>
                <w:szCs w:val="21"/>
                <w:highlight w:val="none"/>
              </w:rPr>
            </w:pPr>
            <w:r>
              <w:rPr>
                <w:rFonts w:hint="eastAsia"/>
                <w:sz w:val="21"/>
                <w:szCs w:val="21"/>
                <w:highlight w:val="none"/>
              </w:rPr>
              <w:t>给煤机</w:t>
            </w:r>
          </w:p>
        </w:tc>
        <w:tc>
          <w:tcPr>
            <w:tcW w:w="179" w:type="pct"/>
            <w:noWrap w:val="0"/>
            <w:vAlign w:val="center"/>
          </w:tcPr>
          <w:p w14:paraId="5BD625A9">
            <w:pPr>
              <w:spacing w:line="240" w:lineRule="auto"/>
              <w:ind w:firstLine="0" w:firstLineChars="0"/>
              <w:jc w:val="center"/>
              <w:rPr>
                <w:sz w:val="21"/>
                <w:szCs w:val="21"/>
                <w:highlight w:val="none"/>
              </w:rPr>
            </w:pPr>
            <w:r>
              <w:rPr>
                <w:rFonts w:hint="eastAsia"/>
                <w:sz w:val="21"/>
                <w:szCs w:val="21"/>
                <w:highlight w:val="none"/>
              </w:rPr>
              <w:t>1</w:t>
            </w:r>
          </w:p>
        </w:tc>
        <w:tc>
          <w:tcPr>
            <w:tcW w:w="347" w:type="pct"/>
            <w:noWrap w:val="0"/>
            <w:vAlign w:val="center"/>
          </w:tcPr>
          <w:p w14:paraId="422759C9">
            <w:pPr>
              <w:spacing w:line="240" w:lineRule="auto"/>
              <w:ind w:firstLine="0" w:firstLineChars="0"/>
              <w:jc w:val="center"/>
              <w:rPr>
                <w:sz w:val="21"/>
                <w:szCs w:val="21"/>
                <w:highlight w:val="none"/>
              </w:rPr>
            </w:pPr>
            <w:r>
              <w:rPr>
                <w:rFonts w:hint="eastAsia"/>
                <w:sz w:val="21"/>
                <w:szCs w:val="21"/>
                <w:highlight w:val="none"/>
              </w:rPr>
              <w:t>90</w:t>
            </w:r>
          </w:p>
        </w:tc>
        <w:tc>
          <w:tcPr>
            <w:tcW w:w="492" w:type="pct"/>
            <w:noWrap w:val="0"/>
            <w:vAlign w:val="center"/>
          </w:tcPr>
          <w:p w14:paraId="1CF1A441">
            <w:pPr>
              <w:spacing w:line="240" w:lineRule="auto"/>
              <w:ind w:firstLine="0" w:firstLineChars="0"/>
              <w:jc w:val="center"/>
              <w:rPr>
                <w:rFonts w:eastAsia="等线"/>
                <w:sz w:val="21"/>
                <w:szCs w:val="21"/>
                <w:highlight w:val="none"/>
              </w:rPr>
            </w:pPr>
            <w:r>
              <w:rPr>
                <w:sz w:val="21"/>
                <w:szCs w:val="21"/>
                <w:highlight w:val="none"/>
              </w:rPr>
              <w:t>设备外1m</w:t>
            </w:r>
          </w:p>
        </w:tc>
        <w:tc>
          <w:tcPr>
            <w:tcW w:w="720" w:type="pct"/>
            <w:noWrap w:val="0"/>
            <w:vAlign w:val="center"/>
          </w:tcPr>
          <w:p w14:paraId="1BC3CDA2">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5622D4DE">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-6.01</w:t>
            </w:r>
          </w:p>
        </w:tc>
        <w:tc>
          <w:tcPr>
            <w:tcW w:w="357" w:type="pct"/>
            <w:noWrap w:val="0"/>
            <w:vAlign w:val="center"/>
          </w:tcPr>
          <w:p w14:paraId="1FA306F5">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-31.13</w:t>
            </w:r>
          </w:p>
        </w:tc>
        <w:tc>
          <w:tcPr>
            <w:tcW w:w="245" w:type="pct"/>
            <w:noWrap w:val="0"/>
            <w:vAlign w:val="center"/>
          </w:tcPr>
          <w:p w14:paraId="16E00324">
            <w:pPr>
              <w:spacing w:line="240" w:lineRule="auto"/>
              <w:ind w:firstLine="0" w:firstLineChars="0"/>
              <w:jc w:val="center"/>
              <w:rPr>
                <w:rFonts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75D038E7">
            <w:pPr>
              <w:spacing w:line="240" w:lineRule="auto"/>
              <w:ind w:firstLine="0" w:firstLineChars="0"/>
              <w:jc w:val="center"/>
              <w:rPr>
                <w:rFonts w:eastAsia="等线"/>
                <w:sz w:val="21"/>
                <w:szCs w:val="21"/>
                <w:highlight w:val="none"/>
              </w:rPr>
            </w:pPr>
          </w:p>
        </w:tc>
        <w:tc>
          <w:tcPr>
            <w:tcW w:w="342" w:type="pct"/>
            <w:noWrap w:val="0"/>
            <w:vAlign w:val="center"/>
          </w:tcPr>
          <w:p w14:paraId="1D6A96B9">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4A52D2B4">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50F1EDDC">
            <w:pPr>
              <w:spacing w:line="240" w:lineRule="auto"/>
              <w:ind w:firstLine="0" w:firstLineChars="0"/>
              <w:jc w:val="center"/>
              <w:rPr>
                <w:sz w:val="21"/>
                <w:szCs w:val="21"/>
                <w:highlight w:val="none"/>
              </w:rPr>
            </w:pPr>
            <w:r>
              <w:rPr>
                <w:rFonts w:hint="eastAsia"/>
                <w:sz w:val="21"/>
                <w:szCs w:val="21"/>
                <w:highlight w:val="none"/>
              </w:rPr>
              <w:t>1</w:t>
            </w:r>
          </w:p>
        </w:tc>
      </w:tr>
      <w:tr w14:paraId="4D385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482EBEEC">
            <w:pPr>
              <w:spacing w:line="240" w:lineRule="auto"/>
              <w:ind w:firstLine="0" w:firstLineChars="0"/>
              <w:jc w:val="center"/>
              <w:rPr>
                <w:sz w:val="21"/>
                <w:szCs w:val="21"/>
                <w:highlight w:val="none"/>
              </w:rPr>
            </w:pPr>
          </w:p>
        </w:tc>
        <w:tc>
          <w:tcPr>
            <w:tcW w:w="283" w:type="pct"/>
            <w:vMerge w:val="restart"/>
            <w:noWrap w:val="0"/>
            <w:vAlign w:val="center"/>
          </w:tcPr>
          <w:p w14:paraId="42AB5A01">
            <w:pPr>
              <w:spacing w:line="240" w:lineRule="auto"/>
              <w:ind w:firstLine="0" w:firstLineChars="0"/>
              <w:jc w:val="center"/>
              <w:rPr>
                <w:sz w:val="21"/>
                <w:szCs w:val="21"/>
                <w:highlight w:val="none"/>
              </w:rPr>
            </w:pPr>
            <w:r>
              <w:rPr>
                <w:rFonts w:hint="eastAsia"/>
                <w:sz w:val="21"/>
                <w:szCs w:val="21"/>
                <w:highlight w:val="none"/>
              </w:rPr>
              <w:t>碎煤机室</w:t>
            </w:r>
          </w:p>
        </w:tc>
        <w:tc>
          <w:tcPr>
            <w:tcW w:w="479" w:type="pct"/>
            <w:noWrap w:val="0"/>
            <w:vAlign w:val="center"/>
          </w:tcPr>
          <w:p w14:paraId="5B10AF16">
            <w:pPr>
              <w:spacing w:line="240" w:lineRule="auto"/>
              <w:ind w:firstLine="0" w:firstLineChars="0"/>
              <w:jc w:val="center"/>
              <w:rPr>
                <w:sz w:val="21"/>
                <w:szCs w:val="21"/>
                <w:highlight w:val="none"/>
              </w:rPr>
            </w:pPr>
            <w:r>
              <w:rPr>
                <w:rFonts w:hint="eastAsia"/>
                <w:sz w:val="21"/>
                <w:szCs w:val="21"/>
                <w:highlight w:val="none"/>
              </w:rPr>
              <w:t>分级筛1#</w:t>
            </w:r>
          </w:p>
        </w:tc>
        <w:tc>
          <w:tcPr>
            <w:tcW w:w="179" w:type="pct"/>
            <w:noWrap w:val="0"/>
            <w:vAlign w:val="center"/>
          </w:tcPr>
          <w:p w14:paraId="5B0B46A3">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47C1C96A">
            <w:pPr>
              <w:spacing w:line="240" w:lineRule="auto"/>
              <w:ind w:firstLine="0" w:firstLineChars="0"/>
              <w:jc w:val="center"/>
              <w:rPr>
                <w:rFonts w:eastAsia="等线"/>
                <w:sz w:val="21"/>
                <w:szCs w:val="21"/>
                <w:highlight w:val="none"/>
              </w:rPr>
            </w:pPr>
            <w:r>
              <w:rPr>
                <w:rFonts w:hint="eastAsia"/>
                <w:sz w:val="21"/>
                <w:szCs w:val="21"/>
                <w:highlight w:val="none"/>
              </w:rPr>
              <w:t>90</w:t>
            </w:r>
          </w:p>
        </w:tc>
        <w:tc>
          <w:tcPr>
            <w:tcW w:w="492" w:type="pct"/>
            <w:noWrap w:val="0"/>
            <w:vAlign w:val="center"/>
          </w:tcPr>
          <w:p w14:paraId="10641E0A">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6C43A655">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175690FD">
            <w:pPr>
              <w:spacing w:line="240" w:lineRule="auto"/>
              <w:ind w:firstLine="0" w:firstLineChars="0"/>
              <w:jc w:val="center"/>
              <w:rPr>
                <w:rFonts w:eastAsia="等线"/>
                <w:sz w:val="21"/>
                <w:szCs w:val="21"/>
                <w:highlight w:val="none"/>
              </w:rPr>
            </w:pPr>
            <w:r>
              <w:rPr>
                <w:rFonts w:hint="eastAsia" w:eastAsia="等线"/>
                <w:sz w:val="21"/>
                <w:szCs w:val="21"/>
                <w:highlight w:val="none"/>
                <w:lang w:val="en-US" w:eastAsia="zh-CN"/>
              </w:rPr>
              <w:t>-22.05</w:t>
            </w:r>
          </w:p>
        </w:tc>
        <w:tc>
          <w:tcPr>
            <w:tcW w:w="357" w:type="pct"/>
            <w:noWrap w:val="0"/>
            <w:vAlign w:val="center"/>
          </w:tcPr>
          <w:p w14:paraId="038A950E">
            <w:pPr>
              <w:spacing w:line="240" w:lineRule="auto"/>
              <w:ind w:firstLine="0" w:firstLineChars="0"/>
              <w:jc w:val="center"/>
              <w:rPr>
                <w:rFonts w:eastAsia="等线"/>
                <w:sz w:val="21"/>
                <w:szCs w:val="21"/>
                <w:highlight w:val="none"/>
              </w:rPr>
            </w:pPr>
            <w:r>
              <w:rPr>
                <w:rFonts w:hint="eastAsia" w:eastAsia="等线"/>
                <w:sz w:val="21"/>
                <w:szCs w:val="21"/>
                <w:highlight w:val="none"/>
                <w:lang w:val="en-US" w:eastAsia="zh-CN"/>
              </w:rPr>
              <w:t>5.93</w:t>
            </w:r>
          </w:p>
        </w:tc>
        <w:tc>
          <w:tcPr>
            <w:tcW w:w="245" w:type="pct"/>
            <w:noWrap w:val="0"/>
            <w:vAlign w:val="center"/>
          </w:tcPr>
          <w:p w14:paraId="1DC433A0">
            <w:pPr>
              <w:spacing w:line="240" w:lineRule="auto"/>
              <w:ind w:firstLine="0" w:firstLineChars="0"/>
              <w:jc w:val="center"/>
              <w:rPr>
                <w:rFonts w:eastAsia="等线"/>
                <w:sz w:val="21"/>
                <w:szCs w:val="21"/>
                <w:highlight w:val="none"/>
              </w:rPr>
            </w:pPr>
            <w:r>
              <w:rPr>
                <w:rFonts w:hint="eastAsia" w:eastAsia="等线"/>
                <w:sz w:val="21"/>
                <w:szCs w:val="21"/>
                <w:highlight w:val="none"/>
              </w:rPr>
              <w:t>10</w:t>
            </w:r>
          </w:p>
        </w:tc>
        <w:tc>
          <w:tcPr>
            <w:tcW w:w="304" w:type="pct"/>
            <w:vMerge w:val="continue"/>
            <w:noWrap w:val="0"/>
            <w:vAlign w:val="center"/>
          </w:tcPr>
          <w:p w14:paraId="3973D06B">
            <w:pPr>
              <w:spacing w:line="240" w:lineRule="auto"/>
              <w:ind w:firstLine="0" w:firstLineChars="0"/>
              <w:jc w:val="center"/>
              <w:rPr>
                <w:rFonts w:eastAsia="等线"/>
                <w:sz w:val="21"/>
                <w:szCs w:val="21"/>
                <w:highlight w:val="none"/>
              </w:rPr>
            </w:pPr>
          </w:p>
        </w:tc>
        <w:tc>
          <w:tcPr>
            <w:tcW w:w="342" w:type="pct"/>
            <w:noWrap w:val="0"/>
            <w:vAlign w:val="center"/>
          </w:tcPr>
          <w:p w14:paraId="1D76DB0C">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3FFBAFE2">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376C537F">
            <w:pPr>
              <w:spacing w:line="240" w:lineRule="auto"/>
              <w:ind w:firstLine="0" w:firstLineChars="0"/>
              <w:jc w:val="center"/>
              <w:rPr>
                <w:sz w:val="21"/>
                <w:szCs w:val="21"/>
                <w:highlight w:val="none"/>
              </w:rPr>
            </w:pPr>
            <w:r>
              <w:rPr>
                <w:rFonts w:hint="eastAsia"/>
                <w:sz w:val="21"/>
                <w:szCs w:val="21"/>
                <w:highlight w:val="none"/>
              </w:rPr>
              <w:t>1</w:t>
            </w:r>
          </w:p>
        </w:tc>
      </w:tr>
      <w:tr w14:paraId="48EFBB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2A6A146C">
            <w:pPr>
              <w:spacing w:line="240" w:lineRule="auto"/>
              <w:ind w:firstLine="0" w:firstLineChars="0"/>
              <w:jc w:val="center"/>
              <w:rPr>
                <w:sz w:val="21"/>
                <w:szCs w:val="21"/>
                <w:highlight w:val="none"/>
              </w:rPr>
            </w:pPr>
          </w:p>
        </w:tc>
        <w:tc>
          <w:tcPr>
            <w:tcW w:w="283" w:type="pct"/>
            <w:vMerge w:val="continue"/>
            <w:noWrap w:val="0"/>
            <w:vAlign w:val="center"/>
          </w:tcPr>
          <w:p w14:paraId="5F7302F4">
            <w:pPr>
              <w:spacing w:line="240" w:lineRule="auto"/>
              <w:ind w:firstLine="0" w:firstLineChars="0"/>
              <w:jc w:val="center"/>
              <w:rPr>
                <w:sz w:val="21"/>
                <w:szCs w:val="21"/>
                <w:highlight w:val="none"/>
              </w:rPr>
            </w:pPr>
          </w:p>
        </w:tc>
        <w:tc>
          <w:tcPr>
            <w:tcW w:w="479" w:type="pct"/>
            <w:noWrap w:val="0"/>
            <w:vAlign w:val="center"/>
          </w:tcPr>
          <w:p w14:paraId="3AC34ABC">
            <w:pPr>
              <w:spacing w:line="240" w:lineRule="auto"/>
              <w:ind w:firstLine="0" w:firstLineChars="0"/>
              <w:jc w:val="center"/>
              <w:rPr>
                <w:sz w:val="21"/>
                <w:szCs w:val="21"/>
                <w:highlight w:val="none"/>
              </w:rPr>
            </w:pPr>
            <w:r>
              <w:rPr>
                <w:rFonts w:hint="eastAsia"/>
                <w:sz w:val="21"/>
                <w:szCs w:val="21"/>
                <w:highlight w:val="none"/>
              </w:rPr>
              <w:t>碎煤机1#</w:t>
            </w:r>
          </w:p>
        </w:tc>
        <w:tc>
          <w:tcPr>
            <w:tcW w:w="179" w:type="pct"/>
            <w:noWrap w:val="0"/>
            <w:vAlign w:val="center"/>
          </w:tcPr>
          <w:p w14:paraId="295482B6">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1D22577F">
            <w:pPr>
              <w:spacing w:line="240" w:lineRule="auto"/>
              <w:ind w:firstLine="0" w:firstLineChars="0"/>
              <w:jc w:val="center"/>
              <w:rPr>
                <w:rFonts w:eastAsia="等线"/>
                <w:sz w:val="21"/>
                <w:szCs w:val="21"/>
                <w:highlight w:val="none"/>
              </w:rPr>
            </w:pPr>
            <w:r>
              <w:rPr>
                <w:rFonts w:hint="eastAsia"/>
                <w:sz w:val="21"/>
                <w:szCs w:val="21"/>
                <w:highlight w:val="none"/>
              </w:rPr>
              <w:t>90</w:t>
            </w:r>
          </w:p>
        </w:tc>
        <w:tc>
          <w:tcPr>
            <w:tcW w:w="492" w:type="pct"/>
            <w:noWrap w:val="0"/>
            <w:vAlign w:val="center"/>
          </w:tcPr>
          <w:p w14:paraId="5BFFC5CC">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569C4E03">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38289EB6">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-21.49</w:t>
            </w:r>
          </w:p>
        </w:tc>
        <w:tc>
          <w:tcPr>
            <w:tcW w:w="357" w:type="pct"/>
            <w:noWrap w:val="0"/>
            <w:vAlign w:val="center"/>
          </w:tcPr>
          <w:p w14:paraId="2B05DFF5">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2.61</w:t>
            </w:r>
          </w:p>
        </w:tc>
        <w:tc>
          <w:tcPr>
            <w:tcW w:w="245" w:type="pct"/>
            <w:noWrap w:val="0"/>
            <w:vAlign w:val="center"/>
          </w:tcPr>
          <w:p w14:paraId="04D33929">
            <w:pPr>
              <w:spacing w:line="240" w:lineRule="auto"/>
              <w:ind w:firstLine="0" w:firstLineChars="0"/>
              <w:jc w:val="center"/>
              <w:rPr>
                <w:rFonts w:eastAsia="等线"/>
                <w:sz w:val="21"/>
                <w:szCs w:val="21"/>
                <w:highlight w:val="none"/>
              </w:rPr>
            </w:pPr>
            <w:r>
              <w:rPr>
                <w:rFonts w:hint="eastAsia" w:eastAsia="等线"/>
                <w:sz w:val="21"/>
                <w:szCs w:val="21"/>
                <w:highlight w:val="none"/>
              </w:rPr>
              <w:t>10</w:t>
            </w:r>
          </w:p>
        </w:tc>
        <w:tc>
          <w:tcPr>
            <w:tcW w:w="304" w:type="pct"/>
            <w:vMerge w:val="continue"/>
            <w:noWrap w:val="0"/>
            <w:vAlign w:val="center"/>
          </w:tcPr>
          <w:p w14:paraId="241831C7">
            <w:pPr>
              <w:spacing w:line="240" w:lineRule="auto"/>
              <w:ind w:firstLine="0" w:firstLineChars="0"/>
              <w:jc w:val="center"/>
              <w:rPr>
                <w:rFonts w:eastAsia="等线"/>
                <w:sz w:val="21"/>
                <w:szCs w:val="21"/>
                <w:highlight w:val="none"/>
              </w:rPr>
            </w:pPr>
          </w:p>
        </w:tc>
        <w:tc>
          <w:tcPr>
            <w:tcW w:w="342" w:type="pct"/>
            <w:noWrap w:val="0"/>
            <w:vAlign w:val="center"/>
          </w:tcPr>
          <w:p w14:paraId="594ED004">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77D86D7F">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1B1F1E33">
            <w:pPr>
              <w:spacing w:line="240" w:lineRule="auto"/>
              <w:ind w:firstLine="0" w:firstLineChars="0"/>
              <w:jc w:val="center"/>
              <w:rPr>
                <w:sz w:val="21"/>
                <w:szCs w:val="21"/>
                <w:highlight w:val="none"/>
              </w:rPr>
            </w:pPr>
            <w:r>
              <w:rPr>
                <w:rFonts w:hint="eastAsia"/>
                <w:sz w:val="21"/>
                <w:szCs w:val="21"/>
                <w:highlight w:val="none"/>
              </w:rPr>
              <w:t>1</w:t>
            </w:r>
          </w:p>
        </w:tc>
      </w:tr>
      <w:tr w14:paraId="10DACD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32F89CCB">
            <w:pPr>
              <w:spacing w:line="240" w:lineRule="auto"/>
              <w:ind w:firstLine="0" w:firstLineChars="0"/>
              <w:jc w:val="center"/>
              <w:rPr>
                <w:sz w:val="21"/>
                <w:szCs w:val="21"/>
                <w:highlight w:val="none"/>
              </w:rPr>
            </w:pPr>
          </w:p>
        </w:tc>
        <w:tc>
          <w:tcPr>
            <w:tcW w:w="283" w:type="pct"/>
            <w:vMerge w:val="restart"/>
            <w:noWrap w:val="0"/>
            <w:vAlign w:val="center"/>
          </w:tcPr>
          <w:p w14:paraId="60D1479F">
            <w:pPr>
              <w:spacing w:line="240" w:lineRule="auto"/>
              <w:ind w:firstLine="0" w:firstLineChars="0"/>
              <w:jc w:val="center"/>
              <w:rPr>
                <w:sz w:val="21"/>
                <w:szCs w:val="21"/>
                <w:highlight w:val="none"/>
              </w:rPr>
            </w:pPr>
            <w:r>
              <w:rPr>
                <w:rFonts w:hint="eastAsia"/>
                <w:sz w:val="21"/>
                <w:szCs w:val="21"/>
                <w:highlight w:val="none"/>
              </w:rPr>
              <w:t>水处理间</w:t>
            </w:r>
          </w:p>
        </w:tc>
        <w:tc>
          <w:tcPr>
            <w:tcW w:w="479" w:type="pct"/>
            <w:noWrap w:val="0"/>
            <w:vAlign w:val="center"/>
          </w:tcPr>
          <w:p w14:paraId="386585C0">
            <w:pPr>
              <w:spacing w:line="240" w:lineRule="auto"/>
              <w:ind w:firstLine="0" w:firstLineChars="0"/>
              <w:jc w:val="center"/>
              <w:rPr>
                <w:sz w:val="21"/>
                <w:szCs w:val="21"/>
                <w:highlight w:val="none"/>
              </w:rPr>
            </w:pPr>
            <w:r>
              <w:rPr>
                <w:rFonts w:hint="eastAsia"/>
                <w:sz w:val="21"/>
                <w:szCs w:val="21"/>
                <w:highlight w:val="none"/>
              </w:rPr>
              <w:t>水泵1#</w:t>
            </w:r>
          </w:p>
        </w:tc>
        <w:tc>
          <w:tcPr>
            <w:tcW w:w="179" w:type="pct"/>
            <w:noWrap w:val="0"/>
            <w:vAlign w:val="center"/>
          </w:tcPr>
          <w:p w14:paraId="5095D2A5">
            <w:pPr>
              <w:spacing w:line="240" w:lineRule="auto"/>
              <w:ind w:firstLine="0" w:firstLineChars="0"/>
              <w:jc w:val="center"/>
              <w:rPr>
                <w:sz w:val="21"/>
                <w:szCs w:val="21"/>
                <w:highlight w:val="none"/>
              </w:rPr>
            </w:pPr>
            <w:r>
              <w:rPr>
                <w:rFonts w:hint="eastAsia"/>
                <w:sz w:val="21"/>
                <w:szCs w:val="21"/>
                <w:highlight w:val="none"/>
              </w:rPr>
              <w:t>1</w:t>
            </w:r>
          </w:p>
        </w:tc>
        <w:tc>
          <w:tcPr>
            <w:tcW w:w="347" w:type="pct"/>
            <w:noWrap w:val="0"/>
            <w:vAlign w:val="center"/>
          </w:tcPr>
          <w:p w14:paraId="12D00737">
            <w:pPr>
              <w:spacing w:line="240" w:lineRule="auto"/>
              <w:ind w:firstLine="0" w:firstLineChars="0"/>
              <w:jc w:val="center"/>
              <w:rPr>
                <w:rFonts w:eastAsia="等线"/>
                <w:sz w:val="21"/>
                <w:szCs w:val="21"/>
                <w:highlight w:val="none"/>
              </w:rPr>
            </w:pPr>
            <w:r>
              <w:rPr>
                <w:rFonts w:eastAsia="等线"/>
                <w:sz w:val="21"/>
                <w:szCs w:val="21"/>
                <w:highlight w:val="none"/>
              </w:rPr>
              <w:t>9</w:t>
            </w:r>
            <w:r>
              <w:rPr>
                <w:rFonts w:hint="eastAsia" w:eastAsia="等线"/>
                <w:sz w:val="21"/>
                <w:szCs w:val="21"/>
                <w:highlight w:val="none"/>
              </w:rPr>
              <w:t>0</w:t>
            </w:r>
          </w:p>
        </w:tc>
        <w:tc>
          <w:tcPr>
            <w:tcW w:w="492" w:type="pct"/>
            <w:noWrap w:val="0"/>
            <w:vAlign w:val="center"/>
          </w:tcPr>
          <w:p w14:paraId="01C7D9EE">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208D527F">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7280D5D0">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-15.61</w:t>
            </w:r>
          </w:p>
        </w:tc>
        <w:tc>
          <w:tcPr>
            <w:tcW w:w="357" w:type="pct"/>
            <w:noWrap w:val="0"/>
            <w:vAlign w:val="center"/>
          </w:tcPr>
          <w:p w14:paraId="25EEF22E">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-28.5</w:t>
            </w:r>
          </w:p>
        </w:tc>
        <w:tc>
          <w:tcPr>
            <w:tcW w:w="245" w:type="pct"/>
            <w:noWrap w:val="0"/>
            <w:vAlign w:val="center"/>
          </w:tcPr>
          <w:p w14:paraId="7DEC1A57">
            <w:pPr>
              <w:spacing w:line="240" w:lineRule="auto"/>
              <w:ind w:firstLine="0" w:firstLineChars="0"/>
              <w:jc w:val="center"/>
              <w:rPr>
                <w:rFonts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3DDDFE65">
            <w:pPr>
              <w:spacing w:line="240" w:lineRule="auto"/>
              <w:ind w:firstLine="0" w:firstLineChars="0"/>
              <w:jc w:val="center"/>
              <w:rPr>
                <w:rFonts w:eastAsia="等线"/>
                <w:sz w:val="21"/>
                <w:szCs w:val="21"/>
                <w:highlight w:val="none"/>
              </w:rPr>
            </w:pPr>
          </w:p>
        </w:tc>
        <w:tc>
          <w:tcPr>
            <w:tcW w:w="342" w:type="pct"/>
            <w:noWrap w:val="0"/>
            <w:vAlign w:val="center"/>
          </w:tcPr>
          <w:p w14:paraId="63C3D614">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06D84676">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006F3A81">
            <w:pPr>
              <w:spacing w:line="240" w:lineRule="auto"/>
              <w:ind w:firstLine="0" w:firstLineChars="0"/>
              <w:jc w:val="center"/>
              <w:rPr>
                <w:sz w:val="21"/>
                <w:szCs w:val="21"/>
                <w:highlight w:val="none"/>
              </w:rPr>
            </w:pPr>
            <w:r>
              <w:rPr>
                <w:rFonts w:hint="eastAsia"/>
                <w:sz w:val="21"/>
                <w:szCs w:val="21"/>
                <w:highlight w:val="none"/>
              </w:rPr>
              <w:t>1</w:t>
            </w:r>
          </w:p>
        </w:tc>
      </w:tr>
      <w:tr w14:paraId="634F59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353A7517">
            <w:pPr>
              <w:spacing w:line="240" w:lineRule="auto"/>
              <w:ind w:firstLine="0" w:firstLineChars="0"/>
              <w:jc w:val="center"/>
              <w:rPr>
                <w:sz w:val="21"/>
                <w:szCs w:val="21"/>
                <w:highlight w:val="none"/>
              </w:rPr>
            </w:pPr>
          </w:p>
        </w:tc>
        <w:tc>
          <w:tcPr>
            <w:tcW w:w="283" w:type="pct"/>
            <w:vMerge w:val="continue"/>
            <w:noWrap w:val="0"/>
            <w:vAlign w:val="center"/>
          </w:tcPr>
          <w:p w14:paraId="7B8F5147">
            <w:pPr>
              <w:spacing w:line="240" w:lineRule="auto"/>
              <w:ind w:firstLine="0" w:firstLineChars="0"/>
              <w:jc w:val="center"/>
              <w:rPr>
                <w:sz w:val="21"/>
                <w:szCs w:val="21"/>
                <w:highlight w:val="none"/>
              </w:rPr>
            </w:pPr>
          </w:p>
        </w:tc>
        <w:tc>
          <w:tcPr>
            <w:tcW w:w="479" w:type="pct"/>
            <w:noWrap w:val="0"/>
            <w:vAlign w:val="center"/>
          </w:tcPr>
          <w:p w14:paraId="48DEF572">
            <w:pPr>
              <w:spacing w:line="240" w:lineRule="auto"/>
              <w:ind w:firstLine="0" w:firstLineChars="0"/>
              <w:jc w:val="center"/>
              <w:rPr>
                <w:sz w:val="21"/>
                <w:szCs w:val="21"/>
                <w:highlight w:val="none"/>
              </w:rPr>
            </w:pPr>
            <w:r>
              <w:rPr>
                <w:rFonts w:hint="eastAsia"/>
                <w:sz w:val="21"/>
                <w:szCs w:val="21"/>
                <w:highlight w:val="none"/>
              </w:rPr>
              <w:t>水泵2#</w:t>
            </w:r>
          </w:p>
        </w:tc>
        <w:tc>
          <w:tcPr>
            <w:tcW w:w="179" w:type="pct"/>
            <w:noWrap w:val="0"/>
            <w:vAlign w:val="center"/>
          </w:tcPr>
          <w:p w14:paraId="753BB052">
            <w:pPr>
              <w:spacing w:line="240" w:lineRule="auto"/>
              <w:ind w:firstLine="0" w:firstLineChars="0"/>
              <w:jc w:val="center"/>
              <w:rPr>
                <w:sz w:val="21"/>
                <w:szCs w:val="21"/>
                <w:highlight w:val="none"/>
              </w:rPr>
            </w:pPr>
            <w:r>
              <w:rPr>
                <w:rFonts w:hint="eastAsia"/>
                <w:sz w:val="21"/>
                <w:szCs w:val="21"/>
                <w:highlight w:val="none"/>
              </w:rPr>
              <w:t>1</w:t>
            </w:r>
          </w:p>
        </w:tc>
        <w:tc>
          <w:tcPr>
            <w:tcW w:w="347" w:type="pct"/>
            <w:noWrap w:val="0"/>
            <w:vAlign w:val="center"/>
          </w:tcPr>
          <w:p w14:paraId="0C7191C5">
            <w:pPr>
              <w:spacing w:line="240" w:lineRule="auto"/>
              <w:ind w:firstLine="0" w:firstLineChars="0"/>
              <w:jc w:val="center"/>
              <w:rPr>
                <w:rFonts w:eastAsia="等线"/>
                <w:sz w:val="21"/>
                <w:szCs w:val="21"/>
                <w:highlight w:val="none"/>
              </w:rPr>
            </w:pPr>
            <w:r>
              <w:rPr>
                <w:rFonts w:eastAsia="等线"/>
                <w:sz w:val="21"/>
                <w:szCs w:val="21"/>
                <w:highlight w:val="none"/>
              </w:rPr>
              <w:t>9</w:t>
            </w:r>
            <w:r>
              <w:rPr>
                <w:rFonts w:hint="eastAsia" w:eastAsia="等线"/>
                <w:sz w:val="21"/>
                <w:szCs w:val="21"/>
                <w:highlight w:val="none"/>
              </w:rPr>
              <w:t>0</w:t>
            </w:r>
          </w:p>
        </w:tc>
        <w:tc>
          <w:tcPr>
            <w:tcW w:w="492" w:type="pct"/>
            <w:noWrap w:val="0"/>
            <w:vAlign w:val="center"/>
          </w:tcPr>
          <w:p w14:paraId="458D3FA0">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4196C9DA">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78E95AC6">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-15.61</w:t>
            </w:r>
          </w:p>
        </w:tc>
        <w:tc>
          <w:tcPr>
            <w:tcW w:w="357" w:type="pct"/>
            <w:noWrap w:val="0"/>
            <w:vAlign w:val="center"/>
          </w:tcPr>
          <w:p w14:paraId="7EEC8358">
            <w:pPr>
              <w:spacing w:line="240" w:lineRule="auto"/>
              <w:ind w:firstLine="0" w:firstLineChars="0"/>
              <w:jc w:val="center"/>
              <w:rPr>
                <w:rFonts w:hint="default" w:eastAsia="等线"/>
                <w:sz w:val="21"/>
                <w:szCs w:val="21"/>
                <w:highlight w:val="none"/>
                <w:lang w:val="en-US"/>
              </w:rPr>
            </w:pPr>
            <w:r>
              <w:rPr>
                <w:rFonts w:hint="eastAsia" w:eastAsia="等线"/>
                <w:sz w:val="21"/>
                <w:szCs w:val="21"/>
                <w:highlight w:val="none"/>
                <w:lang w:val="en-US" w:eastAsia="zh-CN"/>
              </w:rPr>
              <w:t>-33.49</w:t>
            </w:r>
          </w:p>
        </w:tc>
        <w:tc>
          <w:tcPr>
            <w:tcW w:w="245" w:type="pct"/>
            <w:noWrap w:val="0"/>
            <w:vAlign w:val="center"/>
          </w:tcPr>
          <w:p w14:paraId="3723EA48">
            <w:pPr>
              <w:spacing w:line="240" w:lineRule="auto"/>
              <w:ind w:firstLine="0" w:firstLineChars="0"/>
              <w:jc w:val="center"/>
              <w:rPr>
                <w:rFonts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231B7B2D">
            <w:pPr>
              <w:spacing w:line="240" w:lineRule="auto"/>
              <w:ind w:firstLine="0" w:firstLineChars="0"/>
              <w:jc w:val="center"/>
              <w:rPr>
                <w:rFonts w:eastAsia="等线"/>
                <w:sz w:val="21"/>
                <w:szCs w:val="21"/>
                <w:highlight w:val="none"/>
              </w:rPr>
            </w:pPr>
          </w:p>
        </w:tc>
        <w:tc>
          <w:tcPr>
            <w:tcW w:w="342" w:type="pct"/>
            <w:noWrap w:val="0"/>
            <w:vAlign w:val="center"/>
          </w:tcPr>
          <w:p w14:paraId="7E3AE218">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68448349">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1A8CDD2C">
            <w:pPr>
              <w:spacing w:line="240" w:lineRule="auto"/>
              <w:ind w:firstLine="0" w:firstLineChars="0"/>
              <w:jc w:val="center"/>
              <w:rPr>
                <w:sz w:val="21"/>
                <w:szCs w:val="21"/>
                <w:highlight w:val="none"/>
              </w:rPr>
            </w:pPr>
            <w:r>
              <w:rPr>
                <w:rFonts w:hint="eastAsia"/>
                <w:sz w:val="21"/>
                <w:szCs w:val="21"/>
                <w:highlight w:val="none"/>
              </w:rPr>
              <w:t>1</w:t>
            </w:r>
          </w:p>
        </w:tc>
      </w:tr>
      <w:tr w14:paraId="62755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024FB1EA">
            <w:pPr>
              <w:spacing w:line="240" w:lineRule="auto"/>
              <w:ind w:firstLine="0" w:firstLineChars="0"/>
              <w:jc w:val="center"/>
              <w:rPr>
                <w:sz w:val="21"/>
                <w:szCs w:val="21"/>
                <w:highlight w:val="none"/>
              </w:rPr>
            </w:pPr>
          </w:p>
        </w:tc>
        <w:tc>
          <w:tcPr>
            <w:tcW w:w="283" w:type="pct"/>
            <w:vMerge w:val="restart"/>
            <w:noWrap w:val="0"/>
            <w:vAlign w:val="center"/>
          </w:tcPr>
          <w:p w14:paraId="400EAB55">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变压器房</w:t>
            </w:r>
          </w:p>
        </w:tc>
        <w:tc>
          <w:tcPr>
            <w:tcW w:w="479" w:type="pct"/>
            <w:noWrap w:val="0"/>
            <w:vAlign w:val="center"/>
          </w:tcPr>
          <w:p w14:paraId="404300C4">
            <w:pPr>
              <w:spacing w:line="240" w:lineRule="auto"/>
              <w:ind w:firstLine="0" w:firstLineChars="0"/>
              <w:jc w:val="center"/>
              <w:rPr>
                <w:sz w:val="21"/>
                <w:szCs w:val="21"/>
                <w:highlight w:val="none"/>
              </w:rPr>
            </w:pPr>
            <w:r>
              <w:rPr>
                <w:rFonts w:hint="eastAsia"/>
                <w:sz w:val="21"/>
                <w:szCs w:val="21"/>
                <w:highlight w:val="none"/>
              </w:rPr>
              <w:t>空压机</w:t>
            </w:r>
          </w:p>
        </w:tc>
        <w:tc>
          <w:tcPr>
            <w:tcW w:w="179" w:type="pct"/>
            <w:noWrap w:val="0"/>
            <w:vAlign w:val="center"/>
          </w:tcPr>
          <w:p w14:paraId="63259480">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3BE285C6">
            <w:pPr>
              <w:spacing w:line="240" w:lineRule="auto"/>
              <w:ind w:firstLine="0" w:firstLineChars="0"/>
              <w:jc w:val="center"/>
              <w:rPr>
                <w:rFonts w:hint="default" w:eastAsia="宋体"/>
                <w:sz w:val="21"/>
                <w:szCs w:val="21"/>
                <w:highlight w:val="none"/>
                <w:lang w:val="en-US" w:eastAsia="zh-CN"/>
              </w:rPr>
            </w:pPr>
            <w:r>
              <w:rPr>
                <w:rFonts w:hint="eastAsia" w:eastAsia="等线"/>
                <w:sz w:val="21"/>
                <w:szCs w:val="21"/>
                <w:highlight w:val="none"/>
                <w:lang w:val="en-US" w:eastAsia="zh-CN"/>
              </w:rPr>
              <w:t>90</w:t>
            </w:r>
          </w:p>
        </w:tc>
        <w:tc>
          <w:tcPr>
            <w:tcW w:w="492" w:type="pct"/>
            <w:noWrap w:val="0"/>
            <w:vAlign w:val="center"/>
          </w:tcPr>
          <w:p w14:paraId="53D0DA06">
            <w:pPr>
              <w:spacing w:line="240" w:lineRule="auto"/>
              <w:ind w:firstLine="0" w:firstLineChars="0"/>
              <w:jc w:val="center"/>
              <w:rPr>
                <w:rFonts w:eastAsia="等线"/>
                <w:sz w:val="21"/>
                <w:szCs w:val="21"/>
                <w:highlight w:val="none"/>
              </w:rPr>
            </w:pPr>
            <w:r>
              <w:rPr>
                <w:rFonts w:hint="eastAsia"/>
                <w:sz w:val="21"/>
                <w:szCs w:val="21"/>
                <w:highlight w:val="none"/>
              </w:rPr>
              <w:t>吸风口外</w:t>
            </w:r>
            <w:r>
              <w:rPr>
                <w:sz w:val="21"/>
                <w:szCs w:val="21"/>
                <w:highlight w:val="none"/>
              </w:rPr>
              <w:t>1</w:t>
            </w:r>
            <w:r>
              <w:rPr>
                <w:rFonts w:hint="eastAsia"/>
                <w:sz w:val="21"/>
                <w:szCs w:val="21"/>
                <w:highlight w:val="none"/>
              </w:rPr>
              <w:t>m</w:t>
            </w:r>
          </w:p>
        </w:tc>
        <w:tc>
          <w:tcPr>
            <w:tcW w:w="720" w:type="pct"/>
            <w:noWrap w:val="0"/>
            <w:vAlign w:val="center"/>
          </w:tcPr>
          <w:p w14:paraId="638A75B0">
            <w:pPr>
              <w:spacing w:line="240" w:lineRule="auto"/>
              <w:ind w:firstLine="0" w:firstLineChars="0"/>
              <w:jc w:val="center"/>
              <w:rPr>
                <w:sz w:val="21"/>
                <w:szCs w:val="21"/>
                <w:highlight w:val="none"/>
              </w:rPr>
            </w:pPr>
            <w:r>
              <w:rPr>
                <w:rFonts w:hint="eastAsia"/>
                <w:sz w:val="21"/>
                <w:szCs w:val="21"/>
                <w:highlight w:val="none"/>
              </w:rPr>
              <w:t>厂房隔声、进风口消声器</w:t>
            </w:r>
          </w:p>
        </w:tc>
        <w:tc>
          <w:tcPr>
            <w:tcW w:w="358" w:type="pct"/>
            <w:noWrap w:val="0"/>
            <w:vAlign w:val="center"/>
          </w:tcPr>
          <w:p w14:paraId="2D7E994E">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-15.96</w:t>
            </w:r>
          </w:p>
        </w:tc>
        <w:tc>
          <w:tcPr>
            <w:tcW w:w="357" w:type="pct"/>
            <w:noWrap w:val="0"/>
            <w:vAlign w:val="center"/>
          </w:tcPr>
          <w:p w14:paraId="2145DDCB">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-13.43</w:t>
            </w:r>
          </w:p>
        </w:tc>
        <w:tc>
          <w:tcPr>
            <w:tcW w:w="245" w:type="pct"/>
            <w:noWrap w:val="0"/>
            <w:vAlign w:val="center"/>
          </w:tcPr>
          <w:p w14:paraId="0CF26729">
            <w:pPr>
              <w:spacing w:line="240" w:lineRule="auto"/>
              <w:ind w:firstLine="0" w:firstLineChars="0"/>
              <w:jc w:val="center"/>
              <w:rPr>
                <w:sz w:val="21"/>
                <w:szCs w:val="21"/>
                <w:highlight w:val="none"/>
              </w:rPr>
            </w:pPr>
            <w:r>
              <w:rPr>
                <w:rFonts w:hint="eastAsia"/>
                <w:sz w:val="21"/>
                <w:szCs w:val="21"/>
                <w:highlight w:val="none"/>
              </w:rPr>
              <w:t>1</w:t>
            </w:r>
          </w:p>
        </w:tc>
        <w:tc>
          <w:tcPr>
            <w:tcW w:w="304" w:type="pct"/>
            <w:vMerge w:val="continue"/>
            <w:noWrap w:val="0"/>
            <w:vAlign w:val="center"/>
          </w:tcPr>
          <w:p w14:paraId="57C7F9E6">
            <w:pPr>
              <w:spacing w:line="240" w:lineRule="auto"/>
              <w:ind w:firstLine="0" w:firstLineChars="0"/>
              <w:jc w:val="center"/>
              <w:rPr>
                <w:sz w:val="21"/>
                <w:szCs w:val="21"/>
                <w:highlight w:val="none"/>
              </w:rPr>
            </w:pPr>
          </w:p>
        </w:tc>
        <w:tc>
          <w:tcPr>
            <w:tcW w:w="342" w:type="pct"/>
            <w:noWrap w:val="0"/>
            <w:vAlign w:val="center"/>
          </w:tcPr>
          <w:p w14:paraId="1FD3470B">
            <w:pPr>
              <w:spacing w:line="240" w:lineRule="auto"/>
              <w:ind w:firstLine="0" w:firstLineChars="0"/>
              <w:jc w:val="center"/>
              <w:rPr>
                <w:rFonts w:hint="eastAsia" w:eastAsia="宋体"/>
                <w:sz w:val="21"/>
                <w:szCs w:val="21"/>
                <w:highlight w:val="none"/>
                <w:lang w:val="en-US" w:eastAsia="zh-CN"/>
              </w:rPr>
            </w:pPr>
            <w:r>
              <w:rPr>
                <w:rFonts w:hint="eastAsia"/>
                <w:sz w:val="21"/>
                <w:szCs w:val="21"/>
                <w:highlight w:val="none"/>
              </w:rPr>
              <w:t>2</w:t>
            </w:r>
            <w:r>
              <w:rPr>
                <w:rFonts w:hint="eastAsia"/>
                <w:sz w:val="21"/>
                <w:szCs w:val="21"/>
                <w:highlight w:val="none"/>
                <w:lang w:val="en-US" w:eastAsia="zh-CN"/>
              </w:rPr>
              <w:t>5</w:t>
            </w:r>
          </w:p>
        </w:tc>
        <w:tc>
          <w:tcPr>
            <w:tcW w:w="359" w:type="pct"/>
            <w:noWrap w:val="0"/>
            <w:vAlign w:val="center"/>
          </w:tcPr>
          <w:p w14:paraId="4421C1C8">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4B6909ED">
            <w:pPr>
              <w:spacing w:line="240" w:lineRule="auto"/>
              <w:ind w:firstLine="0" w:firstLineChars="0"/>
              <w:jc w:val="center"/>
              <w:rPr>
                <w:sz w:val="21"/>
                <w:szCs w:val="21"/>
                <w:highlight w:val="none"/>
              </w:rPr>
            </w:pPr>
            <w:r>
              <w:rPr>
                <w:rFonts w:hint="eastAsia"/>
                <w:sz w:val="21"/>
                <w:szCs w:val="21"/>
                <w:highlight w:val="none"/>
              </w:rPr>
              <w:t>1</w:t>
            </w:r>
          </w:p>
        </w:tc>
      </w:tr>
      <w:tr w14:paraId="74E4E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79" w:type="pct"/>
            <w:vMerge w:val="continue"/>
            <w:noWrap w:val="0"/>
            <w:vAlign w:val="center"/>
          </w:tcPr>
          <w:p w14:paraId="5A857315">
            <w:pPr>
              <w:spacing w:line="240" w:lineRule="auto"/>
              <w:ind w:firstLine="0" w:firstLineChars="0"/>
              <w:jc w:val="center"/>
              <w:rPr>
                <w:sz w:val="21"/>
                <w:szCs w:val="21"/>
                <w:highlight w:val="none"/>
              </w:rPr>
            </w:pPr>
          </w:p>
        </w:tc>
        <w:tc>
          <w:tcPr>
            <w:tcW w:w="283" w:type="pct"/>
            <w:vMerge w:val="continue"/>
            <w:noWrap w:val="0"/>
            <w:vAlign w:val="center"/>
          </w:tcPr>
          <w:p w14:paraId="23DC747E">
            <w:pPr>
              <w:spacing w:line="240" w:lineRule="auto"/>
              <w:ind w:firstLine="0" w:firstLineChars="0"/>
              <w:jc w:val="center"/>
              <w:rPr>
                <w:rFonts w:hint="eastAsia"/>
                <w:sz w:val="21"/>
                <w:szCs w:val="21"/>
                <w:highlight w:val="none"/>
                <w:lang w:val="en-US" w:eastAsia="zh-CN"/>
              </w:rPr>
            </w:pPr>
          </w:p>
        </w:tc>
        <w:tc>
          <w:tcPr>
            <w:tcW w:w="479" w:type="pct"/>
            <w:noWrap w:val="0"/>
            <w:vAlign w:val="center"/>
          </w:tcPr>
          <w:p w14:paraId="2142545E">
            <w:pPr>
              <w:spacing w:line="240" w:lineRule="auto"/>
              <w:ind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变压器</w:t>
            </w:r>
          </w:p>
        </w:tc>
        <w:tc>
          <w:tcPr>
            <w:tcW w:w="179" w:type="pct"/>
            <w:noWrap w:val="0"/>
            <w:vAlign w:val="center"/>
          </w:tcPr>
          <w:p w14:paraId="6C070318">
            <w:pPr>
              <w:spacing w:line="240" w:lineRule="auto"/>
              <w:ind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1</w:t>
            </w:r>
          </w:p>
        </w:tc>
        <w:tc>
          <w:tcPr>
            <w:tcW w:w="347" w:type="pct"/>
            <w:noWrap w:val="0"/>
            <w:vAlign w:val="center"/>
          </w:tcPr>
          <w:p w14:paraId="77C0C79D">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90</w:t>
            </w:r>
          </w:p>
        </w:tc>
        <w:tc>
          <w:tcPr>
            <w:tcW w:w="492" w:type="pct"/>
            <w:noWrap w:val="0"/>
            <w:vAlign w:val="center"/>
          </w:tcPr>
          <w:p w14:paraId="553454DE">
            <w:pPr>
              <w:spacing w:line="240" w:lineRule="auto"/>
              <w:ind w:firstLine="0" w:firstLineChars="0"/>
              <w:jc w:val="center"/>
              <w:rPr>
                <w:rFonts w:hint="eastAsia"/>
                <w:sz w:val="21"/>
                <w:szCs w:val="21"/>
                <w:highlight w:val="none"/>
              </w:rPr>
            </w:pPr>
            <w:r>
              <w:rPr>
                <w:rFonts w:hint="eastAsia"/>
                <w:sz w:val="21"/>
                <w:szCs w:val="21"/>
                <w:highlight w:val="none"/>
              </w:rPr>
              <w:t>吸风口外</w:t>
            </w:r>
            <w:r>
              <w:rPr>
                <w:sz w:val="21"/>
                <w:szCs w:val="21"/>
                <w:highlight w:val="none"/>
              </w:rPr>
              <w:t>1</w:t>
            </w:r>
            <w:r>
              <w:rPr>
                <w:rFonts w:hint="eastAsia"/>
                <w:sz w:val="21"/>
                <w:szCs w:val="21"/>
                <w:highlight w:val="none"/>
              </w:rPr>
              <w:t>m</w:t>
            </w:r>
          </w:p>
        </w:tc>
        <w:tc>
          <w:tcPr>
            <w:tcW w:w="720" w:type="pct"/>
            <w:noWrap w:val="0"/>
            <w:vAlign w:val="center"/>
          </w:tcPr>
          <w:p w14:paraId="453E3654">
            <w:pPr>
              <w:spacing w:line="240" w:lineRule="auto"/>
              <w:ind w:firstLine="0" w:firstLineChars="0"/>
              <w:jc w:val="center"/>
              <w:rPr>
                <w:rFonts w:hint="eastAsia"/>
                <w:sz w:val="21"/>
                <w:szCs w:val="21"/>
                <w:highlight w:val="none"/>
              </w:rPr>
            </w:pPr>
            <w:r>
              <w:rPr>
                <w:rFonts w:hint="eastAsia"/>
                <w:sz w:val="21"/>
                <w:szCs w:val="21"/>
                <w:highlight w:val="none"/>
              </w:rPr>
              <w:t>厂房隔声、进风口消声器</w:t>
            </w:r>
          </w:p>
        </w:tc>
        <w:tc>
          <w:tcPr>
            <w:tcW w:w="358" w:type="pct"/>
            <w:noWrap w:val="0"/>
            <w:vAlign w:val="center"/>
          </w:tcPr>
          <w:p w14:paraId="50C15C18">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-13.75</w:t>
            </w:r>
          </w:p>
        </w:tc>
        <w:tc>
          <w:tcPr>
            <w:tcW w:w="357" w:type="pct"/>
            <w:noWrap w:val="0"/>
            <w:vAlign w:val="center"/>
          </w:tcPr>
          <w:p w14:paraId="710FB07E">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-6.79</w:t>
            </w:r>
          </w:p>
        </w:tc>
        <w:tc>
          <w:tcPr>
            <w:tcW w:w="245" w:type="pct"/>
            <w:noWrap w:val="0"/>
            <w:vAlign w:val="center"/>
          </w:tcPr>
          <w:p w14:paraId="483E83F2">
            <w:pPr>
              <w:spacing w:line="240" w:lineRule="auto"/>
              <w:ind w:firstLine="0" w:firstLineChars="0"/>
              <w:jc w:val="center"/>
              <w:rPr>
                <w:rFonts w:hint="eastAsia" w:eastAsia="宋体"/>
                <w:sz w:val="21"/>
                <w:szCs w:val="21"/>
                <w:highlight w:val="none"/>
                <w:lang w:val="en-US" w:eastAsia="zh-CN"/>
              </w:rPr>
            </w:pPr>
            <w:r>
              <w:rPr>
                <w:rFonts w:hint="eastAsia"/>
                <w:sz w:val="21"/>
                <w:szCs w:val="21"/>
                <w:highlight w:val="none"/>
                <w:lang w:val="en-US" w:eastAsia="zh-CN"/>
              </w:rPr>
              <w:t>1</w:t>
            </w:r>
          </w:p>
        </w:tc>
        <w:tc>
          <w:tcPr>
            <w:tcW w:w="304" w:type="pct"/>
            <w:vMerge w:val="continue"/>
            <w:noWrap w:val="0"/>
            <w:vAlign w:val="center"/>
          </w:tcPr>
          <w:p w14:paraId="6C3B908C">
            <w:pPr>
              <w:spacing w:line="240" w:lineRule="auto"/>
              <w:ind w:firstLine="0" w:firstLineChars="0"/>
              <w:jc w:val="center"/>
              <w:rPr>
                <w:sz w:val="21"/>
                <w:szCs w:val="21"/>
                <w:highlight w:val="none"/>
              </w:rPr>
            </w:pPr>
          </w:p>
        </w:tc>
        <w:tc>
          <w:tcPr>
            <w:tcW w:w="342" w:type="pct"/>
            <w:noWrap w:val="0"/>
            <w:vAlign w:val="center"/>
          </w:tcPr>
          <w:p w14:paraId="02AD6FFF">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25</w:t>
            </w:r>
          </w:p>
        </w:tc>
        <w:tc>
          <w:tcPr>
            <w:tcW w:w="359" w:type="pct"/>
            <w:noWrap w:val="0"/>
            <w:vAlign w:val="center"/>
          </w:tcPr>
          <w:p w14:paraId="1278DEA2">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4E5BE3AB">
            <w:pPr>
              <w:spacing w:line="240" w:lineRule="auto"/>
              <w:ind w:firstLine="0" w:firstLineChars="0"/>
              <w:jc w:val="center"/>
              <w:rPr>
                <w:rFonts w:hint="eastAsia"/>
                <w:sz w:val="21"/>
                <w:szCs w:val="21"/>
                <w:highlight w:val="none"/>
              </w:rPr>
            </w:pPr>
          </w:p>
        </w:tc>
      </w:tr>
      <w:tr w14:paraId="1F9275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79" w:type="pct"/>
            <w:vMerge w:val="continue"/>
            <w:noWrap w:val="0"/>
            <w:vAlign w:val="center"/>
          </w:tcPr>
          <w:p w14:paraId="53ACABDA">
            <w:pPr>
              <w:spacing w:line="240" w:lineRule="auto"/>
              <w:ind w:firstLine="0" w:firstLineChars="0"/>
              <w:jc w:val="center"/>
              <w:rPr>
                <w:sz w:val="21"/>
                <w:szCs w:val="21"/>
                <w:highlight w:val="none"/>
              </w:rPr>
            </w:pPr>
          </w:p>
        </w:tc>
        <w:tc>
          <w:tcPr>
            <w:tcW w:w="283" w:type="pct"/>
            <w:vMerge w:val="restart"/>
            <w:noWrap w:val="0"/>
            <w:vAlign w:val="center"/>
          </w:tcPr>
          <w:p w14:paraId="393629CB">
            <w:pPr>
              <w:spacing w:line="240" w:lineRule="auto"/>
              <w:ind w:firstLine="0" w:firstLineChars="0"/>
              <w:jc w:val="center"/>
              <w:rPr>
                <w:sz w:val="21"/>
                <w:szCs w:val="21"/>
                <w:highlight w:val="none"/>
              </w:rPr>
            </w:pPr>
            <w:r>
              <w:rPr>
                <w:rFonts w:hint="eastAsia"/>
                <w:sz w:val="21"/>
                <w:szCs w:val="21"/>
                <w:highlight w:val="none"/>
              </w:rPr>
              <w:t>脱硫系统</w:t>
            </w:r>
          </w:p>
        </w:tc>
        <w:tc>
          <w:tcPr>
            <w:tcW w:w="479" w:type="pct"/>
            <w:vMerge w:val="restart"/>
            <w:noWrap w:val="0"/>
            <w:vAlign w:val="center"/>
          </w:tcPr>
          <w:p w14:paraId="4E9A686E">
            <w:pPr>
              <w:spacing w:line="240" w:lineRule="auto"/>
              <w:ind w:firstLine="0" w:firstLineChars="0"/>
              <w:jc w:val="center"/>
              <w:rPr>
                <w:sz w:val="21"/>
                <w:szCs w:val="21"/>
                <w:highlight w:val="none"/>
              </w:rPr>
            </w:pPr>
            <w:r>
              <w:rPr>
                <w:rFonts w:hint="eastAsia"/>
                <w:sz w:val="21"/>
                <w:szCs w:val="21"/>
                <w:highlight w:val="none"/>
              </w:rPr>
              <w:t>浆液循环泵</w:t>
            </w:r>
          </w:p>
        </w:tc>
        <w:tc>
          <w:tcPr>
            <w:tcW w:w="179" w:type="pct"/>
            <w:noWrap w:val="0"/>
            <w:vAlign w:val="center"/>
          </w:tcPr>
          <w:p w14:paraId="311E584D">
            <w:pPr>
              <w:spacing w:line="240" w:lineRule="auto"/>
              <w:ind w:firstLine="0" w:firstLineChars="0"/>
              <w:jc w:val="center"/>
              <w:rPr>
                <w:sz w:val="21"/>
                <w:szCs w:val="21"/>
                <w:highlight w:val="none"/>
              </w:rPr>
            </w:pPr>
            <w:r>
              <w:rPr>
                <w:rFonts w:hint="eastAsia"/>
                <w:sz w:val="21"/>
                <w:szCs w:val="21"/>
                <w:highlight w:val="none"/>
              </w:rPr>
              <w:t>1</w:t>
            </w:r>
          </w:p>
        </w:tc>
        <w:tc>
          <w:tcPr>
            <w:tcW w:w="347" w:type="pct"/>
            <w:noWrap w:val="0"/>
            <w:vAlign w:val="center"/>
          </w:tcPr>
          <w:p w14:paraId="25FAEA17">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90</w:t>
            </w:r>
          </w:p>
        </w:tc>
        <w:tc>
          <w:tcPr>
            <w:tcW w:w="492" w:type="pct"/>
            <w:noWrap w:val="0"/>
            <w:vAlign w:val="center"/>
          </w:tcPr>
          <w:p w14:paraId="3381C30B">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383EF8D2">
            <w:pPr>
              <w:spacing w:line="240" w:lineRule="auto"/>
              <w:ind w:firstLine="0" w:firstLineChars="0"/>
              <w:jc w:val="center"/>
              <w:rPr>
                <w:sz w:val="21"/>
                <w:szCs w:val="21"/>
                <w:highlight w:val="none"/>
              </w:rPr>
            </w:pPr>
            <w:r>
              <w:rPr>
                <w:rFonts w:hint="eastAsia"/>
                <w:sz w:val="21"/>
                <w:szCs w:val="21"/>
                <w:highlight w:val="none"/>
              </w:rPr>
              <w:t>隔声罩壳、厂房隔声</w:t>
            </w:r>
          </w:p>
        </w:tc>
        <w:tc>
          <w:tcPr>
            <w:tcW w:w="358" w:type="pct"/>
            <w:noWrap w:val="0"/>
            <w:vAlign w:val="center"/>
          </w:tcPr>
          <w:p w14:paraId="2124B696">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22.1</w:t>
            </w:r>
          </w:p>
        </w:tc>
        <w:tc>
          <w:tcPr>
            <w:tcW w:w="357" w:type="pct"/>
            <w:noWrap w:val="0"/>
            <w:vAlign w:val="center"/>
          </w:tcPr>
          <w:p w14:paraId="6D5716D4">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-0.85</w:t>
            </w:r>
          </w:p>
        </w:tc>
        <w:tc>
          <w:tcPr>
            <w:tcW w:w="245" w:type="pct"/>
            <w:noWrap w:val="0"/>
            <w:vAlign w:val="center"/>
          </w:tcPr>
          <w:p w14:paraId="40A10382">
            <w:pPr>
              <w:spacing w:line="240" w:lineRule="auto"/>
              <w:ind w:firstLine="0" w:firstLineChars="0"/>
              <w:jc w:val="center"/>
              <w:rPr>
                <w:rFonts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701DE425">
            <w:pPr>
              <w:spacing w:line="240" w:lineRule="auto"/>
              <w:ind w:firstLine="0" w:firstLineChars="0"/>
              <w:jc w:val="center"/>
              <w:rPr>
                <w:rFonts w:eastAsia="等线"/>
                <w:sz w:val="21"/>
                <w:szCs w:val="21"/>
                <w:highlight w:val="none"/>
              </w:rPr>
            </w:pPr>
          </w:p>
        </w:tc>
        <w:tc>
          <w:tcPr>
            <w:tcW w:w="342" w:type="pct"/>
            <w:noWrap w:val="0"/>
            <w:vAlign w:val="center"/>
          </w:tcPr>
          <w:p w14:paraId="67C28360">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304E473E">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46072AE0">
            <w:pPr>
              <w:spacing w:line="240" w:lineRule="auto"/>
              <w:ind w:firstLine="0" w:firstLineChars="0"/>
              <w:jc w:val="center"/>
              <w:rPr>
                <w:sz w:val="21"/>
                <w:szCs w:val="21"/>
                <w:highlight w:val="none"/>
              </w:rPr>
            </w:pPr>
            <w:r>
              <w:rPr>
                <w:rFonts w:hint="eastAsia"/>
                <w:sz w:val="21"/>
                <w:szCs w:val="21"/>
                <w:highlight w:val="none"/>
              </w:rPr>
              <w:t>1</w:t>
            </w:r>
          </w:p>
        </w:tc>
      </w:tr>
      <w:tr w14:paraId="7CBA10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79" w:type="pct"/>
            <w:vMerge w:val="continue"/>
            <w:noWrap w:val="0"/>
            <w:vAlign w:val="center"/>
          </w:tcPr>
          <w:p w14:paraId="3B8234C5">
            <w:pPr>
              <w:spacing w:line="240" w:lineRule="auto"/>
              <w:ind w:firstLine="0" w:firstLineChars="0"/>
              <w:jc w:val="center"/>
              <w:rPr>
                <w:sz w:val="21"/>
                <w:szCs w:val="21"/>
                <w:highlight w:val="none"/>
              </w:rPr>
            </w:pPr>
          </w:p>
        </w:tc>
        <w:tc>
          <w:tcPr>
            <w:tcW w:w="283" w:type="pct"/>
            <w:vMerge w:val="continue"/>
            <w:noWrap w:val="0"/>
            <w:vAlign w:val="center"/>
          </w:tcPr>
          <w:p w14:paraId="0063E4BE">
            <w:pPr>
              <w:spacing w:line="240" w:lineRule="auto"/>
              <w:ind w:firstLine="0" w:firstLineChars="0"/>
              <w:jc w:val="center"/>
              <w:rPr>
                <w:rFonts w:hint="eastAsia"/>
                <w:sz w:val="21"/>
                <w:szCs w:val="21"/>
                <w:highlight w:val="none"/>
              </w:rPr>
            </w:pPr>
          </w:p>
        </w:tc>
        <w:tc>
          <w:tcPr>
            <w:tcW w:w="479" w:type="pct"/>
            <w:vMerge w:val="continue"/>
            <w:noWrap w:val="0"/>
            <w:vAlign w:val="center"/>
          </w:tcPr>
          <w:p w14:paraId="50131F34">
            <w:pPr>
              <w:spacing w:line="240" w:lineRule="auto"/>
              <w:ind w:firstLine="0" w:firstLineChars="0"/>
              <w:jc w:val="center"/>
              <w:rPr>
                <w:rFonts w:hint="eastAsia"/>
                <w:sz w:val="21"/>
                <w:szCs w:val="21"/>
                <w:highlight w:val="none"/>
              </w:rPr>
            </w:pPr>
          </w:p>
        </w:tc>
        <w:tc>
          <w:tcPr>
            <w:tcW w:w="179" w:type="pct"/>
            <w:noWrap w:val="0"/>
            <w:vAlign w:val="center"/>
          </w:tcPr>
          <w:p w14:paraId="5D4E0169">
            <w:pPr>
              <w:spacing w:line="240" w:lineRule="auto"/>
              <w:ind w:firstLine="0" w:firstLineChars="0"/>
              <w:jc w:val="center"/>
              <w:rPr>
                <w:rFonts w:hint="eastAsia"/>
                <w:sz w:val="21"/>
                <w:szCs w:val="21"/>
                <w:highlight w:val="none"/>
              </w:rPr>
            </w:pPr>
            <w:r>
              <w:rPr>
                <w:rFonts w:hint="eastAsia"/>
                <w:sz w:val="21"/>
                <w:szCs w:val="21"/>
                <w:highlight w:val="none"/>
              </w:rPr>
              <w:t>1</w:t>
            </w:r>
          </w:p>
        </w:tc>
        <w:tc>
          <w:tcPr>
            <w:tcW w:w="347" w:type="pct"/>
            <w:noWrap w:val="0"/>
            <w:vAlign w:val="center"/>
          </w:tcPr>
          <w:p w14:paraId="46C9C8B0">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90</w:t>
            </w:r>
          </w:p>
        </w:tc>
        <w:tc>
          <w:tcPr>
            <w:tcW w:w="492" w:type="pct"/>
            <w:noWrap w:val="0"/>
            <w:vAlign w:val="center"/>
          </w:tcPr>
          <w:p w14:paraId="241C900C">
            <w:pPr>
              <w:spacing w:line="240" w:lineRule="auto"/>
              <w:ind w:firstLine="0" w:firstLineChars="0"/>
              <w:jc w:val="center"/>
              <w:rPr>
                <w:sz w:val="21"/>
                <w:szCs w:val="21"/>
                <w:highlight w:val="none"/>
              </w:rPr>
            </w:pPr>
            <w:r>
              <w:rPr>
                <w:sz w:val="21"/>
                <w:szCs w:val="21"/>
                <w:highlight w:val="none"/>
              </w:rPr>
              <w:t>设备外1m</w:t>
            </w:r>
          </w:p>
        </w:tc>
        <w:tc>
          <w:tcPr>
            <w:tcW w:w="720" w:type="pct"/>
            <w:noWrap w:val="0"/>
            <w:vAlign w:val="center"/>
          </w:tcPr>
          <w:p w14:paraId="6538B048">
            <w:pPr>
              <w:spacing w:line="240" w:lineRule="auto"/>
              <w:ind w:firstLine="0" w:firstLineChars="0"/>
              <w:jc w:val="center"/>
              <w:rPr>
                <w:rFonts w:hint="eastAsia"/>
                <w:sz w:val="21"/>
                <w:szCs w:val="21"/>
                <w:highlight w:val="none"/>
              </w:rPr>
            </w:pPr>
            <w:r>
              <w:rPr>
                <w:rFonts w:hint="eastAsia"/>
                <w:sz w:val="21"/>
                <w:szCs w:val="21"/>
                <w:highlight w:val="none"/>
              </w:rPr>
              <w:t>隔声罩壳、厂房隔声</w:t>
            </w:r>
          </w:p>
        </w:tc>
        <w:tc>
          <w:tcPr>
            <w:tcW w:w="358" w:type="pct"/>
            <w:noWrap w:val="0"/>
            <w:vAlign w:val="center"/>
          </w:tcPr>
          <w:p w14:paraId="17D66972">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25.37</w:t>
            </w:r>
          </w:p>
        </w:tc>
        <w:tc>
          <w:tcPr>
            <w:tcW w:w="357" w:type="pct"/>
            <w:noWrap w:val="0"/>
            <w:vAlign w:val="center"/>
          </w:tcPr>
          <w:p w14:paraId="773FDC89">
            <w:pPr>
              <w:spacing w:line="240" w:lineRule="auto"/>
              <w:ind w:firstLine="0" w:firstLineChars="0"/>
              <w:jc w:val="center"/>
              <w:rPr>
                <w:rFonts w:hint="default" w:eastAsia="等线"/>
                <w:sz w:val="21"/>
                <w:szCs w:val="21"/>
                <w:highlight w:val="none"/>
                <w:lang w:val="en-US" w:eastAsia="zh-CN"/>
              </w:rPr>
            </w:pPr>
            <w:r>
              <w:rPr>
                <w:rFonts w:hint="eastAsia" w:eastAsia="等线"/>
                <w:sz w:val="21"/>
                <w:szCs w:val="21"/>
                <w:highlight w:val="none"/>
                <w:lang w:val="en-US" w:eastAsia="zh-CN"/>
              </w:rPr>
              <w:t>-2.49</w:t>
            </w:r>
          </w:p>
        </w:tc>
        <w:tc>
          <w:tcPr>
            <w:tcW w:w="245" w:type="pct"/>
            <w:noWrap w:val="0"/>
            <w:vAlign w:val="center"/>
          </w:tcPr>
          <w:p w14:paraId="3F7861DE">
            <w:pPr>
              <w:spacing w:line="240" w:lineRule="auto"/>
              <w:ind w:firstLine="0" w:firstLineChars="0"/>
              <w:jc w:val="center"/>
              <w:rPr>
                <w:rFonts w:hint="eastAsia" w:eastAsia="等线"/>
                <w:sz w:val="21"/>
                <w:szCs w:val="21"/>
                <w:highlight w:val="none"/>
              </w:rPr>
            </w:pPr>
            <w:r>
              <w:rPr>
                <w:rFonts w:hint="eastAsia" w:eastAsia="等线"/>
                <w:sz w:val="21"/>
                <w:szCs w:val="21"/>
                <w:highlight w:val="none"/>
              </w:rPr>
              <w:t>1</w:t>
            </w:r>
          </w:p>
        </w:tc>
        <w:tc>
          <w:tcPr>
            <w:tcW w:w="304" w:type="pct"/>
            <w:vMerge w:val="continue"/>
            <w:noWrap w:val="0"/>
            <w:vAlign w:val="center"/>
          </w:tcPr>
          <w:p w14:paraId="23056E1F">
            <w:pPr>
              <w:spacing w:line="240" w:lineRule="auto"/>
              <w:ind w:firstLine="0" w:firstLineChars="0"/>
              <w:jc w:val="center"/>
              <w:rPr>
                <w:rFonts w:eastAsia="等线"/>
                <w:sz w:val="21"/>
                <w:szCs w:val="21"/>
                <w:highlight w:val="none"/>
              </w:rPr>
            </w:pPr>
          </w:p>
        </w:tc>
        <w:tc>
          <w:tcPr>
            <w:tcW w:w="342" w:type="pct"/>
            <w:noWrap w:val="0"/>
            <w:vAlign w:val="center"/>
          </w:tcPr>
          <w:p w14:paraId="7BFA8C05">
            <w:pPr>
              <w:spacing w:line="240" w:lineRule="auto"/>
              <w:ind w:firstLine="0" w:firstLineChars="0"/>
              <w:jc w:val="center"/>
              <w:rPr>
                <w:rFonts w:hint="eastAsia" w:eastAsia="等线"/>
                <w:sz w:val="21"/>
                <w:szCs w:val="21"/>
                <w:highlight w:val="none"/>
                <w:lang w:val="en-US" w:eastAsia="zh-CN"/>
              </w:rPr>
            </w:pPr>
            <w:r>
              <w:rPr>
                <w:rFonts w:hint="eastAsia" w:eastAsia="等线"/>
                <w:sz w:val="21"/>
                <w:szCs w:val="21"/>
                <w:highlight w:val="none"/>
              </w:rPr>
              <w:t>2</w:t>
            </w:r>
            <w:r>
              <w:rPr>
                <w:rFonts w:hint="eastAsia" w:eastAsia="等线"/>
                <w:sz w:val="21"/>
                <w:szCs w:val="21"/>
                <w:highlight w:val="none"/>
                <w:lang w:val="en-US" w:eastAsia="zh-CN"/>
              </w:rPr>
              <w:t>5</w:t>
            </w:r>
          </w:p>
        </w:tc>
        <w:tc>
          <w:tcPr>
            <w:tcW w:w="359" w:type="pct"/>
            <w:noWrap w:val="0"/>
            <w:vAlign w:val="center"/>
          </w:tcPr>
          <w:p w14:paraId="5D191525">
            <w:pPr>
              <w:spacing w:line="240" w:lineRule="auto"/>
              <w:ind w:firstLine="0" w:firstLineChars="0"/>
              <w:jc w:val="center"/>
              <w:rPr>
                <w:rFonts w:hint="default" w:eastAsia="宋体"/>
                <w:sz w:val="21"/>
                <w:szCs w:val="21"/>
                <w:highlight w:val="none"/>
                <w:lang w:val="en-US" w:eastAsia="zh-CN"/>
              </w:rPr>
            </w:pPr>
            <w:r>
              <w:rPr>
                <w:rFonts w:hint="eastAsia"/>
                <w:sz w:val="21"/>
                <w:szCs w:val="21"/>
                <w:highlight w:val="none"/>
                <w:lang w:val="en-US" w:eastAsia="zh-CN"/>
              </w:rPr>
              <w:t>65</w:t>
            </w:r>
          </w:p>
        </w:tc>
        <w:tc>
          <w:tcPr>
            <w:tcW w:w="351" w:type="pct"/>
            <w:noWrap w:val="0"/>
            <w:vAlign w:val="center"/>
          </w:tcPr>
          <w:p w14:paraId="5C02E5A4">
            <w:pPr>
              <w:spacing w:line="240" w:lineRule="auto"/>
              <w:ind w:firstLine="0" w:firstLineChars="0"/>
              <w:jc w:val="center"/>
              <w:rPr>
                <w:rFonts w:hint="eastAsia"/>
                <w:sz w:val="21"/>
                <w:szCs w:val="21"/>
                <w:highlight w:val="none"/>
              </w:rPr>
            </w:pPr>
            <w:r>
              <w:rPr>
                <w:rFonts w:hint="eastAsia"/>
                <w:sz w:val="21"/>
                <w:szCs w:val="21"/>
                <w:highlight w:val="none"/>
              </w:rPr>
              <w:t>1</w:t>
            </w:r>
          </w:p>
        </w:tc>
      </w:tr>
    </w:tbl>
    <w:p w14:paraId="2556FF62">
      <w:pPr>
        <w:pStyle w:val="23"/>
        <w:rPr>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B252C49">
      <w:pPr>
        <w:pStyle w:val="5"/>
        <w:bidi w:val="0"/>
        <w:ind w:left="0" w:leftChars="0" w:firstLine="0" w:firstLineChars="0"/>
        <w:rPr>
          <w:rFonts w:hint="default" w:ascii="Times New Roman" w:hAnsi="Times New Roman" w:eastAsia="宋体" w:cs="Times New Roman"/>
          <w:sz w:val="30"/>
          <w:szCs w:val="30"/>
          <w:highlight w:val="none"/>
          <w:lang w:val="en-US" w:eastAsia="zh-CN"/>
        </w:rPr>
      </w:pPr>
      <w:bookmarkStart w:id="138" w:name="_Toc5739"/>
      <w:r>
        <w:rPr>
          <w:rFonts w:hint="eastAsia" w:ascii="Times New Roman" w:hAnsi="Times New Roman" w:eastAsia="宋体" w:cs="Times New Roman"/>
          <w:sz w:val="30"/>
          <w:szCs w:val="30"/>
          <w:highlight w:val="none"/>
          <w:lang w:val="en-US" w:eastAsia="zh-CN"/>
        </w:rPr>
        <w:t>5.4.4预测模式</w:t>
      </w:r>
      <w:bookmarkEnd w:id="138"/>
    </w:p>
    <w:p w14:paraId="0DD33B4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预测模式选用《环境影响评价技术导则 声环境》（HJ2.4-2021）推荐的模式，噪声预测计算的基本公式如下：</w:t>
      </w:r>
    </w:p>
    <w:p w14:paraId="2B497C7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①室内声源等效室外声源的计算方法：</w:t>
      </w:r>
    </w:p>
    <w:p w14:paraId="6E82F38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某一室内声源靠近围护结构处产生的倍频带声压级：</w:t>
      </w:r>
    </w:p>
    <w:p w14:paraId="62B567B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Times New Roman" w:cs="Times New Roman"/>
          <w:color w:val="auto"/>
          <w:highlight w:val="none"/>
        </w:rPr>
      </w:pPr>
      <w:r>
        <w:rPr>
          <w:color w:val="auto"/>
          <w:position w:val="-28"/>
          <w:sz w:val="24"/>
          <w:szCs w:val="24"/>
          <w:highlight w:val="none"/>
        </w:rPr>
        <w:object>
          <v:shape id="_x0000_i1027" o:spt="75" type="#_x0000_t75" style="height:46.65pt;width:151.55pt;" o:ole="t" filled="f" o:preferrelative="t" stroked="f" coordsize="21600,21600">
            <v:path/>
            <v:fill on="f" focussize="0,0"/>
            <v:stroke on="f"/>
            <v:imagedata r:id="rId48" o:title=""/>
            <o:lock v:ext="edit" aspectratio="t"/>
            <w10:wrap type="none"/>
            <w10:anchorlock/>
          </v:shape>
          <o:OLEObject Type="Embed" ProgID="Equation.3" ShapeID="_x0000_i1027" DrawAspect="Content" ObjectID="_1468075727" r:id="rId47">
            <o:LockedField>false</o:LockedField>
          </o:OLEObject>
        </w:object>
      </w:r>
    </w:p>
    <w:p w14:paraId="133598E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式中：L</w:t>
      </w:r>
      <w:r>
        <w:rPr>
          <w:rFonts w:hint="default" w:ascii="Times New Roman" w:hAnsi="Times New Roman" w:eastAsia="宋体" w:cs="Times New Roman"/>
          <w:color w:val="auto"/>
          <w:sz w:val="24"/>
          <w:highlight w:val="none"/>
          <w:vertAlign w:val="subscript"/>
          <w:lang w:val="en-US" w:eastAsia="zh-CN" w:bidi="ar-SA"/>
        </w:rPr>
        <w:t>p</w:t>
      </w:r>
      <w:bookmarkStart w:id="139" w:name="_Hlk109558394"/>
      <w:r>
        <w:rPr>
          <w:rFonts w:hint="default" w:ascii="Times New Roman" w:hAnsi="Times New Roman" w:eastAsia="宋体" w:cs="Times New Roman"/>
          <w:color w:val="auto"/>
          <w:sz w:val="24"/>
          <w:highlight w:val="none"/>
          <w:vertAlign w:val="subscript"/>
          <w:lang w:val="en-US" w:eastAsia="zh-CN" w:bidi="ar-SA"/>
        </w:rPr>
        <w:t>1</w:t>
      </w:r>
      <w:r>
        <w:rPr>
          <w:rFonts w:hint="default" w:ascii="Times New Roman" w:hAnsi="Times New Roman" w:eastAsia="宋体" w:cs="Times New Roman"/>
          <w:color w:val="auto"/>
          <w:sz w:val="24"/>
          <w:highlight w:val="none"/>
          <w:lang w:val="en-US" w:eastAsia="zh-CN" w:bidi="ar-SA"/>
        </w:rPr>
        <w:t>—</w:t>
      </w:r>
      <w:bookmarkEnd w:id="139"/>
      <w:r>
        <w:rPr>
          <w:rFonts w:hint="default" w:ascii="Times New Roman" w:hAnsi="Times New Roman" w:eastAsia="宋体" w:cs="Times New Roman"/>
          <w:color w:val="auto"/>
          <w:sz w:val="24"/>
          <w:highlight w:val="none"/>
          <w:lang w:val="en-US" w:eastAsia="zh-CN" w:bidi="ar-SA"/>
        </w:rPr>
        <w:t>室内某倍频带的声压级或A声级，dB；</w:t>
      </w:r>
    </w:p>
    <w:p w14:paraId="1066CF76">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L</w:t>
      </w:r>
      <w:r>
        <w:rPr>
          <w:rFonts w:hint="default" w:ascii="Times New Roman" w:hAnsi="Times New Roman" w:eastAsia="宋体" w:cs="Times New Roman"/>
          <w:color w:val="auto"/>
          <w:sz w:val="24"/>
          <w:highlight w:val="none"/>
          <w:vertAlign w:val="subscript"/>
          <w:lang w:val="en-US" w:eastAsia="zh-CN" w:bidi="ar-SA"/>
        </w:rPr>
        <w:t>w</w:t>
      </w:r>
      <w:r>
        <w:rPr>
          <w:rFonts w:hint="default" w:ascii="Times New Roman" w:hAnsi="Times New Roman" w:eastAsia="宋体" w:cs="Times New Roman"/>
          <w:color w:val="auto"/>
          <w:sz w:val="24"/>
          <w:highlight w:val="none"/>
          <w:lang w:val="en-US" w:eastAsia="zh-CN" w:bidi="ar-SA"/>
        </w:rPr>
        <w:t>—点声源声功率级（A计权或倍频带），dB；</w:t>
      </w:r>
    </w:p>
    <w:p w14:paraId="44C03B33">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r—声源到靠近围护结构某点处的距离，m；</w:t>
      </w:r>
    </w:p>
    <w:p w14:paraId="6CB5DC6E">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Q—指向性因数，通常对无指向性声源，当声源放在房间中心时，Q=1，当放在一面墙的中心时，Q=2；当放在两面墙夹角处时，Q=4，当放在三面墙夹角处时，Q=8；</w:t>
      </w:r>
    </w:p>
    <w:p w14:paraId="73093AB5">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R</w:t>
      </w:r>
      <w:bookmarkStart w:id="140" w:name="_Hlk109558467"/>
      <w:r>
        <w:rPr>
          <w:rFonts w:hint="default" w:ascii="Times New Roman" w:hAnsi="Times New Roman" w:eastAsia="宋体" w:cs="Times New Roman"/>
          <w:color w:val="auto"/>
          <w:sz w:val="24"/>
          <w:highlight w:val="none"/>
          <w:lang w:val="en-US" w:eastAsia="zh-CN" w:bidi="ar-SA"/>
        </w:rPr>
        <w:t>—</w:t>
      </w:r>
      <w:bookmarkEnd w:id="140"/>
      <w:r>
        <w:rPr>
          <w:rFonts w:hint="default" w:ascii="Times New Roman" w:hAnsi="Times New Roman" w:eastAsia="宋体" w:cs="Times New Roman"/>
          <w:color w:val="auto"/>
          <w:sz w:val="24"/>
          <w:highlight w:val="none"/>
          <w:lang w:val="en-US" w:eastAsia="zh-CN" w:bidi="ar-SA"/>
        </w:rPr>
        <w:t>房间常数，R=Sα/(1−α)，S为房间内表面面积，m</w:t>
      </w:r>
      <w:r>
        <w:rPr>
          <w:rFonts w:hint="default" w:ascii="Times New Roman" w:hAnsi="Times New Roman" w:eastAsia="宋体" w:cs="Times New Roman"/>
          <w:color w:val="auto"/>
          <w:sz w:val="24"/>
          <w:highlight w:val="none"/>
          <w:vertAlign w:val="superscript"/>
          <w:lang w:val="en-US" w:eastAsia="zh-CN" w:bidi="ar-SA"/>
        </w:rPr>
        <w:t>2</w:t>
      </w:r>
      <w:r>
        <w:rPr>
          <w:rFonts w:hint="default" w:ascii="Times New Roman" w:hAnsi="Times New Roman" w:eastAsia="宋体" w:cs="Times New Roman"/>
          <w:color w:val="auto"/>
          <w:sz w:val="24"/>
          <w:highlight w:val="none"/>
          <w:lang w:val="en-US" w:eastAsia="zh-CN" w:bidi="ar-SA"/>
        </w:rPr>
        <w:t>，α为平均吸声系数，取0.1；</w:t>
      </w:r>
    </w:p>
    <w:p w14:paraId="7966D2E2">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②室内所有声源在靠近围护结构处的合成声压级</w:t>
      </w:r>
    </w:p>
    <w:p w14:paraId="5BEB6E0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default" w:ascii="Times New Roman" w:hAnsi="Times New Roman" w:eastAsia="Times New Roman" w:cs="Times New Roman"/>
          <w:color w:val="auto"/>
          <w:sz w:val="24"/>
          <w:szCs w:val="24"/>
          <w:highlight w:val="none"/>
        </w:rPr>
      </w:pPr>
      <m:oMathPara>
        <m:oMath>
          <m:sSub>
            <m:sSubPr>
              <m:ctrlPr>
                <w:rPr>
                  <w:rFonts w:hint="default" w:ascii="Cambria Math" w:hAnsi="Cambria Math"/>
                  <w:i/>
                  <w:sz w:val="24"/>
                  <w:szCs w:val="24"/>
                  <w:highlight w:val="none"/>
                </w:rPr>
              </m:ctrlPr>
            </m:sSubPr>
            <m:e>
              <m:r>
                <m:rPr/>
                <w:rPr>
                  <w:rFonts w:hint="default" w:ascii="Cambria Math"/>
                  <w:sz w:val="24"/>
                  <w:szCs w:val="24"/>
                  <w:highlight w:val="none"/>
                </w:rPr>
                <m:t>L</m:t>
              </m:r>
              <m:ctrlPr>
                <w:rPr>
                  <w:rFonts w:hint="default" w:ascii="Cambria Math" w:hAnsi="Cambria Math"/>
                  <w:i/>
                  <w:sz w:val="24"/>
                  <w:szCs w:val="24"/>
                  <w:highlight w:val="none"/>
                </w:rPr>
              </m:ctrlPr>
            </m:e>
            <m:sub>
              <m:r>
                <m:rPr/>
                <w:rPr>
                  <w:rFonts w:hint="eastAsia" w:ascii="Cambria Math"/>
                  <w:sz w:val="24"/>
                  <w:szCs w:val="24"/>
                  <w:highlight w:val="none"/>
                </w:rPr>
                <m:t>p</m:t>
              </m:r>
              <m:r>
                <m:rPr/>
                <w:rPr>
                  <w:rFonts w:hint="default" w:ascii="Cambria Math"/>
                  <w:sz w:val="24"/>
                  <w:szCs w:val="24"/>
                  <w:highlight w:val="none"/>
                </w:rPr>
                <m:t>1i</m:t>
              </m:r>
              <m:ctrlPr>
                <w:rPr>
                  <w:rFonts w:hint="default" w:ascii="Cambria Math" w:hAnsi="Cambria Math"/>
                  <w:i/>
                  <w:sz w:val="24"/>
                  <w:szCs w:val="24"/>
                  <w:highlight w:val="none"/>
                </w:rPr>
              </m:ctrlPr>
            </m:sub>
          </m:sSub>
          <m:r>
            <m:rPr/>
            <w:rPr>
              <w:rFonts w:hint="default" w:ascii="Cambria Math"/>
              <w:sz w:val="24"/>
              <w:szCs w:val="24"/>
              <w:highlight w:val="none"/>
            </w:rPr>
            <m:t>=10</m:t>
          </m:r>
          <m:func>
            <m:funcPr>
              <m:ctrlPr>
                <w:rPr>
                  <w:rFonts w:hint="default" w:ascii="Cambria Math" w:hAnsi="Cambria Math"/>
                  <w:i/>
                  <w:sz w:val="24"/>
                  <w:szCs w:val="24"/>
                  <w:highlight w:val="none"/>
                </w:rPr>
              </m:ctrlPr>
            </m:funcPr>
            <m:fName>
              <m:r>
                <m:rPr/>
                <w:rPr>
                  <w:rFonts w:hint="default" w:ascii="Cambria Math"/>
                  <w:sz w:val="24"/>
                  <w:szCs w:val="24"/>
                  <w:highlight w:val="none"/>
                </w:rPr>
                <m:t>lg</m:t>
              </m:r>
              <m:ctrlPr>
                <w:rPr>
                  <w:rFonts w:hint="default" w:ascii="Cambria Math" w:hAnsi="Cambria Math"/>
                  <w:i/>
                  <w:sz w:val="24"/>
                  <w:szCs w:val="24"/>
                  <w:highlight w:val="none"/>
                </w:rPr>
              </m:ctrlPr>
            </m:fName>
            <m:e>
              <m:d>
                <m:dPr>
                  <m:ctrlPr>
                    <w:rPr>
                      <w:rFonts w:hint="default" w:ascii="Cambria Math" w:hAnsi="Cambria Math"/>
                      <w:i/>
                      <w:sz w:val="24"/>
                      <w:szCs w:val="24"/>
                      <w:highlight w:val="none"/>
                    </w:rPr>
                  </m:ctrlPr>
                </m:dPr>
                <m:e>
                  <m:sSup>
                    <m:sSupPr>
                      <m:ctrlPr>
                        <w:rPr>
                          <w:rFonts w:hint="default" w:ascii="Cambria Math" w:hAnsi="Cambria Math"/>
                          <w:i/>
                          <w:sz w:val="24"/>
                          <w:szCs w:val="24"/>
                          <w:highlight w:val="none"/>
                        </w:rPr>
                      </m:ctrlPr>
                    </m:sSupPr>
                    <m:e>
                      <m:nary>
                        <m:naryPr>
                          <m:chr m:val="∑"/>
                          <m:ctrlPr>
                            <w:rPr>
                              <w:rFonts w:hint="default" w:ascii="Cambria Math" w:hAnsi="Cambria Math"/>
                              <w:i/>
                              <w:sz w:val="24"/>
                              <w:szCs w:val="24"/>
                              <w:highlight w:val="none"/>
                            </w:rPr>
                          </m:ctrlPr>
                        </m:naryPr>
                        <m:sub>
                          <m:r>
                            <m:rPr/>
                            <w:rPr>
                              <w:rFonts w:hint="default" w:ascii="Cambria Math"/>
                              <w:sz w:val="24"/>
                              <w:szCs w:val="24"/>
                              <w:highlight w:val="none"/>
                            </w:rPr>
                            <m:t>j=1</m:t>
                          </m:r>
                          <m:ctrlPr>
                            <w:rPr>
                              <w:rFonts w:hint="default" w:ascii="Cambria Math" w:hAnsi="Cambria Math"/>
                              <w:i/>
                              <w:sz w:val="24"/>
                              <w:szCs w:val="24"/>
                              <w:highlight w:val="none"/>
                            </w:rPr>
                          </m:ctrlPr>
                        </m:sub>
                        <m:sup>
                          <m:r>
                            <m:rPr/>
                            <w:rPr>
                              <w:rFonts w:hint="default" w:ascii="Cambria Math"/>
                              <w:sz w:val="24"/>
                              <w:szCs w:val="24"/>
                              <w:highlight w:val="none"/>
                            </w:rPr>
                            <m:t>N</m:t>
                          </m:r>
                          <m:ctrlPr>
                            <w:rPr>
                              <w:rFonts w:hint="default" w:ascii="Cambria Math" w:hAnsi="Cambria Math"/>
                              <w:i/>
                              <w:sz w:val="24"/>
                              <w:szCs w:val="24"/>
                              <w:highlight w:val="none"/>
                            </w:rPr>
                          </m:ctrlPr>
                        </m:sup>
                        <m:e>
                          <m:r>
                            <m:rPr/>
                            <w:rPr>
                              <w:rFonts w:hint="default" w:ascii="Cambria Math"/>
                              <w:sz w:val="24"/>
                              <w:szCs w:val="24"/>
                              <w:highlight w:val="none"/>
                            </w:rPr>
                            <m:t>10</m:t>
                          </m:r>
                          <m:ctrlPr>
                            <w:rPr>
                              <w:rFonts w:hint="default" w:ascii="Cambria Math" w:hAnsi="Cambria Math"/>
                              <w:i/>
                              <w:sz w:val="24"/>
                              <w:szCs w:val="24"/>
                              <w:highlight w:val="none"/>
                            </w:rPr>
                          </m:ctrlPr>
                        </m:e>
                      </m:nary>
                      <m:ctrlPr>
                        <w:rPr>
                          <w:rFonts w:hint="default" w:ascii="Cambria Math" w:hAnsi="Cambria Math"/>
                          <w:i/>
                          <w:sz w:val="24"/>
                          <w:szCs w:val="24"/>
                          <w:highlight w:val="none"/>
                        </w:rPr>
                      </m:ctrlPr>
                    </m:e>
                    <m:sup>
                      <m:r>
                        <m:rPr/>
                        <w:rPr>
                          <w:rFonts w:hint="default" w:ascii="Cambria Math"/>
                          <w:sz w:val="24"/>
                          <w:szCs w:val="24"/>
                          <w:highlight w:val="none"/>
                        </w:rPr>
                        <m:t>0.1</m:t>
                      </m:r>
                      <m:sSub>
                        <m:sSubPr>
                          <m:ctrlPr>
                            <w:rPr>
                              <w:rFonts w:hint="default" w:ascii="Cambria Math" w:hAnsi="Cambria Math"/>
                              <w:i/>
                              <w:sz w:val="24"/>
                              <w:szCs w:val="24"/>
                              <w:highlight w:val="none"/>
                            </w:rPr>
                          </m:ctrlPr>
                        </m:sSubPr>
                        <m:e>
                          <m:r>
                            <m:rPr/>
                            <w:rPr>
                              <w:rFonts w:hint="default" w:ascii="Cambria Math"/>
                              <w:sz w:val="24"/>
                              <w:szCs w:val="24"/>
                              <w:highlight w:val="none"/>
                            </w:rPr>
                            <m:t>L</m:t>
                          </m:r>
                          <m:ctrlPr>
                            <w:rPr>
                              <w:rFonts w:hint="default" w:ascii="Cambria Math" w:hAnsi="Cambria Math"/>
                              <w:i/>
                              <w:sz w:val="24"/>
                              <w:szCs w:val="24"/>
                              <w:highlight w:val="none"/>
                            </w:rPr>
                          </m:ctrlPr>
                        </m:e>
                        <m:sub>
                          <m:r>
                            <m:rPr/>
                            <w:rPr>
                              <w:rFonts w:hint="default" w:ascii="Cambria Math"/>
                              <w:sz w:val="24"/>
                              <w:szCs w:val="24"/>
                              <w:highlight w:val="none"/>
                            </w:rPr>
                            <m:t>p1ij</m:t>
                          </m:r>
                          <m:ctrlPr>
                            <w:rPr>
                              <w:rFonts w:hint="default" w:ascii="Cambria Math" w:hAnsi="Cambria Math"/>
                              <w:i/>
                              <w:sz w:val="24"/>
                              <w:szCs w:val="24"/>
                              <w:highlight w:val="none"/>
                            </w:rPr>
                          </m:ctrlPr>
                        </m:sub>
                      </m:sSub>
                      <m:ctrlPr>
                        <w:rPr>
                          <w:rFonts w:hint="default" w:ascii="Cambria Math" w:hAnsi="Cambria Math"/>
                          <w:i/>
                          <w:sz w:val="24"/>
                          <w:szCs w:val="24"/>
                          <w:highlight w:val="none"/>
                        </w:rPr>
                      </m:ctrlPr>
                    </m:sup>
                  </m:sSup>
                  <m:ctrlPr>
                    <w:rPr>
                      <w:rFonts w:hint="default" w:ascii="Cambria Math" w:hAnsi="Cambria Math"/>
                      <w:i/>
                      <w:sz w:val="24"/>
                      <w:szCs w:val="24"/>
                      <w:highlight w:val="none"/>
                    </w:rPr>
                  </m:ctrlPr>
                </m:e>
              </m:d>
              <m:ctrlPr>
                <w:rPr>
                  <w:rFonts w:hint="default" w:ascii="Cambria Math" w:hAnsi="Cambria Math"/>
                  <w:i/>
                  <w:sz w:val="24"/>
                  <w:szCs w:val="24"/>
                  <w:highlight w:val="none"/>
                </w:rPr>
              </m:ctrlPr>
            </m:e>
          </m:func>
        </m:oMath>
      </m:oMathPara>
    </w:p>
    <w:p w14:paraId="58A0BF5B">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式中：N—室内声源总数。</w:t>
      </w:r>
    </w:p>
    <w:p w14:paraId="64B0E02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③外靠近围护结构处的声压级（L2）</w:t>
      </w:r>
    </w:p>
    <w:p w14:paraId="6C1E1DFE">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default" w:ascii="Times New Roman" w:hAnsi="Times New Roman" w:eastAsia="Times New Roman" w:cs="Times New Roman"/>
          <w:color w:val="auto"/>
          <w:sz w:val="24"/>
          <w:szCs w:val="24"/>
          <w:highlight w:val="none"/>
        </w:rPr>
      </w:pPr>
      <w:r>
        <w:rPr>
          <w:rFonts w:hint="default" w:ascii="Times New Roman" w:hAnsi="Times New Roman" w:eastAsia="Times New Roman" w:cs="Times New Roman"/>
          <w:color w:val="auto"/>
          <w:sz w:val="24"/>
          <w:szCs w:val="24"/>
          <w:highlight w:val="none"/>
        </w:rPr>
        <w:t>L</w:t>
      </w:r>
      <w:r>
        <w:rPr>
          <w:rFonts w:hint="default" w:ascii="Times New Roman" w:hAnsi="Times New Roman" w:eastAsia="Times New Roman" w:cs="Times New Roman"/>
          <w:color w:val="auto"/>
          <w:sz w:val="24"/>
          <w:szCs w:val="24"/>
          <w:highlight w:val="none"/>
          <w:vertAlign w:val="subscript"/>
        </w:rPr>
        <w:t>p2</w:t>
      </w:r>
      <w:r>
        <w:rPr>
          <w:rFonts w:hint="default" w:ascii="Times New Roman" w:hAnsi="Times New Roman" w:eastAsia="Times New Roman" w:cs="Times New Roman"/>
          <w:color w:val="auto"/>
          <w:sz w:val="24"/>
          <w:szCs w:val="24"/>
          <w:highlight w:val="none"/>
        </w:rPr>
        <w:t>=L</w:t>
      </w:r>
      <w:r>
        <w:rPr>
          <w:rFonts w:hint="default" w:ascii="Times New Roman" w:hAnsi="Times New Roman" w:eastAsia="Times New Roman" w:cs="Times New Roman"/>
          <w:color w:val="auto"/>
          <w:sz w:val="24"/>
          <w:szCs w:val="24"/>
          <w:highlight w:val="none"/>
          <w:vertAlign w:val="subscript"/>
        </w:rPr>
        <w:t>p1</w:t>
      </w:r>
      <w:r>
        <w:rPr>
          <w:rFonts w:hint="default" w:ascii="Times New Roman" w:hAnsi="Times New Roman" w:eastAsia="Times New Roman" w:cs="Times New Roman"/>
          <w:color w:val="auto"/>
          <w:sz w:val="24"/>
          <w:szCs w:val="24"/>
          <w:highlight w:val="none"/>
        </w:rPr>
        <w:t>-(TL+6)</w:t>
      </w:r>
    </w:p>
    <w:p w14:paraId="544B818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式中：TL—隔墙倍频带或A声级的隔声量。</w:t>
      </w:r>
    </w:p>
    <w:p w14:paraId="775B843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④将室外声级和透过面积换算成等效的室外声源，计算出中心位置位于透声面积（S）处的等效声源的倍频带声功率级，公式如下：</w:t>
      </w:r>
    </w:p>
    <w:p w14:paraId="324723EC">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default" w:ascii="Times New Roman" w:hAnsi="Times New Roman" w:eastAsia="Times New Roman" w:cs="Times New Roman"/>
          <w:color w:val="auto"/>
          <w:sz w:val="24"/>
          <w:szCs w:val="24"/>
          <w:highlight w:val="none"/>
        </w:rPr>
      </w:pPr>
      <w:r>
        <w:rPr>
          <w:rFonts w:hint="default" w:ascii="Times New Roman" w:hAnsi="Times New Roman" w:eastAsia="Times New Roman" w:cs="Times New Roman"/>
          <w:color w:val="auto"/>
          <w:sz w:val="24"/>
          <w:szCs w:val="24"/>
          <w:highlight w:val="none"/>
        </w:rPr>
        <w:t>L</w:t>
      </w:r>
      <w:r>
        <w:rPr>
          <w:rFonts w:hint="default" w:ascii="Times New Roman" w:hAnsi="Times New Roman" w:eastAsia="Times New Roman" w:cs="Times New Roman"/>
          <w:color w:val="auto"/>
          <w:sz w:val="24"/>
          <w:szCs w:val="24"/>
          <w:highlight w:val="none"/>
          <w:vertAlign w:val="subscript"/>
        </w:rPr>
        <w:t>w</w:t>
      </w:r>
      <w:r>
        <w:rPr>
          <w:rFonts w:hint="default" w:ascii="Times New Roman" w:hAnsi="Times New Roman" w:eastAsia="Times New Roman" w:cs="Times New Roman"/>
          <w:color w:val="auto"/>
          <w:sz w:val="24"/>
          <w:szCs w:val="24"/>
          <w:highlight w:val="none"/>
        </w:rPr>
        <w:t>=L</w:t>
      </w:r>
      <w:r>
        <w:rPr>
          <w:rFonts w:hint="default" w:ascii="Times New Roman" w:hAnsi="Times New Roman" w:eastAsia="Times New Roman" w:cs="Times New Roman"/>
          <w:color w:val="auto"/>
          <w:sz w:val="24"/>
          <w:szCs w:val="24"/>
          <w:highlight w:val="none"/>
          <w:vertAlign w:val="subscript"/>
        </w:rPr>
        <w:t>p2</w:t>
      </w:r>
      <w:r>
        <w:rPr>
          <w:rFonts w:hint="default" w:ascii="Times New Roman" w:hAnsi="Times New Roman" w:eastAsia="Times New Roman" w:cs="Times New Roman"/>
          <w:color w:val="auto"/>
          <w:sz w:val="24"/>
          <w:szCs w:val="24"/>
          <w:highlight w:val="none"/>
        </w:rPr>
        <w:t>（T）+10lgS</w:t>
      </w:r>
    </w:p>
    <w:p w14:paraId="48FE23B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⑤计算等效室外声源传播到预测点的声压级（Li）</w:t>
      </w:r>
    </w:p>
    <w:p w14:paraId="604A2926">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default" w:ascii="Times New Roman" w:hAnsi="Times New Roman" w:eastAsia="Times New Roman" w:cs="Times New Roman"/>
          <w:color w:val="auto"/>
          <w:sz w:val="24"/>
          <w:szCs w:val="24"/>
          <w:highlight w:val="none"/>
        </w:rPr>
      </w:pPr>
      <w:r>
        <w:rPr>
          <w:rFonts w:hint="default" w:ascii="Times New Roman" w:hAnsi="Times New Roman" w:eastAsia="Times New Roman" w:cs="Times New Roman"/>
          <w:color w:val="auto"/>
          <w:sz w:val="24"/>
          <w:szCs w:val="24"/>
          <w:highlight w:val="none"/>
        </w:rPr>
        <w:t>Lp（r）=L</w:t>
      </w:r>
      <w:r>
        <w:rPr>
          <w:rFonts w:hint="default" w:ascii="Times New Roman" w:hAnsi="Times New Roman" w:eastAsia="Times New Roman" w:cs="Times New Roman"/>
          <w:color w:val="auto"/>
          <w:sz w:val="24"/>
          <w:szCs w:val="24"/>
          <w:highlight w:val="none"/>
          <w:vertAlign w:val="subscript"/>
        </w:rPr>
        <w:t>W</w:t>
      </w:r>
      <w:r>
        <w:rPr>
          <w:rFonts w:hint="default" w:ascii="Times New Roman" w:hAnsi="Times New Roman" w:eastAsia="Times New Roman" w:cs="Times New Roman"/>
          <w:color w:val="auto"/>
          <w:sz w:val="24"/>
          <w:szCs w:val="24"/>
          <w:highlight w:val="none"/>
        </w:rPr>
        <w:t>+D</w:t>
      </w:r>
      <w:r>
        <w:rPr>
          <w:rFonts w:hint="default" w:ascii="Times New Roman" w:hAnsi="Times New Roman" w:eastAsia="Times New Roman" w:cs="Times New Roman"/>
          <w:color w:val="auto"/>
          <w:sz w:val="24"/>
          <w:szCs w:val="24"/>
          <w:highlight w:val="none"/>
          <w:vertAlign w:val="subscript"/>
        </w:rPr>
        <w:t>C</w:t>
      </w: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div</w:t>
      </w: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bar</w:t>
      </w: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atm</w:t>
      </w: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gr</w:t>
      </w: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misc</w:t>
      </w:r>
      <w:r>
        <w:rPr>
          <w:rFonts w:hint="default" w:ascii="Times New Roman" w:hAnsi="Times New Roman" w:eastAsia="Times New Roman" w:cs="Times New Roman"/>
          <w:color w:val="auto"/>
          <w:sz w:val="24"/>
          <w:szCs w:val="24"/>
          <w:highlight w:val="none"/>
        </w:rPr>
        <w:t>）</w:t>
      </w:r>
    </w:p>
    <w:p w14:paraId="5A08A96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center"/>
        <w:textAlignment w:val="auto"/>
        <w:rPr>
          <w:rFonts w:hint="default" w:ascii="Times New Roman" w:hAnsi="Times New Roman" w:eastAsia="Times New Roman" w:cs="Times New Roman"/>
          <w:color w:val="auto"/>
          <w:sz w:val="24"/>
          <w:szCs w:val="24"/>
          <w:highlight w:val="none"/>
        </w:rPr>
      </w:pPr>
      <w:r>
        <w:rPr>
          <w:rFonts w:hint="default" w:ascii="Times New Roman" w:hAnsi="Times New Roman" w:eastAsia="Times New Roman" w:cs="Times New Roman"/>
          <w:color w:val="auto"/>
          <w:sz w:val="24"/>
          <w:szCs w:val="24"/>
          <w:highlight w:val="none"/>
        </w:rPr>
        <w:t>A</w:t>
      </w:r>
      <w:r>
        <w:rPr>
          <w:rFonts w:hint="default" w:ascii="Times New Roman" w:hAnsi="Times New Roman" w:eastAsia="Times New Roman" w:cs="Times New Roman"/>
          <w:color w:val="auto"/>
          <w:sz w:val="24"/>
          <w:szCs w:val="24"/>
          <w:highlight w:val="none"/>
          <w:vertAlign w:val="subscript"/>
        </w:rPr>
        <w:t>div</w:t>
      </w:r>
      <w:r>
        <w:rPr>
          <w:rFonts w:hint="default" w:ascii="Times New Roman" w:hAnsi="Times New Roman" w:eastAsia="Times New Roman" w:cs="Times New Roman"/>
          <w:color w:val="auto"/>
          <w:sz w:val="24"/>
          <w:szCs w:val="24"/>
          <w:highlight w:val="none"/>
        </w:rPr>
        <w:t>=20lg（r/r</w:t>
      </w:r>
      <w:r>
        <w:rPr>
          <w:rFonts w:hint="default" w:ascii="Times New Roman" w:hAnsi="Times New Roman" w:eastAsia="Times New Roman" w:cs="Times New Roman"/>
          <w:color w:val="auto"/>
          <w:sz w:val="24"/>
          <w:szCs w:val="24"/>
          <w:highlight w:val="none"/>
          <w:vertAlign w:val="subscript"/>
        </w:rPr>
        <w:t>0</w:t>
      </w:r>
      <w:r>
        <w:rPr>
          <w:rFonts w:hint="default" w:ascii="Times New Roman" w:hAnsi="Times New Roman" w:eastAsia="Times New Roman" w:cs="Times New Roman"/>
          <w:color w:val="auto"/>
          <w:sz w:val="24"/>
          <w:szCs w:val="24"/>
          <w:highlight w:val="none"/>
        </w:rPr>
        <w:t>）</w:t>
      </w:r>
    </w:p>
    <w:p w14:paraId="0118BDC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式中：Lp（r）—预测点处声压级，dB；</w:t>
      </w:r>
    </w:p>
    <w:p w14:paraId="017575E9">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L</w:t>
      </w:r>
      <w:r>
        <w:rPr>
          <w:rFonts w:hint="default" w:ascii="Times New Roman" w:hAnsi="Times New Roman" w:eastAsia="宋体" w:cs="Times New Roman"/>
          <w:color w:val="auto"/>
          <w:sz w:val="24"/>
          <w:highlight w:val="none"/>
          <w:vertAlign w:val="subscript"/>
          <w:lang w:val="en-US" w:eastAsia="zh-CN" w:bidi="ar-SA"/>
        </w:rPr>
        <w:t>W</w:t>
      </w:r>
      <w:r>
        <w:rPr>
          <w:rFonts w:hint="default" w:ascii="Times New Roman" w:hAnsi="Times New Roman" w:eastAsia="宋体" w:cs="Times New Roman"/>
          <w:color w:val="auto"/>
          <w:sz w:val="24"/>
          <w:highlight w:val="none"/>
          <w:lang w:val="en-US" w:eastAsia="zh-CN" w:bidi="ar-SA"/>
        </w:rPr>
        <w:t>—由点声源产生的声功率级（A计权或倍频带），dB；</w:t>
      </w:r>
    </w:p>
    <w:p w14:paraId="634E11F6">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D</w:t>
      </w:r>
      <w:r>
        <w:rPr>
          <w:rFonts w:hint="default" w:ascii="Times New Roman" w:hAnsi="Times New Roman" w:eastAsia="宋体" w:cs="Times New Roman"/>
          <w:color w:val="auto"/>
          <w:sz w:val="24"/>
          <w:highlight w:val="none"/>
          <w:vertAlign w:val="subscript"/>
          <w:lang w:val="en-US" w:eastAsia="zh-CN" w:bidi="ar-SA"/>
        </w:rPr>
        <w:t>C</w:t>
      </w:r>
      <w:r>
        <w:rPr>
          <w:rFonts w:hint="default" w:ascii="Times New Roman" w:hAnsi="Times New Roman" w:eastAsia="宋体" w:cs="Times New Roman"/>
          <w:color w:val="auto"/>
          <w:sz w:val="24"/>
          <w:highlight w:val="none"/>
          <w:lang w:val="en-US" w:eastAsia="zh-CN" w:bidi="ar-SA"/>
        </w:rPr>
        <w:t>—指向性校正，它描述点声源的等效连续声压级与产生声功率级LW的全向点声源在规定方向的声级的偏差程度，dB；</w:t>
      </w:r>
    </w:p>
    <w:p w14:paraId="55E013C1">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A</w:t>
      </w:r>
      <w:r>
        <w:rPr>
          <w:rFonts w:hint="default" w:ascii="Times New Roman" w:hAnsi="Times New Roman" w:eastAsia="宋体" w:cs="Times New Roman"/>
          <w:color w:val="auto"/>
          <w:sz w:val="24"/>
          <w:highlight w:val="none"/>
          <w:vertAlign w:val="subscript"/>
          <w:lang w:val="en-US" w:eastAsia="zh-CN" w:bidi="ar-SA"/>
        </w:rPr>
        <w:t>div</w:t>
      </w:r>
      <w:r>
        <w:rPr>
          <w:rFonts w:hint="default" w:ascii="Times New Roman" w:hAnsi="Times New Roman" w:eastAsia="宋体" w:cs="Times New Roman"/>
          <w:color w:val="auto"/>
          <w:sz w:val="24"/>
          <w:highlight w:val="none"/>
          <w:lang w:val="en-US" w:eastAsia="zh-CN" w:bidi="ar-SA"/>
        </w:rPr>
        <w:t>—几何发散引起的衰减，dB；</w:t>
      </w:r>
    </w:p>
    <w:p w14:paraId="09C9B93E">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A</w:t>
      </w:r>
      <w:r>
        <w:rPr>
          <w:rFonts w:hint="default" w:ascii="Times New Roman" w:hAnsi="Times New Roman" w:eastAsia="宋体" w:cs="Times New Roman"/>
          <w:color w:val="auto"/>
          <w:sz w:val="24"/>
          <w:highlight w:val="none"/>
          <w:vertAlign w:val="subscript"/>
          <w:lang w:val="en-US" w:eastAsia="zh-CN" w:bidi="ar-SA"/>
        </w:rPr>
        <w:t>bar</w:t>
      </w:r>
      <w:r>
        <w:rPr>
          <w:rFonts w:hint="default" w:ascii="Times New Roman" w:hAnsi="Times New Roman" w:eastAsia="宋体" w:cs="Times New Roman"/>
          <w:color w:val="auto"/>
          <w:sz w:val="24"/>
          <w:highlight w:val="none"/>
          <w:lang w:val="en-US" w:eastAsia="zh-CN" w:bidi="ar-SA"/>
        </w:rPr>
        <w:t>—障碍物屏障引起的衰减，dB，本项目墙、门窗等维护结构按薄屏障考虑，衰减取20dB；</w:t>
      </w:r>
    </w:p>
    <w:p w14:paraId="45019FBD">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A</w:t>
      </w:r>
      <w:r>
        <w:rPr>
          <w:rFonts w:hint="default" w:ascii="Times New Roman" w:hAnsi="Times New Roman" w:eastAsia="宋体" w:cs="Times New Roman"/>
          <w:color w:val="auto"/>
          <w:sz w:val="24"/>
          <w:highlight w:val="none"/>
          <w:vertAlign w:val="subscript"/>
          <w:lang w:val="en-US" w:eastAsia="zh-CN" w:bidi="ar-SA"/>
        </w:rPr>
        <w:t>atm</w:t>
      </w:r>
      <w:r>
        <w:rPr>
          <w:rFonts w:hint="default" w:ascii="Times New Roman" w:hAnsi="Times New Roman" w:eastAsia="宋体" w:cs="Times New Roman"/>
          <w:color w:val="auto"/>
          <w:sz w:val="24"/>
          <w:highlight w:val="none"/>
          <w:lang w:val="en-US" w:eastAsia="zh-CN" w:bidi="ar-SA"/>
        </w:rPr>
        <w:t>—大气吸收引起的衰减，dB；</w:t>
      </w:r>
    </w:p>
    <w:p w14:paraId="1A37FE99">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A</w:t>
      </w:r>
      <w:r>
        <w:rPr>
          <w:rFonts w:hint="default" w:ascii="Times New Roman" w:hAnsi="Times New Roman" w:eastAsia="宋体" w:cs="Times New Roman"/>
          <w:color w:val="auto"/>
          <w:sz w:val="24"/>
          <w:highlight w:val="none"/>
          <w:vertAlign w:val="subscript"/>
          <w:lang w:val="en-US" w:eastAsia="zh-CN" w:bidi="ar-SA"/>
        </w:rPr>
        <w:t>gr</w:t>
      </w:r>
      <w:r>
        <w:rPr>
          <w:rFonts w:hint="default" w:ascii="Times New Roman" w:hAnsi="Times New Roman" w:eastAsia="宋体" w:cs="Times New Roman"/>
          <w:color w:val="auto"/>
          <w:sz w:val="24"/>
          <w:highlight w:val="none"/>
          <w:lang w:val="en-US" w:eastAsia="zh-CN" w:bidi="ar-SA"/>
        </w:rPr>
        <w:t>—地面效应引起的衰减，dB；</w:t>
      </w:r>
    </w:p>
    <w:p w14:paraId="6EA9AC9A">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A</w:t>
      </w:r>
      <w:r>
        <w:rPr>
          <w:rFonts w:hint="default" w:ascii="Times New Roman" w:hAnsi="Times New Roman" w:eastAsia="宋体" w:cs="Times New Roman"/>
          <w:color w:val="auto"/>
          <w:sz w:val="24"/>
          <w:highlight w:val="none"/>
          <w:vertAlign w:val="subscript"/>
          <w:lang w:val="en-US" w:eastAsia="zh-CN" w:bidi="ar-SA"/>
        </w:rPr>
        <w:t>exc</w:t>
      </w:r>
      <w:r>
        <w:rPr>
          <w:rFonts w:hint="default" w:ascii="Times New Roman" w:hAnsi="Times New Roman" w:eastAsia="宋体" w:cs="Times New Roman"/>
          <w:color w:val="auto"/>
          <w:sz w:val="24"/>
          <w:highlight w:val="none"/>
          <w:lang w:val="en-US" w:eastAsia="zh-CN" w:bidi="ar-SA"/>
        </w:rPr>
        <w:t>—其他多方面效应引起的衰减，dB；</w:t>
      </w:r>
    </w:p>
    <w:p w14:paraId="0B9AEACE">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r—预测点距声源的距离；</w:t>
      </w:r>
    </w:p>
    <w:p w14:paraId="0FD0534A">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r</w:t>
      </w:r>
      <w:r>
        <w:rPr>
          <w:rFonts w:hint="default" w:ascii="Times New Roman" w:hAnsi="Times New Roman" w:eastAsia="宋体" w:cs="Times New Roman"/>
          <w:color w:val="auto"/>
          <w:sz w:val="24"/>
          <w:highlight w:val="none"/>
          <w:vertAlign w:val="subscript"/>
          <w:lang w:val="en-US" w:eastAsia="zh-CN" w:bidi="ar-SA"/>
        </w:rPr>
        <w:t>0</w:t>
      </w:r>
      <w:r>
        <w:rPr>
          <w:rFonts w:hint="default" w:ascii="Times New Roman" w:hAnsi="Times New Roman" w:eastAsia="宋体" w:cs="Times New Roman"/>
          <w:color w:val="auto"/>
          <w:sz w:val="24"/>
          <w:highlight w:val="none"/>
          <w:lang w:val="en-US" w:eastAsia="zh-CN" w:bidi="ar-SA"/>
        </w:rPr>
        <w:t>—参考位置距声源的距离。</w:t>
      </w:r>
    </w:p>
    <w:p w14:paraId="7077993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根据本评价的实际情况，仅考虑几何发散和屏障。</w:t>
      </w:r>
    </w:p>
    <w:p w14:paraId="0172210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⑥计算等效室外声源在预测点产生的等效声级贡献值(Leqg)计算公式：</w:t>
      </w:r>
    </w:p>
    <w:p w14:paraId="4D5DDEBA">
      <w:pPr>
        <w:snapToGrid w:val="0"/>
        <w:spacing w:line="360" w:lineRule="auto"/>
        <w:ind w:firstLine="1320" w:firstLineChars="550"/>
        <w:jc w:val="center"/>
        <w:rPr>
          <w:rFonts w:hint="default" w:ascii="Times New Roman" w:hAnsi="Times New Roman" w:cs="Times New Roman"/>
          <w:color w:val="auto"/>
          <w:highlight w:val="none"/>
        </w:rPr>
      </w:pPr>
      <w:r>
        <w:rPr>
          <w:rFonts w:hint="default" w:ascii="Times New Roman" w:hAnsi="Times New Roman" w:cs="Times New Roman"/>
          <w:color w:val="auto"/>
          <w:position w:val="-34"/>
          <w:highlight w:val="none"/>
        </w:rPr>
        <w:object>
          <v:shape id="_x0000_i1028" o:spt="75" type="#_x0000_t75" style="height:41.35pt;width:204.75pt;" o:ole="t" filled="f" o:preferrelative="t" stroked="f" coordsize="21600,21600">
            <v:path/>
            <v:fill on="f" focussize="0,0"/>
            <v:stroke on="f" joinstyle="miter"/>
            <v:imagedata r:id="rId50" o:title=""/>
            <o:lock v:ext="edit" aspectratio="t"/>
            <w10:wrap type="none"/>
            <w10:anchorlock/>
          </v:shape>
          <o:OLEObject Type="Embed" ProgID="Equation.3" ShapeID="_x0000_i1028" DrawAspect="Content" ObjectID="_1468075728" r:id="rId49">
            <o:LockedField>false</o:LockedField>
          </o:OLEObject>
        </w:object>
      </w:r>
    </w:p>
    <w:p w14:paraId="2A78D925">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式中：L</w:t>
      </w:r>
      <w:r>
        <w:rPr>
          <w:rFonts w:hint="default" w:ascii="Times New Roman" w:hAnsi="Times New Roman" w:eastAsia="宋体" w:cs="Times New Roman"/>
          <w:color w:val="auto"/>
          <w:sz w:val="24"/>
          <w:highlight w:val="none"/>
          <w:vertAlign w:val="subscript"/>
          <w:lang w:val="en-US" w:eastAsia="zh-CN" w:bidi="ar-SA"/>
        </w:rPr>
        <w:t>eqg</w:t>
      </w:r>
      <w:r>
        <w:rPr>
          <w:rFonts w:hint="default" w:ascii="Times New Roman" w:hAnsi="Times New Roman" w:eastAsia="宋体" w:cs="Times New Roman"/>
          <w:color w:val="auto"/>
          <w:sz w:val="24"/>
          <w:highlight w:val="none"/>
          <w:lang w:val="en-US" w:eastAsia="zh-CN" w:bidi="ar-SA"/>
        </w:rPr>
        <w:t>—建设项目声源在预测点产生的噪声贡献值，dB(A)；</w:t>
      </w:r>
    </w:p>
    <w:p w14:paraId="7C55B34D">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T—用于计算等效声级的时间，s；</w:t>
      </w:r>
    </w:p>
    <w:p w14:paraId="008ACD4D">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t</w:t>
      </w:r>
      <w:r>
        <w:rPr>
          <w:rFonts w:hint="default" w:ascii="Times New Roman" w:hAnsi="Times New Roman" w:eastAsia="宋体" w:cs="Times New Roman"/>
          <w:color w:val="auto"/>
          <w:sz w:val="24"/>
          <w:highlight w:val="none"/>
          <w:vertAlign w:val="subscript"/>
          <w:lang w:val="en-US" w:eastAsia="zh-CN" w:bidi="ar-SA"/>
        </w:rPr>
        <w:t>i</w:t>
      </w:r>
      <w:r>
        <w:rPr>
          <w:rFonts w:hint="default" w:ascii="Times New Roman" w:hAnsi="Times New Roman" w:eastAsia="宋体" w:cs="Times New Roman"/>
          <w:color w:val="auto"/>
          <w:sz w:val="24"/>
          <w:highlight w:val="none"/>
          <w:lang w:val="en-US" w:eastAsia="zh-CN" w:bidi="ar-SA"/>
        </w:rPr>
        <w:t>—在T时间内i声源工作时间，s；</w:t>
      </w:r>
    </w:p>
    <w:p w14:paraId="1EF53826">
      <w:pPr>
        <w:keepNext w:val="0"/>
        <w:keepLines w:val="0"/>
        <w:pageBreakBefore w:val="0"/>
        <w:widowControl w:val="0"/>
        <w:kinsoku/>
        <w:wordWrap/>
        <w:overflowPunct/>
        <w:topLinePunct w:val="0"/>
        <w:autoSpaceDE/>
        <w:autoSpaceDN/>
        <w:bidi w:val="0"/>
        <w:adjustRightInd/>
        <w:snapToGrid/>
        <w:spacing w:line="500" w:lineRule="exact"/>
        <w:ind w:firstLine="1200" w:firstLineChars="500"/>
        <w:jc w:val="both"/>
        <w:textAlignment w:val="auto"/>
        <w:rPr>
          <w:rFonts w:hint="default" w:ascii="Times New Roman" w:hAnsi="Times New Roman" w:eastAsia="宋体" w:cs="Times New Roman"/>
          <w:color w:val="auto"/>
          <w:sz w:val="24"/>
          <w:highlight w:val="none"/>
          <w:lang w:val="en-US" w:eastAsia="zh-CN" w:bidi="ar-SA"/>
        </w:rPr>
      </w:pPr>
      <w:r>
        <w:rPr>
          <w:rFonts w:hint="default" w:ascii="Times New Roman" w:hAnsi="Times New Roman" w:eastAsia="宋体" w:cs="Times New Roman"/>
          <w:color w:val="auto"/>
          <w:sz w:val="24"/>
          <w:highlight w:val="none"/>
          <w:lang w:val="en-US" w:eastAsia="zh-CN" w:bidi="ar-SA"/>
        </w:rPr>
        <w:t>t</w:t>
      </w:r>
      <w:r>
        <w:rPr>
          <w:rFonts w:hint="default" w:ascii="Times New Roman" w:hAnsi="Times New Roman" w:eastAsia="宋体" w:cs="Times New Roman"/>
          <w:color w:val="auto"/>
          <w:sz w:val="24"/>
          <w:highlight w:val="none"/>
          <w:vertAlign w:val="subscript"/>
          <w:lang w:val="en-US" w:eastAsia="zh-CN" w:bidi="ar-SA"/>
        </w:rPr>
        <w:t>j</w:t>
      </w:r>
      <w:r>
        <w:rPr>
          <w:rFonts w:hint="default" w:ascii="Times New Roman" w:hAnsi="Times New Roman" w:eastAsia="宋体" w:cs="Times New Roman"/>
          <w:color w:val="auto"/>
          <w:sz w:val="24"/>
          <w:highlight w:val="none"/>
          <w:lang w:val="en-US" w:eastAsia="zh-CN" w:bidi="ar-SA"/>
        </w:rPr>
        <w:t>—在T时间内j声源工作时间，s；</w:t>
      </w:r>
    </w:p>
    <w:p w14:paraId="28C938BE">
      <w:pPr>
        <w:bidi w:val="0"/>
        <w:ind w:firstLine="1200" w:firstLineChars="500"/>
        <w:rPr>
          <w:rFonts w:hint="default"/>
          <w:highlight w:val="none"/>
          <w:lang w:val="en-US" w:eastAsia="zh-CN"/>
        </w:rPr>
      </w:pPr>
      <w:r>
        <w:rPr>
          <w:rFonts w:hint="default"/>
          <w:highlight w:val="none"/>
          <w:lang w:val="en-US" w:eastAsia="zh-CN"/>
        </w:rPr>
        <w:t>M—等效室外声源个数。</w:t>
      </w:r>
    </w:p>
    <w:p w14:paraId="3F02D98F">
      <w:pPr>
        <w:pStyle w:val="5"/>
        <w:bidi w:val="0"/>
        <w:ind w:left="0" w:leftChars="0" w:firstLine="0" w:firstLineChars="0"/>
        <w:rPr>
          <w:rFonts w:hint="eastAsia" w:ascii="Times New Roman" w:hAnsi="Times New Roman" w:cs="Times New Roman"/>
          <w:sz w:val="30"/>
          <w:szCs w:val="30"/>
          <w:highlight w:val="none"/>
          <w:lang w:val="en-US" w:eastAsia="zh-CN"/>
        </w:rPr>
      </w:pPr>
      <w:bookmarkStart w:id="141" w:name="_Toc17734"/>
      <w:r>
        <w:rPr>
          <w:rFonts w:hint="eastAsia" w:ascii="Times New Roman" w:hAnsi="Times New Roman" w:eastAsia="宋体" w:cs="Times New Roman"/>
          <w:sz w:val="30"/>
          <w:szCs w:val="30"/>
          <w:highlight w:val="none"/>
          <w:lang w:val="en-US" w:eastAsia="zh-CN"/>
        </w:rPr>
        <w:t>5.4.5预测</w:t>
      </w:r>
      <w:r>
        <w:rPr>
          <w:rFonts w:hint="eastAsia" w:ascii="Times New Roman" w:hAnsi="Times New Roman" w:cs="Times New Roman"/>
          <w:sz w:val="30"/>
          <w:szCs w:val="30"/>
          <w:highlight w:val="none"/>
          <w:lang w:val="en-US" w:eastAsia="zh-CN"/>
        </w:rPr>
        <w:t>结果及分析</w:t>
      </w:r>
      <w:bookmarkEnd w:id="141"/>
    </w:p>
    <w:p w14:paraId="0E015460">
      <w:pPr>
        <w:ind w:firstLine="480"/>
        <w:rPr>
          <w:rFonts w:ascii="Times New Roman" w:hAnsi="Times New Roman"/>
          <w:highlight w:val="none"/>
        </w:rPr>
      </w:pPr>
      <w:r>
        <w:rPr>
          <w:rFonts w:ascii="Times New Roman" w:hAnsi="Times New Roman"/>
          <w:highlight w:val="none"/>
        </w:rPr>
        <w:t>噪声预测采用网格布点法，建立直角坐标系，以10m×10m间距为步长，厂界噪声预测结果及环境敏感目标预测结果分别见表5.</w:t>
      </w:r>
      <w:r>
        <w:rPr>
          <w:rFonts w:hint="eastAsia" w:ascii="Times New Roman" w:hAnsi="Times New Roman"/>
          <w:highlight w:val="none"/>
        </w:rPr>
        <w:t>4</w:t>
      </w:r>
      <w:r>
        <w:rPr>
          <w:rFonts w:ascii="Times New Roman" w:hAnsi="Times New Roman"/>
          <w:highlight w:val="none"/>
        </w:rPr>
        <w:t>-</w:t>
      </w:r>
      <w:r>
        <w:rPr>
          <w:rFonts w:hint="eastAsia" w:ascii="Times New Roman" w:hAnsi="Times New Roman"/>
          <w:highlight w:val="none"/>
          <w:lang w:val="en-US" w:eastAsia="zh-CN"/>
        </w:rPr>
        <w:t>3</w:t>
      </w:r>
      <w:r>
        <w:rPr>
          <w:rFonts w:ascii="Times New Roman" w:hAnsi="Times New Roman"/>
          <w:highlight w:val="none"/>
        </w:rPr>
        <w:t>。</w:t>
      </w:r>
    </w:p>
    <w:p w14:paraId="701DB111">
      <w:pPr>
        <w:ind w:firstLine="0" w:firstLineChars="0"/>
        <w:jc w:val="center"/>
        <w:rPr>
          <w:rFonts w:ascii="Times New Roman" w:hAnsi="Times New Roman"/>
          <w:highlight w:val="none"/>
        </w:rPr>
      </w:pPr>
    </w:p>
    <w:p w14:paraId="507C7F4E">
      <w:pPr>
        <w:ind w:firstLine="0" w:firstLineChars="0"/>
        <w:jc w:val="center"/>
        <w:rPr>
          <w:rFonts w:ascii="Times New Roman" w:hAnsi="Times New Roman"/>
          <w:highlight w:val="none"/>
        </w:rPr>
      </w:pPr>
    </w:p>
    <w:p w14:paraId="7BCB41AE">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w:t>
      </w:r>
      <w:r>
        <w:rPr>
          <w:rFonts w:hint="eastAsia" w:ascii="Times New Roman" w:hAnsi="Times New Roman"/>
          <w:highlight w:val="none"/>
        </w:rPr>
        <w:t>4</w:t>
      </w:r>
      <w:r>
        <w:rPr>
          <w:rFonts w:ascii="Times New Roman" w:hAnsi="Times New Roman"/>
          <w:highlight w:val="none"/>
        </w:rPr>
        <w:t>-</w:t>
      </w:r>
      <w:r>
        <w:rPr>
          <w:rFonts w:hint="eastAsia" w:ascii="Times New Roman" w:hAnsi="Times New Roman"/>
          <w:highlight w:val="none"/>
          <w:lang w:val="en-US" w:eastAsia="zh-CN"/>
        </w:rPr>
        <w:t>3</w:t>
      </w:r>
      <w:r>
        <w:rPr>
          <w:rFonts w:hint="eastAsia" w:ascii="黑体" w:hAnsi="黑体" w:eastAsia="黑体" w:cs="黑体"/>
          <w:highlight w:val="none"/>
        </w:rPr>
        <w:t>噪声贡献值一览表 单位</w:t>
      </w:r>
      <w:r>
        <w:rPr>
          <w:rFonts w:ascii="Times New Roman" w:hAnsi="Times New Roman"/>
          <w:highlight w:val="none"/>
        </w:rPr>
        <w:t>：dB（A）</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526"/>
        <w:gridCol w:w="709"/>
        <w:gridCol w:w="850"/>
        <w:gridCol w:w="851"/>
        <w:gridCol w:w="850"/>
        <w:gridCol w:w="851"/>
        <w:gridCol w:w="708"/>
        <w:gridCol w:w="2177"/>
      </w:tblGrid>
      <w:tr w14:paraId="2370E49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32" w:hRule="atLeast"/>
          <w:jc w:val="center"/>
        </w:trPr>
        <w:tc>
          <w:tcPr>
            <w:tcW w:w="1526" w:type="dxa"/>
            <w:vMerge w:val="restart"/>
            <w:noWrap w:val="0"/>
            <w:vAlign w:val="center"/>
          </w:tcPr>
          <w:p w14:paraId="4CE56FC6">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厂界</w:t>
            </w:r>
          </w:p>
        </w:tc>
        <w:tc>
          <w:tcPr>
            <w:tcW w:w="1559" w:type="dxa"/>
            <w:gridSpan w:val="2"/>
            <w:noWrap w:val="0"/>
            <w:vAlign w:val="center"/>
          </w:tcPr>
          <w:p w14:paraId="2284814E">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贡献值</w:t>
            </w:r>
          </w:p>
        </w:tc>
        <w:tc>
          <w:tcPr>
            <w:tcW w:w="1701" w:type="dxa"/>
            <w:gridSpan w:val="2"/>
            <w:noWrap w:val="0"/>
            <w:vAlign w:val="center"/>
          </w:tcPr>
          <w:p w14:paraId="7D7514ED">
            <w:pPr>
              <w:spacing w:line="240" w:lineRule="auto"/>
              <w:ind w:firstLine="0" w:firstLineChars="0"/>
              <w:jc w:val="center"/>
              <w:rPr>
                <w:rFonts w:hint="eastAsia" w:ascii="Times New Roman" w:hAnsi="Times New Roman"/>
                <w:bCs/>
                <w:sz w:val="21"/>
                <w:highlight w:val="none"/>
              </w:rPr>
            </w:pPr>
            <w:r>
              <w:rPr>
                <w:rFonts w:hint="eastAsia" w:ascii="Times New Roman" w:hAnsi="Times New Roman"/>
                <w:bCs/>
                <w:sz w:val="21"/>
                <w:highlight w:val="none"/>
              </w:rPr>
              <w:t>背景值</w:t>
            </w:r>
          </w:p>
        </w:tc>
        <w:tc>
          <w:tcPr>
            <w:tcW w:w="1559" w:type="dxa"/>
            <w:gridSpan w:val="2"/>
            <w:noWrap w:val="0"/>
            <w:vAlign w:val="center"/>
          </w:tcPr>
          <w:p w14:paraId="2E9D3ECB">
            <w:pPr>
              <w:spacing w:line="240" w:lineRule="auto"/>
              <w:ind w:firstLine="0" w:firstLineChars="0"/>
              <w:jc w:val="center"/>
              <w:rPr>
                <w:rFonts w:ascii="Times New Roman" w:hAnsi="Times New Roman"/>
                <w:bCs/>
                <w:sz w:val="21"/>
                <w:highlight w:val="none"/>
              </w:rPr>
            </w:pPr>
            <w:r>
              <w:rPr>
                <w:rFonts w:hint="eastAsia" w:ascii="Times New Roman" w:hAnsi="Times New Roman"/>
                <w:bCs/>
                <w:sz w:val="21"/>
                <w:highlight w:val="none"/>
                <w:lang w:val="en-US" w:eastAsia="zh-CN"/>
              </w:rPr>
              <w:t>标准</w:t>
            </w:r>
            <w:r>
              <w:rPr>
                <w:rFonts w:hint="eastAsia" w:ascii="Times New Roman" w:hAnsi="Times New Roman"/>
                <w:bCs/>
                <w:sz w:val="21"/>
                <w:highlight w:val="none"/>
              </w:rPr>
              <w:t>值</w:t>
            </w:r>
          </w:p>
        </w:tc>
        <w:tc>
          <w:tcPr>
            <w:tcW w:w="2177" w:type="dxa"/>
            <w:tcBorders>
              <w:bottom w:val="single" w:color="auto" w:sz="4" w:space="0"/>
            </w:tcBorders>
            <w:noWrap w:val="0"/>
            <w:vAlign w:val="center"/>
          </w:tcPr>
          <w:p w14:paraId="2389885A">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执行标准</w:t>
            </w:r>
          </w:p>
        </w:tc>
      </w:tr>
      <w:tr w14:paraId="61C6E73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33" w:hRule="atLeast"/>
          <w:jc w:val="center"/>
        </w:trPr>
        <w:tc>
          <w:tcPr>
            <w:tcW w:w="1526" w:type="dxa"/>
            <w:vMerge w:val="continue"/>
            <w:noWrap w:val="0"/>
            <w:vAlign w:val="center"/>
          </w:tcPr>
          <w:p w14:paraId="208BEEA1">
            <w:pPr>
              <w:spacing w:line="240" w:lineRule="auto"/>
              <w:ind w:firstLine="0" w:firstLineChars="0"/>
              <w:jc w:val="center"/>
              <w:rPr>
                <w:rFonts w:ascii="Times New Roman" w:hAnsi="Times New Roman"/>
                <w:bCs/>
                <w:sz w:val="21"/>
                <w:highlight w:val="none"/>
              </w:rPr>
            </w:pPr>
          </w:p>
        </w:tc>
        <w:tc>
          <w:tcPr>
            <w:tcW w:w="709" w:type="dxa"/>
            <w:noWrap w:val="0"/>
            <w:vAlign w:val="center"/>
          </w:tcPr>
          <w:p w14:paraId="24E213C5">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昼间</w:t>
            </w:r>
          </w:p>
        </w:tc>
        <w:tc>
          <w:tcPr>
            <w:tcW w:w="850" w:type="dxa"/>
            <w:noWrap w:val="0"/>
            <w:vAlign w:val="center"/>
          </w:tcPr>
          <w:p w14:paraId="3752A5C7">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夜间</w:t>
            </w:r>
          </w:p>
        </w:tc>
        <w:tc>
          <w:tcPr>
            <w:tcW w:w="851" w:type="dxa"/>
            <w:noWrap w:val="0"/>
            <w:vAlign w:val="center"/>
          </w:tcPr>
          <w:p w14:paraId="32027CB3">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昼间</w:t>
            </w:r>
          </w:p>
        </w:tc>
        <w:tc>
          <w:tcPr>
            <w:tcW w:w="850" w:type="dxa"/>
            <w:noWrap w:val="0"/>
            <w:vAlign w:val="center"/>
          </w:tcPr>
          <w:p w14:paraId="7EC6111B">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夜间</w:t>
            </w:r>
          </w:p>
        </w:tc>
        <w:tc>
          <w:tcPr>
            <w:tcW w:w="851" w:type="dxa"/>
            <w:noWrap w:val="0"/>
            <w:vAlign w:val="center"/>
          </w:tcPr>
          <w:p w14:paraId="3A8CF5DC">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昼间</w:t>
            </w:r>
          </w:p>
        </w:tc>
        <w:tc>
          <w:tcPr>
            <w:tcW w:w="708" w:type="dxa"/>
            <w:noWrap w:val="0"/>
            <w:vAlign w:val="center"/>
          </w:tcPr>
          <w:p w14:paraId="4B73417B">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夜间</w:t>
            </w:r>
          </w:p>
        </w:tc>
        <w:tc>
          <w:tcPr>
            <w:tcW w:w="2177" w:type="dxa"/>
            <w:vMerge w:val="restart"/>
            <w:tcBorders>
              <w:top w:val="single" w:color="auto" w:sz="4" w:space="0"/>
            </w:tcBorders>
            <w:noWrap w:val="0"/>
            <w:vAlign w:val="center"/>
          </w:tcPr>
          <w:p w14:paraId="2868B64E">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《工业企业厂界环境噪声排放标准》（GB12348-2008）中</w:t>
            </w:r>
            <w:r>
              <w:rPr>
                <w:rFonts w:hint="eastAsia" w:ascii="Times New Roman" w:hAnsi="Times New Roman"/>
                <w:bCs/>
                <w:sz w:val="21"/>
                <w:highlight w:val="none"/>
                <w:lang w:val="en-US" w:eastAsia="zh-CN"/>
              </w:rPr>
              <w:t>4</w:t>
            </w:r>
            <w:r>
              <w:rPr>
                <w:rFonts w:ascii="Times New Roman" w:hAnsi="Times New Roman"/>
                <w:bCs/>
                <w:sz w:val="21"/>
                <w:highlight w:val="none"/>
              </w:rPr>
              <w:t>类标准</w:t>
            </w:r>
          </w:p>
        </w:tc>
      </w:tr>
      <w:tr w14:paraId="5A68968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2" w:hRule="atLeast"/>
          <w:jc w:val="center"/>
        </w:trPr>
        <w:tc>
          <w:tcPr>
            <w:tcW w:w="1526" w:type="dxa"/>
            <w:noWrap w:val="0"/>
            <w:vAlign w:val="center"/>
          </w:tcPr>
          <w:p w14:paraId="64E10755">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东厂界</w:t>
            </w:r>
          </w:p>
        </w:tc>
        <w:tc>
          <w:tcPr>
            <w:tcW w:w="709" w:type="dxa"/>
            <w:noWrap w:val="0"/>
            <w:vAlign w:val="center"/>
          </w:tcPr>
          <w:p w14:paraId="6436CFC6">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52.68</w:t>
            </w:r>
          </w:p>
        </w:tc>
        <w:tc>
          <w:tcPr>
            <w:tcW w:w="850" w:type="dxa"/>
            <w:noWrap w:val="0"/>
            <w:vAlign w:val="center"/>
          </w:tcPr>
          <w:p w14:paraId="2F08D724">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52.68</w:t>
            </w:r>
          </w:p>
        </w:tc>
        <w:tc>
          <w:tcPr>
            <w:tcW w:w="851" w:type="dxa"/>
            <w:noWrap w:val="0"/>
            <w:vAlign w:val="center"/>
          </w:tcPr>
          <w:p w14:paraId="607C26A3">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66</w:t>
            </w:r>
          </w:p>
        </w:tc>
        <w:tc>
          <w:tcPr>
            <w:tcW w:w="850" w:type="dxa"/>
            <w:noWrap w:val="0"/>
            <w:vAlign w:val="center"/>
          </w:tcPr>
          <w:p w14:paraId="5BA300A2">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52</w:t>
            </w:r>
          </w:p>
        </w:tc>
        <w:tc>
          <w:tcPr>
            <w:tcW w:w="851" w:type="dxa"/>
            <w:noWrap w:val="0"/>
            <w:vAlign w:val="center"/>
          </w:tcPr>
          <w:p w14:paraId="4CEF4663">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70</w:t>
            </w:r>
          </w:p>
        </w:tc>
        <w:tc>
          <w:tcPr>
            <w:tcW w:w="708" w:type="dxa"/>
            <w:noWrap w:val="0"/>
            <w:vAlign w:val="center"/>
          </w:tcPr>
          <w:p w14:paraId="119F5D21">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55</w:t>
            </w:r>
          </w:p>
        </w:tc>
        <w:tc>
          <w:tcPr>
            <w:tcW w:w="2177" w:type="dxa"/>
            <w:vMerge w:val="continue"/>
            <w:noWrap w:val="0"/>
            <w:vAlign w:val="center"/>
          </w:tcPr>
          <w:p w14:paraId="2568F568">
            <w:pPr>
              <w:pStyle w:val="8"/>
              <w:spacing w:after="0" w:line="240" w:lineRule="auto"/>
              <w:ind w:left="0" w:leftChars="0" w:firstLine="0" w:firstLineChars="0"/>
              <w:jc w:val="center"/>
              <w:rPr>
                <w:rFonts w:ascii="Times New Roman" w:hAnsi="Times New Roman"/>
                <w:bCs/>
                <w:sz w:val="21"/>
                <w:highlight w:val="none"/>
              </w:rPr>
            </w:pPr>
          </w:p>
        </w:tc>
      </w:tr>
      <w:tr w14:paraId="57CB6A8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2" w:hRule="atLeast"/>
          <w:jc w:val="center"/>
        </w:trPr>
        <w:tc>
          <w:tcPr>
            <w:tcW w:w="1526" w:type="dxa"/>
            <w:noWrap w:val="0"/>
            <w:vAlign w:val="center"/>
          </w:tcPr>
          <w:p w14:paraId="065FFB1D">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南厂界</w:t>
            </w:r>
          </w:p>
        </w:tc>
        <w:tc>
          <w:tcPr>
            <w:tcW w:w="709" w:type="dxa"/>
            <w:noWrap w:val="0"/>
            <w:vAlign w:val="center"/>
          </w:tcPr>
          <w:p w14:paraId="51BC2DB9">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50.95</w:t>
            </w:r>
          </w:p>
        </w:tc>
        <w:tc>
          <w:tcPr>
            <w:tcW w:w="850" w:type="dxa"/>
            <w:noWrap w:val="0"/>
            <w:vAlign w:val="center"/>
          </w:tcPr>
          <w:p w14:paraId="568F6C6F">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50.95</w:t>
            </w:r>
          </w:p>
        </w:tc>
        <w:tc>
          <w:tcPr>
            <w:tcW w:w="851" w:type="dxa"/>
            <w:noWrap w:val="0"/>
            <w:vAlign w:val="center"/>
          </w:tcPr>
          <w:p w14:paraId="756C0C1A">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68</w:t>
            </w:r>
          </w:p>
        </w:tc>
        <w:tc>
          <w:tcPr>
            <w:tcW w:w="850" w:type="dxa"/>
            <w:noWrap w:val="0"/>
            <w:vAlign w:val="center"/>
          </w:tcPr>
          <w:p w14:paraId="183D765E">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53</w:t>
            </w:r>
          </w:p>
        </w:tc>
        <w:tc>
          <w:tcPr>
            <w:tcW w:w="851" w:type="dxa"/>
            <w:noWrap w:val="0"/>
            <w:vAlign w:val="center"/>
          </w:tcPr>
          <w:p w14:paraId="37076893">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70</w:t>
            </w:r>
          </w:p>
        </w:tc>
        <w:tc>
          <w:tcPr>
            <w:tcW w:w="708" w:type="dxa"/>
            <w:tcBorders>
              <w:bottom w:val="single" w:color="auto" w:sz="4" w:space="0"/>
            </w:tcBorders>
            <w:noWrap w:val="0"/>
            <w:vAlign w:val="center"/>
          </w:tcPr>
          <w:p w14:paraId="515089DA">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55</w:t>
            </w:r>
          </w:p>
        </w:tc>
        <w:tc>
          <w:tcPr>
            <w:tcW w:w="2177" w:type="dxa"/>
            <w:vMerge w:val="continue"/>
            <w:tcBorders>
              <w:bottom w:val="single" w:color="auto" w:sz="4" w:space="0"/>
            </w:tcBorders>
            <w:noWrap w:val="0"/>
            <w:vAlign w:val="center"/>
          </w:tcPr>
          <w:p w14:paraId="34688C70">
            <w:pPr>
              <w:pStyle w:val="8"/>
              <w:spacing w:after="0" w:line="240" w:lineRule="auto"/>
              <w:ind w:left="0" w:leftChars="0" w:firstLine="0" w:firstLineChars="0"/>
              <w:jc w:val="center"/>
              <w:rPr>
                <w:rFonts w:ascii="Times New Roman" w:hAnsi="Times New Roman"/>
                <w:bCs/>
                <w:sz w:val="21"/>
                <w:highlight w:val="none"/>
              </w:rPr>
            </w:pPr>
          </w:p>
        </w:tc>
      </w:tr>
      <w:tr w14:paraId="36D88D1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63844FE5">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西厂界</w:t>
            </w:r>
          </w:p>
        </w:tc>
        <w:tc>
          <w:tcPr>
            <w:tcW w:w="709" w:type="dxa"/>
            <w:noWrap w:val="0"/>
            <w:vAlign w:val="center"/>
          </w:tcPr>
          <w:p w14:paraId="6FAC5748">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47.77</w:t>
            </w:r>
          </w:p>
        </w:tc>
        <w:tc>
          <w:tcPr>
            <w:tcW w:w="850" w:type="dxa"/>
            <w:noWrap w:val="0"/>
            <w:vAlign w:val="center"/>
          </w:tcPr>
          <w:p w14:paraId="072D3110">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47.77</w:t>
            </w:r>
          </w:p>
        </w:tc>
        <w:tc>
          <w:tcPr>
            <w:tcW w:w="851" w:type="dxa"/>
            <w:noWrap w:val="0"/>
            <w:vAlign w:val="center"/>
          </w:tcPr>
          <w:p w14:paraId="23DCC2E2">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55</w:t>
            </w:r>
          </w:p>
        </w:tc>
        <w:tc>
          <w:tcPr>
            <w:tcW w:w="850" w:type="dxa"/>
            <w:noWrap w:val="0"/>
            <w:vAlign w:val="center"/>
          </w:tcPr>
          <w:p w14:paraId="19968602">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45</w:t>
            </w:r>
          </w:p>
        </w:tc>
        <w:tc>
          <w:tcPr>
            <w:tcW w:w="851" w:type="dxa"/>
            <w:noWrap w:val="0"/>
            <w:vAlign w:val="center"/>
          </w:tcPr>
          <w:p w14:paraId="74634527">
            <w:pPr>
              <w:pStyle w:val="8"/>
              <w:spacing w:after="0" w:line="240" w:lineRule="auto"/>
              <w:ind w:left="0" w:leftChars="0"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eastAsia="zh-CN"/>
              </w:rPr>
              <w:t>6</w:t>
            </w:r>
            <w:r>
              <w:rPr>
                <w:rFonts w:hint="eastAsia" w:ascii="Times New Roman" w:hAnsi="Times New Roman"/>
                <w:bCs/>
                <w:sz w:val="21"/>
                <w:highlight w:val="none"/>
                <w:lang w:val="en-US" w:eastAsia="zh-CN"/>
              </w:rPr>
              <w:t>0</w:t>
            </w:r>
          </w:p>
        </w:tc>
        <w:tc>
          <w:tcPr>
            <w:tcW w:w="708" w:type="dxa"/>
            <w:tcBorders>
              <w:top w:val="single" w:color="auto" w:sz="4" w:space="0"/>
            </w:tcBorders>
            <w:noWrap w:val="0"/>
            <w:vAlign w:val="center"/>
          </w:tcPr>
          <w:p w14:paraId="7CCF6D50">
            <w:pPr>
              <w:pStyle w:val="8"/>
              <w:spacing w:after="0" w:line="240" w:lineRule="auto"/>
              <w:ind w:left="0" w:leftChars="0" w:firstLine="0" w:firstLineChars="0"/>
              <w:jc w:val="center"/>
              <w:rPr>
                <w:rFonts w:ascii="Times New Roman" w:hAnsi="Times New Roman"/>
                <w:bCs/>
                <w:sz w:val="21"/>
                <w:highlight w:val="none"/>
              </w:rPr>
            </w:pPr>
            <w:r>
              <w:rPr>
                <w:rFonts w:hint="eastAsia" w:ascii="Times New Roman" w:hAnsi="Times New Roman"/>
                <w:bCs/>
                <w:sz w:val="21"/>
                <w:highlight w:val="none"/>
                <w:lang w:val="en-US" w:eastAsia="zh-CN"/>
              </w:rPr>
              <w:t>50</w:t>
            </w:r>
          </w:p>
        </w:tc>
        <w:tc>
          <w:tcPr>
            <w:tcW w:w="2177" w:type="dxa"/>
            <w:vMerge w:val="restart"/>
            <w:tcBorders>
              <w:top w:val="single" w:color="auto" w:sz="4" w:space="0"/>
            </w:tcBorders>
            <w:noWrap w:val="0"/>
            <w:vAlign w:val="center"/>
          </w:tcPr>
          <w:p w14:paraId="082A07E5">
            <w:pPr>
              <w:pStyle w:val="8"/>
              <w:spacing w:after="0" w:line="240" w:lineRule="auto"/>
              <w:ind w:left="0" w:leftChars="0" w:firstLine="0" w:firstLineChars="0"/>
              <w:jc w:val="center"/>
              <w:rPr>
                <w:rFonts w:ascii="Times New Roman" w:hAnsi="Times New Roman"/>
                <w:bCs/>
                <w:sz w:val="21"/>
                <w:highlight w:val="none"/>
              </w:rPr>
            </w:pPr>
            <w:r>
              <w:rPr>
                <w:rFonts w:ascii="Times New Roman" w:hAnsi="Times New Roman"/>
                <w:bCs/>
                <w:sz w:val="21"/>
                <w:highlight w:val="none"/>
              </w:rPr>
              <w:t>《工业企业厂界环境噪声排放标准》（GB12348-2008）中</w:t>
            </w:r>
            <w:r>
              <w:rPr>
                <w:rFonts w:hint="eastAsia" w:ascii="Times New Roman" w:hAnsi="Times New Roman"/>
                <w:bCs/>
                <w:sz w:val="21"/>
                <w:highlight w:val="none"/>
                <w:lang w:val="en-US" w:eastAsia="zh-CN"/>
              </w:rPr>
              <w:t>2</w:t>
            </w:r>
            <w:r>
              <w:rPr>
                <w:rFonts w:ascii="Times New Roman" w:hAnsi="Times New Roman"/>
                <w:bCs/>
                <w:sz w:val="21"/>
                <w:highlight w:val="none"/>
              </w:rPr>
              <w:t>类标准</w:t>
            </w:r>
          </w:p>
        </w:tc>
      </w:tr>
      <w:tr w14:paraId="3FA5E83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1651A051">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北厂界</w:t>
            </w:r>
          </w:p>
        </w:tc>
        <w:tc>
          <w:tcPr>
            <w:tcW w:w="709" w:type="dxa"/>
            <w:noWrap w:val="0"/>
            <w:vAlign w:val="center"/>
          </w:tcPr>
          <w:p w14:paraId="77F76D4E">
            <w:pPr>
              <w:pStyle w:val="8"/>
              <w:spacing w:after="0" w:line="240" w:lineRule="auto"/>
              <w:ind w:left="0" w:leftChars="0" w:firstLine="0" w:firstLineChars="0"/>
              <w:jc w:val="center"/>
              <w:rPr>
                <w:rFonts w:hint="default" w:ascii="Times New Roman" w:hAnsi="Times New Roman"/>
                <w:bCs/>
                <w:sz w:val="21"/>
                <w:highlight w:val="none"/>
                <w:lang w:val="en-US" w:eastAsia="zh-CN"/>
              </w:rPr>
            </w:pPr>
            <w:r>
              <w:rPr>
                <w:rFonts w:hint="eastAsia" w:ascii="Times New Roman" w:hAnsi="Times New Roman"/>
                <w:bCs/>
                <w:sz w:val="21"/>
                <w:highlight w:val="none"/>
                <w:lang w:val="en-US" w:eastAsia="zh-CN"/>
              </w:rPr>
              <w:t>35.47</w:t>
            </w:r>
          </w:p>
        </w:tc>
        <w:tc>
          <w:tcPr>
            <w:tcW w:w="850" w:type="dxa"/>
            <w:noWrap w:val="0"/>
            <w:vAlign w:val="center"/>
          </w:tcPr>
          <w:p w14:paraId="51710BF3">
            <w:pPr>
              <w:pStyle w:val="8"/>
              <w:spacing w:after="0" w:line="240" w:lineRule="auto"/>
              <w:ind w:left="0" w:leftChars="0" w:firstLine="0" w:firstLineChars="0"/>
              <w:jc w:val="center"/>
              <w:rPr>
                <w:rFonts w:hint="default" w:ascii="Times New Roman" w:hAnsi="Times New Roman"/>
                <w:bCs/>
                <w:sz w:val="21"/>
                <w:highlight w:val="none"/>
                <w:lang w:val="en-US" w:eastAsia="zh-CN"/>
              </w:rPr>
            </w:pPr>
            <w:r>
              <w:rPr>
                <w:rFonts w:hint="eastAsia" w:ascii="Times New Roman" w:hAnsi="Times New Roman"/>
                <w:bCs/>
                <w:sz w:val="21"/>
                <w:highlight w:val="none"/>
                <w:lang w:val="en-US" w:eastAsia="zh-CN"/>
              </w:rPr>
              <w:t>35.47</w:t>
            </w:r>
          </w:p>
        </w:tc>
        <w:tc>
          <w:tcPr>
            <w:tcW w:w="851" w:type="dxa"/>
            <w:noWrap w:val="0"/>
            <w:vAlign w:val="center"/>
          </w:tcPr>
          <w:p w14:paraId="382ACE7C">
            <w:pPr>
              <w:spacing w:line="240" w:lineRule="auto"/>
              <w:ind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56</w:t>
            </w:r>
          </w:p>
        </w:tc>
        <w:tc>
          <w:tcPr>
            <w:tcW w:w="850" w:type="dxa"/>
            <w:noWrap w:val="0"/>
            <w:vAlign w:val="center"/>
          </w:tcPr>
          <w:p w14:paraId="75D62A1B">
            <w:pPr>
              <w:spacing w:line="240" w:lineRule="auto"/>
              <w:ind w:firstLine="0" w:firstLineChars="0"/>
              <w:jc w:val="center"/>
              <w:rPr>
                <w:rFonts w:hint="default" w:ascii="Times New Roman" w:hAnsi="Times New Roman" w:eastAsia="宋体"/>
                <w:bCs/>
                <w:sz w:val="21"/>
                <w:highlight w:val="none"/>
                <w:lang w:val="en-US" w:eastAsia="zh-CN"/>
              </w:rPr>
            </w:pPr>
            <w:r>
              <w:rPr>
                <w:rFonts w:hint="eastAsia" w:ascii="Times New Roman" w:hAnsi="Times New Roman"/>
                <w:bCs/>
                <w:sz w:val="21"/>
                <w:highlight w:val="none"/>
                <w:lang w:val="en-US" w:eastAsia="zh-CN"/>
              </w:rPr>
              <w:t>43</w:t>
            </w:r>
          </w:p>
        </w:tc>
        <w:tc>
          <w:tcPr>
            <w:tcW w:w="851" w:type="dxa"/>
            <w:noWrap w:val="0"/>
            <w:vAlign w:val="center"/>
          </w:tcPr>
          <w:p w14:paraId="14251E03">
            <w:pPr>
              <w:pStyle w:val="8"/>
              <w:spacing w:after="0" w:line="240" w:lineRule="auto"/>
              <w:ind w:left="0" w:leftChars="0" w:firstLine="0" w:firstLineChars="0"/>
              <w:jc w:val="center"/>
              <w:rPr>
                <w:rFonts w:hint="default" w:ascii="Times New Roman" w:hAnsi="Times New Roman"/>
                <w:bCs/>
                <w:sz w:val="21"/>
                <w:highlight w:val="none"/>
                <w:lang w:val="en-US"/>
              </w:rPr>
            </w:pPr>
            <w:r>
              <w:rPr>
                <w:rFonts w:hint="eastAsia" w:ascii="Times New Roman" w:hAnsi="Times New Roman"/>
                <w:bCs/>
                <w:sz w:val="21"/>
                <w:highlight w:val="none"/>
                <w:lang w:eastAsia="zh-CN"/>
              </w:rPr>
              <w:t>6</w:t>
            </w:r>
            <w:r>
              <w:rPr>
                <w:rFonts w:hint="eastAsia" w:ascii="Times New Roman" w:hAnsi="Times New Roman"/>
                <w:bCs/>
                <w:sz w:val="21"/>
                <w:highlight w:val="none"/>
                <w:lang w:val="en-US" w:eastAsia="zh-CN"/>
              </w:rPr>
              <w:t>0</w:t>
            </w:r>
          </w:p>
        </w:tc>
        <w:tc>
          <w:tcPr>
            <w:tcW w:w="708" w:type="dxa"/>
            <w:noWrap w:val="0"/>
            <w:vAlign w:val="center"/>
          </w:tcPr>
          <w:p w14:paraId="380F8208">
            <w:pPr>
              <w:pStyle w:val="8"/>
              <w:spacing w:after="0" w:line="240" w:lineRule="auto"/>
              <w:ind w:left="0" w:leftChars="0" w:firstLine="0" w:firstLineChars="0"/>
              <w:jc w:val="center"/>
              <w:rPr>
                <w:rFonts w:ascii="Times New Roman" w:hAnsi="Times New Roman"/>
                <w:bCs/>
                <w:sz w:val="21"/>
                <w:highlight w:val="none"/>
              </w:rPr>
            </w:pPr>
            <w:r>
              <w:rPr>
                <w:rFonts w:hint="eastAsia" w:ascii="Times New Roman" w:hAnsi="Times New Roman"/>
                <w:bCs/>
                <w:sz w:val="21"/>
                <w:highlight w:val="none"/>
                <w:lang w:val="en-US" w:eastAsia="zh-CN"/>
              </w:rPr>
              <w:t>50</w:t>
            </w:r>
          </w:p>
        </w:tc>
        <w:tc>
          <w:tcPr>
            <w:tcW w:w="2177" w:type="dxa"/>
            <w:vMerge w:val="continue"/>
            <w:noWrap w:val="0"/>
            <w:vAlign w:val="center"/>
          </w:tcPr>
          <w:p w14:paraId="7016D050">
            <w:pPr>
              <w:pStyle w:val="8"/>
              <w:spacing w:after="0" w:line="240" w:lineRule="auto"/>
              <w:ind w:left="0" w:leftChars="0" w:firstLine="0" w:firstLineChars="0"/>
              <w:jc w:val="center"/>
              <w:rPr>
                <w:rFonts w:ascii="Times New Roman" w:hAnsi="Times New Roman"/>
                <w:bCs/>
                <w:sz w:val="21"/>
                <w:highlight w:val="none"/>
              </w:rPr>
            </w:pPr>
          </w:p>
        </w:tc>
      </w:tr>
    </w:tbl>
    <w:p w14:paraId="07F8C6F2">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5.</w:t>
      </w:r>
      <w:r>
        <w:rPr>
          <w:rFonts w:hint="eastAsia" w:ascii="Times New Roman" w:hAnsi="Times New Roman"/>
          <w:highlight w:val="none"/>
        </w:rPr>
        <w:t>4</w:t>
      </w:r>
      <w:r>
        <w:rPr>
          <w:rFonts w:ascii="Times New Roman" w:hAnsi="Times New Roman"/>
          <w:highlight w:val="none"/>
        </w:rPr>
        <w:t>-</w:t>
      </w:r>
      <w:r>
        <w:rPr>
          <w:rFonts w:hint="eastAsia" w:ascii="Times New Roman" w:hAnsi="Times New Roman"/>
          <w:highlight w:val="none"/>
          <w:lang w:val="en-US" w:eastAsia="zh-CN"/>
        </w:rPr>
        <w:t>4</w:t>
      </w:r>
      <w:r>
        <w:rPr>
          <w:rFonts w:hint="eastAsia" w:ascii="黑体" w:hAnsi="黑体" w:eastAsia="黑体" w:cs="黑体"/>
          <w:highlight w:val="none"/>
          <w:lang w:val="en-US" w:eastAsia="zh-CN"/>
        </w:rPr>
        <w:t>敏感点噪声预测</w:t>
      </w:r>
      <w:r>
        <w:rPr>
          <w:rFonts w:hint="eastAsia" w:ascii="黑体" w:hAnsi="黑体" w:eastAsia="黑体" w:cs="黑体"/>
          <w:highlight w:val="none"/>
        </w:rPr>
        <w:t>值一览表 单位</w:t>
      </w:r>
      <w:r>
        <w:rPr>
          <w:rFonts w:ascii="Times New Roman" w:hAnsi="Times New Roman"/>
          <w:highlight w:val="none"/>
        </w:rPr>
        <w:t>：dB（A）</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522"/>
        <w:gridCol w:w="709"/>
        <w:gridCol w:w="849"/>
        <w:gridCol w:w="639"/>
        <w:gridCol w:w="703"/>
        <w:gridCol w:w="704"/>
        <w:gridCol w:w="689"/>
        <w:gridCol w:w="2707"/>
      </w:tblGrid>
      <w:tr w14:paraId="539D6D7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32" w:hRule="atLeast"/>
          <w:jc w:val="center"/>
        </w:trPr>
        <w:tc>
          <w:tcPr>
            <w:tcW w:w="1526" w:type="dxa"/>
            <w:vMerge w:val="restart"/>
            <w:noWrap w:val="0"/>
            <w:vAlign w:val="center"/>
          </w:tcPr>
          <w:p w14:paraId="2FF973B6">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厂界</w:t>
            </w:r>
          </w:p>
        </w:tc>
        <w:tc>
          <w:tcPr>
            <w:tcW w:w="1559" w:type="dxa"/>
            <w:gridSpan w:val="2"/>
            <w:noWrap w:val="0"/>
            <w:vAlign w:val="center"/>
          </w:tcPr>
          <w:p w14:paraId="7D25C4E3">
            <w:pPr>
              <w:spacing w:line="240" w:lineRule="auto"/>
              <w:ind w:firstLine="0" w:firstLineChars="0"/>
              <w:jc w:val="center"/>
              <w:rPr>
                <w:rFonts w:ascii="Times New Roman" w:hAnsi="Times New Roman"/>
                <w:bCs/>
                <w:color w:val="auto"/>
                <w:sz w:val="21"/>
                <w:highlight w:val="none"/>
              </w:rPr>
            </w:pPr>
            <w:r>
              <w:rPr>
                <w:rFonts w:hint="eastAsia" w:ascii="Times New Roman" w:hAnsi="Times New Roman"/>
                <w:bCs/>
                <w:color w:val="auto"/>
                <w:sz w:val="21"/>
                <w:highlight w:val="none"/>
                <w:lang w:eastAsia="zh-CN"/>
              </w:rPr>
              <w:t>本项目</w:t>
            </w:r>
            <w:r>
              <w:rPr>
                <w:rFonts w:ascii="Times New Roman" w:hAnsi="Times New Roman"/>
                <w:bCs/>
                <w:color w:val="auto"/>
                <w:sz w:val="21"/>
                <w:highlight w:val="none"/>
              </w:rPr>
              <w:t>贡献值</w:t>
            </w:r>
          </w:p>
        </w:tc>
        <w:tc>
          <w:tcPr>
            <w:tcW w:w="1344" w:type="dxa"/>
            <w:gridSpan w:val="2"/>
            <w:noWrap w:val="0"/>
            <w:vAlign w:val="center"/>
          </w:tcPr>
          <w:p w14:paraId="43FB89DD">
            <w:pPr>
              <w:spacing w:line="240" w:lineRule="auto"/>
              <w:ind w:firstLine="0" w:firstLineChars="0"/>
              <w:jc w:val="center"/>
              <w:rPr>
                <w:rFonts w:hint="eastAsia" w:ascii="Times New Roman" w:hAnsi="Times New Roman"/>
                <w:bCs/>
                <w:color w:val="auto"/>
                <w:sz w:val="21"/>
                <w:highlight w:val="none"/>
              </w:rPr>
            </w:pPr>
            <w:r>
              <w:rPr>
                <w:rFonts w:hint="eastAsia" w:ascii="Times New Roman" w:hAnsi="Times New Roman"/>
                <w:bCs/>
                <w:color w:val="auto"/>
                <w:sz w:val="21"/>
                <w:highlight w:val="none"/>
              </w:rPr>
              <w:t>背景值</w:t>
            </w:r>
          </w:p>
        </w:tc>
        <w:tc>
          <w:tcPr>
            <w:tcW w:w="1384" w:type="dxa"/>
            <w:gridSpan w:val="2"/>
            <w:noWrap w:val="0"/>
            <w:vAlign w:val="center"/>
          </w:tcPr>
          <w:p w14:paraId="339E5137">
            <w:pPr>
              <w:spacing w:line="240" w:lineRule="auto"/>
              <w:ind w:firstLine="0" w:firstLineChars="0"/>
              <w:jc w:val="center"/>
              <w:rPr>
                <w:rFonts w:ascii="Times New Roman" w:hAnsi="Times New Roman"/>
                <w:bCs/>
                <w:color w:val="auto"/>
                <w:sz w:val="21"/>
                <w:highlight w:val="none"/>
              </w:rPr>
            </w:pPr>
            <w:r>
              <w:rPr>
                <w:rFonts w:hint="eastAsia" w:ascii="Times New Roman" w:hAnsi="Times New Roman"/>
                <w:bCs/>
                <w:color w:val="auto"/>
                <w:sz w:val="21"/>
                <w:highlight w:val="none"/>
              </w:rPr>
              <w:t>叠加值</w:t>
            </w:r>
          </w:p>
        </w:tc>
        <w:tc>
          <w:tcPr>
            <w:tcW w:w="2709" w:type="dxa"/>
            <w:vMerge w:val="restart"/>
            <w:noWrap w:val="0"/>
            <w:vAlign w:val="center"/>
          </w:tcPr>
          <w:p w14:paraId="3FFBA382">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执行标准</w:t>
            </w:r>
          </w:p>
        </w:tc>
      </w:tr>
      <w:tr w14:paraId="3F7061B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33" w:hRule="atLeast"/>
          <w:jc w:val="center"/>
        </w:trPr>
        <w:tc>
          <w:tcPr>
            <w:tcW w:w="1526" w:type="dxa"/>
            <w:vMerge w:val="continue"/>
            <w:noWrap w:val="0"/>
            <w:vAlign w:val="center"/>
          </w:tcPr>
          <w:p w14:paraId="3C767EA0">
            <w:pPr>
              <w:spacing w:line="240" w:lineRule="auto"/>
              <w:ind w:firstLine="0" w:firstLineChars="0"/>
              <w:jc w:val="center"/>
              <w:rPr>
                <w:rFonts w:ascii="Times New Roman" w:hAnsi="Times New Roman"/>
                <w:bCs/>
                <w:color w:val="auto"/>
                <w:sz w:val="21"/>
                <w:highlight w:val="none"/>
              </w:rPr>
            </w:pPr>
          </w:p>
        </w:tc>
        <w:tc>
          <w:tcPr>
            <w:tcW w:w="709" w:type="dxa"/>
            <w:noWrap w:val="0"/>
            <w:vAlign w:val="center"/>
          </w:tcPr>
          <w:p w14:paraId="5B01EF62">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昼间</w:t>
            </w:r>
          </w:p>
        </w:tc>
        <w:tc>
          <w:tcPr>
            <w:tcW w:w="850" w:type="dxa"/>
            <w:noWrap w:val="0"/>
            <w:vAlign w:val="center"/>
          </w:tcPr>
          <w:p w14:paraId="23A1B455">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夜间</w:t>
            </w:r>
          </w:p>
        </w:tc>
        <w:tc>
          <w:tcPr>
            <w:tcW w:w="640" w:type="dxa"/>
            <w:noWrap w:val="0"/>
            <w:vAlign w:val="center"/>
          </w:tcPr>
          <w:p w14:paraId="1D158BBE">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昼间</w:t>
            </w:r>
          </w:p>
        </w:tc>
        <w:tc>
          <w:tcPr>
            <w:tcW w:w="704" w:type="dxa"/>
            <w:noWrap w:val="0"/>
            <w:vAlign w:val="center"/>
          </w:tcPr>
          <w:p w14:paraId="04F118D3">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夜间</w:t>
            </w:r>
          </w:p>
        </w:tc>
        <w:tc>
          <w:tcPr>
            <w:tcW w:w="704" w:type="dxa"/>
            <w:noWrap w:val="0"/>
            <w:vAlign w:val="center"/>
          </w:tcPr>
          <w:p w14:paraId="68AAD816">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昼间</w:t>
            </w:r>
          </w:p>
        </w:tc>
        <w:tc>
          <w:tcPr>
            <w:tcW w:w="680" w:type="dxa"/>
            <w:noWrap w:val="0"/>
            <w:vAlign w:val="center"/>
          </w:tcPr>
          <w:p w14:paraId="5EFD7C06">
            <w:pPr>
              <w:spacing w:line="240" w:lineRule="auto"/>
              <w:ind w:firstLine="0" w:firstLineChars="0"/>
              <w:jc w:val="center"/>
              <w:rPr>
                <w:rFonts w:ascii="Times New Roman" w:hAnsi="Times New Roman"/>
                <w:bCs/>
                <w:color w:val="auto"/>
                <w:sz w:val="21"/>
                <w:highlight w:val="none"/>
              </w:rPr>
            </w:pPr>
            <w:r>
              <w:rPr>
                <w:rFonts w:ascii="Times New Roman" w:hAnsi="Times New Roman"/>
                <w:bCs/>
                <w:color w:val="auto"/>
                <w:sz w:val="21"/>
                <w:highlight w:val="none"/>
              </w:rPr>
              <w:t>夜间</w:t>
            </w:r>
          </w:p>
        </w:tc>
        <w:tc>
          <w:tcPr>
            <w:tcW w:w="2709" w:type="dxa"/>
            <w:vMerge w:val="continue"/>
            <w:noWrap w:val="0"/>
            <w:vAlign w:val="center"/>
          </w:tcPr>
          <w:p w14:paraId="3A6BA04E">
            <w:pPr>
              <w:spacing w:line="240" w:lineRule="auto"/>
              <w:ind w:firstLine="0" w:firstLineChars="0"/>
              <w:jc w:val="center"/>
              <w:rPr>
                <w:rFonts w:ascii="Times New Roman" w:hAnsi="Times New Roman"/>
                <w:bCs/>
                <w:color w:val="auto"/>
                <w:sz w:val="21"/>
                <w:highlight w:val="none"/>
              </w:rPr>
            </w:pPr>
          </w:p>
        </w:tc>
      </w:tr>
      <w:tr w14:paraId="1364307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2654BCF3">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bCs/>
                <w:color w:val="auto"/>
                <w:sz w:val="21"/>
                <w:highlight w:val="none"/>
                <w:lang w:eastAsia="zh-CN"/>
              </w:rPr>
            </w:pPr>
            <w:r>
              <w:rPr>
                <w:rFonts w:hint="eastAsia" w:ascii="Times New Roman" w:hAnsi="Times New Roman" w:cs="Times New Roman"/>
                <w:sz w:val="21"/>
                <w:szCs w:val="21"/>
                <w:highlight w:val="none"/>
                <w:vertAlign w:val="baseline"/>
                <w:lang w:val="en-US" w:eastAsia="zh-CN"/>
              </w:rPr>
              <w:t>旅游局家属楼1楼</w:t>
            </w:r>
          </w:p>
        </w:tc>
        <w:tc>
          <w:tcPr>
            <w:tcW w:w="709" w:type="dxa"/>
            <w:noWrap w:val="0"/>
            <w:vAlign w:val="center"/>
          </w:tcPr>
          <w:p w14:paraId="2A9E0DD0">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eastAsia="宋体"/>
                <w:bCs/>
                <w:color w:val="auto"/>
                <w:sz w:val="21"/>
                <w:highlight w:val="none"/>
                <w:lang w:val="en-US" w:eastAsia="zh-CN"/>
              </w:rPr>
              <w:t>44.73</w:t>
            </w:r>
          </w:p>
        </w:tc>
        <w:tc>
          <w:tcPr>
            <w:tcW w:w="850" w:type="dxa"/>
            <w:noWrap w:val="0"/>
            <w:vAlign w:val="center"/>
          </w:tcPr>
          <w:p w14:paraId="63FE1EE1">
            <w:pPr>
              <w:pStyle w:val="8"/>
              <w:spacing w:after="0" w:line="240" w:lineRule="auto"/>
              <w:ind w:left="0" w:leftChars="0" w:firstLine="0" w:firstLineChars="0"/>
              <w:jc w:val="center"/>
              <w:rPr>
                <w:rFonts w:hint="default" w:ascii="Times New Roman" w:hAnsi="Times New Roman" w:eastAsia="宋体"/>
                <w:bCs/>
                <w:color w:val="auto"/>
                <w:kern w:val="2"/>
                <w:sz w:val="21"/>
                <w:szCs w:val="22"/>
                <w:highlight w:val="none"/>
                <w:lang w:val="en-US" w:eastAsia="zh-CN" w:bidi="ar-SA"/>
              </w:rPr>
            </w:pPr>
            <w:r>
              <w:rPr>
                <w:rFonts w:hint="eastAsia" w:ascii="Times New Roman" w:hAnsi="Times New Roman" w:eastAsia="宋体"/>
                <w:bCs/>
                <w:color w:val="auto"/>
                <w:kern w:val="2"/>
                <w:sz w:val="21"/>
                <w:szCs w:val="22"/>
                <w:highlight w:val="none"/>
                <w:lang w:val="en-US" w:eastAsia="zh-CN" w:bidi="ar-SA"/>
              </w:rPr>
              <w:t>44.73</w:t>
            </w:r>
          </w:p>
        </w:tc>
        <w:tc>
          <w:tcPr>
            <w:tcW w:w="640" w:type="dxa"/>
            <w:noWrap w:val="0"/>
            <w:vAlign w:val="center"/>
          </w:tcPr>
          <w:p w14:paraId="76F15D52">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default" w:ascii="Times New Roman" w:hAnsi="Times New Roman" w:eastAsia="宋体"/>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52</w:t>
            </w:r>
          </w:p>
        </w:tc>
        <w:tc>
          <w:tcPr>
            <w:tcW w:w="704" w:type="dxa"/>
            <w:noWrap w:val="0"/>
            <w:vAlign w:val="center"/>
          </w:tcPr>
          <w:p w14:paraId="2542F79A">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default" w:ascii="Times New Roman" w:hAnsi="Times New Roman" w:eastAsia="宋体"/>
                <w:bCs/>
                <w:color w:val="auto"/>
                <w:sz w:val="21"/>
                <w:highlight w:val="none"/>
                <w:lang w:val="en-US" w:eastAsia="zh-CN"/>
              </w:rPr>
            </w:pPr>
            <w:r>
              <w:rPr>
                <w:rFonts w:hint="eastAsia" w:ascii="Times New Roman" w:eastAsia="宋体"/>
                <w:color w:val="auto"/>
                <w:sz w:val="21"/>
                <w:szCs w:val="21"/>
                <w:highlight w:val="none"/>
                <w:lang w:val="en-US" w:eastAsia="zh-CN"/>
              </w:rPr>
              <w:t>42</w:t>
            </w:r>
          </w:p>
        </w:tc>
        <w:tc>
          <w:tcPr>
            <w:tcW w:w="704" w:type="dxa"/>
            <w:noWrap w:val="0"/>
            <w:vAlign w:val="center"/>
          </w:tcPr>
          <w:p w14:paraId="56D59B3E">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eastAsia="宋体"/>
                <w:bCs/>
                <w:color w:val="auto"/>
                <w:sz w:val="21"/>
                <w:highlight w:val="none"/>
                <w:lang w:val="en-US" w:eastAsia="zh-CN"/>
              </w:rPr>
              <w:t>52.75</w:t>
            </w:r>
          </w:p>
        </w:tc>
        <w:tc>
          <w:tcPr>
            <w:tcW w:w="680" w:type="dxa"/>
            <w:noWrap w:val="0"/>
            <w:vAlign w:val="center"/>
          </w:tcPr>
          <w:p w14:paraId="45F36008">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46.59</w:t>
            </w:r>
          </w:p>
        </w:tc>
        <w:tc>
          <w:tcPr>
            <w:tcW w:w="2709" w:type="dxa"/>
            <w:vMerge w:val="restart"/>
            <w:noWrap w:val="0"/>
            <w:vAlign w:val="center"/>
          </w:tcPr>
          <w:p w14:paraId="6F052114">
            <w:pPr>
              <w:pStyle w:val="8"/>
              <w:spacing w:after="0" w:line="240" w:lineRule="auto"/>
              <w:ind w:left="0" w:leftChars="0" w:firstLine="0" w:firstLineChars="0"/>
              <w:jc w:val="center"/>
              <w:rPr>
                <w:rFonts w:ascii="Times New Roman" w:hAnsi="Times New Roman"/>
                <w:bCs/>
                <w:color w:val="auto"/>
                <w:sz w:val="21"/>
                <w:highlight w:val="none"/>
              </w:rPr>
            </w:pPr>
            <w:r>
              <w:rPr>
                <w:rFonts w:hint="eastAsia" w:ascii="Times New Roman" w:hAnsi="Times New Roman" w:eastAsia="宋体" w:cs="Times New Roman"/>
                <w:bCs/>
                <w:color w:val="auto"/>
                <w:sz w:val="21"/>
                <w:highlight w:val="none"/>
              </w:rPr>
              <w:t>《声环境质量标准》（GB3096-2008）</w:t>
            </w:r>
            <w:r>
              <w:rPr>
                <w:rFonts w:hint="eastAsia" w:ascii="Times New Roman" w:hAnsi="Times New Roman" w:eastAsia="宋体" w:cs="Times New Roman"/>
                <w:bCs/>
                <w:color w:val="auto"/>
                <w:sz w:val="21"/>
                <w:highlight w:val="none"/>
                <w:lang w:val="en-US" w:eastAsia="zh-CN"/>
              </w:rPr>
              <w:t>2</w:t>
            </w:r>
            <w:r>
              <w:rPr>
                <w:rFonts w:hint="eastAsia" w:ascii="Times New Roman" w:hAnsi="Times New Roman" w:eastAsia="宋体" w:cs="Times New Roman"/>
                <w:bCs/>
                <w:color w:val="auto"/>
                <w:sz w:val="21"/>
                <w:highlight w:val="none"/>
              </w:rPr>
              <w:t>类标准</w:t>
            </w:r>
          </w:p>
        </w:tc>
      </w:tr>
      <w:tr w14:paraId="41CEC62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1DCDB1D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旅游局家属楼3楼</w:t>
            </w:r>
          </w:p>
        </w:tc>
        <w:tc>
          <w:tcPr>
            <w:tcW w:w="709" w:type="dxa"/>
            <w:noWrap w:val="0"/>
            <w:vAlign w:val="center"/>
          </w:tcPr>
          <w:p w14:paraId="6739C435">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eastAsia="宋体"/>
                <w:bCs/>
                <w:color w:val="auto"/>
                <w:sz w:val="21"/>
                <w:highlight w:val="none"/>
                <w:lang w:val="en-US" w:eastAsia="zh-CN"/>
              </w:rPr>
              <w:t>44.73</w:t>
            </w:r>
          </w:p>
        </w:tc>
        <w:tc>
          <w:tcPr>
            <w:tcW w:w="850" w:type="dxa"/>
            <w:noWrap w:val="0"/>
            <w:vAlign w:val="center"/>
          </w:tcPr>
          <w:p w14:paraId="1DF775F6">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eastAsia="宋体"/>
                <w:bCs/>
                <w:color w:val="auto"/>
                <w:kern w:val="2"/>
                <w:sz w:val="21"/>
                <w:szCs w:val="22"/>
                <w:highlight w:val="none"/>
                <w:lang w:val="en-US" w:eastAsia="zh-CN" w:bidi="ar-SA"/>
              </w:rPr>
              <w:t>44.73</w:t>
            </w:r>
          </w:p>
        </w:tc>
        <w:tc>
          <w:tcPr>
            <w:tcW w:w="640" w:type="dxa"/>
            <w:noWrap w:val="0"/>
            <w:vAlign w:val="center"/>
          </w:tcPr>
          <w:p w14:paraId="01C1D678">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default"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704" w:type="dxa"/>
            <w:noWrap w:val="0"/>
            <w:vAlign w:val="center"/>
          </w:tcPr>
          <w:p w14:paraId="766FEB05">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default" w:ascii="Times New Roman" w:hAnsi="Times New Roman" w:eastAsia="宋体"/>
                <w:bCs/>
                <w:color w:val="auto"/>
                <w:sz w:val="21"/>
                <w:highlight w:val="none"/>
                <w:lang w:val="en-US" w:eastAsia="zh-CN"/>
              </w:rPr>
            </w:pPr>
            <w:r>
              <w:rPr>
                <w:rFonts w:hint="eastAsia" w:ascii="Times New Roman" w:eastAsia="宋体"/>
                <w:color w:val="auto"/>
                <w:sz w:val="21"/>
                <w:szCs w:val="21"/>
                <w:highlight w:val="none"/>
                <w:lang w:val="en-US" w:eastAsia="zh-CN"/>
              </w:rPr>
              <w:t>43</w:t>
            </w:r>
          </w:p>
        </w:tc>
        <w:tc>
          <w:tcPr>
            <w:tcW w:w="704" w:type="dxa"/>
            <w:noWrap w:val="0"/>
            <w:vAlign w:val="center"/>
          </w:tcPr>
          <w:p w14:paraId="5FB543BA">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46</w:t>
            </w:r>
          </w:p>
        </w:tc>
        <w:tc>
          <w:tcPr>
            <w:tcW w:w="680" w:type="dxa"/>
            <w:noWrap w:val="0"/>
            <w:vAlign w:val="center"/>
          </w:tcPr>
          <w:p w14:paraId="2BFD0974">
            <w:pPr>
              <w:pStyle w:val="8"/>
              <w:spacing w:after="0" w:line="240" w:lineRule="auto"/>
              <w:ind w:left="0" w:leftChars="0" w:firstLine="0" w:firstLineChars="0"/>
              <w:jc w:val="center"/>
              <w:rPr>
                <w:rFonts w:ascii="Times New Roman" w:hAnsi="Times New Roman"/>
                <w:bCs/>
                <w:color w:val="auto"/>
                <w:sz w:val="21"/>
                <w:highlight w:val="none"/>
              </w:rPr>
            </w:pPr>
            <w:r>
              <w:rPr>
                <w:rFonts w:hint="eastAsia" w:ascii="Times New Roman" w:hAnsi="Times New Roman"/>
                <w:bCs/>
                <w:color w:val="auto"/>
                <w:sz w:val="21"/>
                <w:highlight w:val="none"/>
              </w:rPr>
              <w:t>41</w:t>
            </w:r>
          </w:p>
        </w:tc>
        <w:tc>
          <w:tcPr>
            <w:tcW w:w="2709" w:type="dxa"/>
            <w:vMerge w:val="continue"/>
            <w:noWrap w:val="0"/>
            <w:vAlign w:val="center"/>
          </w:tcPr>
          <w:p w14:paraId="6CBBE7A5">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0A4C9D4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4C0C4A0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旅游局家属楼5楼</w:t>
            </w:r>
          </w:p>
        </w:tc>
        <w:tc>
          <w:tcPr>
            <w:tcW w:w="709" w:type="dxa"/>
            <w:noWrap w:val="0"/>
            <w:vAlign w:val="center"/>
          </w:tcPr>
          <w:p w14:paraId="6EF2BFCF">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eastAsia="宋体"/>
                <w:bCs/>
                <w:color w:val="auto"/>
                <w:sz w:val="21"/>
                <w:highlight w:val="none"/>
                <w:lang w:val="en-US" w:eastAsia="zh-CN"/>
              </w:rPr>
              <w:t>44.73</w:t>
            </w:r>
          </w:p>
        </w:tc>
        <w:tc>
          <w:tcPr>
            <w:tcW w:w="850" w:type="dxa"/>
            <w:noWrap w:val="0"/>
            <w:vAlign w:val="center"/>
          </w:tcPr>
          <w:p w14:paraId="348E7403">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eastAsia="宋体"/>
                <w:bCs/>
                <w:color w:val="auto"/>
                <w:kern w:val="2"/>
                <w:sz w:val="21"/>
                <w:szCs w:val="22"/>
                <w:highlight w:val="none"/>
                <w:lang w:val="en-US" w:eastAsia="zh-CN" w:bidi="ar-SA"/>
              </w:rPr>
              <w:t>44.73</w:t>
            </w:r>
          </w:p>
        </w:tc>
        <w:tc>
          <w:tcPr>
            <w:tcW w:w="640" w:type="dxa"/>
            <w:noWrap w:val="0"/>
            <w:vAlign w:val="center"/>
          </w:tcPr>
          <w:p w14:paraId="67759460">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50</w:t>
            </w:r>
          </w:p>
        </w:tc>
        <w:tc>
          <w:tcPr>
            <w:tcW w:w="704" w:type="dxa"/>
            <w:noWrap w:val="0"/>
            <w:vAlign w:val="center"/>
          </w:tcPr>
          <w:p w14:paraId="7DA6C99F">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42</w:t>
            </w:r>
          </w:p>
        </w:tc>
        <w:tc>
          <w:tcPr>
            <w:tcW w:w="704" w:type="dxa"/>
            <w:noWrap w:val="0"/>
            <w:vAlign w:val="center"/>
          </w:tcPr>
          <w:p w14:paraId="786E5807">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51.92</w:t>
            </w:r>
          </w:p>
        </w:tc>
        <w:tc>
          <w:tcPr>
            <w:tcW w:w="680" w:type="dxa"/>
            <w:noWrap w:val="0"/>
            <w:vAlign w:val="center"/>
          </w:tcPr>
          <w:p w14:paraId="5B20E284">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46.59</w:t>
            </w:r>
          </w:p>
        </w:tc>
        <w:tc>
          <w:tcPr>
            <w:tcW w:w="2709" w:type="dxa"/>
            <w:vMerge w:val="continue"/>
            <w:noWrap w:val="0"/>
            <w:vAlign w:val="center"/>
          </w:tcPr>
          <w:p w14:paraId="1FBE1A8E">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1411049B">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6713B25C">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新安幸福嘉园1楼</w:t>
            </w:r>
          </w:p>
        </w:tc>
        <w:tc>
          <w:tcPr>
            <w:tcW w:w="709" w:type="dxa"/>
            <w:noWrap w:val="0"/>
            <w:vAlign w:val="center"/>
          </w:tcPr>
          <w:p w14:paraId="7E2D66FE">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6717F10A">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74FA613E">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54</w:t>
            </w:r>
          </w:p>
        </w:tc>
        <w:tc>
          <w:tcPr>
            <w:tcW w:w="704" w:type="dxa"/>
            <w:noWrap w:val="0"/>
            <w:vAlign w:val="center"/>
          </w:tcPr>
          <w:p w14:paraId="7B81ED64">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44</w:t>
            </w:r>
          </w:p>
        </w:tc>
        <w:tc>
          <w:tcPr>
            <w:tcW w:w="704" w:type="dxa"/>
            <w:noWrap w:val="0"/>
            <w:vAlign w:val="center"/>
          </w:tcPr>
          <w:p w14:paraId="141C4B9F">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54.36</w:t>
            </w:r>
          </w:p>
        </w:tc>
        <w:tc>
          <w:tcPr>
            <w:tcW w:w="680" w:type="dxa"/>
            <w:noWrap w:val="0"/>
            <w:vAlign w:val="center"/>
          </w:tcPr>
          <w:p w14:paraId="037936E0">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46.72</w:t>
            </w:r>
          </w:p>
        </w:tc>
        <w:tc>
          <w:tcPr>
            <w:tcW w:w="2709" w:type="dxa"/>
            <w:vMerge w:val="continue"/>
            <w:noWrap w:val="0"/>
            <w:vAlign w:val="center"/>
          </w:tcPr>
          <w:p w14:paraId="75C30965">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213773E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4B8EE5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新安幸福嘉园3楼</w:t>
            </w:r>
          </w:p>
        </w:tc>
        <w:tc>
          <w:tcPr>
            <w:tcW w:w="709" w:type="dxa"/>
            <w:noWrap w:val="0"/>
            <w:vAlign w:val="center"/>
          </w:tcPr>
          <w:p w14:paraId="632E53E4">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39658253">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4FB7C9A9">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704" w:type="dxa"/>
            <w:noWrap w:val="0"/>
            <w:vAlign w:val="center"/>
          </w:tcPr>
          <w:p w14:paraId="07BFC155">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43</w:t>
            </w:r>
          </w:p>
        </w:tc>
        <w:tc>
          <w:tcPr>
            <w:tcW w:w="704" w:type="dxa"/>
            <w:noWrap w:val="0"/>
            <w:vAlign w:val="center"/>
          </w:tcPr>
          <w:p w14:paraId="6DE75C96">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53.45</w:t>
            </w:r>
          </w:p>
        </w:tc>
        <w:tc>
          <w:tcPr>
            <w:tcW w:w="680" w:type="dxa"/>
            <w:noWrap w:val="0"/>
            <w:vAlign w:val="center"/>
          </w:tcPr>
          <w:p w14:paraId="40BB156A">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46.21</w:t>
            </w:r>
          </w:p>
        </w:tc>
        <w:tc>
          <w:tcPr>
            <w:tcW w:w="2709" w:type="dxa"/>
            <w:vMerge w:val="continue"/>
            <w:noWrap w:val="0"/>
            <w:vAlign w:val="center"/>
          </w:tcPr>
          <w:p w14:paraId="6605227D">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35304A7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2C54043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新安幸福嘉园5楼</w:t>
            </w:r>
          </w:p>
        </w:tc>
        <w:tc>
          <w:tcPr>
            <w:tcW w:w="709" w:type="dxa"/>
            <w:noWrap w:val="0"/>
            <w:vAlign w:val="center"/>
          </w:tcPr>
          <w:p w14:paraId="70A51DF9">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350A7DBF">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70AA6D5C">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55</w:t>
            </w:r>
          </w:p>
        </w:tc>
        <w:tc>
          <w:tcPr>
            <w:tcW w:w="704" w:type="dxa"/>
            <w:noWrap w:val="0"/>
            <w:vAlign w:val="center"/>
          </w:tcPr>
          <w:p w14:paraId="35B92A07">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45</w:t>
            </w:r>
          </w:p>
        </w:tc>
        <w:tc>
          <w:tcPr>
            <w:tcW w:w="704" w:type="dxa"/>
            <w:noWrap w:val="0"/>
            <w:vAlign w:val="center"/>
          </w:tcPr>
          <w:p w14:paraId="22616592">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55.29</w:t>
            </w:r>
          </w:p>
        </w:tc>
        <w:tc>
          <w:tcPr>
            <w:tcW w:w="680" w:type="dxa"/>
            <w:noWrap w:val="0"/>
            <w:vAlign w:val="center"/>
          </w:tcPr>
          <w:p w14:paraId="0DC7A510">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47.28</w:t>
            </w:r>
          </w:p>
        </w:tc>
        <w:tc>
          <w:tcPr>
            <w:tcW w:w="2709" w:type="dxa"/>
            <w:vMerge w:val="continue"/>
            <w:noWrap w:val="0"/>
            <w:vAlign w:val="center"/>
          </w:tcPr>
          <w:p w14:paraId="7597B195">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608EF3D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7526FB1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新安幸福嘉园7楼</w:t>
            </w:r>
          </w:p>
        </w:tc>
        <w:tc>
          <w:tcPr>
            <w:tcW w:w="709" w:type="dxa"/>
            <w:noWrap w:val="0"/>
            <w:vAlign w:val="center"/>
          </w:tcPr>
          <w:p w14:paraId="69635553">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4B270AD0">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660066F2">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52</w:t>
            </w:r>
          </w:p>
        </w:tc>
        <w:tc>
          <w:tcPr>
            <w:tcW w:w="704" w:type="dxa"/>
            <w:noWrap w:val="0"/>
            <w:vAlign w:val="center"/>
          </w:tcPr>
          <w:p w14:paraId="2F780A6E">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42</w:t>
            </w:r>
          </w:p>
        </w:tc>
        <w:tc>
          <w:tcPr>
            <w:tcW w:w="704" w:type="dxa"/>
            <w:noWrap w:val="0"/>
            <w:vAlign w:val="center"/>
          </w:tcPr>
          <w:p w14:paraId="6ADC79BE">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52.56</w:t>
            </w:r>
          </w:p>
        </w:tc>
        <w:tc>
          <w:tcPr>
            <w:tcW w:w="680" w:type="dxa"/>
            <w:noWrap w:val="0"/>
            <w:vAlign w:val="center"/>
          </w:tcPr>
          <w:p w14:paraId="17787FA2">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45.77</w:t>
            </w:r>
          </w:p>
        </w:tc>
        <w:tc>
          <w:tcPr>
            <w:tcW w:w="2709" w:type="dxa"/>
            <w:vMerge w:val="continue"/>
            <w:noWrap w:val="0"/>
            <w:vAlign w:val="center"/>
          </w:tcPr>
          <w:p w14:paraId="3FABB441">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156BBE2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7F573820">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新安幸福嘉园9楼</w:t>
            </w:r>
          </w:p>
        </w:tc>
        <w:tc>
          <w:tcPr>
            <w:tcW w:w="709" w:type="dxa"/>
            <w:noWrap w:val="0"/>
            <w:vAlign w:val="center"/>
          </w:tcPr>
          <w:p w14:paraId="66CEE509">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1588E45B">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073290B0">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704" w:type="dxa"/>
            <w:noWrap w:val="0"/>
            <w:vAlign w:val="center"/>
          </w:tcPr>
          <w:p w14:paraId="64E43AF7">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44</w:t>
            </w:r>
          </w:p>
        </w:tc>
        <w:tc>
          <w:tcPr>
            <w:tcW w:w="704" w:type="dxa"/>
            <w:noWrap w:val="0"/>
            <w:vAlign w:val="center"/>
          </w:tcPr>
          <w:p w14:paraId="1A63032B">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51.69</w:t>
            </w:r>
          </w:p>
        </w:tc>
        <w:tc>
          <w:tcPr>
            <w:tcW w:w="680" w:type="dxa"/>
            <w:noWrap w:val="0"/>
            <w:vAlign w:val="center"/>
          </w:tcPr>
          <w:p w14:paraId="25F0BE14">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46.72</w:t>
            </w:r>
          </w:p>
        </w:tc>
        <w:tc>
          <w:tcPr>
            <w:tcW w:w="2709" w:type="dxa"/>
            <w:vMerge w:val="continue"/>
            <w:noWrap w:val="0"/>
            <w:vAlign w:val="center"/>
          </w:tcPr>
          <w:p w14:paraId="5368036A">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57E0321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12D8395E">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新安幸福嘉园11楼</w:t>
            </w:r>
          </w:p>
        </w:tc>
        <w:tc>
          <w:tcPr>
            <w:tcW w:w="709" w:type="dxa"/>
            <w:noWrap w:val="0"/>
            <w:vAlign w:val="center"/>
          </w:tcPr>
          <w:p w14:paraId="24993413">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850" w:type="dxa"/>
            <w:noWrap w:val="0"/>
            <w:vAlign w:val="center"/>
          </w:tcPr>
          <w:p w14:paraId="1D4A3D7E">
            <w:pPr>
              <w:pStyle w:val="8"/>
              <w:spacing w:after="0" w:line="240" w:lineRule="auto"/>
              <w:ind w:left="0" w:leftChars="0" w:firstLine="0" w:firstLineChars="0"/>
              <w:jc w:val="center"/>
              <w:rPr>
                <w:rFonts w:hint="eastAsia"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43.40</w:t>
            </w:r>
          </w:p>
        </w:tc>
        <w:tc>
          <w:tcPr>
            <w:tcW w:w="640" w:type="dxa"/>
            <w:noWrap w:val="0"/>
            <w:vAlign w:val="center"/>
          </w:tcPr>
          <w:p w14:paraId="20C9ED41">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54</w:t>
            </w:r>
          </w:p>
        </w:tc>
        <w:tc>
          <w:tcPr>
            <w:tcW w:w="704" w:type="dxa"/>
            <w:noWrap w:val="0"/>
            <w:vAlign w:val="center"/>
          </w:tcPr>
          <w:p w14:paraId="1E068867">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43</w:t>
            </w:r>
          </w:p>
        </w:tc>
        <w:tc>
          <w:tcPr>
            <w:tcW w:w="704" w:type="dxa"/>
            <w:noWrap w:val="0"/>
            <w:vAlign w:val="center"/>
          </w:tcPr>
          <w:p w14:paraId="7A97712E">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54.36</w:t>
            </w:r>
          </w:p>
        </w:tc>
        <w:tc>
          <w:tcPr>
            <w:tcW w:w="680" w:type="dxa"/>
            <w:noWrap w:val="0"/>
            <w:vAlign w:val="center"/>
          </w:tcPr>
          <w:p w14:paraId="6EBC2CCC">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46.21</w:t>
            </w:r>
          </w:p>
        </w:tc>
        <w:tc>
          <w:tcPr>
            <w:tcW w:w="2709" w:type="dxa"/>
            <w:vMerge w:val="continue"/>
            <w:noWrap w:val="0"/>
            <w:vAlign w:val="center"/>
          </w:tcPr>
          <w:p w14:paraId="0DB9CC94">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61B3D95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6D1962CB">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绥芬河市人大</w:t>
            </w:r>
          </w:p>
        </w:tc>
        <w:tc>
          <w:tcPr>
            <w:tcW w:w="709" w:type="dxa"/>
            <w:noWrap w:val="0"/>
            <w:vAlign w:val="center"/>
          </w:tcPr>
          <w:p w14:paraId="24F31C39">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30.16</w:t>
            </w:r>
          </w:p>
        </w:tc>
        <w:tc>
          <w:tcPr>
            <w:tcW w:w="850" w:type="dxa"/>
            <w:noWrap w:val="0"/>
            <w:vAlign w:val="center"/>
          </w:tcPr>
          <w:p w14:paraId="11F5C995">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30.16</w:t>
            </w:r>
          </w:p>
        </w:tc>
        <w:tc>
          <w:tcPr>
            <w:tcW w:w="640" w:type="dxa"/>
            <w:noWrap w:val="0"/>
            <w:vAlign w:val="center"/>
          </w:tcPr>
          <w:p w14:paraId="666F032C">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704" w:type="dxa"/>
            <w:noWrap w:val="0"/>
            <w:vAlign w:val="center"/>
          </w:tcPr>
          <w:p w14:paraId="446B1E6E">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45</w:t>
            </w:r>
          </w:p>
        </w:tc>
        <w:tc>
          <w:tcPr>
            <w:tcW w:w="704" w:type="dxa"/>
            <w:noWrap w:val="0"/>
            <w:vAlign w:val="center"/>
          </w:tcPr>
          <w:p w14:paraId="5914E61D">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53.02</w:t>
            </w:r>
          </w:p>
        </w:tc>
        <w:tc>
          <w:tcPr>
            <w:tcW w:w="680" w:type="dxa"/>
            <w:noWrap w:val="0"/>
            <w:vAlign w:val="center"/>
          </w:tcPr>
          <w:p w14:paraId="65DC8C69">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45.14</w:t>
            </w:r>
          </w:p>
        </w:tc>
        <w:tc>
          <w:tcPr>
            <w:tcW w:w="2709" w:type="dxa"/>
            <w:vMerge w:val="continue"/>
            <w:noWrap w:val="0"/>
            <w:vAlign w:val="center"/>
          </w:tcPr>
          <w:p w14:paraId="5F4D12E8">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5388159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13E2C1ED">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中兴小区东侧</w:t>
            </w:r>
          </w:p>
        </w:tc>
        <w:tc>
          <w:tcPr>
            <w:tcW w:w="709" w:type="dxa"/>
            <w:noWrap w:val="0"/>
            <w:vAlign w:val="center"/>
          </w:tcPr>
          <w:p w14:paraId="45852BF5">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30.28</w:t>
            </w:r>
          </w:p>
        </w:tc>
        <w:tc>
          <w:tcPr>
            <w:tcW w:w="850" w:type="dxa"/>
            <w:noWrap w:val="0"/>
            <w:vAlign w:val="center"/>
          </w:tcPr>
          <w:p w14:paraId="0E63F23C">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30.28</w:t>
            </w:r>
          </w:p>
        </w:tc>
        <w:tc>
          <w:tcPr>
            <w:tcW w:w="640" w:type="dxa"/>
            <w:noWrap w:val="0"/>
            <w:vAlign w:val="center"/>
          </w:tcPr>
          <w:p w14:paraId="7AB1832D">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55</w:t>
            </w:r>
          </w:p>
        </w:tc>
        <w:tc>
          <w:tcPr>
            <w:tcW w:w="704" w:type="dxa"/>
            <w:noWrap w:val="0"/>
            <w:vAlign w:val="center"/>
          </w:tcPr>
          <w:p w14:paraId="316A1251">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43</w:t>
            </w:r>
          </w:p>
        </w:tc>
        <w:tc>
          <w:tcPr>
            <w:tcW w:w="704" w:type="dxa"/>
            <w:noWrap w:val="0"/>
            <w:vAlign w:val="center"/>
          </w:tcPr>
          <w:p w14:paraId="22E923D7">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50.01</w:t>
            </w:r>
          </w:p>
        </w:tc>
        <w:tc>
          <w:tcPr>
            <w:tcW w:w="680" w:type="dxa"/>
            <w:noWrap w:val="0"/>
            <w:vAlign w:val="center"/>
          </w:tcPr>
          <w:p w14:paraId="282DFB69">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43.23</w:t>
            </w:r>
          </w:p>
        </w:tc>
        <w:tc>
          <w:tcPr>
            <w:tcW w:w="2709" w:type="dxa"/>
            <w:vMerge w:val="continue"/>
            <w:noWrap w:val="0"/>
            <w:vAlign w:val="center"/>
          </w:tcPr>
          <w:p w14:paraId="7BE70A91">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24DAB4A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7C3701C4">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中兴小区西侧</w:t>
            </w:r>
          </w:p>
        </w:tc>
        <w:tc>
          <w:tcPr>
            <w:tcW w:w="709" w:type="dxa"/>
            <w:noWrap w:val="0"/>
            <w:vAlign w:val="center"/>
          </w:tcPr>
          <w:p w14:paraId="045A525D">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29.85</w:t>
            </w:r>
          </w:p>
        </w:tc>
        <w:tc>
          <w:tcPr>
            <w:tcW w:w="850" w:type="dxa"/>
            <w:noWrap w:val="0"/>
            <w:vAlign w:val="center"/>
          </w:tcPr>
          <w:p w14:paraId="32F46464">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29.85</w:t>
            </w:r>
          </w:p>
        </w:tc>
        <w:tc>
          <w:tcPr>
            <w:tcW w:w="640" w:type="dxa"/>
            <w:noWrap w:val="0"/>
            <w:vAlign w:val="center"/>
          </w:tcPr>
          <w:p w14:paraId="2FFF3D40">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51</w:t>
            </w:r>
          </w:p>
        </w:tc>
        <w:tc>
          <w:tcPr>
            <w:tcW w:w="704" w:type="dxa"/>
            <w:noWrap w:val="0"/>
            <w:vAlign w:val="center"/>
          </w:tcPr>
          <w:p w14:paraId="2B542A19">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45</w:t>
            </w:r>
          </w:p>
        </w:tc>
        <w:tc>
          <w:tcPr>
            <w:tcW w:w="704" w:type="dxa"/>
            <w:noWrap w:val="0"/>
            <w:vAlign w:val="center"/>
          </w:tcPr>
          <w:p w14:paraId="0476F3E8">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50.03</w:t>
            </w:r>
          </w:p>
        </w:tc>
        <w:tc>
          <w:tcPr>
            <w:tcW w:w="680" w:type="dxa"/>
            <w:noWrap w:val="0"/>
            <w:vAlign w:val="center"/>
          </w:tcPr>
          <w:p w14:paraId="580E4E08">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45.13</w:t>
            </w:r>
          </w:p>
        </w:tc>
        <w:tc>
          <w:tcPr>
            <w:tcW w:w="2709" w:type="dxa"/>
            <w:vMerge w:val="continue"/>
            <w:noWrap w:val="0"/>
            <w:vAlign w:val="center"/>
          </w:tcPr>
          <w:p w14:paraId="40A2CCB5">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3818EA1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301D46A8">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数码港宾馆</w:t>
            </w:r>
          </w:p>
        </w:tc>
        <w:tc>
          <w:tcPr>
            <w:tcW w:w="709" w:type="dxa"/>
            <w:noWrap w:val="0"/>
            <w:vAlign w:val="center"/>
          </w:tcPr>
          <w:p w14:paraId="33EB5BA5">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27.36</w:t>
            </w:r>
          </w:p>
        </w:tc>
        <w:tc>
          <w:tcPr>
            <w:tcW w:w="850" w:type="dxa"/>
            <w:noWrap w:val="0"/>
            <w:vAlign w:val="center"/>
          </w:tcPr>
          <w:p w14:paraId="7D725EB2">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27.36</w:t>
            </w:r>
          </w:p>
        </w:tc>
        <w:tc>
          <w:tcPr>
            <w:tcW w:w="640" w:type="dxa"/>
            <w:noWrap w:val="0"/>
            <w:vAlign w:val="center"/>
          </w:tcPr>
          <w:p w14:paraId="46C5471C">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53</w:t>
            </w:r>
          </w:p>
        </w:tc>
        <w:tc>
          <w:tcPr>
            <w:tcW w:w="704" w:type="dxa"/>
            <w:noWrap w:val="0"/>
            <w:vAlign w:val="center"/>
          </w:tcPr>
          <w:p w14:paraId="5334CDCD">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42</w:t>
            </w:r>
          </w:p>
        </w:tc>
        <w:tc>
          <w:tcPr>
            <w:tcW w:w="704" w:type="dxa"/>
            <w:noWrap w:val="0"/>
            <w:vAlign w:val="center"/>
          </w:tcPr>
          <w:p w14:paraId="2AA63AD1">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53.01</w:t>
            </w:r>
          </w:p>
        </w:tc>
        <w:tc>
          <w:tcPr>
            <w:tcW w:w="680" w:type="dxa"/>
            <w:noWrap w:val="0"/>
            <w:vAlign w:val="center"/>
          </w:tcPr>
          <w:p w14:paraId="2F5515F7">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42.15</w:t>
            </w:r>
          </w:p>
        </w:tc>
        <w:tc>
          <w:tcPr>
            <w:tcW w:w="2709" w:type="dxa"/>
            <w:vMerge w:val="continue"/>
            <w:noWrap w:val="0"/>
            <w:vAlign w:val="center"/>
          </w:tcPr>
          <w:p w14:paraId="32FC5FCE">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r w14:paraId="3F33CD0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7" w:hRule="atLeast"/>
          <w:jc w:val="center"/>
        </w:trPr>
        <w:tc>
          <w:tcPr>
            <w:tcW w:w="1526" w:type="dxa"/>
            <w:noWrap w:val="0"/>
            <w:vAlign w:val="center"/>
          </w:tcPr>
          <w:p w14:paraId="13E6542A">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bCs/>
                <w:color w:val="auto"/>
                <w:sz w:val="21"/>
                <w:highlight w:val="none"/>
                <w:lang w:val="en-US" w:eastAsia="zh-CN"/>
              </w:rPr>
            </w:pPr>
            <w:r>
              <w:rPr>
                <w:rFonts w:hint="eastAsia" w:ascii="Times New Roman" w:hAnsi="Times New Roman" w:cs="Times New Roman"/>
                <w:sz w:val="21"/>
                <w:szCs w:val="21"/>
                <w:highlight w:val="none"/>
                <w:vertAlign w:val="baseline"/>
                <w:lang w:val="en-US" w:eastAsia="zh-CN"/>
              </w:rPr>
              <w:t>颐民敬老院卫生所</w:t>
            </w:r>
          </w:p>
        </w:tc>
        <w:tc>
          <w:tcPr>
            <w:tcW w:w="709" w:type="dxa"/>
            <w:noWrap w:val="0"/>
            <w:vAlign w:val="center"/>
          </w:tcPr>
          <w:p w14:paraId="5AF2534E">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28.82</w:t>
            </w:r>
          </w:p>
        </w:tc>
        <w:tc>
          <w:tcPr>
            <w:tcW w:w="850" w:type="dxa"/>
            <w:noWrap w:val="0"/>
            <w:vAlign w:val="center"/>
          </w:tcPr>
          <w:p w14:paraId="2054A987">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28.82</w:t>
            </w:r>
          </w:p>
        </w:tc>
        <w:tc>
          <w:tcPr>
            <w:tcW w:w="640" w:type="dxa"/>
            <w:noWrap w:val="0"/>
            <w:vAlign w:val="center"/>
          </w:tcPr>
          <w:p w14:paraId="1A16D865">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cs="Times New Roman"/>
                <w:color w:val="000000" w:themeColor="text1"/>
                <w:spacing w:val="20"/>
                <w:kern w:val="2"/>
                <w:sz w:val="21"/>
                <w:szCs w:val="21"/>
                <w:highlight w:val="none"/>
                <w:lang w:val="en-US" w:eastAsia="zh-CN" w:bidi="ar-SA"/>
                <w14:textFill>
                  <w14:solidFill>
                    <w14:schemeClr w14:val="tx1"/>
                  </w14:solidFill>
                </w14:textFill>
              </w:rPr>
              <w:t>49</w:t>
            </w:r>
          </w:p>
        </w:tc>
        <w:tc>
          <w:tcPr>
            <w:tcW w:w="704" w:type="dxa"/>
            <w:noWrap w:val="0"/>
            <w:vAlign w:val="center"/>
          </w:tcPr>
          <w:p w14:paraId="0BE9D3D0">
            <w:pPr>
              <w:pStyle w:val="23"/>
              <w:keepNext w:val="0"/>
              <w:keepLines w:val="0"/>
              <w:pageBreakBefore w:val="0"/>
              <w:widowControl w:val="0"/>
              <w:kinsoku/>
              <w:wordWrap/>
              <w:overflowPunct/>
              <w:topLinePunct w:val="0"/>
              <w:bidi w:val="0"/>
              <w:adjustRightInd w:val="0"/>
              <w:snapToGrid/>
              <w:ind w:firstLine="0" w:firstLineChars="0"/>
              <w:jc w:val="center"/>
              <w:textAlignment w:val="baseline"/>
              <w:rPr>
                <w:rFonts w:hint="eastAsia" w:ascii="Times New Roman" w:hAnsi="Times New Roman"/>
                <w:bCs/>
                <w:color w:val="auto"/>
                <w:sz w:val="21"/>
                <w:highlight w:val="none"/>
                <w:lang w:val="en-US" w:eastAsia="zh-CN"/>
              </w:rPr>
            </w:pPr>
            <w:r>
              <w:rPr>
                <w:rFonts w:hint="eastAsia" w:ascii="Times New Roman" w:eastAsia="宋体"/>
                <w:color w:val="auto"/>
                <w:sz w:val="21"/>
                <w:szCs w:val="21"/>
                <w:highlight w:val="none"/>
                <w:lang w:val="en-US" w:eastAsia="zh-CN"/>
              </w:rPr>
              <w:t>42</w:t>
            </w:r>
          </w:p>
        </w:tc>
        <w:tc>
          <w:tcPr>
            <w:tcW w:w="704" w:type="dxa"/>
            <w:noWrap w:val="0"/>
            <w:vAlign w:val="center"/>
          </w:tcPr>
          <w:p w14:paraId="525289B2">
            <w:pPr>
              <w:pStyle w:val="8"/>
              <w:spacing w:after="0" w:line="240" w:lineRule="auto"/>
              <w:ind w:left="0" w:leftChars="0" w:firstLine="0" w:firstLineChars="0"/>
              <w:jc w:val="center"/>
              <w:rPr>
                <w:rFonts w:hint="default" w:ascii="Times New Roman" w:hAnsi="Times New Roman"/>
                <w:bCs/>
                <w:color w:val="auto"/>
                <w:sz w:val="21"/>
                <w:highlight w:val="none"/>
                <w:lang w:val="en-US" w:eastAsia="zh-CN"/>
              </w:rPr>
            </w:pPr>
            <w:r>
              <w:rPr>
                <w:rFonts w:hint="eastAsia" w:ascii="Times New Roman" w:hAnsi="Times New Roman"/>
                <w:bCs/>
                <w:color w:val="auto"/>
                <w:sz w:val="21"/>
                <w:highlight w:val="none"/>
                <w:lang w:val="en-US" w:eastAsia="zh-CN"/>
              </w:rPr>
              <w:t>49.04</w:t>
            </w:r>
          </w:p>
        </w:tc>
        <w:tc>
          <w:tcPr>
            <w:tcW w:w="680" w:type="dxa"/>
            <w:noWrap w:val="0"/>
            <w:vAlign w:val="center"/>
          </w:tcPr>
          <w:p w14:paraId="06A80373">
            <w:pPr>
              <w:pStyle w:val="8"/>
              <w:spacing w:after="0" w:line="240" w:lineRule="auto"/>
              <w:ind w:left="0" w:leftChars="0" w:firstLine="0" w:firstLineChars="0"/>
              <w:jc w:val="center"/>
              <w:rPr>
                <w:rFonts w:hint="default" w:ascii="Times New Roman" w:hAnsi="Times New Roman" w:eastAsia="宋体"/>
                <w:bCs/>
                <w:color w:val="auto"/>
                <w:sz w:val="21"/>
                <w:highlight w:val="none"/>
                <w:lang w:val="en-US" w:eastAsia="zh-CN"/>
              </w:rPr>
            </w:pPr>
            <w:r>
              <w:rPr>
                <w:rFonts w:hint="eastAsia" w:ascii="Times New Roman" w:hAnsi="Times New Roman"/>
                <w:bCs/>
                <w:color w:val="auto"/>
                <w:sz w:val="21"/>
                <w:highlight w:val="none"/>
                <w:lang w:val="en-US" w:eastAsia="zh-CN"/>
              </w:rPr>
              <w:t>42.2</w:t>
            </w:r>
          </w:p>
        </w:tc>
        <w:tc>
          <w:tcPr>
            <w:tcW w:w="2709" w:type="dxa"/>
            <w:vMerge w:val="continue"/>
            <w:noWrap w:val="0"/>
            <w:vAlign w:val="center"/>
          </w:tcPr>
          <w:p w14:paraId="797F6DB9">
            <w:pPr>
              <w:pStyle w:val="8"/>
              <w:spacing w:after="0" w:line="240" w:lineRule="auto"/>
              <w:ind w:left="0" w:leftChars="0" w:firstLine="0" w:firstLineChars="0"/>
              <w:jc w:val="center"/>
              <w:rPr>
                <w:rFonts w:hint="eastAsia" w:ascii="Times New Roman" w:hAnsi="Times New Roman" w:eastAsia="宋体" w:cs="Times New Roman"/>
                <w:bCs/>
                <w:color w:val="auto"/>
                <w:sz w:val="21"/>
                <w:highlight w:val="none"/>
              </w:rPr>
            </w:pPr>
          </w:p>
        </w:tc>
      </w:tr>
    </w:tbl>
    <w:p w14:paraId="4E45BF4D">
      <w:pPr>
        <w:bidi w:val="0"/>
        <w:rPr>
          <w:rFonts w:hint="eastAsia"/>
          <w:highlight w:val="none"/>
          <w:lang w:eastAsia="zh-CN"/>
        </w:rPr>
      </w:pPr>
    </w:p>
    <w:p w14:paraId="0BC2C2C2">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33ED2743">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r>
        <w:rPr>
          <w:rFonts w:hint="eastAsia" w:eastAsia="宋体"/>
          <w:highlight w:val="none"/>
          <w:lang w:eastAsia="zh-CN"/>
        </w:rPr>
        <w:drawing>
          <wp:anchor distT="0" distB="0" distL="114300" distR="114300" simplePos="0" relativeHeight="251692032" behindDoc="0" locked="0" layoutInCell="1" allowOverlap="1">
            <wp:simplePos x="0" y="0"/>
            <wp:positionH relativeFrom="column">
              <wp:posOffset>71120</wp:posOffset>
            </wp:positionH>
            <wp:positionV relativeFrom="paragraph">
              <wp:posOffset>128905</wp:posOffset>
            </wp:positionV>
            <wp:extent cx="5272405" cy="3752850"/>
            <wp:effectExtent l="0" t="0" r="4445" b="0"/>
            <wp:wrapNone/>
            <wp:docPr id="114" name="图片 114" descr="05328bf220941df081e3ac7a30636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05328bf220941df081e3ac7a30636919"/>
                    <pic:cNvPicPr>
                      <a:picLocks noChangeAspect="1"/>
                    </pic:cNvPicPr>
                  </pic:nvPicPr>
                  <pic:blipFill>
                    <a:blip r:embed="rId51"/>
                    <a:stretch>
                      <a:fillRect/>
                    </a:stretch>
                  </pic:blipFill>
                  <pic:spPr>
                    <a:xfrm>
                      <a:off x="0" y="0"/>
                      <a:ext cx="5272405" cy="3752850"/>
                    </a:xfrm>
                    <a:prstGeom prst="rect">
                      <a:avLst/>
                    </a:prstGeom>
                  </pic:spPr>
                </pic:pic>
              </a:graphicData>
            </a:graphic>
          </wp:anchor>
        </w:drawing>
      </w:r>
    </w:p>
    <w:p w14:paraId="70626FB6">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012CB348">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41D1E441">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63E2B844">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11DAF35E">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0E81AE7F">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450FDD5F">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5B4D67D8">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4B999B53">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7CBD8528">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6A0A5C0A">
      <w:pPr>
        <w:pStyle w:val="28"/>
        <w:keepNext w:val="0"/>
        <w:keepLines w:val="0"/>
        <w:pageBreakBefore w:val="0"/>
        <w:widowControl w:val="0"/>
        <w:kinsoku/>
        <w:wordWrap w:val="0"/>
        <w:overflowPunct/>
        <w:topLinePunct w:val="0"/>
        <w:autoSpaceDE/>
        <w:autoSpaceDN/>
        <w:bidi w:val="0"/>
        <w:adjustRightInd/>
        <w:snapToGrid/>
        <w:textAlignment w:val="auto"/>
        <w:rPr>
          <w:highlight w:val="none"/>
        </w:rPr>
      </w:pPr>
    </w:p>
    <w:p w14:paraId="5FBA81B6">
      <w:pPr>
        <w:pStyle w:val="28"/>
        <w:keepNext w:val="0"/>
        <w:keepLines w:val="0"/>
        <w:pageBreakBefore w:val="0"/>
        <w:widowControl w:val="0"/>
        <w:kinsoku/>
        <w:wordWrap w:val="0"/>
        <w:overflowPunct/>
        <w:topLinePunct w:val="0"/>
        <w:autoSpaceDE/>
        <w:autoSpaceDN/>
        <w:bidi w:val="0"/>
        <w:adjustRightInd/>
        <w:snapToGrid/>
        <w:jc w:val="center"/>
        <w:textAlignment w:val="auto"/>
        <w:rPr>
          <w:highlight w:val="none"/>
        </w:rPr>
      </w:pPr>
      <w:r>
        <w:rPr>
          <w:rFonts w:hint="eastAsia" w:ascii="黑体" w:hAnsi="黑体" w:eastAsia="黑体" w:cs="黑体"/>
          <w:b w:val="0"/>
          <w:bCs/>
          <w:color w:val="auto"/>
          <w:kern w:val="0"/>
          <w:sz w:val="24"/>
          <w:highlight w:val="none"/>
        </w:rPr>
        <w:t>图</w:t>
      </w:r>
      <w:r>
        <w:rPr>
          <w:b w:val="0"/>
          <w:bCs/>
          <w:color w:val="auto"/>
          <w:kern w:val="0"/>
          <w:sz w:val="24"/>
          <w:highlight w:val="none"/>
        </w:rPr>
        <w:t>5</w:t>
      </w:r>
      <w:r>
        <w:rPr>
          <w:rFonts w:hint="eastAsia"/>
          <w:b w:val="0"/>
          <w:bCs/>
          <w:color w:val="auto"/>
          <w:kern w:val="0"/>
          <w:sz w:val="24"/>
          <w:highlight w:val="none"/>
          <w:lang w:val="en-US" w:eastAsia="zh-CN"/>
        </w:rPr>
        <w:t xml:space="preserve">.4-2 </w:t>
      </w:r>
      <w:r>
        <w:rPr>
          <w:rFonts w:hint="eastAsia" w:ascii="黑体" w:hAnsi="黑体" w:eastAsia="黑体" w:cs="黑体"/>
          <w:b w:val="0"/>
          <w:bCs/>
          <w:color w:val="auto"/>
          <w:kern w:val="0"/>
          <w:sz w:val="24"/>
          <w:highlight w:val="none"/>
        </w:rPr>
        <w:t>声环境预测结果等值线图</w:t>
      </w:r>
    </w:p>
    <w:p w14:paraId="22159A1E">
      <w:pPr>
        <w:pStyle w:val="28"/>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highlight w:val="none"/>
        </w:rPr>
      </w:pPr>
      <w:r>
        <w:rPr>
          <w:highlight w:val="none"/>
        </w:rPr>
        <w:t>由预测结果可知，各个高噪声设备昼夜在厂界预测值满足《工业企业厂界环境噪声排放标准》（GB12348-2008）表1中</w:t>
      </w:r>
      <w:r>
        <w:rPr>
          <w:rFonts w:hint="eastAsia"/>
          <w:highlight w:val="none"/>
          <w:lang w:val="en-US" w:eastAsia="zh-CN"/>
        </w:rPr>
        <w:t>2类和4类</w:t>
      </w:r>
      <w:r>
        <w:rPr>
          <w:highlight w:val="none"/>
        </w:rPr>
        <w:t>标准要求，运营期各侧厂界噪声排放达标，</w:t>
      </w:r>
      <w:r>
        <w:rPr>
          <w:rFonts w:hint="eastAsia"/>
          <w:highlight w:val="none"/>
          <w:lang w:val="en-US" w:eastAsia="zh-CN"/>
        </w:rPr>
        <w:t>敏感点</w:t>
      </w:r>
      <w:r>
        <w:rPr>
          <w:rFonts w:hint="eastAsia"/>
          <w:highlight w:val="none"/>
        </w:rPr>
        <w:t>声环境质量能够满足《声环境质量标准》（GB3096-2008）2类标准限值。</w:t>
      </w:r>
      <w:r>
        <w:rPr>
          <w:highlight w:val="none"/>
        </w:rPr>
        <w:t>本项目运行期产生的噪声对声环境质量影响较小。</w:t>
      </w:r>
    </w:p>
    <w:p w14:paraId="38739702">
      <w:pPr>
        <w:pStyle w:val="5"/>
        <w:bidi w:val="0"/>
        <w:ind w:left="0" w:leftChars="0" w:firstLine="0" w:firstLineChars="0"/>
        <w:rPr>
          <w:rFonts w:hint="eastAsia" w:ascii="Times New Roman" w:hAnsi="Times New Roman" w:eastAsia="宋体" w:cs="Times New Roman"/>
          <w:sz w:val="30"/>
          <w:szCs w:val="30"/>
          <w:highlight w:val="none"/>
          <w:lang w:val="en-US" w:eastAsia="zh-CN"/>
        </w:rPr>
      </w:pPr>
      <w:bookmarkStart w:id="142" w:name="_Toc29140"/>
      <w:r>
        <w:rPr>
          <w:rFonts w:hint="eastAsia" w:ascii="Times New Roman" w:hAnsi="Times New Roman" w:eastAsia="宋体" w:cs="Times New Roman"/>
          <w:sz w:val="30"/>
          <w:szCs w:val="30"/>
          <w:highlight w:val="none"/>
          <w:lang w:val="en-US" w:eastAsia="zh-CN"/>
        </w:rPr>
        <w:t>5.4.</w:t>
      </w:r>
      <w:r>
        <w:rPr>
          <w:rFonts w:hint="eastAsia" w:ascii="Times New Roman" w:hAnsi="Times New Roman" w:cs="Times New Roman"/>
          <w:sz w:val="30"/>
          <w:szCs w:val="30"/>
          <w:highlight w:val="none"/>
          <w:lang w:val="en-US" w:eastAsia="zh-CN"/>
        </w:rPr>
        <w:t>6</w:t>
      </w:r>
      <w:r>
        <w:rPr>
          <w:rFonts w:hint="eastAsia" w:ascii="Times New Roman" w:hAnsi="Times New Roman" w:eastAsia="宋体" w:cs="Times New Roman"/>
          <w:sz w:val="30"/>
          <w:szCs w:val="30"/>
          <w:highlight w:val="none"/>
          <w:lang w:val="en-US" w:eastAsia="zh-CN"/>
        </w:rPr>
        <w:t>声环境影响评价结论</w:t>
      </w:r>
      <w:bookmarkEnd w:id="142"/>
    </w:p>
    <w:p w14:paraId="09C908DC">
      <w:pPr>
        <w:rPr>
          <w:rFonts w:ascii="Times New Roman" w:hAnsi="Times New Roman"/>
          <w:highlight w:val="none"/>
        </w:rPr>
      </w:pPr>
      <w:r>
        <w:rPr>
          <w:rFonts w:ascii="Times New Roman" w:hAnsi="Times New Roman"/>
          <w:highlight w:val="none"/>
        </w:rPr>
        <w:t>项目运行期，在厂界昼间、夜间预测值满足《工业企业厂界环境噪声排放标准》（GB12348-2008）表1中</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4类和</w:t>
      </w:r>
      <w:r>
        <w:rPr>
          <w:rFonts w:ascii="Times New Roman" w:hAnsi="Times New Roman"/>
          <w:highlight w:val="none"/>
        </w:rPr>
        <w:t>标准要求。因此，从声环境影响的角度分析，本工程的建设是可行的。本项目夜间不安排运输，当白天运输车经过居民区时，运输车辆应采取限制车速、禁鸣等措施，可有效降低运输车辆噪声对道路两侧居民的影响。运输噪声影响相对较小，可以接受。</w:t>
      </w:r>
    </w:p>
    <w:p w14:paraId="611B3A51">
      <w:pPr>
        <w:pStyle w:val="4"/>
        <w:bidi w:val="0"/>
        <w:ind w:left="0" w:leftChars="0" w:firstLine="0" w:firstLineChars="0"/>
        <w:rPr>
          <w:rFonts w:hint="default" w:ascii="Times New Roman" w:hAnsi="Times New Roman" w:cs="Times New Roman"/>
          <w:highlight w:val="none"/>
          <w:lang w:val="en-US" w:eastAsia="zh-CN"/>
        </w:rPr>
      </w:pPr>
      <w:bookmarkStart w:id="143" w:name="_Toc31291"/>
      <w:r>
        <w:rPr>
          <w:rFonts w:hint="eastAsia" w:ascii="Times New Roman" w:hAnsi="Times New Roman" w:cs="Times New Roman"/>
          <w:highlight w:val="none"/>
          <w:lang w:val="en-US" w:eastAsia="zh-CN"/>
        </w:rPr>
        <w:t>5.5固废影响</w:t>
      </w:r>
      <w:bookmarkEnd w:id="143"/>
    </w:p>
    <w:p w14:paraId="642DD987">
      <w:pPr>
        <w:ind w:firstLine="480"/>
        <w:rPr>
          <w:rFonts w:ascii="Times New Roman" w:hAnsi="Times New Roman"/>
          <w:highlight w:val="none"/>
        </w:rPr>
      </w:pPr>
      <w:r>
        <w:rPr>
          <w:rFonts w:ascii="Times New Roman" w:hAnsi="Times New Roman"/>
          <w:highlight w:val="none"/>
        </w:rPr>
        <w:t>本项目锅炉灰渣产生量为</w:t>
      </w:r>
      <w:r>
        <w:rPr>
          <w:rFonts w:hint="eastAsia" w:ascii="Times New Roman" w:hAnsi="Times New Roman"/>
          <w:highlight w:val="none"/>
          <w:lang w:val="en-US" w:eastAsia="zh-CN"/>
        </w:rPr>
        <w:t>31970.6</w:t>
      </w:r>
      <w:r>
        <w:rPr>
          <w:rFonts w:ascii="Times New Roman" w:hAnsi="Times New Roman"/>
          <w:highlight w:val="none"/>
        </w:rPr>
        <w:t>吨/a，</w:t>
      </w:r>
      <w:r>
        <w:rPr>
          <w:rFonts w:hint="eastAsia" w:ascii="Times New Roman" w:hAnsi="Times New Roman"/>
          <w:highlight w:val="none"/>
          <w:lang w:val="en-US" w:eastAsia="zh-CN"/>
        </w:rPr>
        <w:t>用于采矿区回填</w:t>
      </w:r>
      <w:r>
        <w:rPr>
          <w:rFonts w:ascii="Times New Roman" w:hAnsi="Times New Roman"/>
          <w:highlight w:val="none"/>
        </w:rPr>
        <w:t>。</w:t>
      </w:r>
    </w:p>
    <w:p w14:paraId="116A8AD2">
      <w:pPr>
        <w:ind w:firstLine="480"/>
        <w:rPr>
          <w:rFonts w:ascii="Times New Roman" w:hAnsi="Times New Roman"/>
          <w:highlight w:val="none"/>
        </w:rPr>
      </w:pPr>
      <w:r>
        <w:rPr>
          <w:rFonts w:ascii="Times New Roman" w:hAnsi="Times New Roman"/>
          <w:highlight w:val="none"/>
        </w:rPr>
        <w:t>本项目灰渣在冬季利用不畅（运输或利用途径不畅）情况下，为防止灰渣无序堆放，项目产生的锅炉灰渣</w:t>
      </w:r>
      <w:r>
        <w:rPr>
          <w:rFonts w:hint="eastAsia" w:ascii="Times New Roman" w:hAnsi="Times New Roman"/>
          <w:highlight w:val="none"/>
          <w:lang w:val="en-US" w:eastAsia="zh-CN"/>
        </w:rPr>
        <w:t>在厂区</w:t>
      </w:r>
      <w:r>
        <w:rPr>
          <w:rFonts w:ascii="Times New Roman" w:hAnsi="Times New Roman"/>
          <w:highlight w:val="none"/>
        </w:rPr>
        <w:t>临时贮存，</w:t>
      </w:r>
      <w:r>
        <w:rPr>
          <w:rFonts w:hint="eastAsia" w:ascii="Times New Roman" w:hAnsi="Times New Roman"/>
          <w:highlight w:val="none"/>
          <w:lang w:val="en-US" w:eastAsia="zh-CN"/>
        </w:rPr>
        <w:t>厂区临时贮存</w:t>
      </w:r>
      <w:r>
        <w:rPr>
          <w:rFonts w:ascii="Times New Roman" w:hAnsi="Times New Roman"/>
          <w:highlight w:val="none"/>
        </w:rPr>
        <w:t>能够满足本项目事故情况下的临时灰渣贮存需求。</w:t>
      </w:r>
    </w:p>
    <w:p w14:paraId="451D1EE8">
      <w:pPr>
        <w:ind w:firstLine="480"/>
        <w:rPr>
          <w:rFonts w:ascii="Times New Roman" w:hAnsi="Times New Roman"/>
          <w:highlight w:val="none"/>
        </w:rPr>
      </w:pPr>
      <w:r>
        <w:rPr>
          <w:rFonts w:ascii="Times New Roman" w:hAnsi="Times New Roman"/>
          <w:highlight w:val="none"/>
        </w:rPr>
        <w:t>本项目采用石灰石-石膏等湿法烟气脱硫工艺时，脱硫副产物为脱硫石膏，产生量为</w:t>
      </w:r>
      <w:r>
        <w:rPr>
          <w:rFonts w:hint="eastAsia" w:ascii="Times New Roman" w:hAnsi="Times New Roman"/>
          <w:highlight w:val="none"/>
          <w:lang w:val="en-US" w:eastAsia="zh-CN"/>
        </w:rPr>
        <w:t>502.549</w:t>
      </w:r>
      <w:r>
        <w:rPr>
          <w:rFonts w:ascii="Times New Roman" w:hAnsi="Times New Roman"/>
          <w:highlight w:val="none"/>
        </w:rPr>
        <w:t>t/a，</w:t>
      </w:r>
      <w:r>
        <w:rPr>
          <w:rFonts w:hint="eastAsia" w:ascii="Times New Roman" w:hAnsi="Times New Roman"/>
          <w:highlight w:val="none"/>
          <w:lang w:val="en-US" w:eastAsia="zh-CN"/>
        </w:rPr>
        <w:t>用于采矿区回填</w:t>
      </w:r>
      <w:r>
        <w:rPr>
          <w:rFonts w:ascii="Times New Roman" w:hAnsi="Times New Roman"/>
          <w:highlight w:val="none"/>
        </w:rPr>
        <w:t>。</w:t>
      </w:r>
    </w:p>
    <w:p w14:paraId="2CF00B34">
      <w:pPr>
        <w:ind w:firstLine="480"/>
        <w:rPr>
          <w:rFonts w:ascii="Times New Roman" w:hAnsi="Times New Roman"/>
          <w:highlight w:val="none"/>
        </w:rPr>
      </w:pPr>
      <w:r>
        <w:rPr>
          <w:rFonts w:ascii="Times New Roman" w:hAnsi="Times New Roman"/>
          <w:highlight w:val="none"/>
        </w:rPr>
        <w:t>运行期间产生的废离子交换树脂</w:t>
      </w:r>
      <w:r>
        <w:rPr>
          <w:rFonts w:hint="eastAsia" w:ascii="Times New Roman" w:hAnsi="Times New Roman"/>
          <w:highlight w:val="none"/>
          <w:lang w:val="en-US" w:eastAsia="zh-CN"/>
        </w:rPr>
        <w:t>及反渗透膜</w:t>
      </w:r>
      <w:r>
        <w:rPr>
          <w:rFonts w:ascii="Times New Roman" w:hAnsi="Times New Roman"/>
          <w:highlight w:val="none"/>
        </w:rPr>
        <w:t>由</w:t>
      </w:r>
      <w:r>
        <w:rPr>
          <w:rFonts w:hint="eastAsia" w:ascii="Times New Roman" w:hAnsi="Times New Roman"/>
          <w:highlight w:val="none"/>
          <w:lang w:val="en-US" w:eastAsia="zh-CN"/>
        </w:rPr>
        <w:t>设备厂家回收处置</w:t>
      </w:r>
      <w:r>
        <w:rPr>
          <w:rFonts w:ascii="Times New Roman" w:hAnsi="Times New Roman"/>
          <w:highlight w:val="none"/>
        </w:rPr>
        <w:t>。</w:t>
      </w:r>
    </w:p>
    <w:p w14:paraId="6135EF2A">
      <w:pPr>
        <w:ind w:firstLine="480"/>
        <w:rPr>
          <w:rFonts w:ascii="Times New Roman" w:hAnsi="Times New Roman"/>
          <w:highlight w:val="none"/>
        </w:rPr>
      </w:pPr>
      <w:r>
        <w:rPr>
          <w:rFonts w:ascii="Times New Roman" w:hAnsi="Times New Roman"/>
          <w:highlight w:val="none"/>
        </w:rPr>
        <w:t>本项目生活垃圾由市政部门统一收集处理。综上所述，本项目固体废物不会对外环境产生影响。</w:t>
      </w:r>
    </w:p>
    <w:p w14:paraId="77EE4550">
      <w:pPr>
        <w:ind w:firstLine="480"/>
        <w:rPr>
          <w:rFonts w:hint="eastAsia" w:ascii="Times New Roman" w:hAnsi="Times New Roman" w:eastAsia="宋体"/>
          <w:highlight w:val="none"/>
          <w:lang w:eastAsia="zh-CN"/>
        </w:rPr>
      </w:pPr>
      <w:r>
        <w:rPr>
          <w:rFonts w:ascii="Times New Roman" w:hAnsi="Times New Roman"/>
          <w:highlight w:val="none"/>
        </w:rPr>
        <w:t>废催化剂</w:t>
      </w:r>
      <w:r>
        <w:rPr>
          <w:rFonts w:hint="eastAsia" w:ascii="Times New Roman" w:hAnsi="Times New Roman"/>
          <w:highlight w:val="none"/>
          <w:lang w:eastAsia="zh-CN"/>
        </w:rPr>
        <w:t>、</w:t>
      </w:r>
      <w:r>
        <w:rPr>
          <w:rFonts w:hint="eastAsia" w:ascii="Times New Roman" w:hAnsi="Times New Roman"/>
          <w:highlight w:val="none"/>
          <w:lang w:val="en-US" w:eastAsia="zh-CN"/>
        </w:rPr>
        <w:t>废机油</w:t>
      </w:r>
      <w:r>
        <w:rPr>
          <w:rFonts w:ascii="Times New Roman" w:hAnsi="Times New Roman"/>
          <w:highlight w:val="none"/>
        </w:rPr>
        <w:t>属于危险废物，依托现有危废</w:t>
      </w:r>
      <w:r>
        <w:rPr>
          <w:rFonts w:hint="eastAsia" w:ascii="Times New Roman" w:hAnsi="Times New Roman"/>
          <w:highlight w:val="none"/>
          <w:lang w:val="en-US" w:eastAsia="zh-CN"/>
        </w:rPr>
        <w:t>贮存点</w:t>
      </w:r>
      <w:r>
        <w:rPr>
          <w:rFonts w:ascii="Times New Roman" w:hAnsi="Times New Roman"/>
          <w:highlight w:val="none"/>
        </w:rPr>
        <w:t>暂存后委托有危废处理资质的单位统一处理。本项目</w:t>
      </w:r>
      <w:r>
        <w:rPr>
          <w:rFonts w:hint="eastAsia" w:ascii="Times New Roman" w:hAnsi="Times New Roman"/>
          <w:highlight w:val="none"/>
        </w:rPr>
        <w:t>现有</w:t>
      </w:r>
      <w:r>
        <w:rPr>
          <w:rFonts w:hint="eastAsia" w:ascii="Times New Roman" w:hAnsi="Times New Roman"/>
          <w:highlight w:val="none"/>
          <w:lang w:val="en-US" w:eastAsia="zh-CN"/>
        </w:rPr>
        <w:t>危废贮存点</w:t>
      </w:r>
      <w:r>
        <w:rPr>
          <w:rFonts w:ascii="Times New Roman" w:hAnsi="Times New Roman"/>
          <w:highlight w:val="none"/>
        </w:rPr>
        <w:t>建筑面积10m</w:t>
      </w:r>
      <w:r>
        <w:rPr>
          <w:rFonts w:ascii="Times New Roman" w:hAnsi="Times New Roman"/>
          <w:highlight w:val="none"/>
          <w:vertAlign w:val="superscript"/>
        </w:rPr>
        <w:t>2</w:t>
      </w:r>
      <w:r>
        <w:rPr>
          <w:rFonts w:ascii="Times New Roman" w:hAnsi="Times New Roman"/>
          <w:highlight w:val="none"/>
        </w:rPr>
        <w:t>，贮存量可满足全厂</w:t>
      </w:r>
      <w:r>
        <w:rPr>
          <w:rFonts w:hint="eastAsia" w:ascii="Times New Roman" w:hAnsi="Times New Roman"/>
          <w:highlight w:val="none"/>
        </w:rPr>
        <w:t>一年的</w:t>
      </w:r>
      <w:r>
        <w:rPr>
          <w:rFonts w:ascii="Times New Roman" w:hAnsi="Times New Roman"/>
          <w:highlight w:val="none"/>
        </w:rPr>
        <w:t>贮存需求，远大于正常情况所需贮存能力。</w:t>
      </w:r>
      <w:r>
        <w:rPr>
          <w:rFonts w:hint="eastAsia" w:ascii="Times New Roman" w:hAnsi="Times New Roman"/>
          <w:color w:val="auto"/>
          <w:highlight w:val="none"/>
        </w:rPr>
        <w:t>根据《建设项目危险废物环境影响评价指南》要求，按照《危险废物贮存污染控制标准》要求，危险废物暂存后委托有危废处理资质单位统一处理。本项目</w:t>
      </w:r>
      <w:r>
        <w:rPr>
          <w:rFonts w:hint="eastAsia" w:ascii="Times New Roman" w:hAnsi="Times New Roman"/>
          <w:color w:val="auto"/>
          <w:highlight w:val="none"/>
          <w:lang w:eastAsia="zh-CN"/>
        </w:rPr>
        <w:t>危废贮存点</w:t>
      </w:r>
      <w:r>
        <w:rPr>
          <w:rFonts w:hint="eastAsia" w:ascii="Times New Roman" w:hAnsi="Times New Roman"/>
          <w:color w:val="auto"/>
          <w:highlight w:val="none"/>
        </w:rPr>
        <w:t>的贮存能力能够满足危险废物的贮存要求，</w:t>
      </w:r>
      <w:r>
        <w:rPr>
          <w:rFonts w:hint="eastAsia" w:ascii="Times New Roman" w:hAnsi="Times New Roman"/>
          <w:color w:val="auto"/>
          <w:highlight w:val="none"/>
          <w:lang w:eastAsia="zh-CN"/>
        </w:rPr>
        <w:t>危废贮存点</w:t>
      </w:r>
      <w:r>
        <w:rPr>
          <w:rFonts w:hint="eastAsia" w:ascii="Times New Roman" w:hAnsi="Times New Roman"/>
          <w:color w:val="auto"/>
          <w:highlight w:val="none"/>
        </w:rPr>
        <w:t>做好基础防渗工作；贮存过程中使用符合标准的容器盛装危险废物，装载危险废物的容器及材质要满足相应的强度要求；保存好危险废物情况的记录，记录上须注明危险废物的名称、来源、数量、特性和包装容器的类别、入库日期、存放库位、废物出库日期及接收单位名称。确保危险废物不非法流失，合法利用或处置；</w:t>
      </w:r>
      <w:r>
        <w:rPr>
          <w:rFonts w:hint="eastAsia" w:ascii="Times New Roman" w:hAnsi="Times New Roman"/>
          <w:color w:val="auto"/>
          <w:highlight w:val="none"/>
          <w:lang w:eastAsia="zh-CN"/>
        </w:rPr>
        <w:t>危废贮存点</w:t>
      </w:r>
      <w:r>
        <w:rPr>
          <w:rFonts w:hint="eastAsia" w:ascii="Times New Roman" w:hAnsi="Times New Roman"/>
          <w:color w:val="auto"/>
          <w:highlight w:val="none"/>
        </w:rPr>
        <w:t>贮存多种危险废物的，应根据本项目所产生的危险废物类别和性质进行分类贮存。通过采取上述措施后能够预防危险废物对环境的影响</w:t>
      </w:r>
      <w:r>
        <w:rPr>
          <w:rFonts w:hint="eastAsia" w:ascii="Times New Roman" w:hAnsi="Times New Roman"/>
          <w:color w:val="auto"/>
          <w:highlight w:val="none"/>
          <w:lang w:eastAsia="zh-CN"/>
        </w:rPr>
        <w:t>。</w:t>
      </w:r>
    </w:p>
    <w:p w14:paraId="259A72BE">
      <w:pPr>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ascii="Times New Roman" w:hAnsi="Times New Roman"/>
          <w:color w:val="auto"/>
          <w:highlight w:val="none"/>
        </w:rPr>
        <w:t>5</w:t>
      </w:r>
      <w:r>
        <w:rPr>
          <w:rFonts w:hint="eastAsia" w:ascii="Times New Roman" w:hAnsi="Times New Roman"/>
          <w:color w:val="auto"/>
          <w:highlight w:val="none"/>
        </w:rPr>
        <w:t>.</w:t>
      </w:r>
      <w:r>
        <w:rPr>
          <w:rFonts w:ascii="Times New Roman" w:hAnsi="Times New Roman"/>
          <w:color w:val="auto"/>
          <w:highlight w:val="none"/>
        </w:rPr>
        <w:t xml:space="preserve">5-1 </w:t>
      </w:r>
      <w:r>
        <w:rPr>
          <w:rFonts w:hint="eastAsia" w:ascii="黑体" w:hAnsi="黑体" w:eastAsia="黑体" w:cs="黑体"/>
          <w:color w:val="auto"/>
          <w:highlight w:val="none"/>
        </w:rPr>
        <w:t>本项目危险废物产生量及处置方式</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2"/>
        <w:gridCol w:w="666"/>
        <w:gridCol w:w="777"/>
        <w:gridCol w:w="1074"/>
        <w:gridCol w:w="707"/>
        <w:gridCol w:w="707"/>
        <w:gridCol w:w="424"/>
        <w:gridCol w:w="850"/>
        <w:gridCol w:w="849"/>
        <w:gridCol w:w="568"/>
        <w:gridCol w:w="568"/>
        <w:gridCol w:w="900"/>
      </w:tblGrid>
      <w:tr w14:paraId="57F0F04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95" w:hRule="atLeast"/>
        </w:trPr>
        <w:tc>
          <w:tcPr>
            <w:tcW w:w="253" w:type="pct"/>
            <w:noWrap w:val="0"/>
            <w:vAlign w:val="center"/>
          </w:tcPr>
          <w:p w14:paraId="4E196C48">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序号</w:t>
            </w:r>
          </w:p>
        </w:tc>
        <w:tc>
          <w:tcPr>
            <w:tcW w:w="391" w:type="pct"/>
            <w:noWrap w:val="0"/>
            <w:vAlign w:val="center"/>
          </w:tcPr>
          <w:p w14:paraId="37CA56C4">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危险废物名称</w:t>
            </w:r>
          </w:p>
        </w:tc>
        <w:tc>
          <w:tcPr>
            <w:tcW w:w="456" w:type="pct"/>
            <w:noWrap w:val="0"/>
            <w:vAlign w:val="center"/>
          </w:tcPr>
          <w:p w14:paraId="236867C3">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危险废物类别</w:t>
            </w:r>
          </w:p>
        </w:tc>
        <w:tc>
          <w:tcPr>
            <w:tcW w:w="630" w:type="pct"/>
            <w:noWrap w:val="0"/>
            <w:vAlign w:val="center"/>
          </w:tcPr>
          <w:p w14:paraId="45C0F4DC">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危险废物代码</w:t>
            </w:r>
          </w:p>
        </w:tc>
        <w:tc>
          <w:tcPr>
            <w:tcW w:w="415" w:type="pct"/>
            <w:noWrap w:val="0"/>
            <w:vAlign w:val="center"/>
          </w:tcPr>
          <w:p w14:paraId="24F38C79">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产生量 (t/a)</w:t>
            </w:r>
          </w:p>
        </w:tc>
        <w:tc>
          <w:tcPr>
            <w:tcW w:w="415" w:type="pct"/>
            <w:noWrap w:val="0"/>
            <w:vAlign w:val="center"/>
          </w:tcPr>
          <w:p w14:paraId="55D61253">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产生工序及装置</w:t>
            </w:r>
          </w:p>
        </w:tc>
        <w:tc>
          <w:tcPr>
            <w:tcW w:w="249" w:type="pct"/>
            <w:noWrap w:val="0"/>
            <w:vAlign w:val="center"/>
          </w:tcPr>
          <w:p w14:paraId="63A6511A">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形态</w:t>
            </w:r>
          </w:p>
        </w:tc>
        <w:tc>
          <w:tcPr>
            <w:tcW w:w="499" w:type="pct"/>
            <w:noWrap w:val="0"/>
            <w:vAlign w:val="center"/>
          </w:tcPr>
          <w:p w14:paraId="2AC1A809">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主要成分</w:t>
            </w:r>
          </w:p>
        </w:tc>
        <w:tc>
          <w:tcPr>
            <w:tcW w:w="498" w:type="pct"/>
            <w:noWrap w:val="0"/>
            <w:vAlign w:val="center"/>
          </w:tcPr>
          <w:p w14:paraId="6BA1D89F">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有害成分</w:t>
            </w:r>
          </w:p>
        </w:tc>
        <w:tc>
          <w:tcPr>
            <w:tcW w:w="333" w:type="pct"/>
            <w:noWrap w:val="0"/>
            <w:vAlign w:val="center"/>
          </w:tcPr>
          <w:p w14:paraId="76C7E750">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产废</w:t>
            </w:r>
          </w:p>
          <w:p w14:paraId="5E85C1AE">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周期</w:t>
            </w:r>
          </w:p>
        </w:tc>
        <w:tc>
          <w:tcPr>
            <w:tcW w:w="333" w:type="pct"/>
            <w:noWrap w:val="0"/>
            <w:vAlign w:val="center"/>
          </w:tcPr>
          <w:p w14:paraId="1F043800">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危险特性</w:t>
            </w:r>
          </w:p>
        </w:tc>
        <w:tc>
          <w:tcPr>
            <w:tcW w:w="529" w:type="pct"/>
            <w:noWrap w:val="0"/>
            <w:vAlign w:val="center"/>
          </w:tcPr>
          <w:p w14:paraId="035886BE">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污染防治措施</w:t>
            </w:r>
          </w:p>
        </w:tc>
      </w:tr>
      <w:tr w14:paraId="035C56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58" w:hRule="atLeast"/>
        </w:trPr>
        <w:tc>
          <w:tcPr>
            <w:tcW w:w="253" w:type="pct"/>
            <w:noWrap w:val="0"/>
            <w:vAlign w:val="center"/>
          </w:tcPr>
          <w:p w14:paraId="4E12773E">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1</w:t>
            </w:r>
          </w:p>
        </w:tc>
        <w:tc>
          <w:tcPr>
            <w:tcW w:w="391" w:type="pct"/>
            <w:noWrap w:val="0"/>
            <w:vAlign w:val="center"/>
          </w:tcPr>
          <w:p w14:paraId="666137BF">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废脱硝催化剂</w:t>
            </w:r>
          </w:p>
        </w:tc>
        <w:tc>
          <w:tcPr>
            <w:tcW w:w="456" w:type="pct"/>
            <w:noWrap w:val="0"/>
            <w:vAlign w:val="center"/>
          </w:tcPr>
          <w:p w14:paraId="0CB26F04">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HW50</w:t>
            </w:r>
          </w:p>
        </w:tc>
        <w:tc>
          <w:tcPr>
            <w:tcW w:w="630" w:type="pct"/>
            <w:noWrap w:val="0"/>
            <w:vAlign w:val="center"/>
          </w:tcPr>
          <w:p w14:paraId="6D4FED52">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772-007-50</w:t>
            </w:r>
          </w:p>
        </w:tc>
        <w:tc>
          <w:tcPr>
            <w:tcW w:w="415" w:type="pct"/>
            <w:noWrap w:val="0"/>
            <w:vAlign w:val="center"/>
          </w:tcPr>
          <w:p w14:paraId="6A29DB99">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10m</w:t>
            </w:r>
            <w:r>
              <w:rPr>
                <w:rFonts w:ascii="Times New Roman" w:hAnsi="Times New Roman"/>
                <w:color w:val="auto"/>
                <w:sz w:val="21"/>
                <w:highlight w:val="none"/>
                <w:vertAlign w:val="superscript"/>
              </w:rPr>
              <w:t>3</w:t>
            </w:r>
            <w:r>
              <w:rPr>
                <w:rFonts w:ascii="Times New Roman" w:hAnsi="Times New Roman"/>
                <w:color w:val="auto"/>
                <w:sz w:val="21"/>
                <w:highlight w:val="none"/>
              </w:rPr>
              <w:t>/3a</w:t>
            </w:r>
          </w:p>
        </w:tc>
        <w:tc>
          <w:tcPr>
            <w:tcW w:w="415" w:type="pct"/>
            <w:noWrap w:val="0"/>
            <w:vAlign w:val="center"/>
          </w:tcPr>
          <w:p w14:paraId="5489CA5B">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脱硝系统</w:t>
            </w:r>
          </w:p>
        </w:tc>
        <w:tc>
          <w:tcPr>
            <w:tcW w:w="249" w:type="pct"/>
            <w:noWrap w:val="0"/>
            <w:vAlign w:val="center"/>
          </w:tcPr>
          <w:p w14:paraId="6621FDA3">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固态</w:t>
            </w:r>
          </w:p>
        </w:tc>
        <w:tc>
          <w:tcPr>
            <w:tcW w:w="499" w:type="pct"/>
            <w:noWrap w:val="0"/>
            <w:vAlign w:val="center"/>
          </w:tcPr>
          <w:p w14:paraId="648523C2">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V</w:t>
            </w:r>
            <w:r>
              <w:rPr>
                <w:rFonts w:ascii="Times New Roman" w:hAnsi="Times New Roman"/>
                <w:color w:val="auto"/>
                <w:sz w:val="21"/>
                <w:highlight w:val="none"/>
                <w:vertAlign w:val="subscript"/>
              </w:rPr>
              <w:t>2</w:t>
            </w:r>
            <w:r>
              <w:rPr>
                <w:rFonts w:ascii="Times New Roman" w:hAnsi="Times New Roman"/>
                <w:color w:val="auto"/>
                <w:sz w:val="21"/>
                <w:highlight w:val="none"/>
              </w:rPr>
              <w:t>O</w:t>
            </w:r>
            <w:r>
              <w:rPr>
                <w:rFonts w:ascii="Times New Roman" w:hAnsi="Times New Roman"/>
                <w:color w:val="auto"/>
                <w:sz w:val="21"/>
                <w:highlight w:val="none"/>
                <w:vertAlign w:val="subscript"/>
              </w:rPr>
              <w:t>5</w:t>
            </w:r>
            <w:r>
              <w:rPr>
                <w:rFonts w:ascii="Times New Roman" w:hAnsi="Times New Roman"/>
                <w:color w:val="auto"/>
                <w:sz w:val="21"/>
                <w:highlight w:val="none"/>
              </w:rPr>
              <w:t>、WO</w:t>
            </w:r>
            <w:r>
              <w:rPr>
                <w:rFonts w:ascii="Times New Roman" w:hAnsi="Times New Roman"/>
                <w:color w:val="auto"/>
                <w:sz w:val="21"/>
                <w:highlight w:val="none"/>
                <w:vertAlign w:val="subscript"/>
              </w:rPr>
              <w:t>3</w:t>
            </w:r>
            <w:r>
              <w:rPr>
                <w:rFonts w:ascii="Times New Roman" w:hAnsi="Times New Roman"/>
                <w:color w:val="auto"/>
                <w:sz w:val="21"/>
                <w:highlight w:val="none"/>
              </w:rPr>
              <w:t>、TiO</w:t>
            </w:r>
            <w:r>
              <w:rPr>
                <w:rFonts w:ascii="Times New Roman" w:hAnsi="Times New Roman"/>
                <w:color w:val="auto"/>
                <w:sz w:val="21"/>
                <w:highlight w:val="none"/>
                <w:vertAlign w:val="subscript"/>
              </w:rPr>
              <w:t>2</w:t>
            </w:r>
          </w:p>
        </w:tc>
        <w:tc>
          <w:tcPr>
            <w:tcW w:w="498" w:type="pct"/>
            <w:noWrap w:val="0"/>
            <w:vAlign w:val="center"/>
          </w:tcPr>
          <w:p w14:paraId="31DE2738">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V</w:t>
            </w:r>
            <w:r>
              <w:rPr>
                <w:rFonts w:ascii="Times New Roman" w:hAnsi="Times New Roman"/>
                <w:color w:val="auto"/>
                <w:sz w:val="21"/>
                <w:highlight w:val="none"/>
                <w:vertAlign w:val="subscript"/>
              </w:rPr>
              <w:t>2</w:t>
            </w:r>
            <w:r>
              <w:rPr>
                <w:rFonts w:ascii="Times New Roman" w:hAnsi="Times New Roman"/>
                <w:color w:val="auto"/>
                <w:sz w:val="21"/>
                <w:highlight w:val="none"/>
              </w:rPr>
              <w:t>O</w:t>
            </w:r>
            <w:r>
              <w:rPr>
                <w:rFonts w:ascii="Times New Roman" w:hAnsi="Times New Roman"/>
                <w:color w:val="auto"/>
                <w:sz w:val="21"/>
                <w:highlight w:val="none"/>
                <w:vertAlign w:val="subscript"/>
              </w:rPr>
              <w:t>5</w:t>
            </w:r>
            <w:r>
              <w:rPr>
                <w:rFonts w:ascii="Times New Roman" w:hAnsi="Times New Roman"/>
                <w:color w:val="auto"/>
                <w:sz w:val="21"/>
                <w:highlight w:val="none"/>
              </w:rPr>
              <w:t>、WO</w:t>
            </w:r>
            <w:r>
              <w:rPr>
                <w:rFonts w:ascii="Times New Roman" w:hAnsi="Times New Roman"/>
                <w:color w:val="auto"/>
                <w:sz w:val="21"/>
                <w:highlight w:val="none"/>
                <w:vertAlign w:val="subscript"/>
              </w:rPr>
              <w:t>3</w:t>
            </w:r>
            <w:r>
              <w:rPr>
                <w:rFonts w:ascii="Times New Roman" w:hAnsi="Times New Roman"/>
                <w:color w:val="auto"/>
                <w:sz w:val="21"/>
                <w:highlight w:val="none"/>
              </w:rPr>
              <w:t>、TiO</w:t>
            </w:r>
            <w:r>
              <w:rPr>
                <w:rFonts w:ascii="Times New Roman" w:hAnsi="Times New Roman"/>
                <w:color w:val="auto"/>
                <w:sz w:val="21"/>
                <w:highlight w:val="none"/>
                <w:vertAlign w:val="subscript"/>
              </w:rPr>
              <w:t>2</w:t>
            </w:r>
          </w:p>
        </w:tc>
        <w:tc>
          <w:tcPr>
            <w:tcW w:w="333" w:type="pct"/>
            <w:noWrap w:val="0"/>
            <w:vAlign w:val="center"/>
          </w:tcPr>
          <w:p w14:paraId="17FC15BE">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每3年</w:t>
            </w:r>
          </w:p>
        </w:tc>
        <w:tc>
          <w:tcPr>
            <w:tcW w:w="333" w:type="pct"/>
            <w:noWrap w:val="0"/>
            <w:vAlign w:val="center"/>
          </w:tcPr>
          <w:p w14:paraId="26AA3199">
            <w:pPr>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T</w:t>
            </w:r>
          </w:p>
        </w:tc>
        <w:tc>
          <w:tcPr>
            <w:tcW w:w="529" w:type="pct"/>
            <w:noWrap w:val="0"/>
            <w:vAlign w:val="center"/>
          </w:tcPr>
          <w:p w14:paraId="2125F5D3">
            <w:pPr>
              <w:spacing w:line="240" w:lineRule="auto"/>
              <w:ind w:firstLine="0" w:firstLineChars="0"/>
              <w:rPr>
                <w:rFonts w:ascii="Times New Roman" w:hAnsi="Times New Roman"/>
                <w:color w:val="auto"/>
                <w:sz w:val="21"/>
                <w:highlight w:val="none"/>
              </w:rPr>
            </w:pPr>
            <w:r>
              <w:rPr>
                <w:rFonts w:ascii="Times New Roman" w:hAnsi="Times New Roman"/>
                <w:color w:val="auto"/>
                <w:sz w:val="21"/>
                <w:highlight w:val="none"/>
              </w:rPr>
              <w:t>交有资质单位处置。</w:t>
            </w:r>
          </w:p>
        </w:tc>
      </w:tr>
      <w:tr w14:paraId="194A5A8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58" w:hRule="atLeast"/>
        </w:trPr>
        <w:tc>
          <w:tcPr>
            <w:tcW w:w="253" w:type="pct"/>
            <w:noWrap w:val="0"/>
            <w:vAlign w:val="center"/>
          </w:tcPr>
          <w:p w14:paraId="01E518BC">
            <w:pPr>
              <w:spacing w:line="240" w:lineRule="auto"/>
              <w:ind w:firstLine="0" w:firstLineChars="0"/>
              <w:jc w:val="center"/>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2</w:t>
            </w:r>
          </w:p>
        </w:tc>
        <w:tc>
          <w:tcPr>
            <w:tcW w:w="666" w:type="dxa"/>
            <w:noWrap w:val="0"/>
            <w:vAlign w:val="center"/>
          </w:tcPr>
          <w:p w14:paraId="3EA0FB93">
            <w:pPr>
              <w:spacing w:line="240" w:lineRule="auto"/>
              <w:ind w:firstLine="0" w:firstLineChars="0"/>
              <w:jc w:val="center"/>
              <w:rPr>
                <w:rFonts w:ascii="Times New Roman" w:hAnsi="Times New Roman"/>
                <w:color w:val="auto"/>
                <w:sz w:val="21"/>
                <w:highlight w:val="none"/>
              </w:rPr>
            </w:pPr>
            <w:r>
              <w:rPr>
                <w:rFonts w:hint="eastAsia" w:cs="Times New Roman"/>
                <w:color w:val="auto"/>
                <w:sz w:val="21"/>
                <w:highlight w:val="none"/>
                <w:lang w:val="en-US" w:eastAsia="zh-CN"/>
              </w:rPr>
              <w:t>废机油</w:t>
            </w:r>
          </w:p>
        </w:tc>
        <w:tc>
          <w:tcPr>
            <w:tcW w:w="777" w:type="dxa"/>
            <w:noWrap w:val="0"/>
            <w:vAlign w:val="center"/>
          </w:tcPr>
          <w:p w14:paraId="47528311">
            <w:pPr>
              <w:spacing w:line="240" w:lineRule="auto"/>
              <w:ind w:firstLine="0" w:firstLineChars="0"/>
              <w:jc w:val="center"/>
              <w:rPr>
                <w:rFonts w:ascii="Times New Roman" w:hAnsi="Times New Roman"/>
                <w:color w:val="auto"/>
                <w:sz w:val="21"/>
                <w:highlight w:val="none"/>
              </w:rPr>
            </w:pPr>
            <w:r>
              <w:rPr>
                <w:rFonts w:hint="eastAsia" w:ascii="Calibri" w:hAnsi="Calibri" w:cs="Times New Roman"/>
                <w:color w:val="auto"/>
                <w:sz w:val="21"/>
                <w:highlight w:val="none"/>
              </w:rPr>
              <w:t>H</w:t>
            </w:r>
            <w:r>
              <w:rPr>
                <w:rFonts w:ascii="Calibri" w:hAnsi="Calibri" w:cs="Times New Roman"/>
                <w:color w:val="auto"/>
                <w:sz w:val="21"/>
                <w:highlight w:val="none"/>
              </w:rPr>
              <w:t>W08</w:t>
            </w:r>
          </w:p>
        </w:tc>
        <w:tc>
          <w:tcPr>
            <w:tcW w:w="1074" w:type="dxa"/>
            <w:noWrap w:val="0"/>
            <w:vAlign w:val="center"/>
          </w:tcPr>
          <w:p w14:paraId="4FEA8E95">
            <w:pPr>
              <w:spacing w:line="240" w:lineRule="auto"/>
              <w:ind w:firstLine="0" w:firstLineChars="0"/>
              <w:jc w:val="center"/>
              <w:rPr>
                <w:rFonts w:ascii="Times New Roman" w:hAnsi="Times New Roman"/>
                <w:color w:val="auto"/>
                <w:sz w:val="21"/>
                <w:highlight w:val="none"/>
              </w:rPr>
            </w:pPr>
            <w:r>
              <w:rPr>
                <w:rFonts w:hint="eastAsia" w:ascii="Calibri" w:hAnsi="Calibri" w:cs="Times New Roman"/>
                <w:color w:val="auto"/>
                <w:sz w:val="21"/>
                <w:highlight w:val="none"/>
              </w:rPr>
              <w:t>9</w:t>
            </w:r>
            <w:r>
              <w:rPr>
                <w:rFonts w:ascii="Calibri" w:hAnsi="Calibri" w:cs="Times New Roman"/>
                <w:color w:val="auto"/>
                <w:sz w:val="21"/>
                <w:highlight w:val="none"/>
              </w:rPr>
              <w:t>00-214-08</w:t>
            </w:r>
          </w:p>
        </w:tc>
        <w:tc>
          <w:tcPr>
            <w:tcW w:w="415" w:type="pct"/>
            <w:noWrap w:val="0"/>
            <w:vAlign w:val="center"/>
          </w:tcPr>
          <w:p w14:paraId="7B1FC563">
            <w:pPr>
              <w:spacing w:line="240" w:lineRule="auto"/>
              <w:ind w:firstLine="0" w:firstLineChars="0"/>
              <w:jc w:val="center"/>
              <w:rPr>
                <w:rFonts w:hint="default"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0.2</w:t>
            </w:r>
          </w:p>
        </w:tc>
        <w:tc>
          <w:tcPr>
            <w:tcW w:w="415" w:type="pct"/>
            <w:noWrap w:val="0"/>
            <w:vAlign w:val="center"/>
          </w:tcPr>
          <w:p w14:paraId="767D3662">
            <w:pPr>
              <w:spacing w:line="240" w:lineRule="auto"/>
              <w:ind w:firstLine="0" w:firstLineChars="0"/>
              <w:jc w:val="center"/>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锅炉</w:t>
            </w:r>
          </w:p>
        </w:tc>
        <w:tc>
          <w:tcPr>
            <w:tcW w:w="249" w:type="pct"/>
            <w:noWrap w:val="0"/>
            <w:vAlign w:val="center"/>
          </w:tcPr>
          <w:p w14:paraId="28A25744">
            <w:pPr>
              <w:spacing w:line="240" w:lineRule="auto"/>
              <w:ind w:firstLine="0" w:firstLineChars="0"/>
              <w:jc w:val="center"/>
              <w:rPr>
                <w:rFonts w:hint="eastAsia" w:ascii="Times New Roman" w:hAnsi="Times New Roman" w:eastAsia="宋体"/>
                <w:color w:val="auto"/>
                <w:sz w:val="21"/>
                <w:highlight w:val="none"/>
                <w:lang w:val="en-US" w:eastAsia="zh-CN"/>
              </w:rPr>
            </w:pPr>
            <w:r>
              <w:rPr>
                <w:rFonts w:hint="eastAsia" w:ascii="Times New Roman" w:hAnsi="Times New Roman"/>
                <w:color w:val="auto"/>
                <w:sz w:val="21"/>
                <w:highlight w:val="none"/>
                <w:lang w:val="en-US" w:eastAsia="zh-CN"/>
              </w:rPr>
              <w:t>液态</w:t>
            </w:r>
          </w:p>
        </w:tc>
        <w:tc>
          <w:tcPr>
            <w:tcW w:w="850" w:type="dxa"/>
            <w:noWrap w:val="0"/>
            <w:vAlign w:val="center"/>
          </w:tcPr>
          <w:p w14:paraId="3D52D7AB">
            <w:pPr>
              <w:spacing w:line="240" w:lineRule="auto"/>
              <w:ind w:firstLine="0" w:firstLineChars="0"/>
              <w:jc w:val="center"/>
              <w:rPr>
                <w:rFonts w:hint="eastAsia" w:ascii="Times New Roman" w:hAnsi="Times New Roman" w:eastAsia="宋体"/>
                <w:color w:val="auto"/>
                <w:sz w:val="21"/>
                <w:highlight w:val="none"/>
                <w:lang w:val="en-US" w:eastAsia="zh-CN"/>
              </w:rPr>
            </w:pPr>
            <w:r>
              <w:rPr>
                <w:rFonts w:hint="eastAsia" w:cs="Times New Roman"/>
                <w:color w:val="auto"/>
                <w:sz w:val="21"/>
                <w:highlight w:val="none"/>
              </w:rPr>
              <w:t>烃类</w:t>
            </w:r>
          </w:p>
        </w:tc>
        <w:tc>
          <w:tcPr>
            <w:tcW w:w="849" w:type="dxa"/>
            <w:noWrap w:val="0"/>
            <w:vAlign w:val="center"/>
          </w:tcPr>
          <w:p w14:paraId="7D8E91CE">
            <w:pPr>
              <w:spacing w:line="240" w:lineRule="auto"/>
              <w:ind w:firstLine="0" w:firstLineChars="0"/>
              <w:jc w:val="center"/>
              <w:rPr>
                <w:rFonts w:ascii="Times New Roman" w:hAnsi="Times New Roman"/>
                <w:color w:val="auto"/>
                <w:sz w:val="21"/>
                <w:highlight w:val="none"/>
              </w:rPr>
            </w:pPr>
            <w:r>
              <w:rPr>
                <w:rFonts w:hint="eastAsia" w:cs="Times New Roman"/>
                <w:color w:val="auto"/>
                <w:sz w:val="21"/>
                <w:highlight w:val="none"/>
              </w:rPr>
              <w:t>挥发性有机物</w:t>
            </w:r>
          </w:p>
        </w:tc>
        <w:tc>
          <w:tcPr>
            <w:tcW w:w="333" w:type="pct"/>
            <w:noWrap w:val="0"/>
            <w:vAlign w:val="center"/>
          </w:tcPr>
          <w:p w14:paraId="73526BD4">
            <w:pPr>
              <w:spacing w:line="240" w:lineRule="auto"/>
              <w:ind w:firstLine="0" w:firstLineChars="0"/>
              <w:jc w:val="center"/>
              <w:rPr>
                <w:rFonts w:ascii="Times New Roman" w:hAnsi="Times New Roman"/>
                <w:color w:val="auto"/>
                <w:sz w:val="21"/>
                <w:highlight w:val="none"/>
              </w:rPr>
            </w:pPr>
            <w:r>
              <w:rPr>
                <w:rFonts w:hint="eastAsia" w:ascii="Times New Roman" w:hAnsi="Times New Roman"/>
                <w:color w:val="auto"/>
                <w:sz w:val="21"/>
                <w:highlight w:val="none"/>
                <w:lang w:val="en-US" w:eastAsia="zh-CN"/>
              </w:rPr>
              <w:t>1</w:t>
            </w:r>
            <w:r>
              <w:rPr>
                <w:rFonts w:ascii="Times New Roman" w:hAnsi="Times New Roman"/>
                <w:color w:val="auto"/>
                <w:sz w:val="21"/>
                <w:highlight w:val="none"/>
              </w:rPr>
              <w:t>年</w:t>
            </w:r>
          </w:p>
        </w:tc>
        <w:tc>
          <w:tcPr>
            <w:tcW w:w="333" w:type="pct"/>
            <w:noWrap w:val="0"/>
            <w:vAlign w:val="center"/>
          </w:tcPr>
          <w:p w14:paraId="26227017">
            <w:pPr>
              <w:spacing w:line="240" w:lineRule="auto"/>
              <w:ind w:firstLine="0" w:firstLineChars="0"/>
              <w:jc w:val="center"/>
              <w:rPr>
                <w:rFonts w:ascii="Times New Roman" w:hAnsi="Times New Roman"/>
                <w:color w:val="auto"/>
                <w:sz w:val="21"/>
                <w:highlight w:val="none"/>
              </w:rPr>
            </w:pPr>
            <w:r>
              <w:rPr>
                <w:rFonts w:hint="eastAsia" w:ascii="Times New Roman" w:hAnsi="Times New Roman"/>
                <w:color w:val="auto"/>
                <w:sz w:val="21"/>
                <w:highlight w:val="none"/>
              </w:rPr>
              <w:t>T；I</w:t>
            </w:r>
          </w:p>
        </w:tc>
        <w:tc>
          <w:tcPr>
            <w:tcW w:w="529" w:type="pct"/>
            <w:noWrap w:val="0"/>
            <w:vAlign w:val="center"/>
          </w:tcPr>
          <w:p w14:paraId="397E6925">
            <w:pPr>
              <w:spacing w:line="240" w:lineRule="auto"/>
              <w:ind w:firstLine="0" w:firstLineChars="0"/>
              <w:rPr>
                <w:rFonts w:ascii="Times New Roman" w:hAnsi="Times New Roman"/>
                <w:color w:val="auto"/>
                <w:sz w:val="21"/>
                <w:highlight w:val="none"/>
              </w:rPr>
            </w:pPr>
            <w:r>
              <w:rPr>
                <w:rFonts w:ascii="Times New Roman" w:hAnsi="Times New Roman"/>
                <w:color w:val="auto"/>
                <w:sz w:val="21"/>
                <w:highlight w:val="none"/>
              </w:rPr>
              <w:t>交有资质单位处置。</w:t>
            </w:r>
          </w:p>
        </w:tc>
      </w:tr>
    </w:tbl>
    <w:p w14:paraId="61C255C1">
      <w:pPr>
        <w:ind w:firstLine="480"/>
        <w:rPr>
          <w:rFonts w:ascii="Times New Roman" w:hAnsi="Times New Roman"/>
          <w:highlight w:val="none"/>
        </w:rPr>
      </w:pPr>
      <w:r>
        <w:rPr>
          <w:rFonts w:ascii="Times New Roman" w:hAnsi="Times New Roman"/>
          <w:highlight w:val="none"/>
        </w:rPr>
        <w:t>综上所述，本项目运行期间产生的固体废物处置率100%，处理措施得当，在认真落实固体废物处置措施的基础上，不会对环境造成影响。</w:t>
      </w:r>
    </w:p>
    <w:p w14:paraId="139C8800">
      <w:pPr>
        <w:pStyle w:val="4"/>
        <w:bidi w:val="0"/>
        <w:ind w:left="0" w:leftChars="0" w:firstLine="0" w:firstLineChars="0"/>
        <w:rPr>
          <w:rFonts w:hint="default"/>
          <w:highlight w:val="none"/>
          <w:lang w:val="en-US" w:eastAsia="zh-CN"/>
        </w:rPr>
      </w:pPr>
      <w:bookmarkStart w:id="144" w:name="_Toc19075"/>
      <w:r>
        <w:rPr>
          <w:rFonts w:hint="eastAsia"/>
          <w:highlight w:val="none"/>
          <w:lang w:val="en-US" w:eastAsia="zh-CN"/>
        </w:rPr>
        <w:t>5.6土壤环境影响分析</w:t>
      </w:r>
      <w:bookmarkEnd w:id="144"/>
    </w:p>
    <w:p w14:paraId="1EB018C8">
      <w:pPr>
        <w:ind w:firstLine="480"/>
        <w:rPr>
          <w:rFonts w:ascii="Times New Roman" w:hAnsi="Times New Roman"/>
          <w:highlight w:val="none"/>
        </w:rPr>
      </w:pPr>
      <w:r>
        <w:rPr>
          <w:rFonts w:ascii="Times New Roman" w:hAnsi="Times New Roman"/>
          <w:highlight w:val="none"/>
        </w:rPr>
        <w:t>（1）预测与评价因子确定</w:t>
      </w:r>
    </w:p>
    <w:p w14:paraId="4000F80B">
      <w:pPr>
        <w:ind w:firstLine="480"/>
        <w:rPr>
          <w:rFonts w:ascii="Times New Roman" w:hAnsi="Times New Roman"/>
          <w:highlight w:val="none"/>
        </w:rPr>
      </w:pPr>
      <w:r>
        <w:rPr>
          <w:rFonts w:ascii="Times New Roman" w:hAnsi="Times New Roman"/>
          <w:highlight w:val="none"/>
        </w:rPr>
        <w:t>本项目锅炉排放的烟气中含有重金属污染物Hg，选择Hg作为土壤预测因子。</w:t>
      </w:r>
    </w:p>
    <w:p w14:paraId="36557588">
      <w:pPr>
        <w:ind w:firstLine="480"/>
        <w:rPr>
          <w:rFonts w:ascii="Times New Roman" w:hAnsi="Times New Roman"/>
          <w:highlight w:val="none"/>
        </w:rPr>
      </w:pPr>
      <w:r>
        <w:rPr>
          <w:rFonts w:ascii="Times New Roman" w:hAnsi="Times New Roman"/>
          <w:highlight w:val="none"/>
        </w:rPr>
        <w:t>（2）评价方法</w:t>
      </w:r>
    </w:p>
    <w:p w14:paraId="113BEE8D">
      <w:pPr>
        <w:ind w:firstLine="480"/>
        <w:rPr>
          <w:rFonts w:ascii="Times New Roman" w:hAnsi="Times New Roman"/>
          <w:highlight w:val="none"/>
        </w:rPr>
      </w:pPr>
      <w:r>
        <w:rPr>
          <w:rFonts w:ascii="Times New Roman" w:hAnsi="Times New Roman"/>
          <w:highlight w:val="none"/>
        </w:rPr>
        <w:t>本项目采用《环境影响评价技术导则  土壤环境（试行）》（HJ964-2018）附录E中的方法。预测方法如下：</w:t>
      </w:r>
    </w:p>
    <w:p w14:paraId="199B80C6">
      <w:pPr>
        <w:ind w:firstLine="480"/>
        <w:rPr>
          <w:rFonts w:ascii="Times New Roman" w:hAnsi="Times New Roman"/>
          <w:highlight w:val="none"/>
        </w:rPr>
      </w:pPr>
      <w:r>
        <w:rPr>
          <w:rFonts w:ascii="Times New Roman" w:hAnsi="Times New Roman"/>
          <w:highlight w:val="none"/>
        </w:rPr>
        <w:t>a）单位质量土壤中某种物质的增量可用下式计算：</w:t>
      </w:r>
    </w:p>
    <w:p w14:paraId="70258134">
      <w:pPr>
        <w:ind w:firstLine="0" w:firstLineChars="0"/>
        <w:jc w:val="center"/>
        <w:rPr>
          <w:rFonts w:ascii="Times New Roman" w:hAnsi="Times New Roman"/>
          <w:highlight w:val="none"/>
        </w:rPr>
      </w:pPr>
      <w:r>
        <w:rPr>
          <w:rFonts w:ascii="Times New Roman" w:hAnsi="Times New Roman"/>
          <w:sz w:val="32"/>
          <w:highlight w:val="none"/>
        </w:rPr>
        <w:object>
          <v:shape id="_x0000_i1029" o:spt="75" type="#_x0000_t75" style="height:28.2pt;width:271.75pt;" o:ole="t" filled="f" o:preferrelative="t" stroked="f" coordsize="21600,21600">
            <v:path/>
            <v:fill on="f" focussize="0,0"/>
            <v:stroke on="f"/>
            <v:imagedata r:id="rId53" o:title=""/>
            <o:lock v:ext="edit" aspectratio="t"/>
            <w10:wrap type="none"/>
            <w10:anchorlock/>
          </v:shape>
          <o:OLEObject Type="Embed" ProgID="Equation.3" ShapeID="_x0000_i1029" DrawAspect="Content" ObjectID="_1468075729" r:id="rId52">
            <o:LockedField>false</o:LockedField>
          </o:OLEObject>
        </w:object>
      </w:r>
    </w:p>
    <w:p w14:paraId="2B4506CD">
      <w:pPr>
        <w:ind w:firstLine="480"/>
        <w:rPr>
          <w:rFonts w:ascii="Times New Roman" w:hAnsi="Times New Roman"/>
          <w:highlight w:val="none"/>
        </w:rPr>
      </w:pPr>
      <w:r>
        <w:rPr>
          <w:rFonts w:ascii="Times New Roman" w:hAnsi="Times New Roman"/>
          <w:highlight w:val="none"/>
        </w:rPr>
        <w:t>式中：</w:t>
      </w:r>
      <w:r>
        <w:rPr>
          <w:rFonts w:ascii="Cambria Math" w:hAnsi="Cambria Math" w:cs="Cambria Math"/>
          <w:highlight w:val="none"/>
        </w:rPr>
        <w:t>△</w:t>
      </w:r>
      <w:r>
        <w:rPr>
          <w:rFonts w:ascii="Times New Roman" w:hAnsi="Times New Roman"/>
          <w:highlight w:val="none"/>
        </w:rPr>
        <w:t>S--单位质量表层土壤中某种物质的增量，g/kg；</w:t>
      </w:r>
    </w:p>
    <w:p w14:paraId="22D98352">
      <w:pPr>
        <w:ind w:firstLine="480"/>
        <w:rPr>
          <w:rFonts w:ascii="Times New Roman" w:hAnsi="Times New Roman"/>
          <w:highlight w:val="none"/>
        </w:rPr>
      </w:pPr>
      <w:r>
        <w:rPr>
          <w:rFonts w:ascii="Times New Roman" w:hAnsi="Times New Roman"/>
          <w:highlight w:val="none"/>
        </w:rPr>
        <w:t>IS--预测评价范围内单位年份表层土壤中某种物质的输入量，g；</w:t>
      </w:r>
    </w:p>
    <w:p w14:paraId="3ACC5DC8">
      <w:pPr>
        <w:ind w:firstLine="480"/>
        <w:rPr>
          <w:rFonts w:ascii="Times New Roman" w:hAnsi="Times New Roman"/>
          <w:highlight w:val="none"/>
        </w:rPr>
      </w:pPr>
      <w:r>
        <w:rPr>
          <w:rFonts w:ascii="Times New Roman" w:hAnsi="Times New Roman"/>
          <w:highlight w:val="none"/>
        </w:rPr>
        <w:t>LS--预测评价范围内单位年份表层土壤中某种物质经淋溶排出的量，g；</w:t>
      </w:r>
    </w:p>
    <w:p w14:paraId="73CC1331">
      <w:pPr>
        <w:ind w:firstLine="480"/>
        <w:rPr>
          <w:rFonts w:ascii="Times New Roman" w:hAnsi="Times New Roman"/>
          <w:highlight w:val="none"/>
        </w:rPr>
      </w:pPr>
      <w:r>
        <w:rPr>
          <w:rFonts w:ascii="Times New Roman" w:hAnsi="Times New Roman"/>
          <w:highlight w:val="none"/>
        </w:rPr>
        <w:t>Rs--预测评价范围内单位年份表层土壤中某种物质经径流排出的量，g；</w:t>
      </w:r>
    </w:p>
    <w:p w14:paraId="363B2E20">
      <w:pPr>
        <w:ind w:firstLine="480"/>
        <w:rPr>
          <w:rFonts w:ascii="Times New Roman" w:hAnsi="Times New Roman"/>
          <w:highlight w:val="none"/>
        </w:rPr>
      </w:pPr>
      <w:r>
        <w:rPr>
          <w:rFonts w:ascii="Times New Roman" w:hAnsi="Times New Roman"/>
          <w:highlight w:val="none"/>
        </w:rPr>
        <w:t>ρb--表层土壤容重，kg/m</w:t>
      </w:r>
      <w:r>
        <w:rPr>
          <w:rFonts w:ascii="Times New Roman" w:hAnsi="Times New Roman"/>
          <w:highlight w:val="none"/>
          <w:vertAlign w:val="superscript"/>
        </w:rPr>
        <w:t>3</w:t>
      </w:r>
      <w:r>
        <w:rPr>
          <w:rFonts w:ascii="Times New Roman" w:hAnsi="Times New Roman"/>
          <w:highlight w:val="none"/>
        </w:rPr>
        <w:t>，取1330kg/m</w:t>
      </w:r>
      <w:r>
        <w:rPr>
          <w:rFonts w:ascii="Times New Roman" w:hAnsi="Times New Roman"/>
          <w:highlight w:val="none"/>
          <w:vertAlign w:val="superscript"/>
        </w:rPr>
        <w:t>3</w:t>
      </w:r>
    </w:p>
    <w:p w14:paraId="1D7E7A69">
      <w:pPr>
        <w:ind w:firstLine="480"/>
        <w:rPr>
          <w:rFonts w:ascii="Times New Roman" w:hAnsi="Times New Roman"/>
          <w:highlight w:val="none"/>
        </w:rPr>
      </w:pPr>
      <w:r>
        <w:rPr>
          <w:rFonts w:ascii="Times New Roman" w:hAnsi="Times New Roman"/>
          <w:highlight w:val="none"/>
        </w:rPr>
        <w:t>A--预测评价范围，m</w:t>
      </w:r>
      <w:r>
        <w:rPr>
          <w:rFonts w:ascii="Times New Roman" w:hAnsi="Times New Roman"/>
          <w:highlight w:val="none"/>
          <w:vertAlign w:val="superscript"/>
        </w:rPr>
        <w:t>2</w:t>
      </w:r>
      <w:r>
        <w:rPr>
          <w:rFonts w:ascii="Times New Roman" w:hAnsi="Times New Roman"/>
          <w:highlight w:val="none"/>
        </w:rPr>
        <w:t>；取单位面积1m</w:t>
      </w:r>
      <w:r>
        <w:rPr>
          <w:rFonts w:ascii="Times New Roman" w:hAnsi="Times New Roman"/>
          <w:highlight w:val="none"/>
          <w:vertAlign w:val="superscript"/>
        </w:rPr>
        <w:t>2</w:t>
      </w:r>
      <w:r>
        <w:rPr>
          <w:rFonts w:ascii="Times New Roman" w:hAnsi="Times New Roman"/>
          <w:highlight w:val="none"/>
        </w:rPr>
        <w:t>；</w:t>
      </w:r>
    </w:p>
    <w:p w14:paraId="54349B38">
      <w:pPr>
        <w:ind w:firstLine="480"/>
        <w:rPr>
          <w:rFonts w:ascii="Times New Roman" w:hAnsi="Times New Roman"/>
          <w:highlight w:val="none"/>
        </w:rPr>
      </w:pPr>
      <w:r>
        <w:rPr>
          <w:rFonts w:ascii="Times New Roman" w:hAnsi="Times New Roman"/>
          <w:highlight w:val="none"/>
        </w:rPr>
        <w:t>D--表层土壤深度，一般取0.2m；</w:t>
      </w:r>
    </w:p>
    <w:p w14:paraId="0009F588">
      <w:pPr>
        <w:ind w:firstLine="480"/>
        <w:rPr>
          <w:rFonts w:ascii="Times New Roman" w:hAnsi="Times New Roman"/>
          <w:highlight w:val="none"/>
        </w:rPr>
      </w:pPr>
      <w:r>
        <w:rPr>
          <w:rFonts w:ascii="Times New Roman" w:hAnsi="Times New Roman"/>
          <w:highlight w:val="none"/>
        </w:rPr>
        <w:t>n--持续年份，a，分别计算5a，10a和20a；</w:t>
      </w:r>
    </w:p>
    <w:p w14:paraId="44E75DE7">
      <w:pPr>
        <w:ind w:firstLine="480"/>
        <w:rPr>
          <w:rFonts w:ascii="Times New Roman" w:hAnsi="Times New Roman"/>
          <w:highlight w:val="none"/>
        </w:rPr>
      </w:pPr>
      <w:r>
        <w:rPr>
          <w:rFonts w:ascii="Times New Roman" w:hAnsi="Times New Roman"/>
          <w:highlight w:val="none"/>
        </w:rPr>
        <w:t>b）单位质量土壤中某种物质的预测值可根据其增量叠加现状值进行计算，如式：</w:t>
      </w:r>
    </w:p>
    <w:p w14:paraId="5ABDA210">
      <w:pPr>
        <w:ind w:firstLine="0" w:firstLineChars="0"/>
        <w:jc w:val="center"/>
        <w:rPr>
          <w:rFonts w:ascii="Times New Roman" w:hAnsi="Times New Roman"/>
          <w:sz w:val="32"/>
          <w:highlight w:val="none"/>
        </w:rPr>
      </w:pPr>
      <w:r>
        <w:rPr>
          <w:rFonts w:ascii="Times New Roman" w:hAnsi="Times New Roman"/>
          <w:sz w:val="32"/>
          <w:highlight w:val="none"/>
        </w:rPr>
        <w:t>S=Sb+</w:t>
      </w:r>
      <w:r>
        <w:rPr>
          <w:rFonts w:ascii="Cambria Math" w:hAnsi="Cambria Math" w:cs="Cambria Math"/>
          <w:sz w:val="32"/>
          <w:highlight w:val="none"/>
        </w:rPr>
        <w:t>△</w:t>
      </w:r>
      <w:r>
        <w:rPr>
          <w:rFonts w:ascii="Times New Roman" w:hAnsi="Times New Roman"/>
          <w:sz w:val="32"/>
          <w:highlight w:val="none"/>
        </w:rPr>
        <w:t>S</w:t>
      </w:r>
    </w:p>
    <w:p w14:paraId="27D15D20">
      <w:pPr>
        <w:ind w:firstLine="480"/>
        <w:rPr>
          <w:rFonts w:ascii="Times New Roman" w:hAnsi="Times New Roman"/>
          <w:highlight w:val="none"/>
        </w:rPr>
      </w:pPr>
      <w:r>
        <w:rPr>
          <w:rFonts w:ascii="Times New Roman" w:hAnsi="Times New Roman"/>
          <w:highlight w:val="none"/>
        </w:rPr>
        <w:t>式中：Sb--单位质量土壤中某种物质的现状值，g/kg；</w:t>
      </w:r>
    </w:p>
    <w:p w14:paraId="4BFAADEA">
      <w:pPr>
        <w:ind w:firstLine="480"/>
        <w:rPr>
          <w:rFonts w:ascii="Times New Roman" w:hAnsi="Times New Roman"/>
          <w:highlight w:val="none"/>
        </w:rPr>
      </w:pPr>
      <w:r>
        <w:rPr>
          <w:rFonts w:ascii="Times New Roman" w:hAnsi="Times New Roman"/>
          <w:highlight w:val="none"/>
        </w:rPr>
        <w:t>S--单位质量土壤中某种物质的预测值，g/kg；</w:t>
      </w:r>
    </w:p>
    <w:p w14:paraId="1EE69722">
      <w:pPr>
        <w:pStyle w:val="7"/>
        <w:rPr>
          <w:highlight w:val="none"/>
        </w:rPr>
      </w:pPr>
    </w:p>
    <w:p w14:paraId="52D194BF">
      <w:pPr>
        <w:ind w:firstLine="480"/>
        <w:rPr>
          <w:rFonts w:ascii="Times New Roman" w:hAnsi="Times New Roman"/>
          <w:highlight w:val="none"/>
        </w:rPr>
      </w:pPr>
      <w:r>
        <w:rPr>
          <w:rFonts w:ascii="Times New Roman" w:hAnsi="Times New Roman"/>
          <w:highlight w:val="none"/>
        </w:rPr>
        <w:t>区域年均干沉积最大值见表5.</w:t>
      </w:r>
      <w:r>
        <w:rPr>
          <w:rFonts w:hint="eastAsia" w:ascii="Times New Roman" w:hAnsi="Times New Roman"/>
          <w:highlight w:val="none"/>
          <w:lang w:val="en-US" w:eastAsia="zh-CN"/>
        </w:rPr>
        <w:t>6</w:t>
      </w:r>
      <w:r>
        <w:rPr>
          <w:rFonts w:ascii="Times New Roman" w:hAnsi="Times New Roman"/>
          <w:highlight w:val="none"/>
        </w:rPr>
        <w:t>-1，干沉降对土壤累积影响值见表5.</w:t>
      </w:r>
      <w:r>
        <w:rPr>
          <w:rFonts w:hint="eastAsia" w:ascii="Times New Roman" w:hAnsi="Times New Roman"/>
          <w:highlight w:val="none"/>
          <w:lang w:val="en-US" w:eastAsia="zh-CN"/>
        </w:rPr>
        <w:t>6</w:t>
      </w:r>
      <w:r>
        <w:rPr>
          <w:rFonts w:ascii="Times New Roman" w:hAnsi="Times New Roman"/>
          <w:highlight w:val="none"/>
        </w:rPr>
        <w:t>-2，干沉降对土壤累积影响叠加值见表5.</w:t>
      </w:r>
      <w:r>
        <w:rPr>
          <w:rFonts w:hint="eastAsia" w:ascii="Times New Roman" w:hAnsi="Times New Roman"/>
          <w:highlight w:val="none"/>
          <w:lang w:val="en-US" w:eastAsia="zh-CN"/>
        </w:rPr>
        <w:t>6</w:t>
      </w:r>
      <w:r>
        <w:rPr>
          <w:rFonts w:ascii="Times New Roman" w:hAnsi="Times New Roman"/>
          <w:highlight w:val="none"/>
        </w:rPr>
        <w:t>-3。</w:t>
      </w:r>
    </w:p>
    <w:p w14:paraId="79A9C681">
      <w:pPr>
        <w:pStyle w:val="15"/>
        <w:ind w:left="0" w:leftChars="0" w:firstLine="0" w:firstLineChars="0"/>
        <w:jc w:val="center"/>
        <w:rPr>
          <w:rFonts w:ascii="Times New Roman" w:hAnsi="Times New Roman"/>
          <w:b w:val="0"/>
          <w:bCs w:val="0"/>
          <w:highlight w:val="none"/>
        </w:rPr>
      </w:pPr>
      <w:r>
        <w:rPr>
          <w:rFonts w:hint="eastAsia" w:ascii="黑体" w:hAnsi="黑体" w:eastAsia="黑体" w:cs="黑体"/>
          <w:b w:val="0"/>
          <w:bCs w:val="0"/>
          <w:highlight w:val="none"/>
        </w:rPr>
        <w:t>表</w:t>
      </w:r>
      <w:r>
        <w:rPr>
          <w:rFonts w:ascii="Times New Roman" w:hAnsi="Times New Roman"/>
          <w:b w:val="0"/>
          <w:bCs w:val="0"/>
          <w:highlight w:val="none"/>
        </w:rPr>
        <w:t>5.</w:t>
      </w:r>
      <w:r>
        <w:rPr>
          <w:rFonts w:hint="eastAsia" w:ascii="Times New Roman" w:hAnsi="Times New Roman"/>
          <w:b w:val="0"/>
          <w:bCs w:val="0"/>
          <w:highlight w:val="none"/>
          <w:lang w:val="en-US" w:eastAsia="zh-CN"/>
        </w:rPr>
        <w:t>6</w:t>
      </w:r>
      <w:r>
        <w:rPr>
          <w:rFonts w:ascii="Times New Roman" w:hAnsi="Times New Roman"/>
          <w:b w:val="0"/>
          <w:bCs w:val="0"/>
          <w:highlight w:val="none"/>
        </w:rPr>
        <w:t xml:space="preserve">-1  </w:t>
      </w:r>
      <w:r>
        <w:rPr>
          <w:rFonts w:hint="eastAsia" w:ascii="黑体" w:hAnsi="黑体" w:eastAsia="黑体" w:cs="黑体"/>
          <w:b w:val="0"/>
          <w:bCs w:val="0"/>
          <w:highlight w:val="none"/>
        </w:rPr>
        <w:t>区域年均干沉积最大值</w:t>
      </w:r>
    </w:p>
    <w:tbl>
      <w:tblPr>
        <w:tblStyle w:val="17"/>
        <w:tblW w:w="500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3787"/>
        <w:gridCol w:w="3787"/>
      </w:tblGrid>
      <w:tr w14:paraId="6F14DC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1" w:type="pct"/>
            <w:noWrap w:val="0"/>
            <w:vAlign w:val="center"/>
          </w:tcPr>
          <w:p w14:paraId="2B9151F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序号</w:t>
            </w:r>
          </w:p>
        </w:tc>
        <w:tc>
          <w:tcPr>
            <w:tcW w:w="2219" w:type="pct"/>
            <w:noWrap w:val="0"/>
            <w:vAlign w:val="center"/>
          </w:tcPr>
          <w:p w14:paraId="0E2D1CA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预测因子</w:t>
            </w:r>
          </w:p>
        </w:tc>
        <w:tc>
          <w:tcPr>
            <w:tcW w:w="2219" w:type="pct"/>
            <w:noWrap w:val="0"/>
            <w:vAlign w:val="center"/>
          </w:tcPr>
          <w:p w14:paraId="63BBE7D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最大值（g/m</w:t>
            </w:r>
            <w:r>
              <w:rPr>
                <w:rFonts w:ascii="Times New Roman" w:hAnsi="Times New Roman"/>
                <w:sz w:val="21"/>
                <w:highlight w:val="none"/>
                <w:vertAlign w:val="superscript"/>
              </w:rPr>
              <w:t>2</w:t>
            </w:r>
            <w:r>
              <w:rPr>
                <w:rFonts w:ascii="Times New Roman" w:hAnsi="Times New Roman"/>
                <w:sz w:val="21"/>
                <w:highlight w:val="none"/>
              </w:rPr>
              <w:t>）</w:t>
            </w:r>
          </w:p>
        </w:tc>
      </w:tr>
      <w:tr w14:paraId="525DDA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61" w:type="pct"/>
            <w:noWrap w:val="0"/>
            <w:vAlign w:val="center"/>
          </w:tcPr>
          <w:p w14:paraId="51E18DF7">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w:t>
            </w:r>
          </w:p>
        </w:tc>
        <w:tc>
          <w:tcPr>
            <w:tcW w:w="2219" w:type="pct"/>
            <w:noWrap w:val="0"/>
            <w:vAlign w:val="center"/>
          </w:tcPr>
          <w:p w14:paraId="6DD2037E">
            <w:pPr>
              <w:pStyle w:val="43"/>
              <w:autoSpaceDE w:val="0"/>
              <w:autoSpaceDN w:val="0"/>
              <w:snapToGrid w:val="0"/>
              <w:spacing w:line="240" w:lineRule="auto"/>
              <w:jc w:val="center"/>
              <w:textAlignment w:val="bottom"/>
              <w:rPr>
                <w:rFonts w:ascii="Times New Roman"/>
                <w:kern w:val="2"/>
                <w:sz w:val="21"/>
                <w:szCs w:val="22"/>
                <w:highlight w:val="none"/>
              </w:rPr>
            </w:pPr>
            <w:r>
              <w:rPr>
                <w:rFonts w:ascii="Times New Roman"/>
                <w:kern w:val="2"/>
                <w:sz w:val="21"/>
                <w:szCs w:val="22"/>
                <w:highlight w:val="none"/>
              </w:rPr>
              <w:t>Hg</w:t>
            </w:r>
          </w:p>
        </w:tc>
        <w:tc>
          <w:tcPr>
            <w:tcW w:w="2219" w:type="pct"/>
            <w:noWrap w:val="0"/>
            <w:vAlign w:val="center"/>
          </w:tcPr>
          <w:p w14:paraId="7532D7A8">
            <w:pPr>
              <w:snapToGrid w:val="0"/>
              <w:spacing w:line="240" w:lineRule="auto"/>
              <w:ind w:firstLine="0" w:firstLineChars="0"/>
              <w:jc w:val="center"/>
              <w:rPr>
                <w:rFonts w:hint="eastAsia" w:ascii="Times New Roman" w:hAnsi="Times New Roman" w:eastAsia="宋体"/>
                <w:sz w:val="21"/>
                <w:highlight w:val="none"/>
                <w:lang w:val="en-US" w:eastAsia="zh-CN"/>
              </w:rPr>
            </w:pPr>
            <w:r>
              <w:rPr>
                <w:rFonts w:hint="eastAsia" w:ascii="Times New Roman" w:hAnsi="Times New Roman"/>
                <w:sz w:val="21"/>
                <w:highlight w:val="none"/>
                <w:lang w:val="en-US" w:eastAsia="zh-CN"/>
              </w:rPr>
              <w:t>6.75</w:t>
            </w:r>
            <w:r>
              <w:rPr>
                <w:rFonts w:ascii="Times New Roman" w:hAnsi="Times New Roman"/>
                <w:sz w:val="21"/>
                <w:highlight w:val="none"/>
              </w:rPr>
              <w:t>×10</w:t>
            </w:r>
            <w:r>
              <w:rPr>
                <w:rFonts w:ascii="Times New Roman" w:hAnsi="Times New Roman"/>
                <w:sz w:val="21"/>
                <w:highlight w:val="none"/>
                <w:vertAlign w:val="superscript"/>
              </w:rPr>
              <w:t>-</w:t>
            </w:r>
            <w:r>
              <w:rPr>
                <w:rFonts w:hint="eastAsia" w:ascii="Times New Roman" w:hAnsi="Times New Roman"/>
                <w:sz w:val="21"/>
                <w:highlight w:val="none"/>
                <w:vertAlign w:val="superscript"/>
                <w:lang w:val="en-US" w:eastAsia="zh-CN"/>
              </w:rPr>
              <w:t>6</w:t>
            </w:r>
          </w:p>
        </w:tc>
      </w:tr>
    </w:tbl>
    <w:p w14:paraId="298E404C">
      <w:pPr>
        <w:pStyle w:val="15"/>
        <w:ind w:left="0" w:leftChars="0" w:firstLine="0" w:firstLineChars="0"/>
        <w:jc w:val="center"/>
        <w:rPr>
          <w:rFonts w:ascii="Times New Roman" w:hAnsi="Times New Roman"/>
          <w:b/>
          <w:bCs/>
          <w:highlight w:val="none"/>
        </w:rPr>
      </w:pPr>
      <w:r>
        <w:rPr>
          <w:rFonts w:hint="eastAsia" w:ascii="黑体" w:hAnsi="黑体" w:eastAsia="黑体" w:cs="黑体"/>
          <w:b w:val="0"/>
          <w:bCs w:val="0"/>
          <w:highlight w:val="none"/>
        </w:rPr>
        <w:t>表</w:t>
      </w:r>
      <w:r>
        <w:rPr>
          <w:rFonts w:ascii="Times New Roman" w:hAnsi="Times New Roman"/>
          <w:b w:val="0"/>
          <w:bCs w:val="0"/>
          <w:highlight w:val="none"/>
        </w:rPr>
        <w:t>5.</w:t>
      </w:r>
      <w:r>
        <w:rPr>
          <w:rFonts w:hint="eastAsia" w:ascii="Times New Roman" w:hAnsi="Times New Roman"/>
          <w:b w:val="0"/>
          <w:bCs w:val="0"/>
          <w:highlight w:val="none"/>
          <w:lang w:val="en-US" w:eastAsia="zh-CN"/>
        </w:rPr>
        <w:t>6</w:t>
      </w:r>
      <w:r>
        <w:rPr>
          <w:rFonts w:ascii="Times New Roman" w:hAnsi="Times New Roman"/>
          <w:b w:val="0"/>
          <w:bCs w:val="0"/>
          <w:highlight w:val="none"/>
        </w:rPr>
        <w:t xml:space="preserve">-2  </w:t>
      </w:r>
      <w:r>
        <w:rPr>
          <w:rFonts w:hint="eastAsia" w:ascii="黑体" w:hAnsi="黑体" w:eastAsia="黑体" w:cs="黑体"/>
          <w:b w:val="0"/>
          <w:bCs w:val="0"/>
          <w:highlight w:val="none"/>
        </w:rPr>
        <w:t>干沉降对土壤累积影响值</w:t>
      </w:r>
    </w:p>
    <w:tbl>
      <w:tblPr>
        <w:tblStyle w:val="17"/>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474"/>
        <w:gridCol w:w="1474"/>
        <w:gridCol w:w="1685"/>
        <w:gridCol w:w="1686"/>
        <w:gridCol w:w="1766"/>
      </w:tblGrid>
      <w:tr w14:paraId="5AAD2D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51" w:type="pct"/>
            <w:vMerge w:val="restart"/>
            <w:noWrap w:val="0"/>
            <w:vAlign w:val="center"/>
          </w:tcPr>
          <w:p w14:paraId="4BDFC70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序号</w:t>
            </w:r>
          </w:p>
        </w:tc>
        <w:tc>
          <w:tcPr>
            <w:tcW w:w="866" w:type="pct"/>
            <w:vMerge w:val="restart"/>
            <w:noWrap w:val="0"/>
            <w:vAlign w:val="center"/>
          </w:tcPr>
          <w:p w14:paraId="25F132F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因子</w:t>
            </w:r>
          </w:p>
        </w:tc>
        <w:tc>
          <w:tcPr>
            <w:tcW w:w="866" w:type="pct"/>
            <w:vMerge w:val="restart"/>
            <w:noWrap w:val="0"/>
            <w:vAlign w:val="center"/>
          </w:tcPr>
          <w:p w14:paraId="325F567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年输入量</w:t>
            </w:r>
          </w:p>
          <w:p w14:paraId="4ADE268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（mg/kg）</w:t>
            </w:r>
          </w:p>
        </w:tc>
        <w:tc>
          <w:tcPr>
            <w:tcW w:w="3016" w:type="pct"/>
            <w:gridSpan w:val="3"/>
            <w:noWrap w:val="0"/>
            <w:vAlign w:val="center"/>
          </w:tcPr>
          <w:p w14:paraId="58A8275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累积影响值（mg/kg）</w:t>
            </w:r>
          </w:p>
        </w:tc>
      </w:tr>
      <w:tr w14:paraId="7FFCDB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51" w:type="pct"/>
            <w:vMerge w:val="continue"/>
            <w:noWrap w:val="0"/>
            <w:vAlign w:val="center"/>
          </w:tcPr>
          <w:p w14:paraId="6399CE41">
            <w:pPr>
              <w:spacing w:line="240" w:lineRule="auto"/>
              <w:ind w:firstLine="0" w:firstLineChars="0"/>
              <w:jc w:val="center"/>
              <w:rPr>
                <w:rFonts w:ascii="Times New Roman" w:hAnsi="Times New Roman"/>
                <w:sz w:val="21"/>
                <w:highlight w:val="none"/>
              </w:rPr>
            </w:pPr>
          </w:p>
        </w:tc>
        <w:tc>
          <w:tcPr>
            <w:tcW w:w="866" w:type="pct"/>
            <w:vMerge w:val="continue"/>
            <w:noWrap w:val="0"/>
            <w:vAlign w:val="center"/>
          </w:tcPr>
          <w:p w14:paraId="319476AF">
            <w:pPr>
              <w:spacing w:line="240" w:lineRule="auto"/>
              <w:ind w:firstLine="0" w:firstLineChars="0"/>
              <w:jc w:val="center"/>
              <w:rPr>
                <w:rFonts w:ascii="Times New Roman" w:hAnsi="Times New Roman"/>
                <w:sz w:val="21"/>
                <w:highlight w:val="none"/>
              </w:rPr>
            </w:pPr>
          </w:p>
        </w:tc>
        <w:tc>
          <w:tcPr>
            <w:tcW w:w="866" w:type="pct"/>
            <w:vMerge w:val="continue"/>
            <w:noWrap w:val="0"/>
            <w:vAlign w:val="center"/>
          </w:tcPr>
          <w:p w14:paraId="10B6CA57">
            <w:pPr>
              <w:spacing w:line="240" w:lineRule="auto"/>
              <w:ind w:firstLine="0" w:firstLineChars="0"/>
              <w:jc w:val="center"/>
              <w:rPr>
                <w:rFonts w:ascii="Times New Roman" w:hAnsi="Times New Roman"/>
                <w:sz w:val="21"/>
                <w:highlight w:val="none"/>
              </w:rPr>
            </w:pPr>
          </w:p>
        </w:tc>
        <w:tc>
          <w:tcPr>
            <w:tcW w:w="990" w:type="pct"/>
            <w:noWrap w:val="0"/>
            <w:vAlign w:val="center"/>
          </w:tcPr>
          <w:p w14:paraId="6BFAB4C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5年</w:t>
            </w:r>
          </w:p>
        </w:tc>
        <w:tc>
          <w:tcPr>
            <w:tcW w:w="990" w:type="pct"/>
            <w:noWrap w:val="0"/>
            <w:vAlign w:val="center"/>
          </w:tcPr>
          <w:p w14:paraId="39033CB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10年</w:t>
            </w:r>
          </w:p>
        </w:tc>
        <w:tc>
          <w:tcPr>
            <w:tcW w:w="1037" w:type="pct"/>
            <w:noWrap w:val="0"/>
            <w:vAlign w:val="center"/>
          </w:tcPr>
          <w:p w14:paraId="1DD6736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20年</w:t>
            </w:r>
          </w:p>
        </w:tc>
      </w:tr>
      <w:tr w14:paraId="0FFC0D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51" w:type="pct"/>
            <w:noWrap w:val="0"/>
            <w:vAlign w:val="center"/>
          </w:tcPr>
          <w:p w14:paraId="30D7871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w:t>
            </w:r>
          </w:p>
        </w:tc>
        <w:tc>
          <w:tcPr>
            <w:tcW w:w="866" w:type="pct"/>
            <w:noWrap w:val="0"/>
            <w:vAlign w:val="center"/>
          </w:tcPr>
          <w:p w14:paraId="0305D5E5">
            <w:pPr>
              <w:pStyle w:val="43"/>
              <w:autoSpaceDE w:val="0"/>
              <w:autoSpaceDN w:val="0"/>
              <w:snapToGrid w:val="0"/>
              <w:spacing w:line="240" w:lineRule="auto"/>
              <w:jc w:val="center"/>
              <w:textAlignment w:val="bottom"/>
              <w:rPr>
                <w:rFonts w:ascii="Times New Roman"/>
                <w:kern w:val="2"/>
                <w:sz w:val="21"/>
                <w:szCs w:val="22"/>
                <w:highlight w:val="none"/>
              </w:rPr>
            </w:pPr>
            <w:r>
              <w:rPr>
                <w:rFonts w:ascii="Times New Roman"/>
                <w:kern w:val="2"/>
                <w:sz w:val="21"/>
                <w:szCs w:val="22"/>
                <w:highlight w:val="none"/>
              </w:rPr>
              <w:t>Hg</w:t>
            </w:r>
          </w:p>
        </w:tc>
        <w:tc>
          <w:tcPr>
            <w:tcW w:w="866" w:type="pct"/>
            <w:noWrap w:val="0"/>
            <w:vAlign w:val="center"/>
          </w:tcPr>
          <w:p w14:paraId="5D570AD4">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ascii="Times New Roman" w:hAnsi="Times New Roman"/>
                <w:sz w:val="21"/>
                <w:highlight w:val="none"/>
              </w:rPr>
              <w:t>0.000</w:t>
            </w:r>
            <w:r>
              <w:rPr>
                <w:rFonts w:hint="eastAsia" w:ascii="Times New Roman" w:hAnsi="Times New Roman"/>
                <w:sz w:val="21"/>
                <w:highlight w:val="none"/>
                <w:lang w:val="en-US" w:eastAsia="zh-CN"/>
              </w:rPr>
              <w:t>0254</w:t>
            </w:r>
          </w:p>
        </w:tc>
        <w:tc>
          <w:tcPr>
            <w:tcW w:w="990" w:type="pct"/>
            <w:noWrap w:val="0"/>
            <w:vAlign w:val="center"/>
          </w:tcPr>
          <w:p w14:paraId="086D1391">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0.00</w:t>
            </w:r>
            <w:r>
              <w:rPr>
                <w:rFonts w:hint="eastAsia" w:ascii="Times New Roman" w:hAnsi="Times New Roman"/>
                <w:sz w:val="21"/>
                <w:highlight w:val="none"/>
                <w:lang w:val="en-US" w:eastAsia="zh-CN"/>
              </w:rPr>
              <w:t>01</w:t>
            </w:r>
          </w:p>
        </w:tc>
        <w:tc>
          <w:tcPr>
            <w:tcW w:w="990" w:type="pct"/>
            <w:noWrap w:val="0"/>
            <w:vAlign w:val="center"/>
          </w:tcPr>
          <w:p w14:paraId="680E6B47">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ascii="Times New Roman" w:hAnsi="Times New Roman"/>
                <w:sz w:val="21"/>
                <w:highlight w:val="none"/>
              </w:rPr>
              <w:t>0.00</w:t>
            </w:r>
            <w:r>
              <w:rPr>
                <w:rFonts w:hint="eastAsia" w:ascii="Times New Roman" w:hAnsi="Times New Roman"/>
                <w:sz w:val="21"/>
                <w:highlight w:val="none"/>
                <w:lang w:val="en-US" w:eastAsia="zh-CN"/>
              </w:rPr>
              <w:t>03</w:t>
            </w:r>
          </w:p>
        </w:tc>
        <w:tc>
          <w:tcPr>
            <w:tcW w:w="1037" w:type="pct"/>
            <w:noWrap w:val="0"/>
            <w:vAlign w:val="center"/>
          </w:tcPr>
          <w:p w14:paraId="6A6C439A">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0.00</w:t>
            </w:r>
            <w:r>
              <w:rPr>
                <w:rFonts w:hint="eastAsia" w:ascii="Times New Roman" w:hAnsi="Times New Roman"/>
                <w:sz w:val="21"/>
                <w:highlight w:val="none"/>
                <w:lang w:val="en-US" w:eastAsia="zh-CN"/>
              </w:rPr>
              <w:t>0</w:t>
            </w:r>
            <w:r>
              <w:rPr>
                <w:rFonts w:ascii="Times New Roman" w:hAnsi="Times New Roman"/>
                <w:sz w:val="21"/>
                <w:highlight w:val="none"/>
              </w:rPr>
              <w:t>6</w:t>
            </w:r>
          </w:p>
        </w:tc>
      </w:tr>
    </w:tbl>
    <w:p w14:paraId="27EB133C">
      <w:pPr>
        <w:pStyle w:val="15"/>
        <w:ind w:left="0" w:leftChars="0" w:firstLine="0" w:firstLineChars="0"/>
        <w:jc w:val="center"/>
        <w:rPr>
          <w:rFonts w:ascii="Times New Roman" w:hAnsi="Times New Roman"/>
          <w:b w:val="0"/>
          <w:bCs w:val="0"/>
          <w:highlight w:val="none"/>
        </w:rPr>
      </w:pPr>
      <w:r>
        <w:rPr>
          <w:rFonts w:hint="eastAsia" w:ascii="黑体" w:hAnsi="黑体" w:eastAsia="黑体" w:cs="黑体"/>
          <w:b w:val="0"/>
          <w:bCs w:val="0"/>
          <w:highlight w:val="none"/>
        </w:rPr>
        <w:t>表</w:t>
      </w:r>
      <w:r>
        <w:rPr>
          <w:rFonts w:ascii="Times New Roman" w:hAnsi="Times New Roman"/>
          <w:b w:val="0"/>
          <w:bCs w:val="0"/>
          <w:highlight w:val="none"/>
        </w:rPr>
        <w:t>5</w:t>
      </w:r>
      <w:r>
        <w:rPr>
          <w:rFonts w:hint="eastAsia" w:ascii="Times New Roman" w:hAnsi="Times New Roman"/>
          <w:b w:val="0"/>
          <w:bCs w:val="0"/>
          <w:highlight w:val="none"/>
          <w:lang w:val="en-US" w:eastAsia="zh-CN"/>
        </w:rPr>
        <w:t>.6</w:t>
      </w:r>
      <w:r>
        <w:rPr>
          <w:rFonts w:ascii="Times New Roman" w:hAnsi="Times New Roman"/>
          <w:b w:val="0"/>
          <w:bCs w:val="0"/>
          <w:highlight w:val="none"/>
        </w:rPr>
        <w:t xml:space="preserve">-3 </w:t>
      </w:r>
      <w:r>
        <w:rPr>
          <w:rFonts w:hint="eastAsia" w:ascii="黑体" w:hAnsi="黑体" w:eastAsia="黑体" w:cs="黑体"/>
          <w:b w:val="0"/>
          <w:bCs w:val="0"/>
          <w:highlight w:val="none"/>
        </w:rPr>
        <w:t>干沉降对土壤累积影响叠加值</w:t>
      </w:r>
    </w:p>
    <w:tbl>
      <w:tblPr>
        <w:tblStyle w:val="17"/>
        <w:tblW w:w="506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5"/>
        <w:gridCol w:w="520"/>
        <w:gridCol w:w="741"/>
        <w:gridCol w:w="835"/>
        <w:gridCol w:w="1096"/>
        <w:gridCol w:w="1693"/>
        <w:gridCol w:w="820"/>
        <w:gridCol w:w="1705"/>
        <w:gridCol w:w="756"/>
      </w:tblGrid>
      <w:tr w14:paraId="639385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1" w:hRule="atLeast"/>
        </w:trPr>
        <w:tc>
          <w:tcPr>
            <w:tcW w:w="269" w:type="pct"/>
            <w:noWrap w:val="0"/>
            <w:vAlign w:val="center"/>
          </w:tcPr>
          <w:p w14:paraId="70E4AF1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序号</w:t>
            </w:r>
          </w:p>
        </w:tc>
        <w:tc>
          <w:tcPr>
            <w:tcW w:w="301" w:type="pct"/>
            <w:noWrap w:val="0"/>
            <w:vAlign w:val="center"/>
          </w:tcPr>
          <w:p w14:paraId="2646445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因子</w:t>
            </w:r>
          </w:p>
        </w:tc>
        <w:tc>
          <w:tcPr>
            <w:tcW w:w="429" w:type="pct"/>
            <w:noWrap w:val="0"/>
            <w:vAlign w:val="center"/>
          </w:tcPr>
          <w:p w14:paraId="23A11B17">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背景值</w:t>
            </w:r>
          </w:p>
          <w:p w14:paraId="1FE0FC5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（mg/kg）</w:t>
            </w:r>
          </w:p>
        </w:tc>
        <w:tc>
          <w:tcPr>
            <w:tcW w:w="1119" w:type="pct"/>
            <w:gridSpan w:val="2"/>
            <w:noWrap w:val="0"/>
            <w:vAlign w:val="center"/>
          </w:tcPr>
          <w:p w14:paraId="358C793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累积叠加值（mg/kg）</w:t>
            </w:r>
          </w:p>
        </w:tc>
        <w:tc>
          <w:tcPr>
            <w:tcW w:w="981" w:type="pct"/>
            <w:noWrap w:val="0"/>
            <w:vAlign w:val="center"/>
          </w:tcPr>
          <w:p w14:paraId="3B8CF1F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《土壤环境质量 建设用地土壤污染风险管控标准（试行）》（GB36600-2018）中建设用地土壤污染风险筛选值</w:t>
            </w:r>
          </w:p>
        </w:tc>
        <w:tc>
          <w:tcPr>
            <w:tcW w:w="475" w:type="pct"/>
            <w:noWrap w:val="0"/>
            <w:vAlign w:val="center"/>
          </w:tcPr>
          <w:p w14:paraId="0CB8B06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占标率</w:t>
            </w:r>
          </w:p>
          <w:p w14:paraId="29F8AD9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w:t>
            </w:r>
          </w:p>
        </w:tc>
        <w:tc>
          <w:tcPr>
            <w:tcW w:w="988" w:type="pct"/>
            <w:noWrap w:val="0"/>
            <w:vAlign w:val="center"/>
          </w:tcPr>
          <w:p w14:paraId="24FD7B9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《土壤环境质量农用地土壤污染风险管控标准（试行）》（GB 15618-2018）农用地土壤污染风险筛选值</w:t>
            </w:r>
          </w:p>
        </w:tc>
        <w:tc>
          <w:tcPr>
            <w:tcW w:w="438" w:type="pct"/>
            <w:noWrap w:val="0"/>
            <w:vAlign w:val="center"/>
          </w:tcPr>
          <w:p w14:paraId="2A4B060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占标率</w:t>
            </w:r>
          </w:p>
          <w:p w14:paraId="2A4FB2C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w:t>
            </w:r>
          </w:p>
        </w:tc>
      </w:tr>
      <w:tr w14:paraId="1F44EB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69" w:type="pct"/>
            <w:vMerge w:val="restart"/>
            <w:noWrap w:val="0"/>
            <w:vAlign w:val="center"/>
          </w:tcPr>
          <w:p w14:paraId="16AE93F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1</w:t>
            </w:r>
          </w:p>
        </w:tc>
        <w:tc>
          <w:tcPr>
            <w:tcW w:w="301" w:type="pct"/>
            <w:vMerge w:val="restart"/>
            <w:noWrap w:val="0"/>
            <w:vAlign w:val="center"/>
          </w:tcPr>
          <w:p w14:paraId="24E62B53">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Hg</w:t>
            </w:r>
          </w:p>
        </w:tc>
        <w:tc>
          <w:tcPr>
            <w:tcW w:w="429" w:type="pct"/>
            <w:vMerge w:val="restart"/>
            <w:noWrap w:val="0"/>
            <w:vAlign w:val="center"/>
          </w:tcPr>
          <w:p w14:paraId="731D784F">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0.132</w:t>
            </w:r>
          </w:p>
        </w:tc>
        <w:tc>
          <w:tcPr>
            <w:tcW w:w="484" w:type="pct"/>
            <w:noWrap w:val="0"/>
            <w:vAlign w:val="center"/>
          </w:tcPr>
          <w:p w14:paraId="0702DB01">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5年</w:t>
            </w:r>
          </w:p>
        </w:tc>
        <w:tc>
          <w:tcPr>
            <w:tcW w:w="635" w:type="pct"/>
            <w:noWrap w:val="0"/>
            <w:vAlign w:val="center"/>
          </w:tcPr>
          <w:p w14:paraId="2C1090B8">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0.1321</w:t>
            </w:r>
          </w:p>
        </w:tc>
        <w:tc>
          <w:tcPr>
            <w:tcW w:w="981" w:type="pct"/>
            <w:vMerge w:val="restart"/>
            <w:noWrap w:val="0"/>
            <w:vAlign w:val="center"/>
          </w:tcPr>
          <w:p w14:paraId="10A3CE6B">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38</w:t>
            </w:r>
          </w:p>
        </w:tc>
        <w:tc>
          <w:tcPr>
            <w:tcW w:w="475" w:type="pct"/>
            <w:noWrap w:val="0"/>
            <w:vAlign w:val="center"/>
          </w:tcPr>
          <w:p w14:paraId="19D1837F">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0.35</w:t>
            </w:r>
          </w:p>
        </w:tc>
        <w:tc>
          <w:tcPr>
            <w:tcW w:w="988" w:type="pct"/>
            <w:vMerge w:val="restart"/>
            <w:noWrap w:val="0"/>
            <w:vAlign w:val="center"/>
          </w:tcPr>
          <w:p w14:paraId="214BE43D">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3.4</w:t>
            </w:r>
          </w:p>
        </w:tc>
        <w:tc>
          <w:tcPr>
            <w:tcW w:w="438" w:type="pct"/>
            <w:noWrap w:val="0"/>
            <w:vAlign w:val="center"/>
          </w:tcPr>
          <w:p w14:paraId="48F51E47">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3.89</w:t>
            </w:r>
          </w:p>
        </w:tc>
      </w:tr>
      <w:tr w14:paraId="5E4B0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69" w:type="pct"/>
            <w:vMerge w:val="continue"/>
            <w:noWrap w:val="0"/>
            <w:vAlign w:val="center"/>
          </w:tcPr>
          <w:p w14:paraId="403DC5DC">
            <w:pPr>
              <w:spacing w:line="240" w:lineRule="auto"/>
              <w:ind w:firstLine="0" w:firstLineChars="0"/>
              <w:jc w:val="center"/>
              <w:rPr>
                <w:rFonts w:ascii="Times New Roman" w:hAnsi="Times New Roman"/>
                <w:sz w:val="21"/>
                <w:highlight w:val="none"/>
              </w:rPr>
            </w:pPr>
          </w:p>
        </w:tc>
        <w:tc>
          <w:tcPr>
            <w:tcW w:w="301" w:type="pct"/>
            <w:vMerge w:val="continue"/>
            <w:noWrap w:val="0"/>
            <w:vAlign w:val="center"/>
          </w:tcPr>
          <w:p w14:paraId="316E6B61">
            <w:pPr>
              <w:widowControl/>
              <w:spacing w:line="240" w:lineRule="auto"/>
              <w:ind w:firstLine="0" w:firstLineChars="0"/>
              <w:jc w:val="center"/>
              <w:textAlignment w:val="center"/>
              <w:rPr>
                <w:rFonts w:ascii="Times New Roman" w:hAnsi="Times New Roman"/>
                <w:sz w:val="21"/>
                <w:highlight w:val="none"/>
              </w:rPr>
            </w:pPr>
          </w:p>
        </w:tc>
        <w:tc>
          <w:tcPr>
            <w:tcW w:w="429" w:type="pct"/>
            <w:vMerge w:val="continue"/>
            <w:noWrap w:val="0"/>
            <w:vAlign w:val="center"/>
          </w:tcPr>
          <w:p w14:paraId="0C1DBC8A">
            <w:pPr>
              <w:widowControl/>
              <w:spacing w:line="240" w:lineRule="auto"/>
              <w:ind w:firstLine="0" w:firstLineChars="0"/>
              <w:jc w:val="center"/>
              <w:textAlignment w:val="center"/>
              <w:rPr>
                <w:rFonts w:ascii="Times New Roman" w:hAnsi="Times New Roman"/>
                <w:sz w:val="21"/>
                <w:highlight w:val="none"/>
              </w:rPr>
            </w:pPr>
          </w:p>
        </w:tc>
        <w:tc>
          <w:tcPr>
            <w:tcW w:w="484" w:type="pct"/>
            <w:noWrap w:val="0"/>
            <w:vAlign w:val="center"/>
          </w:tcPr>
          <w:p w14:paraId="4DD4705D">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10年</w:t>
            </w:r>
          </w:p>
        </w:tc>
        <w:tc>
          <w:tcPr>
            <w:tcW w:w="635" w:type="pct"/>
            <w:noWrap w:val="0"/>
            <w:vAlign w:val="center"/>
          </w:tcPr>
          <w:p w14:paraId="12FC5CFB">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0.1323</w:t>
            </w:r>
          </w:p>
        </w:tc>
        <w:tc>
          <w:tcPr>
            <w:tcW w:w="981" w:type="pct"/>
            <w:vMerge w:val="continue"/>
            <w:noWrap w:val="0"/>
            <w:vAlign w:val="center"/>
          </w:tcPr>
          <w:p w14:paraId="2FD0E762">
            <w:pPr>
              <w:widowControl/>
              <w:spacing w:line="240" w:lineRule="auto"/>
              <w:ind w:firstLine="0" w:firstLineChars="0"/>
              <w:jc w:val="center"/>
              <w:textAlignment w:val="center"/>
              <w:rPr>
                <w:rFonts w:ascii="Times New Roman" w:hAnsi="Times New Roman"/>
                <w:sz w:val="21"/>
                <w:highlight w:val="none"/>
              </w:rPr>
            </w:pPr>
          </w:p>
        </w:tc>
        <w:tc>
          <w:tcPr>
            <w:tcW w:w="475" w:type="pct"/>
            <w:noWrap w:val="0"/>
            <w:vAlign w:val="center"/>
          </w:tcPr>
          <w:p w14:paraId="217F74B1">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0.35</w:t>
            </w:r>
          </w:p>
        </w:tc>
        <w:tc>
          <w:tcPr>
            <w:tcW w:w="988" w:type="pct"/>
            <w:vMerge w:val="continue"/>
            <w:noWrap w:val="0"/>
            <w:vAlign w:val="center"/>
          </w:tcPr>
          <w:p w14:paraId="66D81253">
            <w:pPr>
              <w:widowControl/>
              <w:spacing w:line="240" w:lineRule="auto"/>
              <w:ind w:firstLine="0" w:firstLineChars="0"/>
              <w:jc w:val="center"/>
              <w:textAlignment w:val="center"/>
              <w:rPr>
                <w:rFonts w:ascii="Times New Roman" w:hAnsi="Times New Roman"/>
                <w:sz w:val="21"/>
                <w:highlight w:val="none"/>
              </w:rPr>
            </w:pPr>
          </w:p>
        </w:tc>
        <w:tc>
          <w:tcPr>
            <w:tcW w:w="438" w:type="pct"/>
            <w:noWrap w:val="0"/>
            <w:vAlign w:val="center"/>
          </w:tcPr>
          <w:p w14:paraId="5577F82F">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3.89</w:t>
            </w:r>
          </w:p>
        </w:tc>
      </w:tr>
      <w:tr w14:paraId="6DDA9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269" w:type="pct"/>
            <w:vMerge w:val="continue"/>
            <w:noWrap w:val="0"/>
            <w:vAlign w:val="center"/>
          </w:tcPr>
          <w:p w14:paraId="24F77D2E">
            <w:pPr>
              <w:spacing w:line="240" w:lineRule="auto"/>
              <w:ind w:firstLine="0" w:firstLineChars="0"/>
              <w:jc w:val="center"/>
              <w:rPr>
                <w:rFonts w:ascii="Times New Roman" w:hAnsi="Times New Roman"/>
                <w:sz w:val="21"/>
                <w:highlight w:val="none"/>
              </w:rPr>
            </w:pPr>
          </w:p>
        </w:tc>
        <w:tc>
          <w:tcPr>
            <w:tcW w:w="301" w:type="pct"/>
            <w:vMerge w:val="continue"/>
            <w:noWrap w:val="0"/>
            <w:vAlign w:val="center"/>
          </w:tcPr>
          <w:p w14:paraId="31FAEBD2">
            <w:pPr>
              <w:widowControl/>
              <w:spacing w:line="240" w:lineRule="auto"/>
              <w:ind w:firstLine="0" w:firstLineChars="0"/>
              <w:jc w:val="center"/>
              <w:textAlignment w:val="center"/>
              <w:rPr>
                <w:rFonts w:ascii="Times New Roman" w:hAnsi="Times New Roman"/>
                <w:sz w:val="21"/>
                <w:highlight w:val="none"/>
              </w:rPr>
            </w:pPr>
          </w:p>
        </w:tc>
        <w:tc>
          <w:tcPr>
            <w:tcW w:w="429" w:type="pct"/>
            <w:vMerge w:val="continue"/>
            <w:noWrap w:val="0"/>
            <w:vAlign w:val="center"/>
          </w:tcPr>
          <w:p w14:paraId="6F00627B">
            <w:pPr>
              <w:widowControl/>
              <w:spacing w:line="240" w:lineRule="auto"/>
              <w:ind w:firstLine="0" w:firstLineChars="0"/>
              <w:jc w:val="center"/>
              <w:textAlignment w:val="center"/>
              <w:rPr>
                <w:rFonts w:ascii="Times New Roman" w:hAnsi="Times New Roman"/>
                <w:sz w:val="21"/>
                <w:highlight w:val="none"/>
              </w:rPr>
            </w:pPr>
          </w:p>
        </w:tc>
        <w:tc>
          <w:tcPr>
            <w:tcW w:w="484" w:type="pct"/>
            <w:noWrap w:val="0"/>
            <w:vAlign w:val="center"/>
          </w:tcPr>
          <w:p w14:paraId="000BDC47">
            <w:pPr>
              <w:widowControl/>
              <w:spacing w:line="240" w:lineRule="auto"/>
              <w:ind w:firstLine="0" w:firstLineChars="0"/>
              <w:jc w:val="center"/>
              <w:textAlignment w:val="center"/>
              <w:rPr>
                <w:rFonts w:ascii="Times New Roman" w:hAnsi="Times New Roman"/>
                <w:sz w:val="21"/>
                <w:highlight w:val="none"/>
              </w:rPr>
            </w:pPr>
            <w:r>
              <w:rPr>
                <w:rFonts w:ascii="Times New Roman" w:hAnsi="Times New Roman"/>
                <w:sz w:val="21"/>
                <w:highlight w:val="none"/>
              </w:rPr>
              <w:t>20年</w:t>
            </w:r>
          </w:p>
        </w:tc>
        <w:tc>
          <w:tcPr>
            <w:tcW w:w="635" w:type="pct"/>
            <w:noWrap w:val="0"/>
            <w:vAlign w:val="center"/>
          </w:tcPr>
          <w:p w14:paraId="41B86414">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0.1326</w:t>
            </w:r>
          </w:p>
        </w:tc>
        <w:tc>
          <w:tcPr>
            <w:tcW w:w="981" w:type="pct"/>
            <w:vMerge w:val="continue"/>
            <w:noWrap w:val="0"/>
            <w:vAlign w:val="center"/>
          </w:tcPr>
          <w:p w14:paraId="7926C150">
            <w:pPr>
              <w:widowControl/>
              <w:spacing w:line="240" w:lineRule="auto"/>
              <w:ind w:firstLine="0" w:firstLineChars="0"/>
              <w:jc w:val="center"/>
              <w:textAlignment w:val="center"/>
              <w:rPr>
                <w:rFonts w:ascii="Times New Roman" w:hAnsi="Times New Roman"/>
                <w:sz w:val="21"/>
                <w:highlight w:val="none"/>
              </w:rPr>
            </w:pPr>
          </w:p>
        </w:tc>
        <w:tc>
          <w:tcPr>
            <w:tcW w:w="475" w:type="pct"/>
            <w:noWrap w:val="0"/>
            <w:vAlign w:val="center"/>
          </w:tcPr>
          <w:p w14:paraId="33D16E43">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0.35</w:t>
            </w:r>
          </w:p>
        </w:tc>
        <w:tc>
          <w:tcPr>
            <w:tcW w:w="988" w:type="pct"/>
            <w:vMerge w:val="continue"/>
            <w:noWrap w:val="0"/>
            <w:vAlign w:val="center"/>
          </w:tcPr>
          <w:p w14:paraId="5FEEF5A2">
            <w:pPr>
              <w:widowControl/>
              <w:spacing w:line="240" w:lineRule="auto"/>
              <w:ind w:firstLine="0" w:firstLineChars="0"/>
              <w:jc w:val="center"/>
              <w:textAlignment w:val="center"/>
              <w:rPr>
                <w:rFonts w:ascii="Times New Roman" w:hAnsi="Times New Roman"/>
                <w:sz w:val="21"/>
                <w:highlight w:val="none"/>
              </w:rPr>
            </w:pPr>
          </w:p>
        </w:tc>
        <w:tc>
          <w:tcPr>
            <w:tcW w:w="438" w:type="pct"/>
            <w:noWrap w:val="0"/>
            <w:vAlign w:val="center"/>
          </w:tcPr>
          <w:p w14:paraId="4E92F926">
            <w:pPr>
              <w:widowControl/>
              <w:spacing w:line="240" w:lineRule="auto"/>
              <w:ind w:firstLine="0" w:firstLineChars="0"/>
              <w:jc w:val="center"/>
              <w:textAlignment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3.89</w:t>
            </w:r>
          </w:p>
        </w:tc>
      </w:tr>
    </w:tbl>
    <w:p w14:paraId="11926306">
      <w:pPr>
        <w:ind w:firstLine="480"/>
        <w:rPr>
          <w:rFonts w:ascii="Times New Roman" w:hAnsi="Times New Roman"/>
          <w:highlight w:val="none"/>
        </w:rPr>
      </w:pPr>
      <w:r>
        <w:rPr>
          <w:rFonts w:ascii="Times New Roman" w:hAnsi="Times New Roman"/>
          <w:highlight w:val="none"/>
        </w:rPr>
        <w:t>由表5.</w:t>
      </w:r>
      <w:r>
        <w:rPr>
          <w:rFonts w:hint="eastAsia" w:ascii="Times New Roman" w:hAnsi="Times New Roman"/>
          <w:highlight w:val="none"/>
          <w:lang w:val="en-US" w:eastAsia="zh-CN"/>
        </w:rPr>
        <w:t>6</w:t>
      </w:r>
      <w:r>
        <w:rPr>
          <w:rFonts w:ascii="Times New Roman" w:hAnsi="Times New Roman"/>
          <w:highlight w:val="none"/>
        </w:rPr>
        <w:t>-3可知，本项目排放废气中的重金属量很小，经20年沉降累积土壤中Hg增量甚微，</w:t>
      </w:r>
      <w:r>
        <w:rPr>
          <w:rFonts w:hint="eastAsia" w:ascii="Times New Roman" w:hAnsi="Times New Roman"/>
          <w:highlight w:val="none"/>
        </w:rPr>
        <w:t>能够满足《土壤环境质量 建设用地土壤污染风险管控标准（试行）》（GB36600-2018）中建设用地土壤污染风险筛选值及《土壤环境质量农用地土壤污染风险管控标准（试行）》（GB 15618-2018）农用地土壤污染风险筛选值。</w:t>
      </w:r>
      <w:r>
        <w:rPr>
          <w:rFonts w:ascii="Times New Roman" w:hAnsi="Times New Roman"/>
          <w:highlight w:val="none"/>
        </w:rPr>
        <w:t>不会造成周边土壤影响，土壤累积污染在可接受范围内。</w:t>
      </w:r>
    </w:p>
    <w:p w14:paraId="041C48A4">
      <w:pPr>
        <w:pStyle w:val="4"/>
        <w:bidi w:val="0"/>
        <w:ind w:left="0" w:leftChars="0" w:firstLine="0" w:firstLineChars="0"/>
        <w:rPr>
          <w:rFonts w:hint="eastAsia"/>
          <w:highlight w:val="none"/>
          <w:lang w:val="en-US" w:eastAsia="zh-CN"/>
        </w:rPr>
      </w:pPr>
      <w:bookmarkStart w:id="145" w:name="_Toc8742"/>
      <w:r>
        <w:rPr>
          <w:rFonts w:hint="eastAsia"/>
          <w:highlight w:val="none"/>
          <w:lang w:val="en-US" w:eastAsia="zh-CN"/>
        </w:rPr>
        <w:t>5.7环境风险评价</w:t>
      </w:r>
      <w:bookmarkEnd w:id="145"/>
    </w:p>
    <w:p w14:paraId="6F3D084B">
      <w:pPr>
        <w:bidi w:val="0"/>
        <w:rPr>
          <w:rFonts w:hint="default"/>
          <w:highlight w:val="none"/>
          <w:lang w:val="en-US" w:eastAsia="zh-CN"/>
        </w:rPr>
      </w:pPr>
      <w:r>
        <w:rPr>
          <w:rFonts w:hint="default"/>
          <w:b/>
          <w:bCs/>
          <w:highlight w:val="none"/>
          <w:lang w:val="en-US" w:eastAsia="zh-CN"/>
        </w:rPr>
        <w:t>对环境空气的影响分析</w:t>
      </w:r>
    </w:p>
    <w:p w14:paraId="3E6802B1">
      <w:pPr>
        <w:bidi w:val="0"/>
        <w:rPr>
          <w:rFonts w:hint="default"/>
          <w:highlight w:val="none"/>
          <w:lang w:val="en-US" w:eastAsia="zh-CN"/>
        </w:rPr>
      </w:pPr>
      <w:r>
        <w:rPr>
          <w:rFonts w:hint="default"/>
          <w:highlight w:val="none"/>
          <w:lang w:val="en-US" w:eastAsia="zh-CN"/>
        </w:rPr>
        <w:t>油品泄漏影响分析</w:t>
      </w:r>
    </w:p>
    <w:p w14:paraId="77F9615E">
      <w:pPr>
        <w:bidi w:val="0"/>
        <w:rPr>
          <w:rFonts w:hint="default"/>
          <w:highlight w:val="none"/>
          <w:lang w:val="en-US" w:eastAsia="zh-CN"/>
        </w:rPr>
      </w:pPr>
      <w:r>
        <w:rPr>
          <w:rFonts w:hint="default"/>
          <w:highlight w:val="none"/>
          <w:lang w:val="en-US" w:eastAsia="zh-CN"/>
        </w:rPr>
        <w:t>本项目厂区不设油区及油罐，采用油罐车运油到厂给锅炉点火，点火后油罐车离开厂区，油罐车的储油量按10t计算。</w:t>
      </w:r>
    </w:p>
    <w:p w14:paraId="0E44E1BF">
      <w:pPr>
        <w:bidi w:val="0"/>
        <w:rPr>
          <w:rFonts w:hint="default"/>
          <w:highlight w:val="none"/>
          <w:lang w:val="en-US" w:eastAsia="zh-CN"/>
        </w:rPr>
      </w:pPr>
      <w:r>
        <w:rPr>
          <w:rFonts w:hint="default"/>
          <w:highlight w:val="none"/>
          <w:lang w:val="en-US" w:eastAsia="zh-CN"/>
        </w:rPr>
        <w:t>正常情况下本项目不会造成环境风险影响。当运行管理不当，可能出现油罐车因泄漏而产生油蒸汽，油蒸汽与空气形成爆炸性混合物，遇火源就会发生爆炸。燃油在着火过程中，容器内油蒸汽的浓度随燃烧而发生变化，当达到极限浓度时即发生爆炸，因此燃烧和爆炸总是相伴而行。此外，燃油在装卸、泵送过程中，流动、喷射、振荡和冲击都会产生静电，静电会产生火花，火花能量达到一定值也会引发燃烧爆炸。</w:t>
      </w:r>
    </w:p>
    <w:p w14:paraId="22C15098">
      <w:pPr>
        <w:bidi w:val="0"/>
        <w:rPr>
          <w:rFonts w:hint="default"/>
          <w:highlight w:val="none"/>
          <w:lang w:val="en-US" w:eastAsia="zh-CN"/>
        </w:rPr>
      </w:pPr>
      <w:r>
        <w:rPr>
          <w:rFonts w:hint="default"/>
          <w:highlight w:val="none"/>
          <w:lang w:val="en-US" w:eastAsia="zh-CN"/>
        </w:rPr>
        <w:t>轻柴油的主要危险特性有易燃性、易爆性、挥发性等，柴油火灾事故中由于不完全燃烧，可能产生一氧化碳、二氧化硫，大量的一氧化碳与二氧化碳扩散到大气中，会严重影响大气环境的质量。本项目锅炉启炉点火采用炉下油点火系统，本期工程厂区内不设储油罐，由燃油公司的油罐车将柴油直接运至厂内，柴油经燃油泵升压点火即可满足要求，本项目对环境空气影响较小。若柴油泄露发生爆炸和火灾时采用干式灭火器进行灭火，不会发生油类物质进入地表水环境造成河流污染。</w:t>
      </w:r>
    </w:p>
    <w:p w14:paraId="294DA4E9">
      <w:pPr>
        <w:ind w:firstLine="480"/>
        <w:rPr>
          <w:rFonts w:cs="Times New Roman"/>
          <w:highlight w:val="none"/>
        </w:rPr>
      </w:pPr>
      <w:r>
        <w:rPr>
          <w:rFonts w:hint="eastAsia" w:cs="Times New Roman"/>
          <w:highlight w:val="none"/>
        </w:rPr>
        <w:t>综上所述，通过对各物质的风险分析可知，由于各物质的储存量较少，发生风险事故时，影响范围也很小，可以得到及时控制，项目的风险总体水平可以接受。</w:t>
      </w:r>
    </w:p>
    <w:p w14:paraId="7D5BD01D">
      <w:pPr>
        <w:ind w:firstLine="480"/>
        <w:rPr>
          <w:rFonts w:cs="Times New Roman"/>
          <w:highlight w:val="none"/>
        </w:rPr>
      </w:pPr>
      <w:r>
        <w:rPr>
          <w:rFonts w:hint="eastAsia" w:cs="Times New Roman"/>
          <w:highlight w:val="none"/>
        </w:rPr>
        <w:t>建设单位应对可能发生的风险高度重视，采取切实可行环境风险预防措施，防止将风险事件转变成污染事件，避免造成重大环境污染事件。</w:t>
      </w:r>
    </w:p>
    <w:p w14:paraId="06A41CB2">
      <w:pPr>
        <w:bidi w:val="0"/>
        <w:rPr>
          <w:rFonts w:hint="default"/>
          <w:highlight w:val="none"/>
          <w:lang w:val="en-US" w:eastAsia="zh-CN"/>
        </w:rPr>
      </w:pPr>
      <w:r>
        <w:rPr>
          <w:rFonts w:hint="eastAsia" w:cs="Times New Roman"/>
          <w:highlight w:val="none"/>
        </w:rPr>
        <w:t>本项目判定环境风险潜势为I，风险等级为简单分析。通过采取相应的风险防范措施及应急措施后，本项目环境风险可接受。</w:t>
      </w:r>
    </w:p>
    <w:p w14:paraId="2FCE6A68">
      <w:pPr>
        <w:pStyle w:val="4"/>
        <w:bidi w:val="0"/>
        <w:ind w:left="0" w:leftChars="0" w:firstLine="0" w:firstLineChars="0"/>
        <w:rPr>
          <w:rFonts w:hint="default"/>
          <w:highlight w:val="none"/>
          <w:lang w:val="en-US" w:eastAsia="zh-CN"/>
        </w:rPr>
      </w:pPr>
      <w:bookmarkStart w:id="146" w:name="_Toc29437"/>
      <w:r>
        <w:rPr>
          <w:rFonts w:hint="eastAsia"/>
          <w:highlight w:val="none"/>
          <w:lang w:val="en-US" w:eastAsia="zh-CN"/>
        </w:rPr>
        <w:t>5.8生态环境影响分析</w:t>
      </w:r>
      <w:bookmarkEnd w:id="146"/>
    </w:p>
    <w:p w14:paraId="2DD43F65">
      <w:pPr>
        <w:ind w:firstLine="480"/>
        <w:rPr>
          <w:rFonts w:ascii="Times New Roman" w:hAnsi="Times New Roman"/>
          <w:color w:val="auto"/>
          <w:highlight w:val="none"/>
        </w:rPr>
      </w:pPr>
      <w:r>
        <w:rPr>
          <w:rFonts w:ascii="Times New Roman" w:hAnsi="Times New Roman"/>
          <w:color w:val="auto"/>
          <w:highlight w:val="none"/>
        </w:rPr>
        <w:t>项目用地性质为</w:t>
      </w:r>
      <w:r>
        <w:rPr>
          <w:rFonts w:hint="eastAsia" w:ascii="Times New Roman" w:hAnsi="Times New Roman"/>
          <w:color w:val="auto"/>
          <w:highlight w:val="none"/>
          <w:lang w:val="en-US" w:eastAsia="zh-CN"/>
        </w:rPr>
        <w:t>公用设施</w:t>
      </w:r>
      <w:r>
        <w:rPr>
          <w:rFonts w:ascii="Times New Roman" w:hAnsi="Times New Roman"/>
          <w:color w:val="auto"/>
          <w:highlight w:val="none"/>
        </w:rPr>
        <w:t>用地，厂址所在区域自然生态已被人工生态所代替，占地内无古稀树木和保护树种，主要以人工栽种植物等为主。且由于人群活动频繁，树木、草丛中已无大型哺乳动物，仅有鸟类、鼠类及昆虫类小型动物。</w:t>
      </w:r>
    </w:p>
    <w:p w14:paraId="2EBEA48B">
      <w:pPr>
        <w:ind w:firstLine="480"/>
        <w:rPr>
          <w:rFonts w:ascii="Times New Roman" w:hAnsi="Times New Roman"/>
          <w:color w:val="auto"/>
          <w:highlight w:val="none"/>
        </w:rPr>
      </w:pPr>
      <w:r>
        <w:rPr>
          <w:rFonts w:ascii="Times New Roman" w:hAnsi="Times New Roman"/>
          <w:color w:val="auto"/>
          <w:highlight w:val="none"/>
        </w:rPr>
        <w:t>项目运营期对附近的植物影响主要体现在烟囱排放的烟尘、SO</w:t>
      </w:r>
      <w:r>
        <w:rPr>
          <w:rFonts w:ascii="Times New Roman" w:hAnsi="Times New Roman"/>
          <w:color w:val="auto"/>
          <w:highlight w:val="none"/>
          <w:vertAlign w:val="subscript"/>
        </w:rPr>
        <w:t>2</w:t>
      </w:r>
      <w:r>
        <w:rPr>
          <w:rFonts w:ascii="Times New Roman" w:hAnsi="Times New Roman"/>
          <w:color w:val="auto"/>
          <w:highlight w:val="none"/>
        </w:rPr>
        <w:t>和NOx对地表植物叶片的影响，项目废气污染物</w:t>
      </w:r>
      <w:r>
        <w:rPr>
          <w:rFonts w:hint="eastAsia" w:ascii="Times New Roman" w:hAnsi="Times New Roman"/>
          <w:color w:val="auto"/>
          <w:highlight w:val="none"/>
        </w:rPr>
        <w:t>达标</w:t>
      </w:r>
      <w:r>
        <w:rPr>
          <w:rFonts w:ascii="Times New Roman" w:hAnsi="Times New Roman"/>
          <w:color w:val="auto"/>
          <w:highlight w:val="none"/>
        </w:rPr>
        <w:t>排放，并采用</w:t>
      </w:r>
      <w:r>
        <w:rPr>
          <w:rFonts w:hint="eastAsia" w:ascii="Times New Roman" w:hAnsi="Times New Roman"/>
          <w:color w:val="auto"/>
          <w:highlight w:val="none"/>
          <w:lang w:val="en-US" w:eastAsia="zh-CN"/>
        </w:rPr>
        <w:t>60</w:t>
      </w:r>
      <w:r>
        <w:rPr>
          <w:rFonts w:ascii="Times New Roman" w:hAnsi="Times New Roman"/>
          <w:color w:val="auto"/>
          <w:highlight w:val="none"/>
        </w:rPr>
        <w:t>m高烟囱排放，基本不会对周边植物生长造成影响。</w:t>
      </w:r>
    </w:p>
    <w:p w14:paraId="1CA41D85">
      <w:pPr>
        <w:ind w:firstLine="480"/>
        <w:rPr>
          <w:rFonts w:ascii="Times New Roman" w:hAnsi="Times New Roman"/>
          <w:color w:val="auto"/>
          <w:highlight w:val="none"/>
        </w:rPr>
      </w:pPr>
      <w:r>
        <w:rPr>
          <w:rFonts w:ascii="Times New Roman" w:hAnsi="Times New Roman"/>
          <w:color w:val="auto"/>
          <w:highlight w:val="none"/>
        </w:rPr>
        <w:t>因此，项目建设生态影响甚微。</w:t>
      </w:r>
    </w:p>
    <w:p w14:paraId="32836E2D">
      <w:pPr>
        <w:rPr>
          <w:rFonts w:ascii="Times New Roman" w:hAnsi="Times New Roman"/>
          <w:color w:val="auto"/>
          <w:highlight w:val="none"/>
        </w:rPr>
      </w:pPr>
      <w:r>
        <w:rPr>
          <w:rFonts w:ascii="Times New Roman" w:hAnsi="Times New Roman"/>
          <w:color w:val="auto"/>
          <w:highlight w:val="none"/>
        </w:rPr>
        <w:t>厂区绿化以发挥绿化功能、防治污染、降低厂区噪声水平、美化环境为原则。本项目建成后同样要做好绿化工作，在厂区道路等区域进行重点绿化，并注意边角及结合部的绿化。厂区道路两侧，根据地下设施管网分布情况，种植长绿树木或种植草皮。</w:t>
      </w:r>
    </w:p>
    <w:p w14:paraId="2A721227">
      <w:pPr>
        <w:pStyle w:val="4"/>
        <w:bidi w:val="0"/>
        <w:ind w:left="0" w:leftChars="0" w:firstLine="0" w:firstLineChars="0"/>
        <w:rPr>
          <w:rFonts w:hint="eastAsia"/>
          <w:highlight w:val="none"/>
          <w:lang w:val="en-US" w:eastAsia="zh-CN"/>
        </w:rPr>
      </w:pPr>
      <w:bookmarkStart w:id="147" w:name="_Toc9637"/>
      <w:r>
        <w:rPr>
          <w:rFonts w:hint="eastAsia"/>
          <w:highlight w:val="none"/>
          <w:lang w:val="en-US" w:eastAsia="zh-CN"/>
        </w:rPr>
        <w:t>5.9燃煤、灰渣运输环节环境影响分析</w:t>
      </w:r>
      <w:bookmarkEnd w:id="147"/>
    </w:p>
    <w:p w14:paraId="335FD54D">
      <w:pPr>
        <w:ind w:firstLine="480"/>
        <w:rPr>
          <w:rFonts w:hint="eastAsia"/>
          <w:color w:val="auto"/>
          <w:highlight w:val="none"/>
        </w:rPr>
      </w:pPr>
      <w:r>
        <w:rPr>
          <w:rFonts w:hint="eastAsia"/>
          <w:color w:val="auto"/>
          <w:highlight w:val="none"/>
        </w:rPr>
        <w:t>（1）本项目灰渣运输路线</w:t>
      </w:r>
    </w:p>
    <w:p w14:paraId="768FD0E1">
      <w:pPr>
        <w:ind w:firstLine="480"/>
        <w:rPr>
          <w:rFonts w:hint="eastAsia"/>
          <w:color w:val="auto"/>
          <w:highlight w:val="none"/>
        </w:rPr>
      </w:pPr>
      <w:r>
        <w:rPr>
          <w:rFonts w:hint="eastAsia"/>
          <w:color w:val="auto"/>
          <w:highlight w:val="none"/>
        </w:rPr>
        <w:t>本项目灰渣采用公路运输方式，灰渣从本项目厂址通过汽车运至</w:t>
      </w:r>
      <w:r>
        <w:rPr>
          <w:rFonts w:hint="eastAsia"/>
          <w:color w:val="auto"/>
          <w:highlight w:val="none"/>
          <w:lang w:val="en-US" w:eastAsia="zh-CN"/>
        </w:rPr>
        <w:t>需回填采矿区</w:t>
      </w:r>
      <w:r>
        <w:rPr>
          <w:rFonts w:hint="eastAsia"/>
          <w:color w:val="auto"/>
          <w:highlight w:val="none"/>
        </w:rPr>
        <w:t>。</w:t>
      </w:r>
    </w:p>
    <w:p w14:paraId="7EC27572">
      <w:pPr>
        <w:pStyle w:val="23"/>
        <w:ind w:firstLine="480"/>
        <w:rPr>
          <w:rFonts w:hint="eastAsia"/>
          <w:color w:val="auto"/>
          <w:highlight w:val="none"/>
        </w:rPr>
      </w:pPr>
      <w:r>
        <w:rPr>
          <w:rFonts w:hint="eastAsia"/>
          <w:color w:val="auto"/>
          <w:highlight w:val="none"/>
        </w:rPr>
        <w:t>（2）燃煤及灰渣运输过程扬尘环境影响分析</w:t>
      </w:r>
    </w:p>
    <w:p w14:paraId="149DC2A1">
      <w:pPr>
        <w:pStyle w:val="23"/>
        <w:ind w:firstLine="480"/>
        <w:rPr>
          <w:rFonts w:hint="eastAsia"/>
          <w:color w:val="auto"/>
          <w:highlight w:val="none"/>
        </w:rPr>
      </w:pPr>
      <w:r>
        <w:rPr>
          <w:rFonts w:hint="eastAsia"/>
          <w:color w:val="auto"/>
          <w:highlight w:val="none"/>
        </w:rPr>
        <w:t>本项目燃煤运输车辆采用苫布遮盖；炉渣经渣仓由卸干渣设备装车外运至</w:t>
      </w:r>
      <w:r>
        <w:rPr>
          <w:rFonts w:hint="eastAsia"/>
          <w:color w:val="auto"/>
          <w:highlight w:val="none"/>
          <w:lang w:val="en-US" w:eastAsia="zh-CN"/>
        </w:rPr>
        <w:t>需回填采矿区</w:t>
      </w:r>
      <w:r>
        <w:rPr>
          <w:rFonts w:hint="eastAsia"/>
          <w:color w:val="auto"/>
          <w:highlight w:val="none"/>
        </w:rPr>
        <w:t>；干灰采用气力输送至灰仓，采用封闭罐车运输至综合利用单位。车辆行驶过程中由于轮胎与路面接触会产生路面风蚀扬尘，由于运输道路全部为是水泥路面，运输车辆行驶过程中产生的扬尘量较少，因此运输车辆行驶过程中产生的路面扬尘对环境影响较小。</w:t>
      </w:r>
    </w:p>
    <w:p w14:paraId="016EB95B">
      <w:pPr>
        <w:pStyle w:val="23"/>
        <w:ind w:firstLine="480"/>
        <w:rPr>
          <w:rFonts w:ascii="Times New Roman" w:hAnsi="Times New Roman"/>
          <w:color w:val="auto"/>
          <w:highlight w:val="none"/>
        </w:rPr>
      </w:pPr>
      <w:r>
        <w:rPr>
          <w:rFonts w:ascii="Times New Roman" w:hAnsi="Times New Roman"/>
          <w:color w:val="auto"/>
          <w:highlight w:val="none"/>
        </w:rPr>
        <w:t>（3）</w:t>
      </w:r>
      <w:r>
        <w:rPr>
          <w:rFonts w:hint="eastAsia"/>
          <w:color w:val="auto"/>
          <w:highlight w:val="none"/>
        </w:rPr>
        <w:t>燃煤及</w:t>
      </w:r>
      <w:r>
        <w:rPr>
          <w:rFonts w:ascii="Times New Roman" w:hAnsi="Times New Roman"/>
          <w:color w:val="auto"/>
          <w:highlight w:val="none"/>
        </w:rPr>
        <w:t>灰渣运输过程中声环境影响分析</w:t>
      </w:r>
    </w:p>
    <w:p w14:paraId="65969FA9">
      <w:pPr>
        <w:pStyle w:val="23"/>
        <w:ind w:firstLine="480"/>
        <w:rPr>
          <w:rFonts w:ascii="Times New Roman" w:hAnsi="Times New Roman"/>
          <w:color w:val="auto"/>
          <w:highlight w:val="none"/>
        </w:rPr>
      </w:pPr>
      <w:r>
        <w:rPr>
          <w:rFonts w:ascii="Times New Roman" w:hAnsi="Times New Roman"/>
          <w:color w:val="auto"/>
          <w:highlight w:val="none"/>
        </w:rPr>
        <w:t>交通噪声对环境的影响，采用《公路建设项目环境影响评价规范》（JTG B03-2006）中推荐的公路交通噪声预测模式，其模式如下：</w:t>
      </w:r>
    </w:p>
    <w:p w14:paraId="682AB937">
      <w:pPr>
        <w:ind w:firstLine="0" w:firstLineChars="0"/>
        <w:jc w:val="center"/>
        <w:rPr>
          <w:rFonts w:ascii="Times New Roman" w:hAnsi="Times New Roman"/>
          <w:color w:val="auto"/>
          <w:highlight w:val="none"/>
        </w:rPr>
      </w:pPr>
      <w:r>
        <w:rPr>
          <w:rFonts w:ascii="Times New Roman" w:hAnsi="Times New Roman"/>
          <w:color w:val="auto"/>
          <w:highlight w:val="none"/>
        </w:rPr>
        <w:object>
          <v:shape id="_x0000_i1030" o:spt="75" type="#_x0000_t75" style="height:41.95pt;width:332.85pt;" o:ole="t" filled="f" o:preferrelative="t" stroked="f" coordsize="21600,21600">
            <v:path/>
            <v:fill on="f" focussize="0,0"/>
            <v:stroke on="f"/>
            <v:imagedata r:id="rId32" o:title=""/>
            <o:lock v:ext="edit" aspectratio="t"/>
            <w10:wrap type="none"/>
            <w10:anchorlock/>
          </v:shape>
          <o:OLEObject Type="Embed" ProgID="Equation.3" ShapeID="_x0000_i1030" DrawAspect="Content" ObjectID="_1468075730" r:id="rId54">
            <o:LockedField>false</o:LockedField>
          </o:OLEObject>
        </w:object>
      </w:r>
    </w:p>
    <w:p w14:paraId="58B5D618">
      <w:pPr>
        <w:ind w:firstLine="480"/>
        <w:rPr>
          <w:rFonts w:ascii="Times New Roman" w:hAnsi="Times New Roman"/>
          <w:color w:val="auto"/>
          <w:highlight w:val="none"/>
        </w:rPr>
      </w:pPr>
      <w:r>
        <w:rPr>
          <w:rFonts w:ascii="Times New Roman" w:hAnsi="Times New Roman"/>
          <w:color w:val="auto"/>
          <w:highlight w:val="none"/>
        </w:rPr>
        <w:t>式中：(L</w:t>
      </w:r>
      <w:r>
        <w:rPr>
          <w:rFonts w:ascii="Times New Roman" w:hAnsi="Times New Roman"/>
          <w:color w:val="auto"/>
          <w:highlight w:val="none"/>
          <w:vertAlign w:val="subscript"/>
        </w:rPr>
        <w:t>Aeq</w:t>
      </w:r>
      <w:r>
        <w:rPr>
          <w:rFonts w:ascii="Times New Roman" w:hAnsi="Times New Roman"/>
          <w:color w:val="auto"/>
          <w:highlight w:val="none"/>
        </w:rPr>
        <w:t>)</w:t>
      </w:r>
      <w:r>
        <w:rPr>
          <w:rFonts w:ascii="Times New Roman" w:hAnsi="Times New Roman"/>
          <w:color w:val="auto"/>
          <w:highlight w:val="none"/>
          <w:vertAlign w:val="subscript"/>
        </w:rPr>
        <w:t>i</w:t>
      </w:r>
      <w:r>
        <w:rPr>
          <w:rFonts w:ascii="Times New Roman" w:hAnsi="Times New Roman"/>
          <w:color w:val="auto"/>
          <w:highlight w:val="none"/>
        </w:rPr>
        <w:t>——i型车辆行驶于昼间或夜间，预测点接收到小时交通噪声值，dB（A）；</w:t>
      </w:r>
    </w:p>
    <w:p w14:paraId="04548E6F">
      <w:pPr>
        <w:ind w:firstLine="1200" w:firstLineChars="500"/>
        <w:rPr>
          <w:rFonts w:ascii="Times New Roman" w:hAnsi="Times New Roman"/>
          <w:color w:val="auto"/>
          <w:highlight w:val="none"/>
        </w:rPr>
      </w:pPr>
      <w:r>
        <w:rPr>
          <w:rFonts w:ascii="Times New Roman" w:hAnsi="Times New Roman"/>
          <w:color w:val="auto"/>
          <w:highlight w:val="none"/>
        </w:rPr>
        <w:t>L</w:t>
      </w:r>
      <w:r>
        <w:rPr>
          <w:rFonts w:ascii="Times New Roman" w:hAnsi="Times New Roman"/>
          <w:color w:val="auto"/>
          <w:highlight w:val="none"/>
          <w:vertAlign w:val="subscript"/>
        </w:rPr>
        <w:t>w,i</w:t>
      </w:r>
      <w:r>
        <w:rPr>
          <w:rFonts w:ascii="Times New Roman" w:hAnsi="Times New Roman"/>
          <w:color w:val="auto"/>
          <w:highlight w:val="none"/>
        </w:rPr>
        <w:t>——第i型车辆的平均辐射声级，相当于7.5m处的A声级，dB（A）；</w:t>
      </w:r>
    </w:p>
    <w:p w14:paraId="30EE9856">
      <w:pPr>
        <w:ind w:firstLine="1200" w:firstLineChars="500"/>
        <w:rPr>
          <w:rFonts w:ascii="Times New Roman" w:hAnsi="Times New Roman"/>
          <w:color w:val="auto"/>
          <w:highlight w:val="none"/>
        </w:rPr>
      </w:pPr>
      <w:r>
        <w:rPr>
          <w:rFonts w:ascii="Times New Roman" w:hAnsi="Times New Roman"/>
          <w:color w:val="auto"/>
          <w:highlight w:val="none"/>
        </w:rPr>
        <w:t>N</w:t>
      </w:r>
      <w:r>
        <w:rPr>
          <w:rFonts w:ascii="Times New Roman" w:hAnsi="Times New Roman"/>
          <w:color w:val="auto"/>
          <w:highlight w:val="none"/>
          <w:vertAlign w:val="subscript"/>
        </w:rPr>
        <w:t>i</w:t>
      </w:r>
      <w:r>
        <w:rPr>
          <w:rFonts w:ascii="Times New Roman" w:hAnsi="Times New Roman"/>
          <w:color w:val="auto"/>
          <w:highlight w:val="none"/>
        </w:rPr>
        <w:t>——第i型车辆的昼间或夜间的平均小时交通量，辆/h；</w:t>
      </w:r>
    </w:p>
    <w:p w14:paraId="555CA035">
      <w:pPr>
        <w:ind w:firstLine="1200" w:firstLineChars="500"/>
        <w:rPr>
          <w:rFonts w:ascii="Times New Roman" w:hAnsi="Times New Roman"/>
          <w:color w:val="auto"/>
          <w:highlight w:val="none"/>
        </w:rPr>
      </w:pPr>
      <w:r>
        <w:rPr>
          <w:rFonts w:ascii="Times New Roman" w:hAnsi="Times New Roman"/>
          <w:color w:val="auto"/>
          <w:highlight w:val="none"/>
        </w:rPr>
        <w:t>v</w:t>
      </w:r>
      <w:r>
        <w:rPr>
          <w:rFonts w:ascii="Times New Roman" w:hAnsi="Times New Roman"/>
          <w:color w:val="auto"/>
          <w:highlight w:val="none"/>
          <w:vertAlign w:val="subscript"/>
        </w:rPr>
        <w:t>i</w:t>
      </w:r>
      <w:r>
        <w:rPr>
          <w:rFonts w:ascii="Times New Roman" w:hAnsi="Times New Roman"/>
          <w:color w:val="auto"/>
          <w:highlight w:val="none"/>
        </w:rPr>
        <w:t>——i型车辆的平均行驶速度，km/h；</w:t>
      </w:r>
    </w:p>
    <w:p w14:paraId="17126A16">
      <w:pPr>
        <w:ind w:firstLine="1200" w:firstLineChars="500"/>
        <w:rPr>
          <w:rFonts w:ascii="Times New Roman" w:hAnsi="Times New Roman"/>
          <w:color w:val="auto"/>
          <w:highlight w:val="none"/>
        </w:rPr>
      </w:pPr>
      <w:r>
        <w:rPr>
          <w:rFonts w:ascii="Times New Roman" w:hAnsi="Times New Roman"/>
          <w:color w:val="auto"/>
          <w:highlight w:val="none"/>
        </w:rPr>
        <w:t>T——LAeq的预测时间，在此取1h；</w:t>
      </w:r>
    </w:p>
    <w:p w14:paraId="49F979EE">
      <w:pPr>
        <w:ind w:firstLine="1200" w:firstLineChars="500"/>
        <w:rPr>
          <w:rFonts w:ascii="Times New Roman" w:hAnsi="Times New Roman"/>
          <w:color w:val="auto"/>
          <w:highlight w:val="none"/>
        </w:rPr>
      </w:pPr>
      <w:r>
        <w:rPr>
          <w:rFonts w:ascii="Times New Roman" w:hAnsi="Times New Roman"/>
          <w:color w:val="auto"/>
          <w:highlight w:val="none"/>
        </w:rPr>
        <w:t>ΔL距离——第i型车辆行驶噪声，昼间或夜间在距噪声等效行车线距离为r的预测点处的距离衰减量，dB（A）；</w:t>
      </w:r>
    </w:p>
    <w:p w14:paraId="3479292D">
      <w:pPr>
        <w:ind w:firstLine="1200" w:firstLineChars="500"/>
        <w:rPr>
          <w:rFonts w:ascii="Times New Roman" w:hAnsi="Times New Roman"/>
          <w:color w:val="auto"/>
          <w:highlight w:val="none"/>
        </w:rPr>
      </w:pPr>
      <w:r>
        <w:rPr>
          <w:rFonts w:ascii="Times New Roman" w:hAnsi="Times New Roman"/>
          <w:color w:val="auto"/>
          <w:highlight w:val="none"/>
        </w:rPr>
        <w:t>ΔL纵坡——公路纵坡引起的交通噪声修正量，dB（A）；</w:t>
      </w:r>
    </w:p>
    <w:p w14:paraId="31EDE5AE">
      <w:pPr>
        <w:ind w:firstLine="1200" w:firstLineChars="500"/>
        <w:rPr>
          <w:rFonts w:ascii="Times New Roman" w:hAnsi="Times New Roman"/>
          <w:color w:val="auto"/>
          <w:highlight w:val="none"/>
        </w:rPr>
      </w:pPr>
      <w:r>
        <w:rPr>
          <w:rFonts w:ascii="Times New Roman" w:hAnsi="Times New Roman"/>
          <w:color w:val="auto"/>
          <w:highlight w:val="none"/>
        </w:rPr>
        <w:t>ΔL路面——公路路面引起的交通噪声修正量，dB（A）。</w:t>
      </w:r>
    </w:p>
    <w:p w14:paraId="0519AFC9">
      <w:pPr>
        <w:ind w:firstLine="480"/>
        <w:rPr>
          <w:rFonts w:ascii="Times New Roman" w:hAnsi="Times New Roman"/>
          <w:color w:val="auto"/>
          <w:highlight w:val="none"/>
        </w:rPr>
      </w:pPr>
      <w:r>
        <w:rPr>
          <w:rFonts w:ascii="Times New Roman" w:hAnsi="Times New Roman"/>
          <w:color w:val="auto"/>
          <w:highlight w:val="none"/>
        </w:rPr>
        <w:t>本项目运输车辆引发的公路交通噪声对公路两侧的噪声贡献值见表5.</w:t>
      </w:r>
      <w:r>
        <w:rPr>
          <w:rFonts w:hint="eastAsia" w:ascii="Times New Roman" w:hAnsi="Times New Roman"/>
          <w:color w:val="auto"/>
          <w:highlight w:val="none"/>
        </w:rPr>
        <w:t>9</w:t>
      </w:r>
      <w:r>
        <w:rPr>
          <w:rFonts w:ascii="Times New Roman" w:hAnsi="Times New Roman"/>
          <w:color w:val="auto"/>
          <w:highlight w:val="none"/>
        </w:rPr>
        <w:t>-1。</w:t>
      </w:r>
    </w:p>
    <w:p w14:paraId="2B716E3C">
      <w:pPr>
        <w:pStyle w:val="23"/>
        <w:ind w:firstLine="0" w:firstLineChars="0"/>
        <w:jc w:val="center"/>
        <w:rPr>
          <w:rFonts w:ascii="Times New Roman" w:hAnsi="Times New Roman"/>
          <w:b/>
          <w:bCs/>
          <w:color w:val="auto"/>
          <w:highlight w:val="none"/>
        </w:rPr>
      </w:pPr>
    </w:p>
    <w:p w14:paraId="134363B0">
      <w:pPr>
        <w:pStyle w:val="23"/>
        <w:ind w:firstLine="0" w:firstLineChars="0"/>
        <w:jc w:val="center"/>
        <w:rPr>
          <w:rFonts w:ascii="Times New Roman" w:hAnsi="Times New Roman"/>
          <w:b/>
          <w:bCs/>
          <w:color w:val="auto"/>
          <w:highlight w:val="none"/>
        </w:rPr>
      </w:pPr>
    </w:p>
    <w:p w14:paraId="0A501412">
      <w:pPr>
        <w:pStyle w:val="23"/>
        <w:ind w:firstLine="0" w:firstLineChars="0"/>
        <w:jc w:val="center"/>
        <w:rPr>
          <w:rFonts w:ascii="Times New Roman" w:hAnsi="Times New Roman"/>
          <w:color w:val="auto"/>
          <w:highlight w:val="none"/>
        </w:rPr>
      </w:pPr>
      <w:r>
        <w:rPr>
          <w:rFonts w:hint="eastAsia" w:ascii="黑体" w:hAnsi="黑体" w:eastAsia="黑体" w:cs="黑体"/>
          <w:b w:val="0"/>
          <w:bCs w:val="0"/>
          <w:color w:val="auto"/>
          <w:highlight w:val="none"/>
        </w:rPr>
        <w:t>表</w:t>
      </w:r>
      <w:r>
        <w:rPr>
          <w:rFonts w:hint="eastAsia" w:ascii="Times New Roman" w:hAnsi="Times New Roman"/>
          <w:b w:val="0"/>
          <w:bCs w:val="0"/>
          <w:color w:val="auto"/>
          <w:highlight w:val="none"/>
          <w:lang w:val="en-US" w:eastAsia="zh-CN"/>
        </w:rPr>
        <w:t xml:space="preserve"> </w:t>
      </w:r>
      <w:r>
        <w:rPr>
          <w:rFonts w:ascii="Times New Roman" w:hAnsi="Times New Roman"/>
          <w:b w:val="0"/>
          <w:bCs w:val="0"/>
          <w:color w:val="auto"/>
          <w:highlight w:val="none"/>
        </w:rPr>
        <w:t>5.</w:t>
      </w:r>
      <w:r>
        <w:rPr>
          <w:rFonts w:hint="eastAsia" w:ascii="Times New Roman" w:hAnsi="Times New Roman"/>
          <w:b w:val="0"/>
          <w:bCs w:val="0"/>
          <w:color w:val="auto"/>
          <w:highlight w:val="none"/>
        </w:rPr>
        <w:t>9</w:t>
      </w:r>
      <w:r>
        <w:rPr>
          <w:rFonts w:ascii="Times New Roman" w:hAnsi="Times New Roman"/>
          <w:b w:val="0"/>
          <w:bCs w:val="0"/>
          <w:color w:val="auto"/>
          <w:highlight w:val="none"/>
        </w:rPr>
        <w:t>-1</w:t>
      </w:r>
      <w:r>
        <w:rPr>
          <w:rFonts w:hint="eastAsia" w:ascii="Times New Roman" w:hAnsi="Times New Roman"/>
          <w:b w:val="0"/>
          <w:bCs w:val="0"/>
          <w:color w:val="auto"/>
          <w:highlight w:val="none"/>
          <w:lang w:val="en-US" w:eastAsia="zh-CN"/>
        </w:rPr>
        <w:t xml:space="preserve"> </w:t>
      </w:r>
      <w:r>
        <w:rPr>
          <w:rFonts w:hint="eastAsia" w:ascii="黑体" w:hAnsi="黑体" w:eastAsia="黑体" w:cs="黑体"/>
          <w:b w:val="0"/>
          <w:bCs w:val="0"/>
          <w:color w:val="auto"/>
          <w:highlight w:val="none"/>
        </w:rPr>
        <w:t>本项目公路运输交通噪声贡献值（单位</w:t>
      </w:r>
      <w:r>
        <w:rPr>
          <w:rFonts w:ascii="Times New Roman" w:hAnsi="Times New Roman"/>
          <w:b w:val="0"/>
          <w:bCs w:val="0"/>
          <w:color w:val="auto"/>
          <w:highlight w:val="none"/>
        </w:rPr>
        <w:t>：dB(A)）</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775"/>
        <w:gridCol w:w="775"/>
        <w:gridCol w:w="775"/>
        <w:gridCol w:w="775"/>
        <w:gridCol w:w="784"/>
        <w:gridCol w:w="776"/>
        <w:gridCol w:w="776"/>
        <w:gridCol w:w="776"/>
        <w:gridCol w:w="776"/>
        <w:gridCol w:w="776"/>
        <w:gridCol w:w="758"/>
      </w:tblGrid>
      <w:tr w14:paraId="42FF639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noWrap w:val="0"/>
            <w:vAlign w:val="center"/>
          </w:tcPr>
          <w:p w14:paraId="55B4A03D">
            <w:pPr>
              <w:spacing w:line="240" w:lineRule="auto"/>
              <w:ind w:firstLine="0" w:firstLineChars="0"/>
              <w:jc w:val="center"/>
              <w:rPr>
                <w:color w:val="auto"/>
                <w:sz w:val="21"/>
                <w:szCs w:val="21"/>
                <w:highlight w:val="none"/>
              </w:rPr>
            </w:pPr>
            <w:r>
              <w:rPr>
                <w:color w:val="auto"/>
                <w:sz w:val="21"/>
                <w:szCs w:val="21"/>
                <w:highlight w:val="none"/>
              </w:rPr>
              <w:t>路段</w:t>
            </w:r>
          </w:p>
        </w:tc>
        <w:tc>
          <w:tcPr>
            <w:tcW w:w="4545" w:type="pct"/>
            <w:gridSpan w:val="10"/>
            <w:noWrap w:val="0"/>
            <w:vAlign w:val="center"/>
          </w:tcPr>
          <w:p w14:paraId="39412D31">
            <w:pPr>
              <w:spacing w:line="240" w:lineRule="auto"/>
              <w:ind w:firstLine="0" w:firstLineChars="0"/>
              <w:jc w:val="center"/>
              <w:rPr>
                <w:color w:val="auto"/>
                <w:sz w:val="21"/>
                <w:szCs w:val="21"/>
                <w:highlight w:val="none"/>
              </w:rPr>
            </w:pPr>
            <w:r>
              <w:rPr>
                <w:color w:val="auto"/>
                <w:sz w:val="21"/>
                <w:szCs w:val="21"/>
                <w:highlight w:val="none"/>
              </w:rPr>
              <w:t>公路中线两侧不同距离处交通噪声贡献值LAeq，dB（A）</w:t>
            </w:r>
          </w:p>
        </w:tc>
      </w:tr>
      <w:tr w14:paraId="05F2480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restart"/>
            <w:noWrap w:val="0"/>
            <w:vAlign w:val="center"/>
          </w:tcPr>
          <w:p w14:paraId="4F3664EA">
            <w:pPr>
              <w:spacing w:line="240" w:lineRule="auto"/>
              <w:ind w:firstLine="0" w:firstLineChars="0"/>
              <w:jc w:val="center"/>
              <w:rPr>
                <w:color w:val="auto"/>
                <w:sz w:val="21"/>
                <w:szCs w:val="21"/>
                <w:highlight w:val="none"/>
              </w:rPr>
            </w:pPr>
            <w:r>
              <w:rPr>
                <w:color w:val="auto"/>
                <w:sz w:val="21"/>
                <w:szCs w:val="21"/>
                <w:highlight w:val="none"/>
              </w:rPr>
              <w:t>全</w:t>
            </w:r>
          </w:p>
          <w:p w14:paraId="454176DE">
            <w:pPr>
              <w:spacing w:line="240" w:lineRule="auto"/>
              <w:ind w:firstLine="0" w:firstLineChars="0"/>
              <w:jc w:val="center"/>
              <w:rPr>
                <w:color w:val="auto"/>
                <w:sz w:val="21"/>
                <w:szCs w:val="21"/>
                <w:highlight w:val="none"/>
              </w:rPr>
            </w:pPr>
            <w:r>
              <w:rPr>
                <w:color w:val="auto"/>
                <w:sz w:val="21"/>
                <w:szCs w:val="21"/>
                <w:highlight w:val="none"/>
              </w:rPr>
              <w:t>路</w:t>
            </w:r>
          </w:p>
          <w:p w14:paraId="53E442B9">
            <w:pPr>
              <w:spacing w:line="240" w:lineRule="auto"/>
              <w:ind w:firstLine="0" w:firstLineChars="0"/>
              <w:jc w:val="center"/>
              <w:rPr>
                <w:color w:val="auto"/>
                <w:sz w:val="21"/>
                <w:szCs w:val="21"/>
                <w:highlight w:val="none"/>
              </w:rPr>
            </w:pPr>
            <w:r>
              <w:rPr>
                <w:color w:val="auto"/>
                <w:sz w:val="21"/>
                <w:szCs w:val="21"/>
                <w:highlight w:val="none"/>
              </w:rPr>
              <w:t>段</w:t>
            </w:r>
          </w:p>
        </w:tc>
        <w:tc>
          <w:tcPr>
            <w:tcW w:w="1824" w:type="pct"/>
            <w:gridSpan w:val="4"/>
            <w:noWrap w:val="0"/>
            <w:vAlign w:val="center"/>
          </w:tcPr>
          <w:p w14:paraId="045E2465">
            <w:pPr>
              <w:spacing w:line="240" w:lineRule="auto"/>
              <w:ind w:firstLine="0" w:firstLineChars="0"/>
              <w:jc w:val="center"/>
              <w:rPr>
                <w:color w:val="auto"/>
                <w:sz w:val="21"/>
                <w:szCs w:val="21"/>
                <w:highlight w:val="none"/>
              </w:rPr>
            </w:pPr>
            <w:r>
              <w:rPr>
                <w:color w:val="auto"/>
                <w:sz w:val="21"/>
                <w:szCs w:val="21"/>
                <w:highlight w:val="none"/>
              </w:rPr>
              <w:t>4a类声环境功能区</w:t>
            </w:r>
          </w:p>
        </w:tc>
        <w:tc>
          <w:tcPr>
            <w:tcW w:w="2721" w:type="pct"/>
            <w:gridSpan w:val="6"/>
            <w:noWrap w:val="0"/>
            <w:vAlign w:val="center"/>
          </w:tcPr>
          <w:p w14:paraId="4ADE774E">
            <w:pPr>
              <w:spacing w:line="240" w:lineRule="auto"/>
              <w:ind w:firstLine="0" w:firstLineChars="0"/>
              <w:jc w:val="center"/>
              <w:rPr>
                <w:color w:val="auto"/>
                <w:sz w:val="21"/>
                <w:szCs w:val="21"/>
                <w:highlight w:val="none"/>
              </w:rPr>
            </w:pPr>
            <w:r>
              <w:rPr>
                <w:rFonts w:hint="eastAsia"/>
                <w:color w:val="auto"/>
                <w:sz w:val="21"/>
                <w:szCs w:val="21"/>
                <w:highlight w:val="none"/>
              </w:rPr>
              <w:t>2</w:t>
            </w:r>
            <w:r>
              <w:rPr>
                <w:color w:val="auto"/>
                <w:sz w:val="21"/>
                <w:szCs w:val="21"/>
                <w:highlight w:val="none"/>
              </w:rPr>
              <w:t>类声环境功能区</w:t>
            </w:r>
          </w:p>
        </w:tc>
      </w:tr>
      <w:tr w14:paraId="0A09BFAE">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continue"/>
            <w:noWrap w:val="0"/>
            <w:vAlign w:val="center"/>
          </w:tcPr>
          <w:p w14:paraId="069E5BBC">
            <w:pPr>
              <w:spacing w:line="240" w:lineRule="auto"/>
              <w:ind w:firstLine="0" w:firstLineChars="0"/>
              <w:jc w:val="center"/>
              <w:rPr>
                <w:color w:val="auto"/>
                <w:sz w:val="21"/>
                <w:szCs w:val="21"/>
                <w:highlight w:val="none"/>
              </w:rPr>
            </w:pPr>
          </w:p>
        </w:tc>
        <w:tc>
          <w:tcPr>
            <w:tcW w:w="455" w:type="pct"/>
            <w:noWrap w:val="0"/>
            <w:vAlign w:val="center"/>
          </w:tcPr>
          <w:p w14:paraId="66BA926F">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10m</w:t>
            </w:r>
          </w:p>
        </w:tc>
        <w:tc>
          <w:tcPr>
            <w:tcW w:w="455" w:type="pct"/>
            <w:noWrap w:val="0"/>
            <w:vAlign w:val="center"/>
          </w:tcPr>
          <w:p w14:paraId="69EA049E">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20m</w:t>
            </w:r>
          </w:p>
        </w:tc>
        <w:tc>
          <w:tcPr>
            <w:tcW w:w="455" w:type="pct"/>
            <w:noWrap w:val="0"/>
            <w:vAlign w:val="center"/>
          </w:tcPr>
          <w:p w14:paraId="0180B3DC">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30 m</w:t>
            </w:r>
          </w:p>
        </w:tc>
        <w:tc>
          <w:tcPr>
            <w:tcW w:w="460" w:type="pct"/>
            <w:noWrap w:val="0"/>
            <w:vAlign w:val="center"/>
          </w:tcPr>
          <w:p w14:paraId="4538EF9F">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40 m</w:t>
            </w:r>
          </w:p>
        </w:tc>
        <w:tc>
          <w:tcPr>
            <w:tcW w:w="455" w:type="pct"/>
            <w:noWrap w:val="0"/>
            <w:vAlign w:val="center"/>
          </w:tcPr>
          <w:p w14:paraId="63418A8A">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 m</w:t>
            </w:r>
          </w:p>
        </w:tc>
        <w:tc>
          <w:tcPr>
            <w:tcW w:w="455" w:type="pct"/>
            <w:noWrap w:val="0"/>
            <w:vAlign w:val="center"/>
          </w:tcPr>
          <w:p w14:paraId="46164743">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60 m</w:t>
            </w:r>
          </w:p>
        </w:tc>
        <w:tc>
          <w:tcPr>
            <w:tcW w:w="455" w:type="pct"/>
            <w:noWrap w:val="0"/>
            <w:vAlign w:val="center"/>
          </w:tcPr>
          <w:p w14:paraId="392B472E">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70 m</w:t>
            </w:r>
          </w:p>
        </w:tc>
        <w:tc>
          <w:tcPr>
            <w:tcW w:w="455" w:type="pct"/>
            <w:noWrap w:val="0"/>
            <w:vAlign w:val="center"/>
          </w:tcPr>
          <w:p w14:paraId="61FB07B8">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80 m</w:t>
            </w:r>
          </w:p>
        </w:tc>
        <w:tc>
          <w:tcPr>
            <w:tcW w:w="455" w:type="pct"/>
            <w:noWrap w:val="0"/>
            <w:vAlign w:val="center"/>
          </w:tcPr>
          <w:p w14:paraId="385622FC">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 m</w:t>
            </w:r>
          </w:p>
        </w:tc>
        <w:tc>
          <w:tcPr>
            <w:tcW w:w="445" w:type="pct"/>
            <w:noWrap w:val="0"/>
            <w:vAlign w:val="center"/>
          </w:tcPr>
          <w:p w14:paraId="1ABB701E">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100 m</w:t>
            </w:r>
          </w:p>
        </w:tc>
      </w:tr>
      <w:tr w14:paraId="486F501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55" w:type="pct"/>
            <w:vMerge w:val="continue"/>
            <w:noWrap w:val="0"/>
            <w:vAlign w:val="center"/>
          </w:tcPr>
          <w:p w14:paraId="6A916DD4">
            <w:pPr>
              <w:spacing w:line="240" w:lineRule="auto"/>
              <w:ind w:firstLine="0" w:firstLineChars="0"/>
              <w:jc w:val="center"/>
              <w:rPr>
                <w:color w:val="auto"/>
                <w:sz w:val="21"/>
                <w:szCs w:val="21"/>
                <w:highlight w:val="none"/>
              </w:rPr>
            </w:pPr>
          </w:p>
        </w:tc>
        <w:tc>
          <w:tcPr>
            <w:tcW w:w="455" w:type="pct"/>
            <w:noWrap w:val="0"/>
            <w:vAlign w:val="center"/>
          </w:tcPr>
          <w:p w14:paraId="7D400625">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54.9</w:t>
            </w:r>
          </w:p>
        </w:tc>
        <w:tc>
          <w:tcPr>
            <w:tcW w:w="455" w:type="pct"/>
            <w:noWrap w:val="0"/>
            <w:vAlign w:val="center"/>
          </w:tcPr>
          <w:p w14:paraId="74B63976">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51.9</w:t>
            </w:r>
          </w:p>
        </w:tc>
        <w:tc>
          <w:tcPr>
            <w:tcW w:w="455" w:type="pct"/>
            <w:noWrap w:val="0"/>
            <w:vAlign w:val="center"/>
          </w:tcPr>
          <w:p w14:paraId="2F99831C">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50.1</w:t>
            </w:r>
          </w:p>
        </w:tc>
        <w:tc>
          <w:tcPr>
            <w:tcW w:w="460" w:type="pct"/>
            <w:noWrap w:val="0"/>
            <w:vAlign w:val="center"/>
          </w:tcPr>
          <w:p w14:paraId="0D6BE3C6">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48.8</w:t>
            </w:r>
          </w:p>
        </w:tc>
        <w:tc>
          <w:tcPr>
            <w:tcW w:w="455" w:type="pct"/>
            <w:noWrap w:val="0"/>
            <w:vAlign w:val="center"/>
          </w:tcPr>
          <w:p w14:paraId="62865416">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47.8</w:t>
            </w:r>
          </w:p>
        </w:tc>
        <w:tc>
          <w:tcPr>
            <w:tcW w:w="455" w:type="pct"/>
            <w:noWrap w:val="0"/>
            <w:vAlign w:val="center"/>
          </w:tcPr>
          <w:p w14:paraId="097C1D7D">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47</w:t>
            </w:r>
          </w:p>
        </w:tc>
        <w:tc>
          <w:tcPr>
            <w:tcW w:w="455" w:type="pct"/>
            <w:noWrap w:val="0"/>
            <w:vAlign w:val="center"/>
          </w:tcPr>
          <w:p w14:paraId="21EBD7EA">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46.3</w:t>
            </w:r>
          </w:p>
        </w:tc>
        <w:tc>
          <w:tcPr>
            <w:tcW w:w="455" w:type="pct"/>
            <w:noWrap w:val="0"/>
            <w:vAlign w:val="center"/>
          </w:tcPr>
          <w:p w14:paraId="1F728DBD">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45.7</w:t>
            </w:r>
          </w:p>
        </w:tc>
        <w:tc>
          <w:tcPr>
            <w:tcW w:w="455" w:type="pct"/>
            <w:noWrap w:val="0"/>
            <w:vAlign w:val="center"/>
          </w:tcPr>
          <w:p w14:paraId="6551A7B0">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45.1</w:t>
            </w:r>
          </w:p>
        </w:tc>
        <w:tc>
          <w:tcPr>
            <w:tcW w:w="445" w:type="pct"/>
            <w:noWrap w:val="0"/>
            <w:vAlign w:val="center"/>
          </w:tcPr>
          <w:p w14:paraId="3279D81B">
            <w:pPr>
              <w:spacing w:line="240" w:lineRule="auto"/>
              <w:ind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44.6</w:t>
            </w:r>
          </w:p>
        </w:tc>
      </w:tr>
    </w:tbl>
    <w:p w14:paraId="706F6DD3">
      <w:pPr>
        <w:rPr>
          <w:rFonts w:ascii="Times New Roman" w:hAnsi="Times New Roman"/>
          <w:color w:val="auto"/>
          <w:highlight w:val="none"/>
        </w:rPr>
      </w:pPr>
      <w:r>
        <w:rPr>
          <w:rFonts w:ascii="Times New Roman" w:hAnsi="Times New Roman"/>
          <w:color w:val="auto"/>
          <w:highlight w:val="none"/>
        </w:rPr>
        <w:t>由表5.</w:t>
      </w:r>
      <w:r>
        <w:rPr>
          <w:rFonts w:hint="eastAsia" w:ascii="Times New Roman" w:hAnsi="Times New Roman"/>
          <w:color w:val="auto"/>
          <w:highlight w:val="none"/>
        </w:rPr>
        <w:t>9-1</w:t>
      </w:r>
      <w:r>
        <w:rPr>
          <w:rFonts w:ascii="Times New Roman" w:hAnsi="Times New Roman"/>
          <w:color w:val="auto"/>
          <w:highlight w:val="none"/>
        </w:rPr>
        <w:t>可以看出，本项目运输车辆对市区道路两侧的交通噪声贡献值符合《声环境质量标准》（GB3096-2008）昼间4a类70dB（A）和2类60dB（A）标准限值。本项目夜间不安排运输，当白天运输车经过居民区时，运输车辆应采取限制车速、禁鸣等措施，可有效降低运输车辆噪声对道路两侧居民的影响。运输噪声影响相对较小，可以接受。</w:t>
      </w:r>
    </w:p>
    <w:p w14:paraId="55F1BB6C">
      <w:pPr>
        <w:pStyle w:val="4"/>
        <w:bidi w:val="0"/>
        <w:ind w:left="0" w:leftChars="0" w:firstLine="0" w:firstLineChars="0"/>
        <w:rPr>
          <w:rFonts w:hint="eastAsia"/>
          <w:highlight w:val="none"/>
          <w:lang w:val="en-US" w:eastAsia="zh-CN"/>
        </w:rPr>
      </w:pPr>
      <w:bookmarkStart w:id="148" w:name="_Toc22737"/>
      <w:r>
        <w:rPr>
          <w:rFonts w:hint="eastAsia"/>
          <w:highlight w:val="none"/>
          <w:lang w:val="en-US" w:eastAsia="zh-CN"/>
        </w:rPr>
        <w:t>5.10碳排放影响评价</w:t>
      </w:r>
      <w:bookmarkEnd w:id="148"/>
    </w:p>
    <w:p w14:paraId="5407D55B">
      <w:pPr>
        <w:bidi w:val="0"/>
        <w:rPr>
          <w:rFonts w:hint="eastAsia" w:ascii="Times New Roman" w:hAnsi="Times New Roman"/>
          <w:color w:val="auto"/>
          <w:highlight w:val="none"/>
        </w:rPr>
      </w:pPr>
      <w:r>
        <w:rPr>
          <w:rFonts w:hint="eastAsia" w:ascii="Times New Roman" w:hAnsi="Times New Roman"/>
          <w:color w:val="auto"/>
          <w:highlight w:val="none"/>
          <w:lang w:val="en-US" w:eastAsia="zh-CN"/>
        </w:rPr>
        <w:t>一、</w:t>
      </w:r>
      <w:r>
        <w:rPr>
          <w:rFonts w:hint="eastAsia" w:ascii="Times New Roman" w:hAnsi="Times New Roman"/>
          <w:color w:val="auto"/>
          <w:highlight w:val="none"/>
        </w:rPr>
        <w:t>排放源</w:t>
      </w:r>
    </w:p>
    <w:p w14:paraId="5CF48DB8">
      <w:pPr>
        <w:bidi w:val="0"/>
        <w:rPr>
          <w:rFonts w:hint="eastAsia" w:ascii="Times New Roman" w:hAnsi="Times New Roman"/>
          <w:color w:val="auto"/>
          <w:highlight w:val="none"/>
          <w:lang w:eastAsia="zh-CN"/>
        </w:rPr>
      </w:pPr>
      <w:r>
        <w:rPr>
          <w:rFonts w:hint="eastAsia" w:ascii="Times New Roman" w:hAnsi="Times New Roman"/>
          <w:color w:val="auto"/>
          <w:highlight w:val="none"/>
        </w:rPr>
        <w:t>本项目碳排放源为机组化石燃料燃烧产生的二氧化碳排放以及机组购入的电力产生的二氧化碳排放</w:t>
      </w:r>
      <w:r>
        <w:rPr>
          <w:rFonts w:hint="eastAsia" w:ascii="Times New Roman" w:hAnsi="Times New Roman"/>
          <w:color w:val="auto"/>
          <w:highlight w:val="none"/>
          <w:lang w:eastAsia="zh-CN"/>
        </w:rPr>
        <w:t>。</w:t>
      </w:r>
    </w:p>
    <w:p w14:paraId="4B74EAF7">
      <w:pPr>
        <w:bidi w:val="0"/>
        <w:rPr>
          <w:rFonts w:hint="eastAsia" w:ascii="Times New Roman" w:hAnsi="Times New Roman"/>
          <w:color w:val="auto"/>
          <w:highlight w:val="none"/>
          <w:lang w:eastAsia="zh-CN"/>
        </w:rPr>
      </w:pPr>
      <w:r>
        <w:rPr>
          <w:rFonts w:hint="eastAsia" w:ascii="Times New Roman" w:hAnsi="Times New Roman"/>
          <w:color w:val="auto"/>
          <w:highlight w:val="none"/>
          <w:lang w:eastAsia="zh-CN"/>
        </w:rPr>
        <w:t>（1）化石燃料燃烧产生的二氧化碳排放：一般包括发电锅炉（含启动锅炉）、燃气轮机等主要生产系统消耗的化石燃料产生的二氧化碳排放，不包括应急柴油发电机组、移动源、食堂等其他设施消耗化石燃料产生的排放。</w:t>
      </w:r>
    </w:p>
    <w:p w14:paraId="66BD4676">
      <w:pPr>
        <w:bidi w:val="0"/>
        <w:rPr>
          <w:rFonts w:hint="eastAsia" w:ascii="Times New Roman" w:hAnsi="Times New Roman"/>
          <w:color w:val="auto"/>
          <w:highlight w:val="none"/>
          <w:lang w:eastAsia="zh-CN"/>
        </w:rPr>
      </w:pPr>
      <w:r>
        <w:rPr>
          <w:rFonts w:hint="eastAsia" w:ascii="Times New Roman" w:hAnsi="Times New Roman"/>
          <w:color w:val="auto"/>
          <w:highlight w:val="none"/>
          <w:lang w:eastAsia="zh-CN"/>
        </w:rPr>
        <w:t>（2）购入使用电力产生的二氧化碳排放。</w:t>
      </w:r>
    </w:p>
    <w:p w14:paraId="2012CCCA">
      <w:pPr>
        <w:bidi w:val="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本项目二氧化碳排放主要为原煤及点火轻柴油燃烧释放的二氧化碳。</w:t>
      </w:r>
    </w:p>
    <w:p w14:paraId="20A4B607">
      <w:pPr>
        <w:bidi w:val="0"/>
        <w:rPr>
          <w:rFonts w:hint="eastAsia"/>
          <w:highlight w:val="none"/>
          <w:lang w:val="en-US" w:eastAsia="zh-CN"/>
        </w:rPr>
      </w:pPr>
      <w:r>
        <w:rPr>
          <w:rFonts w:hint="eastAsia"/>
          <w:highlight w:val="none"/>
          <w:lang w:val="en-US" w:eastAsia="zh-CN"/>
        </w:rPr>
        <w:t>二、二氧化碳排放量核算</w:t>
      </w:r>
    </w:p>
    <w:p w14:paraId="5C4E7A82">
      <w:pPr>
        <w:widowControl/>
        <w:spacing w:line="360" w:lineRule="auto"/>
        <w:ind w:firstLine="480" w:firstLineChars="200"/>
        <w:jc w:val="left"/>
        <w:rPr>
          <w:sz w:val="24"/>
          <w:highlight w:val="none"/>
        </w:rPr>
      </w:pPr>
      <w:r>
        <w:rPr>
          <w:rFonts w:hint="eastAsia"/>
          <w:kern w:val="0"/>
          <w:sz w:val="24"/>
          <w:highlight w:val="none"/>
          <w:lang w:bidi="ar"/>
        </w:rPr>
        <w:t>1、</w:t>
      </w:r>
      <w:r>
        <w:rPr>
          <w:kern w:val="0"/>
          <w:sz w:val="24"/>
          <w:highlight w:val="none"/>
          <w:lang w:bidi="ar"/>
        </w:rPr>
        <w:t xml:space="preserve">数据中心的温室气体排放总量等于核算边界内所有生产系统的化石燃料烧排放量、净购入的电力和热力产生的排放量之和，按公式（1）计算。 </w:t>
      </w:r>
    </w:p>
    <w:p w14:paraId="6DC89FF7">
      <w:pPr>
        <w:widowControl/>
        <w:spacing w:line="360" w:lineRule="auto"/>
        <w:ind w:firstLine="480" w:firstLineChars="200"/>
        <w:jc w:val="left"/>
        <w:rPr>
          <w:sz w:val="24"/>
          <w:highlight w:val="none"/>
        </w:rPr>
      </w:pPr>
      <w:r>
        <w:rPr>
          <w:kern w:val="0"/>
          <w:sz w:val="24"/>
          <w:highlight w:val="none"/>
          <w:lang w:bidi="ar"/>
        </w:rPr>
        <w:t>E = E</w:t>
      </w:r>
      <w:r>
        <w:rPr>
          <w:kern w:val="0"/>
          <w:sz w:val="24"/>
          <w:highlight w:val="none"/>
          <w:vertAlign w:val="subscript"/>
          <w:lang w:bidi="ar"/>
        </w:rPr>
        <w:t>燃烧</w:t>
      </w:r>
      <w:r>
        <w:rPr>
          <w:kern w:val="0"/>
          <w:sz w:val="24"/>
          <w:highlight w:val="none"/>
          <w:lang w:bidi="ar"/>
        </w:rPr>
        <w:t xml:space="preserve"> + E</w:t>
      </w:r>
      <w:r>
        <w:rPr>
          <w:kern w:val="0"/>
          <w:sz w:val="24"/>
          <w:highlight w:val="none"/>
          <w:vertAlign w:val="subscript"/>
          <w:lang w:bidi="ar"/>
        </w:rPr>
        <w:t>电和热</w:t>
      </w:r>
    </w:p>
    <w:p w14:paraId="758524B7">
      <w:pPr>
        <w:widowControl/>
        <w:spacing w:line="360" w:lineRule="auto"/>
        <w:ind w:firstLine="480" w:firstLineChars="200"/>
        <w:jc w:val="left"/>
        <w:rPr>
          <w:sz w:val="24"/>
          <w:highlight w:val="none"/>
        </w:rPr>
      </w:pPr>
      <w:r>
        <w:rPr>
          <w:kern w:val="0"/>
          <w:sz w:val="24"/>
          <w:highlight w:val="none"/>
          <w:lang w:bidi="ar"/>
        </w:rPr>
        <w:t xml:space="preserve">式中： </w:t>
      </w:r>
    </w:p>
    <w:p w14:paraId="52C9F383">
      <w:pPr>
        <w:widowControl/>
        <w:spacing w:line="360" w:lineRule="auto"/>
        <w:ind w:firstLine="480" w:firstLineChars="200"/>
        <w:jc w:val="left"/>
        <w:rPr>
          <w:sz w:val="24"/>
          <w:highlight w:val="none"/>
        </w:rPr>
      </w:pPr>
      <w:r>
        <w:rPr>
          <w:kern w:val="0"/>
          <w:sz w:val="24"/>
          <w:highlight w:val="none"/>
          <w:lang w:bidi="ar"/>
        </w:rPr>
        <w:t>E</w:t>
      </w:r>
      <w:r>
        <w:rPr>
          <w:rFonts w:hint="eastAsia"/>
          <w:kern w:val="0"/>
          <w:sz w:val="24"/>
          <w:highlight w:val="none"/>
          <w:lang w:bidi="ar"/>
        </w:rPr>
        <w:t>：</w:t>
      </w:r>
      <w:r>
        <w:rPr>
          <w:kern w:val="0"/>
          <w:sz w:val="24"/>
          <w:highlight w:val="none"/>
          <w:lang w:bidi="ar"/>
        </w:rPr>
        <w:t>为二氧化碳排放总量，单位为吨二氧化碳当量（tCO</w:t>
      </w:r>
      <w:r>
        <w:rPr>
          <w:kern w:val="0"/>
          <w:sz w:val="24"/>
          <w:highlight w:val="none"/>
          <w:vertAlign w:val="subscript"/>
          <w:lang w:bidi="ar"/>
        </w:rPr>
        <w:t>2</w:t>
      </w:r>
      <w:r>
        <w:rPr>
          <w:kern w:val="0"/>
          <w:sz w:val="24"/>
          <w:highlight w:val="none"/>
          <w:lang w:bidi="ar"/>
        </w:rPr>
        <w:t xml:space="preserve">e）； </w:t>
      </w:r>
    </w:p>
    <w:p w14:paraId="784DDF2E">
      <w:pPr>
        <w:widowControl/>
        <w:spacing w:line="360" w:lineRule="auto"/>
        <w:ind w:firstLine="480" w:firstLineChars="200"/>
        <w:jc w:val="left"/>
        <w:rPr>
          <w:sz w:val="24"/>
          <w:highlight w:val="none"/>
        </w:rPr>
      </w:pPr>
      <w:r>
        <w:rPr>
          <w:kern w:val="0"/>
          <w:sz w:val="24"/>
          <w:highlight w:val="none"/>
          <w:lang w:bidi="ar"/>
        </w:rPr>
        <w:t xml:space="preserve">E </w:t>
      </w:r>
      <w:r>
        <w:rPr>
          <w:kern w:val="0"/>
          <w:sz w:val="24"/>
          <w:highlight w:val="none"/>
          <w:vertAlign w:val="subscript"/>
          <w:lang w:bidi="ar"/>
        </w:rPr>
        <w:t>燃烧</w:t>
      </w:r>
      <w:r>
        <w:rPr>
          <w:rFonts w:hint="eastAsia"/>
          <w:kern w:val="0"/>
          <w:sz w:val="24"/>
          <w:highlight w:val="none"/>
          <w:lang w:bidi="ar"/>
        </w:rPr>
        <w:t>：</w:t>
      </w:r>
      <w:r>
        <w:rPr>
          <w:kern w:val="0"/>
          <w:sz w:val="24"/>
          <w:highlight w:val="none"/>
          <w:lang w:bidi="ar"/>
        </w:rPr>
        <w:t xml:space="preserve">为燃烧化石燃料产生的二氧化碳排放量，单位为吨 </w:t>
      </w:r>
    </w:p>
    <w:p w14:paraId="3597198B">
      <w:pPr>
        <w:widowControl/>
        <w:spacing w:line="360" w:lineRule="auto"/>
        <w:ind w:firstLine="480" w:firstLineChars="200"/>
        <w:jc w:val="left"/>
        <w:rPr>
          <w:sz w:val="24"/>
          <w:highlight w:val="none"/>
        </w:rPr>
      </w:pPr>
      <w:r>
        <w:rPr>
          <w:kern w:val="0"/>
          <w:sz w:val="24"/>
          <w:highlight w:val="none"/>
          <w:lang w:bidi="ar"/>
        </w:rPr>
        <w:t>（tCO</w:t>
      </w:r>
      <w:r>
        <w:rPr>
          <w:kern w:val="0"/>
          <w:sz w:val="24"/>
          <w:highlight w:val="none"/>
          <w:vertAlign w:val="subscript"/>
          <w:lang w:bidi="ar"/>
        </w:rPr>
        <w:t>2</w:t>
      </w:r>
      <w:r>
        <w:rPr>
          <w:kern w:val="0"/>
          <w:sz w:val="24"/>
          <w:highlight w:val="none"/>
          <w:lang w:bidi="ar"/>
        </w:rPr>
        <w:t xml:space="preserve">e）； </w:t>
      </w:r>
    </w:p>
    <w:p w14:paraId="4FE9F420">
      <w:pPr>
        <w:widowControl/>
        <w:spacing w:line="360" w:lineRule="auto"/>
        <w:ind w:firstLine="480" w:firstLineChars="200"/>
        <w:jc w:val="left"/>
        <w:rPr>
          <w:kern w:val="0"/>
          <w:sz w:val="24"/>
          <w:highlight w:val="none"/>
          <w:lang w:bidi="ar"/>
        </w:rPr>
      </w:pPr>
      <w:r>
        <w:rPr>
          <w:kern w:val="0"/>
          <w:sz w:val="24"/>
          <w:highlight w:val="none"/>
          <w:lang w:bidi="ar"/>
        </w:rPr>
        <w:t>E</w:t>
      </w:r>
      <w:r>
        <w:rPr>
          <w:kern w:val="0"/>
          <w:sz w:val="24"/>
          <w:highlight w:val="none"/>
          <w:vertAlign w:val="subscript"/>
          <w:lang w:bidi="ar"/>
        </w:rPr>
        <w:t xml:space="preserve">电和热 </w:t>
      </w:r>
      <w:r>
        <w:rPr>
          <w:rFonts w:hint="eastAsia"/>
          <w:kern w:val="0"/>
          <w:sz w:val="24"/>
          <w:highlight w:val="none"/>
          <w:lang w:bidi="ar"/>
        </w:rPr>
        <w:t>：</w:t>
      </w:r>
      <w:r>
        <w:rPr>
          <w:kern w:val="0"/>
          <w:sz w:val="24"/>
          <w:highlight w:val="none"/>
          <w:lang w:bidi="ar"/>
        </w:rPr>
        <w:t>为净购入使用电力和热力消费的排放量（tCO</w:t>
      </w:r>
      <w:r>
        <w:rPr>
          <w:kern w:val="0"/>
          <w:sz w:val="24"/>
          <w:highlight w:val="none"/>
          <w:vertAlign w:val="subscript"/>
          <w:lang w:bidi="ar"/>
        </w:rPr>
        <w:t>2</w:t>
      </w:r>
      <w:r>
        <w:rPr>
          <w:kern w:val="0"/>
          <w:sz w:val="24"/>
          <w:highlight w:val="none"/>
          <w:lang w:bidi="ar"/>
        </w:rPr>
        <w:t xml:space="preserve">e）； </w:t>
      </w:r>
    </w:p>
    <w:p w14:paraId="412E5D54">
      <w:pPr>
        <w:widowControl/>
        <w:spacing w:line="360" w:lineRule="auto"/>
        <w:ind w:firstLine="482" w:firstLineChars="200"/>
        <w:jc w:val="left"/>
        <w:rPr>
          <w:b/>
          <w:bCs/>
          <w:kern w:val="0"/>
          <w:sz w:val="24"/>
          <w:highlight w:val="none"/>
          <w:lang w:bidi="ar"/>
        </w:rPr>
      </w:pPr>
      <w:r>
        <w:rPr>
          <w:b/>
          <w:bCs/>
          <w:kern w:val="0"/>
          <w:sz w:val="24"/>
          <w:highlight w:val="none"/>
          <w:lang w:bidi="ar"/>
        </w:rPr>
        <w:t xml:space="preserve">2、化石燃料燃烧排放 </w:t>
      </w:r>
    </w:p>
    <w:p w14:paraId="7E4690F1">
      <w:pPr>
        <w:widowControl/>
        <w:spacing w:line="360" w:lineRule="auto"/>
        <w:ind w:firstLine="480" w:firstLineChars="200"/>
        <w:jc w:val="left"/>
        <w:rPr>
          <w:sz w:val="24"/>
          <w:highlight w:val="none"/>
        </w:rPr>
      </w:pPr>
      <w:r>
        <w:rPr>
          <w:kern w:val="0"/>
          <w:sz w:val="24"/>
          <w:highlight w:val="none"/>
          <w:lang w:bidi="ar"/>
        </w:rPr>
        <w:t>化石燃料燃烧导致的二氧化碳排放量是数据中心核算和报告年度内各种化石燃料燃烧产生的二氧化碳排放量的加总，按公式（2）计算。</w:t>
      </w:r>
      <w:r>
        <w:rPr>
          <w:rFonts w:hint="eastAsia" w:ascii="仿宋" w:hAnsi="仿宋" w:eastAsia="仿宋" w:cs="仿宋"/>
          <w:kern w:val="0"/>
          <w:sz w:val="24"/>
          <w:highlight w:val="none"/>
          <w:lang w:bidi="ar"/>
        </w:rPr>
        <w:t xml:space="preserve"> </w:t>
      </w:r>
    </w:p>
    <w:p w14:paraId="4D92A63C">
      <w:pPr>
        <w:widowControl/>
        <w:spacing w:line="360" w:lineRule="auto"/>
        <w:ind w:firstLine="480" w:firstLineChars="200"/>
        <w:jc w:val="left"/>
        <w:rPr>
          <w:sz w:val="24"/>
          <w:highlight w:val="none"/>
        </w:rPr>
      </w:pPr>
      <w:r>
        <w:rPr>
          <w:rFonts w:hint="eastAsia"/>
          <w:i/>
          <w:iCs/>
          <w:kern w:val="0"/>
          <w:sz w:val="24"/>
          <w:highlight w:val="none"/>
          <w:lang w:bidi="ar"/>
        </w:rPr>
        <w:t xml:space="preserve">                </w:t>
      </w:r>
      <w:r>
        <w:rPr>
          <w:rFonts w:hint="eastAsia"/>
          <w:i/>
          <w:iCs/>
          <w:kern w:val="0"/>
          <w:sz w:val="24"/>
          <w:highlight w:val="none"/>
          <w:lang w:bidi="ar"/>
        </w:rPr>
        <w:drawing>
          <wp:inline distT="0" distB="0" distL="114300" distR="114300">
            <wp:extent cx="1583690" cy="433070"/>
            <wp:effectExtent l="0" t="0" r="16510" b="5080"/>
            <wp:docPr id="476" name="图片 476" descr="1716718138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76" descr="1716718138926"/>
                    <pic:cNvPicPr>
                      <a:picLocks noChangeAspect="1"/>
                    </pic:cNvPicPr>
                  </pic:nvPicPr>
                  <pic:blipFill>
                    <a:blip r:embed="rId55"/>
                    <a:stretch>
                      <a:fillRect/>
                    </a:stretch>
                  </pic:blipFill>
                  <pic:spPr>
                    <a:xfrm>
                      <a:off x="0" y="0"/>
                      <a:ext cx="1583690" cy="433070"/>
                    </a:xfrm>
                    <a:prstGeom prst="rect">
                      <a:avLst/>
                    </a:prstGeom>
                  </pic:spPr>
                </pic:pic>
              </a:graphicData>
            </a:graphic>
          </wp:inline>
        </w:drawing>
      </w:r>
      <w:r>
        <w:rPr>
          <w:rFonts w:hint="eastAsia"/>
          <w:i/>
          <w:iCs/>
          <w:kern w:val="0"/>
          <w:sz w:val="24"/>
          <w:highlight w:val="none"/>
          <w:lang w:bidi="ar"/>
        </w:rPr>
        <w:t xml:space="preserve">       </w:t>
      </w:r>
      <w:r>
        <w:rPr>
          <w:rFonts w:hint="eastAsia" w:ascii="仿宋" w:hAnsi="仿宋" w:eastAsia="仿宋" w:cs="仿宋"/>
          <w:kern w:val="0"/>
          <w:sz w:val="24"/>
          <w:highlight w:val="none"/>
          <w:lang w:bidi="ar"/>
        </w:rPr>
        <w:t>（2）</w:t>
      </w:r>
    </w:p>
    <w:p w14:paraId="4E038D40">
      <w:pPr>
        <w:widowControl/>
        <w:spacing w:line="360" w:lineRule="auto"/>
        <w:ind w:firstLine="480" w:firstLineChars="200"/>
        <w:jc w:val="left"/>
        <w:rPr>
          <w:sz w:val="24"/>
          <w:highlight w:val="none"/>
        </w:rPr>
      </w:pPr>
      <w:r>
        <w:rPr>
          <w:rFonts w:ascii="仿宋" w:hAnsi="仿宋" w:eastAsia="仿宋" w:cs="仿宋"/>
          <w:kern w:val="0"/>
          <w:sz w:val="24"/>
          <w:highlight w:val="none"/>
          <w:lang w:bidi="ar"/>
        </w:rPr>
        <w:t xml:space="preserve">式中： </w:t>
      </w:r>
    </w:p>
    <w:p w14:paraId="75750155">
      <w:pPr>
        <w:widowControl/>
        <w:spacing w:line="360" w:lineRule="auto"/>
        <w:ind w:firstLine="480" w:firstLineChars="200"/>
        <w:jc w:val="left"/>
        <w:rPr>
          <w:sz w:val="24"/>
          <w:highlight w:val="none"/>
        </w:rPr>
      </w:pPr>
      <w:r>
        <w:rPr>
          <w:i/>
          <w:iCs/>
          <w:kern w:val="0"/>
          <w:sz w:val="24"/>
          <w:highlight w:val="none"/>
          <w:lang w:bidi="ar"/>
        </w:rPr>
        <w:t>E</w:t>
      </w:r>
      <w:r>
        <w:rPr>
          <w:kern w:val="0"/>
          <w:sz w:val="24"/>
          <w:highlight w:val="none"/>
          <w:vertAlign w:val="subscript"/>
          <w:lang w:bidi="ar"/>
        </w:rPr>
        <w:t>燃烧</w:t>
      </w:r>
      <w:r>
        <w:rPr>
          <w:kern w:val="0"/>
          <w:sz w:val="24"/>
          <w:highlight w:val="none"/>
          <w:lang w:bidi="ar"/>
        </w:rPr>
        <w:t xml:space="preserve"> 为核算和报告年度内化石燃料燃烧产生的 CO</w:t>
      </w:r>
      <w:r>
        <w:rPr>
          <w:kern w:val="0"/>
          <w:sz w:val="24"/>
          <w:highlight w:val="none"/>
          <w:vertAlign w:val="subscript"/>
          <w:lang w:bidi="ar"/>
        </w:rPr>
        <w:t>2</w:t>
      </w:r>
      <w:r>
        <w:rPr>
          <w:kern w:val="0"/>
          <w:sz w:val="24"/>
          <w:highlight w:val="none"/>
          <w:lang w:bidi="ar"/>
        </w:rPr>
        <w:t xml:space="preserve"> 排放量，单位为吨（tCO2e）； </w:t>
      </w:r>
    </w:p>
    <w:p w14:paraId="5C6F0813">
      <w:pPr>
        <w:widowControl/>
        <w:spacing w:line="360" w:lineRule="auto"/>
        <w:ind w:firstLine="480" w:firstLineChars="200"/>
        <w:jc w:val="left"/>
        <w:rPr>
          <w:sz w:val="24"/>
          <w:highlight w:val="none"/>
        </w:rPr>
      </w:pPr>
      <w:r>
        <w:rPr>
          <w:i/>
          <w:iCs/>
          <w:kern w:val="0"/>
          <w:sz w:val="24"/>
          <w:highlight w:val="none"/>
          <w:lang w:bidi="ar"/>
        </w:rPr>
        <w:t>AD</w:t>
      </w:r>
      <w:r>
        <w:rPr>
          <w:i/>
          <w:iCs/>
          <w:kern w:val="0"/>
          <w:sz w:val="24"/>
          <w:highlight w:val="none"/>
          <w:vertAlign w:val="subscript"/>
          <w:lang w:bidi="ar"/>
        </w:rPr>
        <w:t>i</w:t>
      </w:r>
      <w:r>
        <w:rPr>
          <w:i/>
          <w:iCs/>
          <w:kern w:val="0"/>
          <w:sz w:val="24"/>
          <w:highlight w:val="none"/>
          <w:lang w:bidi="ar"/>
        </w:rPr>
        <w:t xml:space="preserve"> </w:t>
      </w:r>
      <w:r>
        <w:rPr>
          <w:kern w:val="0"/>
          <w:sz w:val="24"/>
          <w:highlight w:val="none"/>
          <w:lang w:bidi="ar"/>
        </w:rPr>
        <w:t xml:space="preserve">为核算和报告期内第 i 种化石燃料的活动水平，单位为百万千焦（GJ）； </w:t>
      </w:r>
    </w:p>
    <w:p w14:paraId="51C1EC60">
      <w:pPr>
        <w:widowControl/>
        <w:spacing w:line="360" w:lineRule="auto"/>
        <w:ind w:firstLine="480" w:firstLineChars="200"/>
        <w:jc w:val="left"/>
        <w:rPr>
          <w:sz w:val="24"/>
          <w:highlight w:val="none"/>
        </w:rPr>
      </w:pPr>
      <w:r>
        <w:rPr>
          <w:i/>
          <w:iCs/>
          <w:kern w:val="0"/>
          <w:sz w:val="24"/>
          <w:highlight w:val="none"/>
          <w:lang w:bidi="ar"/>
        </w:rPr>
        <w:t>EF</w:t>
      </w:r>
      <w:r>
        <w:rPr>
          <w:i/>
          <w:iCs/>
          <w:kern w:val="0"/>
          <w:sz w:val="24"/>
          <w:highlight w:val="none"/>
          <w:vertAlign w:val="subscript"/>
          <w:lang w:bidi="ar"/>
        </w:rPr>
        <w:t>i</w:t>
      </w:r>
      <w:r>
        <w:rPr>
          <w:i/>
          <w:iCs/>
          <w:kern w:val="0"/>
          <w:sz w:val="24"/>
          <w:highlight w:val="none"/>
          <w:lang w:bidi="ar"/>
        </w:rPr>
        <w:t xml:space="preserve"> </w:t>
      </w:r>
      <w:r>
        <w:rPr>
          <w:kern w:val="0"/>
          <w:sz w:val="24"/>
          <w:highlight w:val="none"/>
          <w:lang w:bidi="ar"/>
        </w:rPr>
        <w:t>为第 i 种化石燃料的二氧化碳排放因子，单位为 tCO</w:t>
      </w:r>
      <w:r>
        <w:rPr>
          <w:kern w:val="0"/>
          <w:sz w:val="24"/>
          <w:highlight w:val="none"/>
          <w:vertAlign w:val="subscript"/>
          <w:lang w:bidi="ar"/>
        </w:rPr>
        <w:t>2</w:t>
      </w:r>
      <w:r>
        <w:rPr>
          <w:kern w:val="0"/>
          <w:sz w:val="24"/>
          <w:highlight w:val="none"/>
          <w:lang w:bidi="ar"/>
        </w:rPr>
        <w:t xml:space="preserve">/GJ； </w:t>
      </w:r>
    </w:p>
    <w:p w14:paraId="7E8CFEBC">
      <w:pPr>
        <w:widowControl/>
        <w:spacing w:line="360" w:lineRule="auto"/>
        <w:ind w:firstLine="480" w:firstLineChars="200"/>
        <w:jc w:val="left"/>
        <w:rPr>
          <w:highlight w:val="none"/>
        </w:rPr>
      </w:pPr>
      <w:r>
        <w:rPr>
          <w:i/>
          <w:iCs/>
          <w:kern w:val="0"/>
          <w:sz w:val="24"/>
          <w:highlight w:val="none"/>
          <w:lang w:bidi="ar"/>
        </w:rPr>
        <w:t xml:space="preserve">i </w:t>
      </w:r>
      <w:r>
        <w:rPr>
          <w:kern w:val="0"/>
          <w:sz w:val="24"/>
          <w:highlight w:val="none"/>
          <w:lang w:bidi="ar"/>
        </w:rPr>
        <w:t>为化石燃料类型代号。</w:t>
      </w:r>
      <w:r>
        <w:rPr>
          <w:rFonts w:hint="eastAsia" w:ascii="仿宋" w:hAnsi="仿宋" w:eastAsia="仿宋" w:cs="仿宋"/>
          <w:kern w:val="0"/>
          <w:sz w:val="28"/>
          <w:szCs w:val="28"/>
          <w:highlight w:val="none"/>
          <w:lang w:bidi="ar"/>
        </w:rPr>
        <w:t xml:space="preserve"> </w:t>
      </w:r>
    </w:p>
    <w:p w14:paraId="58B2CCEF">
      <w:pPr>
        <w:widowControl/>
        <w:spacing w:line="360" w:lineRule="auto"/>
        <w:ind w:firstLine="482" w:firstLineChars="200"/>
        <w:jc w:val="left"/>
        <w:rPr>
          <w:b/>
          <w:bCs/>
          <w:kern w:val="0"/>
          <w:sz w:val="24"/>
          <w:highlight w:val="none"/>
          <w:lang w:bidi="ar"/>
        </w:rPr>
      </w:pPr>
      <w:r>
        <w:rPr>
          <w:rFonts w:hint="eastAsia"/>
          <w:b/>
          <w:bCs/>
          <w:kern w:val="0"/>
          <w:sz w:val="24"/>
          <w:highlight w:val="none"/>
          <w:lang w:bidi="ar"/>
        </w:rPr>
        <w:t xml:space="preserve">1）活动水平数据获取 </w:t>
      </w:r>
    </w:p>
    <w:p w14:paraId="282AE5D1">
      <w:pPr>
        <w:widowControl/>
        <w:spacing w:line="360" w:lineRule="auto"/>
        <w:ind w:firstLine="480" w:firstLineChars="200"/>
        <w:jc w:val="left"/>
        <w:rPr>
          <w:sz w:val="24"/>
          <w:highlight w:val="none"/>
        </w:rPr>
      </w:pPr>
      <w:r>
        <w:rPr>
          <w:kern w:val="0"/>
          <w:sz w:val="24"/>
          <w:highlight w:val="none"/>
          <w:lang w:bidi="ar"/>
        </w:rPr>
        <w:t xml:space="preserve">化石燃料燃烧的活动水平是核算和报告年度内各种化石燃料的消耗量与平均低位发热量的乘积，按公式（3）计算。 </w:t>
      </w:r>
    </w:p>
    <w:p w14:paraId="71B58C11">
      <w:pPr>
        <w:widowControl/>
        <w:spacing w:line="360" w:lineRule="auto"/>
        <w:ind w:firstLine="480" w:firstLineChars="200"/>
        <w:jc w:val="left"/>
        <w:rPr>
          <w:sz w:val="24"/>
          <w:highlight w:val="none"/>
        </w:rPr>
      </w:pPr>
      <w:r>
        <w:rPr>
          <w:i/>
          <w:iCs/>
          <w:kern w:val="0"/>
          <w:sz w:val="24"/>
          <w:highlight w:val="none"/>
          <w:lang w:bidi="ar"/>
        </w:rPr>
        <w:drawing>
          <wp:inline distT="0" distB="0" distL="114300" distR="114300">
            <wp:extent cx="1506855" cy="304800"/>
            <wp:effectExtent l="0" t="0" r="17145" b="0"/>
            <wp:docPr id="479" name="图片 479" descr="1716718740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descr="1716718740597"/>
                    <pic:cNvPicPr>
                      <a:picLocks noChangeAspect="1"/>
                    </pic:cNvPicPr>
                  </pic:nvPicPr>
                  <pic:blipFill>
                    <a:blip r:embed="rId56"/>
                    <a:srcRect b="36000"/>
                    <a:stretch>
                      <a:fillRect/>
                    </a:stretch>
                  </pic:blipFill>
                  <pic:spPr>
                    <a:xfrm>
                      <a:off x="0" y="0"/>
                      <a:ext cx="1506855" cy="304800"/>
                    </a:xfrm>
                    <a:prstGeom prst="rect">
                      <a:avLst/>
                    </a:prstGeom>
                  </pic:spPr>
                </pic:pic>
              </a:graphicData>
            </a:graphic>
          </wp:inline>
        </w:drawing>
      </w:r>
      <w:r>
        <w:rPr>
          <w:i/>
          <w:iCs/>
          <w:kern w:val="0"/>
          <w:sz w:val="24"/>
          <w:highlight w:val="none"/>
          <w:lang w:bidi="ar"/>
        </w:rPr>
        <w:t xml:space="preserve">    </w:t>
      </w:r>
      <w:r>
        <w:rPr>
          <w:kern w:val="0"/>
          <w:sz w:val="24"/>
          <w:highlight w:val="none"/>
          <w:lang w:bidi="ar"/>
        </w:rPr>
        <w:t xml:space="preserve">（3） </w:t>
      </w:r>
    </w:p>
    <w:p w14:paraId="3D3781C8">
      <w:pPr>
        <w:widowControl/>
        <w:spacing w:line="360" w:lineRule="auto"/>
        <w:ind w:firstLine="480" w:firstLineChars="200"/>
        <w:jc w:val="left"/>
        <w:rPr>
          <w:sz w:val="24"/>
          <w:highlight w:val="none"/>
        </w:rPr>
      </w:pPr>
      <w:r>
        <w:rPr>
          <w:kern w:val="0"/>
          <w:sz w:val="24"/>
          <w:highlight w:val="none"/>
          <w:lang w:bidi="ar"/>
        </w:rPr>
        <w:t>式中： NCVi</w:t>
      </w:r>
      <w:r>
        <w:rPr>
          <w:rFonts w:hint="eastAsia"/>
          <w:kern w:val="0"/>
          <w:sz w:val="24"/>
          <w:highlight w:val="none"/>
          <w:lang w:bidi="ar"/>
        </w:rPr>
        <w:t>：</w:t>
      </w:r>
      <w:r>
        <w:rPr>
          <w:kern w:val="0"/>
          <w:sz w:val="24"/>
          <w:highlight w:val="none"/>
          <w:lang w:bidi="ar"/>
        </w:rPr>
        <w:t>是核算和报告年度内第 i 种燃料的平均低位发热量，采用本指南附录B所提供的推荐值；对固体或液体燃料，单位为百万千焦/吨（GJ/t）</w:t>
      </w:r>
      <w:r>
        <w:rPr>
          <w:rFonts w:hint="eastAsia"/>
          <w:kern w:val="0"/>
          <w:sz w:val="24"/>
          <w:highlight w:val="none"/>
          <w:lang w:bidi="ar"/>
        </w:rPr>
        <w:t>（褐煤14.449</w:t>
      </w:r>
      <w:r>
        <w:rPr>
          <w:kern w:val="0"/>
          <w:sz w:val="24"/>
          <w:highlight w:val="none"/>
          <w:lang w:bidi="ar"/>
        </w:rPr>
        <w:t>GJ</w:t>
      </w:r>
      <w:r>
        <w:rPr>
          <w:rFonts w:hint="eastAsia"/>
          <w:kern w:val="0"/>
          <w:sz w:val="24"/>
          <w:highlight w:val="none"/>
          <w:lang w:bidi="ar"/>
        </w:rPr>
        <w:t>/t，柴油43.33</w:t>
      </w:r>
      <w:r>
        <w:rPr>
          <w:kern w:val="0"/>
          <w:sz w:val="24"/>
          <w:highlight w:val="none"/>
          <w:lang w:bidi="ar"/>
        </w:rPr>
        <w:t>GJ</w:t>
      </w:r>
      <w:r>
        <w:rPr>
          <w:rFonts w:hint="eastAsia"/>
          <w:kern w:val="0"/>
          <w:sz w:val="24"/>
          <w:highlight w:val="none"/>
          <w:lang w:bidi="ar"/>
        </w:rPr>
        <w:t>/t）；</w:t>
      </w:r>
      <w:r>
        <w:rPr>
          <w:kern w:val="0"/>
          <w:sz w:val="24"/>
          <w:highlight w:val="none"/>
          <w:lang w:bidi="ar"/>
        </w:rPr>
        <w:t xml:space="preserve">对气体燃料，单位为百万千焦/万立方米（GJ/万Nm </w:t>
      </w:r>
      <w:r>
        <w:rPr>
          <w:kern w:val="0"/>
          <w:sz w:val="24"/>
          <w:highlight w:val="none"/>
          <w:vertAlign w:val="superscript"/>
          <w:lang w:bidi="ar"/>
        </w:rPr>
        <w:t>3</w:t>
      </w:r>
      <w:r>
        <w:rPr>
          <w:kern w:val="0"/>
          <w:sz w:val="24"/>
          <w:highlight w:val="none"/>
          <w:lang w:bidi="ar"/>
        </w:rPr>
        <w:t xml:space="preserve">）；具备条件的数据中心可遵循 GB/T 213《煤的发热量测定方法》、GB/T384《石油产品热值测定法》、GB/T 22723《天然气能量的测定》等相关标准，开展实测； </w:t>
      </w:r>
    </w:p>
    <w:p w14:paraId="679D02B0">
      <w:pPr>
        <w:widowControl/>
        <w:spacing w:line="360" w:lineRule="auto"/>
        <w:ind w:firstLine="480" w:firstLineChars="200"/>
        <w:jc w:val="left"/>
        <w:rPr>
          <w:kern w:val="0"/>
          <w:sz w:val="24"/>
          <w:highlight w:val="none"/>
          <w:lang w:bidi="ar"/>
        </w:rPr>
      </w:pPr>
      <w:r>
        <w:rPr>
          <w:kern w:val="0"/>
          <w:sz w:val="24"/>
          <w:highlight w:val="none"/>
          <w:lang w:bidi="ar"/>
        </w:rPr>
        <w:t>FCi</w:t>
      </w:r>
      <w:r>
        <w:rPr>
          <w:rFonts w:hint="eastAsia"/>
          <w:kern w:val="0"/>
          <w:sz w:val="24"/>
          <w:highlight w:val="none"/>
          <w:lang w:bidi="ar"/>
        </w:rPr>
        <w:t>：</w:t>
      </w:r>
      <w:r>
        <w:rPr>
          <w:kern w:val="0"/>
          <w:sz w:val="24"/>
          <w:highlight w:val="none"/>
          <w:lang w:bidi="ar"/>
        </w:rPr>
        <w:t>是核算和报告年度内第 i 种燃料的净消耗量，采用计量数据，相关计量器具应符合 GB17167《用能单位能源计量器具配备和管理通则》要求；对固体或液体燃料，单位为吨（t）；对气体燃料，单位为万立方米（万Nm</w:t>
      </w:r>
      <w:r>
        <w:rPr>
          <w:kern w:val="0"/>
          <w:sz w:val="24"/>
          <w:highlight w:val="none"/>
          <w:vertAlign w:val="superscript"/>
          <w:lang w:bidi="ar"/>
        </w:rPr>
        <w:t>3</w:t>
      </w:r>
      <w:r>
        <w:rPr>
          <w:kern w:val="0"/>
          <w:sz w:val="24"/>
          <w:highlight w:val="none"/>
          <w:lang w:bidi="ar"/>
        </w:rPr>
        <w:t>）。</w:t>
      </w:r>
      <w:r>
        <w:rPr>
          <w:rFonts w:hint="eastAsia"/>
          <w:kern w:val="0"/>
          <w:sz w:val="24"/>
          <w:highlight w:val="none"/>
          <w:lang w:bidi="ar"/>
        </w:rPr>
        <w:t>燃煤量=</w:t>
      </w:r>
      <w:r>
        <w:rPr>
          <w:rFonts w:hint="eastAsia"/>
          <w:sz w:val="24"/>
          <w:highlight w:val="none"/>
          <w:lang w:val="en-US" w:eastAsia="zh-CN"/>
        </w:rPr>
        <w:t>81047.7024</w:t>
      </w:r>
      <w:r>
        <w:rPr>
          <w:sz w:val="24"/>
          <w:highlight w:val="none"/>
        </w:rPr>
        <w:t>t/a</w:t>
      </w:r>
      <w:r>
        <w:rPr>
          <w:rFonts w:hint="eastAsia"/>
          <w:sz w:val="24"/>
          <w:highlight w:val="none"/>
        </w:rPr>
        <w:t>，对于燃用煤粉的</w:t>
      </w:r>
      <w:r>
        <w:rPr>
          <w:rFonts w:hint="eastAsia"/>
          <w:sz w:val="24"/>
          <w:highlight w:val="none"/>
          <w:lang w:val="en-US" w:eastAsia="zh-CN"/>
        </w:rPr>
        <w:t>链条式</w:t>
      </w:r>
      <w:r>
        <w:rPr>
          <w:rFonts w:hint="eastAsia"/>
          <w:sz w:val="24"/>
          <w:highlight w:val="none"/>
        </w:rPr>
        <w:t>锅炉，点火时需要加入的油量一般为锅炉额定负荷的0.5%-1%。本次取</w:t>
      </w:r>
      <w:r>
        <w:rPr>
          <w:rFonts w:hint="eastAsia"/>
          <w:sz w:val="24"/>
          <w:highlight w:val="none"/>
          <w:lang w:val="en-US" w:eastAsia="zh-CN"/>
        </w:rPr>
        <w:t>1</w:t>
      </w:r>
      <w:r>
        <w:rPr>
          <w:rFonts w:hint="eastAsia"/>
          <w:sz w:val="24"/>
          <w:highlight w:val="none"/>
        </w:rPr>
        <w:t>t/a（2次）</w:t>
      </w:r>
    </w:p>
    <w:p w14:paraId="13FD5F6E">
      <w:pPr>
        <w:widowControl/>
        <w:spacing w:line="360" w:lineRule="auto"/>
        <w:ind w:firstLine="480" w:firstLineChars="200"/>
        <w:jc w:val="left"/>
        <w:rPr>
          <w:kern w:val="0"/>
          <w:sz w:val="24"/>
          <w:highlight w:val="none"/>
          <w:lang w:bidi="ar"/>
        </w:rPr>
      </w:pPr>
      <w:r>
        <w:rPr>
          <w:kern w:val="0"/>
          <w:sz w:val="24"/>
          <w:highlight w:val="none"/>
          <w:lang w:bidi="ar"/>
        </w:rPr>
        <w:t>AD</w:t>
      </w:r>
      <w:r>
        <w:rPr>
          <w:rFonts w:hint="eastAsia"/>
          <w:kern w:val="0"/>
          <w:sz w:val="24"/>
          <w:highlight w:val="none"/>
          <w:vertAlign w:val="subscript"/>
          <w:lang w:bidi="ar"/>
        </w:rPr>
        <w:t>燃烧煤</w:t>
      </w:r>
      <w:r>
        <w:rPr>
          <w:rFonts w:hint="eastAsia"/>
          <w:kern w:val="0"/>
          <w:sz w:val="24"/>
          <w:highlight w:val="none"/>
          <w:lang w:bidi="ar"/>
        </w:rPr>
        <w:t>=NCV</w:t>
      </w:r>
      <w:r>
        <w:rPr>
          <w:rFonts w:hint="eastAsia"/>
          <w:kern w:val="0"/>
          <w:sz w:val="24"/>
          <w:highlight w:val="none"/>
          <w:vertAlign w:val="subscript"/>
          <w:lang w:bidi="ar"/>
        </w:rPr>
        <w:t>i</w:t>
      </w:r>
      <w:r>
        <w:rPr>
          <w:rFonts w:hint="eastAsia"/>
          <w:kern w:val="0"/>
          <w:sz w:val="24"/>
          <w:highlight w:val="none"/>
          <w:lang w:bidi="ar"/>
        </w:rPr>
        <w:t>×FC</w:t>
      </w:r>
      <w:r>
        <w:rPr>
          <w:rFonts w:hint="eastAsia"/>
          <w:kern w:val="0"/>
          <w:sz w:val="24"/>
          <w:highlight w:val="none"/>
          <w:vertAlign w:val="subscript"/>
          <w:lang w:bidi="ar"/>
        </w:rPr>
        <w:t>i</w:t>
      </w:r>
      <w:r>
        <w:rPr>
          <w:rFonts w:hint="eastAsia"/>
          <w:kern w:val="0"/>
          <w:sz w:val="24"/>
          <w:highlight w:val="none"/>
          <w:lang w:bidi="ar"/>
        </w:rPr>
        <w:t>=14.449</w:t>
      </w:r>
      <w:r>
        <w:rPr>
          <w:kern w:val="0"/>
          <w:sz w:val="24"/>
          <w:highlight w:val="none"/>
          <w:lang w:bidi="ar"/>
        </w:rPr>
        <w:t>GJ</w:t>
      </w:r>
      <w:r>
        <w:rPr>
          <w:rFonts w:hint="eastAsia"/>
          <w:kern w:val="0"/>
          <w:sz w:val="24"/>
          <w:highlight w:val="none"/>
          <w:lang w:bidi="ar"/>
        </w:rPr>
        <w:t>/t×</w:t>
      </w:r>
      <w:r>
        <w:rPr>
          <w:rFonts w:hint="eastAsia"/>
          <w:sz w:val="24"/>
          <w:highlight w:val="none"/>
          <w:lang w:val="en-US" w:eastAsia="zh-CN"/>
        </w:rPr>
        <w:t>81047.7024</w:t>
      </w:r>
      <w:r>
        <w:rPr>
          <w:sz w:val="24"/>
          <w:highlight w:val="none"/>
        </w:rPr>
        <w:t>t/a</w:t>
      </w:r>
      <w:r>
        <w:rPr>
          <w:rFonts w:hint="eastAsia"/>
          <w:sz w:val="24"/>
          <w:highlight w:val="none"/>
        </w:rPr>
        <w:t>=</w:t>
      </w:r>
      <w:r>
        <w:rPr>
          <w:rFonts w:hint="eastAsia"/>
          <w:sz w:val="24"/>
          <w:highlight w:val="none"/>
          <w:lang w:val="en-US" w:eastAsia="zh-CN"/>
        </w:rPr>
        <w:t>1171058.25</w:t>
      </w:r>
      <w:r>
        <w:rPr>
          <w:kern w:val="0"/>
          <w:sz w:val="24"/>
          <w:highlight w:val="none"/>
          <w:lang w:bidi="ar"/>
        </w:rPr>
        <w:t>GJ</w:t>
      </w:r>
    </w:p>
    <w:p w14:paraId="0BE2B0A4">
      <w:pPr>
        <w:pStyle w:val="15"/>
        <w:ind w:left="0" w:leftChars="0" w:firstLine="480" w:firstLineChars="200"/>
        <w:rPr>
          <w:kern w:val="0"/>
          <w:sz w:val="24"/>
          <w:highlight w:val="none"/>
          <w:lang w:bidi="ar"/>
        </w:rPr>
      </w:pPr>
      <w:r>
        <w:rPr>
          <w:kern w:val="0"/>
          <w:sz w:val="24"/>
          <w:highlight w:val="none"/>
          <w:lang w:bidi="ar"/>
        </w:rPr>
        <w:t>AD</w:t>
      </w:r>
      <w:r>
        <w:rPr>
          <w:rFonts w:hint="eastAsia"/>
          <w:kern w:val="0"/>
          <w:sz w:val="24"/>
          <w:highlight w:val="none"/>
          <w:vertAlign w:val="subscript"/>
          <w:lang w:bidi="ar"/>
        </w:rPr>
        <w:t>燃烧油</w:t>
      </w:r>
      <w:r>
        <w:rPr>
          <w:rFonts w:hint="eastAsia"/>
          <w:kern w:val="0"/>
          <w:sz w:val="24"/>
          <w:highlight w:val="none"/>
          <w:lang w:bidi="ar"/>
        </w:rPr>
        <w:t>=NCV</w:t>
      </w:r>
      <w:r>
        <w:rPr>
          <w:rFonts w:hint="eastAsia"/>
          <w:kern w:val="0"/>
          <w:sz w:val="24"/>
          <w:highlight w:val="none"/>
          <w:vertAlign w:val="subscript"/>
          <w:lang w:bidi="ar"/>
        </w:rPr>
        <w:t>i</w:t>
      </w:r>
      <w:r>
        <w:rPr>
          <w:rFonts w:hint="eastAsia"/>
          <w:kern w:val="0"/>
          <w:sz w:val="24"/>
          <w:highlight w:val="none"/>
          <w:lang w:bidi="ar"/>
        </w:rPr>
        <w:t>×FC</w:t>
      </w:r>
      <w:r>
        <w:rPr>
          <w:rFonts w:hint="eastAsia"/>
          <w:kern w:val="0"/>
          <w:sz w:val="24"/>
          <w:highlight w:val="none"/>
          <w:vertAlign w:val="subscript"/>
          <w:lang w:bidi="ar"/>
        </w:rPr>
        <w:t>i</w:t>
      </w:r>
      <w:r>
        <w:rPr>
          <w:rFonts w:hint="eastAsia"/>
          <w:kern w:val="0"/>
          <w:sz w:val="24"/>
          <w:highlight w:val="none"/>
          <w:lang w:bidi="ar"/>
        </w:rPr>
        <w:t>=43.33</w:t>
      </w:r>
      <w:r>
        <w:rPr>
          <w:kern w:val="0"/>
          <w:sz w:val="24"/>
          <w:highlight w:val="none"/>
          <w:lang w:bidi="ar"/>
        </w:rPr>
        <w:t>GJ</w:t>
      </w:r>
      <w:r>
        <w:rPr>
          <w:rFonts w:hint="eastAsia"/>
          <w:kern w:val="0"/>
          <w:sz w:val="24"/>
          <w:highlight w:val="none"/>
          <w:lang w:bidi="ar"/>
        </w:rPr>
        <w:t>/t×</w:t>
      </w:r>
      <w:r>
        <w:rPr>
          <w:rFonts w:hint="eastAsia"/>
          <w:sz w:val="24"/>
          <w:highlight w:val="none"/>
          <w:lang w:val="en-US" w:eastAsia="zh-CN"/>
        </w:rPr>
        <w:t>1</w:t>
      </w:r>
      <w:r>
        <w:rPr>
          <w:sz w:val="24"/>
          <w:highlight w:val="none"/>
        </w:rPr>
        <w:t>t/a</w:t>
      </w:r>
      <w:r>
        <w:rPr>
          <w:rFonts w:hint="eastAsia"/>
          <w:sz w:val="24"/>
          <w:highlight w:val="none"/>
        </w:rPr>
        <w:t>=</w:t>
      </w:r>
      <w:r>
        <w:rPr>
          <w:rFonts w:hint="eastAsia"/>
          <w:sz w:val="24"/>
          <w:highlight w:val="none"/>
          <w:lang w:val="en-US" w:eastAsia="zh-CN"/>
        </w:rPr>
        <w:t>43.33</w:t>
      </w:r>
      <w:r>
        <w:rPr>
          <w:kern w:val="0"/>
          <w:sz w:val="24"/>
          <w:highlight w:val="none"/>
          <w:lang w:bidi="ar"/>
        </w:rPr>
        <w:t>GJ</w:t>
      </w:r>
    </w:p>
    <w:p w14:paraId="0D92354D">
      <w:pPr>
        <w:widowControl/>
        <w:spacing w:line="360" w:lineRule="auto"/>
        <w:ind w:firstLine="482" w:firstLineChars="200"/>
        <w:jc w:val="left"/>
        <w:rPr>
          <w:sz w:val="24"/>
          <w:highlight w:val="none"/>
        </w:rPr>
      </w:pPr>
      <w:r>
        <w:rPr>
          <w:b/>
          <w:bCs/>
          <w:kern w:val="0"/>
          <w:sz w:val="24"/>
          <w:highlight w:val="none"/>
          <w:lang w:bidi="ar"/>
        </w:rPr>
        <w:t xml:space="preserve">2）排放因子数据获取 </w:t>
      </w:r>
    </w:p>
    <w:p w14:paraId="181A5C19">
      <w:pPr>
        <w:widowControl/>
        <w:spacing w:line="360" w:lineRule="auto"/>
        <w:ind w:firstLine="480" w:firstLineChars="200"/>
        <w:jc w:val="left"/>
        <w:rPr>
          <w:sz w:val="24"/>
          <w:highlight w:val="none"/>
        </w:rPr>
      </w:pPr>
      <w:r>
        <w:rPr>
          <w:kern w:val="0"/>
          <w:sz w:val="24"/>
          <w:highlight w:val="none"/>
          <w:lang w:bidi="ar"/>
        </w:rPr>
        <w:t xml:space="preserve">化石燃料的二氧化碳排放因子按公式（4）计算： </w:t>
      </w:r>
    </w:p>
    <w:p w14:paraId="36A24F8E">
      <w:pPr>
        <w:widowControl/>
        <w:spacing w:line="360" w:lineRule="auto"/>
        <w:ind w:firstLine="480" w:firstLineChars="200"/>
        <w:jc w:val="left"/>
        <w:rPr>
          <w:sz w:val="24"/>
          <w:highlight w:val="none"/>
        </w:rPr>
      </w:pPr>
      <w:r>
        <w:rPr>
          <w:kern w:val="0"/>
          <w:sz w:val="24"/>
          <w:highlight w:val="none"/>
          <w:lang w:bidi="ar"/>
        </w:rPr>
        <w:drawing>
          <wp:inline distT="0" distB="0" distL="114300" distR="114300">
            <wp:extent cx="1427480" cy="405765"/>
            <wp:effectExtent l="0" t="0" r="1270" b="13335"/>
            <wp:docPr id="477" name="图片 477" descr="1716718467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descr="1716718467689"/>
                    <pic:cNvPicPr>
                      <a:picLocks noChangeAspect="1"/>
                    </pic:cNvPicPr>
                  </pic:nvPicPr>
                  <pic:blipFill>
                    <a:blip r:embed="rId57"/>
                    <a:stretch>
                      <a:fillRect/>
                    </a:stretch>
                  </pic:blipFill>
                  <pic:spPr>
                    <a:xfrm>
                      <a:off x="0" y="0"/>
                      <a:ext cx="1427480" cy="405765"/>
                    </a:xfrm>
                    <a:prstGeom prst="rect">
                      <a:avLst/>
                    </a:prstGeom>
                  </pic:spPr>
                </pic:pic>
              </a:graphicData>
            </a:graphic>
          </wp:inline>
        </w:drawing>
      </w:r>
      <w:r>
        <w:rPr>
          <w:rFonts w:hint="eastAsia"/>
          <w:kern w:val="0"/>
          <w:sz w:val="24"/>
          <w:highlight w:val="none"/>
          <w:lang w:bidi="ar"/>
        </w:rPr>
        <w:t xml:space="preserve">     </w:t>
      </w:r>
      <w:r>
        <w:rPr>
          <w:kern w:val="0"/>
          <w:sz w:val="24"/>
          <w:highlight w:val="none"/>
          <w:lang w:bidi="ar"/>
        </w:rPr>
        <w:t xml:space="preserve">（4） </w:t>
      </w:r>
    </w:p>
    <w:p w14:paraId="682C5F86">
      <w:pPr>
        <w:widowControl/>
        <w:spacing w:line="360" w:lineRule="auto"/>
        <w:ind w:firstLine="480" w:firstLineChars="200"/>
        <w:jc w:val="left"/>
        <w:rPr>
          <w:sz w:val="24"/>
          <w:highlight w:val="none"/>
        </w:rPr>
      </w:pPr>
      <w:r>
        <w:rPr>
          <w:kern w:val="0"/>
          <w:sz w:val="24"/>
          <w:highlight w:val="none"/>
          <w:lang w:bidi="ar"/>
        </w:rPr>
        <w:t xml:space="preserve">式中： CCi 为第 i 种燃料的单位热值含碳量，单位为吨碳/百万千焦 </w:t>
      </w:r>
    </w:p>
    <w:p w14:paraId="072C2989">
      <w:pPr>
        <w:widowControl/>
        <w:spacing w:line="360" w:lineRule="auto"/>
        <w:ind w:firstLine="480" w:firstLineChars="200"/>
        <w:jc w:val="left"/>
        <w:rPr>
          <w:sz w:val="24"/>
          <w:highlight w:val="none"/>
        </w:rPr>
      </w:pPr>
      <w:r>
        <w:rPr>
          <w:kern w:val="0"/>
          <w:sz w:val="24"/>
          <w:highlight w:val="none"/>
          <w:lang w:bidi="ar"/>
        </w:rPr>
        <w:t xml:space="preserve">（tC/GJ），采用本指南附录 B 所提供的推荐值； </w:t>
      </w:r>
    </w:p>
    <w:p w14:paraId="112CBF20">
      <w:pPr>
        <w:widowControl/>
        <w:spacing w:line="360" w:lineRule="auto"/>
        <w:ind w:firstLine="480" w:firstLineChars="200"/>
        <w:jc w:val="left"/>
        <w:rPr>
          <w:kern w:val="0"/>
          <w:sz w:val="24"/>
          <w:highlight w:val="none"/>
          <w:lang w:bidi="ar"/>
        </w:rPr>
      </w:pPr>
      <w:r>
        <w:rPr>
          <w:kern w:val="0"/>
          <w:sz w:val="24"/>
          <w:highlight w:val="none"/>
          <w:lang w:bidi="ar"/>
        </w:rPr>
        <w:t xml:space="preserve">OFi为第 i 种化石燃料的碳氧化率，单位为%，采用本指南附录 B所提供的推荐值。 </w:t>
      </w:r>
    </w:p>
    <w:p w14:paraId="744FAF8C">
      <w:pPr>
        <w:spacing w:line="360" w:lineRule="auto"/>
        <w:ind w:firstLine="480" w:firstLineChars="200"/>
        <w:rPr>
          <w:sz w:val="24"/>
          <w:highlight w:val="none"/>
        </w:rPr>
      </w:pPr>
      <w:r>
        <w:rPr>
          <w:rFonts w:hint="eastAsia"/>
          <w:sz w:val="24"/>
          <w:highlight w:val="none"/>
        </w:rPr>
        <w:t>①燃煤</w:t>
      </w:r>
    </w:p>
    <w:p w14:paraId="53FDD030">
      <w:pPr>
        <w:spacing w:line="360" w:lineRule="auto"/>
        <w:ind w:firstLine="480" w:firstLineChars="200"/>
        <w:rPr>
          <w:sz w:val="24"/>
          <w:highlight w:val="none"/>
        </w:rPr>
      </w:pPr>
      <w:r>
        <w:rPr>
          <w:rFonts w:hint="eastAsia"/>
          <w:sz w:val="24"/>
          <w:highlight w:val="none"/>
        </w:rPr>
        <w:t>CCi含碳量28</w:t>
      </w:r>
      <w:r>
        <w:rPr>
          <w:kern w:val="0"/>
          <w:sz w:val="24"/>
          <w:highlight w:val="none"/>
          <w:lang w:bidi="ar"/>
        </w:rPr>
        <w:t>tC/</w:t>
      </w:r>
      <w:r>
        <w:rPr>
          <w:rFonts w:hint="eastAsia"/>
          <w:kern w:val="0"/>
          <w:sz w:val="24"/>
          <w:highlight w:val="none"/>
          <w:lang w:bidi="ar"/>
        </w:rPr>
        <w:t>T</w:t>
      </w:r>
      <w:r>
        <w:rPr>
          <w:kern w:val="0"/>
          <w:sz w:val="24"/>
          <w:highlight w:val="none"/>
          <w:lang w:bidi="ar"/>
        </w:rPr>
        <w:t>J</w:t>
      </w:r>
      <w:r>
        <w:rPr>
          <w:rFonts w:hint="eastAsia"/>
          <w:sz w:val="24"/>
          <w:highlight w:val="none"/>
        </w:rPr>
        <w:t>，</w:t>
      </w:r>
      <w:r>
        <w:rPr>
          <w:kern w:val="0"/>
          <w:sz w:val="24"/>
          <w:highlight w:val="none"/>
          <w:lang w:bidi="ar"/>
        </w:rPr>
        <w:t>OFi</w:t>
      </w:r>
      <w:r>
        <w:rPr>
          <w:rFonts w:hint="eastAsia"/>
          <w:sz w:val="24"/>
          <w:highlight w:val="none"/>
        </w:rPr>
        <w:t>碳氧化率96%。</w:t>
      </w:r>
    </w:p>
    <w:p w14:paraId="11E94E36">
      <w:pPr>
        <w:spacing w:line="360" w:lineRule="auto"/>
        <w:ind w:firstLine="480" w:firstLineChars="200"/>
        <w:rPr>
          <w:sz w:val="24"/>
          <w:highlight w:val="none"/>
        </w:rPr>
      </w:pPr>
      <w:r>
        <w:rPr>
          <w:rFonts w:hint="eastAsia"/>
          <w:sz w:val="24"/>
          <w:highlight w:val="none"/>
        </w:rPr>
        <w:t>EF</w:t>
      </w:r>
      <w:r>
        <w:rPr>
          <w:rFonts w:hint="eastAsia"/>
          <w:sz w:val="24"/>
          <w:highlight w:val="none"/>
          <w:vertAlign w:val="subscript"/>
        </w:rPr>
        <w:t xml:space="preserve"> 煤</w:t>
      </w:r>
      <w:r>
        <w:rPr>
          <w:rFonts w:hint="eastAsia"/>
          <w:sz w:val="24"/>
          <w:highlight w:val="none"/>
        </w:rPr>
        <w:t>=28×0.96×(44÷12)=98.56×10</w:t>
      </w:r>
      <w:r>
        <w:rPr>
          <w:rFonts w:hint="eastAsia"/>
          <w:sz w:val="24"/>
          <w:highlight w:val="none"/>
          <w:vertAlign w:val="superscript"/>
        </w:rPr>
        <w:t>-3</w:t>
      </w:r>
      <w:r>
        <w:rPr>
          <w:rFonts w:hint="eastAsia"/>
          <w:sz w:val="24"/>
          <w:highlight w:val="none"/>
        </w:rPr>
        <w:t>tC/GJ</w:t>
      </w:r>
    </w:p>
    <w:p w14:paraId="3156AA86">
      <w:pPr>
        <w:spacing w:line="360" w:lineRule="auto"/>
        <w:ind w:firstLine="480" w:firstLineChars="200"/>
        <w:rPr>
          <w:sz w:val="24"/>
          <w:highlight w:val="none"/>
        </w:rPr>
      </w:pPr>
      <w:r>
        <w:rPr>
          <w:rFonts w:hint="eastAsia"/>
          <w:sz w:val="24"/>
          <w:highlight w:val="none"/>
        </w:rPr>
        <w:t>②点火轻柴油</w:t>
      </w:r>
    </w:p>
    <w:p w14:paraId="03684505">
      <w:pPr>
        <w:spacing w:line="360" w:lineRule="auto"/>
        <w:ind w:firstLine="480" w:firstLineChars="200"/>
        <w:rPr>
          <w:sz w:val="24"/>
          <w:highlight w:val="none"/>
        </w:rPr>
      </w:pPr>
      <w:r>
        <w:rPr>
          <w:rFonts w:hint="eastAsia"/>
          <w:sz w:val="24"/>
          <w:highlight w:val="none"/>
        </w:rPr>
        <w:t>CCi含碳量20.2</w:t>
      </w:r>
      <w:r>
        <w:rPr>
          <w:kern w:val="0"/>
          <w:sz w:val="24"/>
          <w:highlight w:val="none"/>
          <w:lang w:bidi="ar"/>
        </w:rPr>
        <w:t>tC/</w:t>
      </w:r>
      <w:r>
        <w:rPr>
          <w:rFonts w:hint="eastAsia"/>
          <w:kern w:val="0"/>
          <w:sz w:val="24"/>
          <w:highlight w:val="none"/>
          <w:lang w:bidi="ar"/>
        </w:rPr>
        <w:t>T</w:t>
      </w:r>
      <w:r>
        <w:rPr>
          <w:kern w:val="0"/>
          <w:sz w:val="24"/>
          <w:highlight w:val="none"/>
          <w:lang w:bidi="ar"/>
        </w:rPr>
        <w:t>J</w:t>
      </w:r>
      <w:r>
        <w:rPr>
          <w:rFonts w:hint="eastAsia"/>
          <w:sz w:val="24"/>
          <w:highlight w:val="none"/>
        </w:rPr>
        <w:t>，</w:t>
      </w:r>
      <w:r>
        <w:rPr>
          <w:kern w:val="0"/>
          <w:sz w:val="24"/>
          <w:highlight w:val="none"/>
          <w:lang w:bidi="ar"/>
        </w:rPr>
        <w:t>OFi</w:t>
      </w:r>
      <w:r>
        <w:rPr>
          <w:rFonts w:hint="eastAsia"/>
          <w:sz w:val="24"/>
          <w:highlight w:val="none"/>
        </w:rPr>
        <w:t>碳氧化率98%。</w:t>
      </w:r>
    </w:p>
    <w:p w14:paraId="7052AA9A">
      <w:pPr>
        <w:spacing w:line="360" w:lineRule="auto"/>
        <w:ind w:firstLine="480" w:firstLineChars="200"/>
        <w:rPr>
          <w:sz w:val="24"/>
          <w:highlight w:val="none"/>
        </w:rPr>
      </w:pPr>
      <w:r>
        <w:rPr>
          <w:sz w:val="24"/>
          <w:highlight w:val="none"/>
        </w:rPr>
        <w:t>EF</w:t>
      </w:r>
      <w:r>
        <w:rPr>
          <w:rFonts w:hint="eastAsia"/>
          <w:sz w:val="24"/>
          <w:highlight w:val="none"/>
          <w:vertAlign w:val="subscript"/>
        </w:rPr>
        <w:t>柴油</w:t>
      </w:r>
      <w:r>
        <w:rPr>
          <w:sz w:val="24"/>
          <w:highlight w:val="none"/>
        </w:rPr>
        <w:t>=</w:t>
      </w:r>
      <w:r>
        <w:rPr>
          <w:rFonts w:hint="eastAsia"/>
          <w:sz w:val="24"/>
          <w:highlight w:val="none"/>
        </w:rPr>
        <w:t>20.2</w:t>
      </w:r>
      <w:r>
        <w:rPr>
          <w:sz w:val="24"/>
          <w:highlight w:val="none"/>
        </w:rPr>
        <w:t>×</w:t>
      </w:r>
      <w:r>
        <w:rPr>
          <w:rFonts w:hint="eastAsia"/>
          <w:sz w:val="24"/>
          <w:highlight w:val="none"/>
        </w:rPr>
        <w:t>0.98</w:t>
      </w:r>
      <w:r>
        <w:rPr>
          <w:sz w:val="24"/>
          <w:highlight w:val="none"/>
        </w:rPr>
        <w:t>×(44÷12)=</w:t>
      </w:r>
      <w:r>
        <w:rPr>
          <w:rFonts w:hint="eastAsia"/>
          <w:sz w:val="24"/>
          <w:highlight w:val="none"/>
        </w:rPr>
        <w:t>72.585×10</w:t>
      </w:r>
      <w:r>
        <w:rPr>
          <w:rFonts w:hint="eastAsia"/>
          <w:sz w:val="24"/>
          <w:highlight w:val="none"/>
          <w:vertAlign w:val="superscript"/>
        </w:rPr>
        <w:t>-3</w:t>
      </w:r>
      <w:r>
        <w:rPr>
          <w:sz w:val="24"/>
          <w:highlight w:val="none"/>
        </w:rPr>
        <w:t>tC/GJ</w:t>
      </w:r>
    </w:p>
    <w:p w14:paraId="2CE64F67">
      <w:pPr>
        <w:bidi w:val="0"/>
        <w:rPr>
          <w:kern w:val="0"/>
          <w:sz w:val="24"/>
          <w:highlight w:val="none"/>
          <w:lang w:bidi="ar"/>
        </w:rPr>
      </w:pPr>
      <w:r>
        <w:rPr>
          <w:rFonts w:hint="eastAsia"/>
          <w:b/>
          <w:bCs/>
          <w:kern w:val="0"/>
          <w:sz w:val="24"/>
          <w:highlight w:val="none"/>
          <w:lang w:bidi="ar"/>
        </w:rPr>
        <w:t>所以：E</w:t>
      </w:r>
      <w:r>
        <w:rPr>
          <w:rFonts w:hint="eastAsia"/>
          <w:b/>
          <w:bCs/>
          <w:kern w:val="0"/>
          <w:sz w:val="24"/>
          <w:highlight w:val="none"/>
          <w:vertAlign w:val="subscript"/>
          <w:lang w:bidi="ar"/>
        </w:rPr>
        <w:t>燃烧</w:t>
      </w:r>
      <w:r>
        <w:rPr>
          <w:rFonts w:hint="eastAsia"/>
          <w:kern w:val="0"/>
          <w:sz w:val="24"/>
          <w:highlight w:val="none"/>
          <w:lang w:bidi="ar"/>
        </w:rPr>
        <w:t>=AD</w:t>
      </w:r>
      <w:r>
        <w:rPr>
          <w:rFonts w:hint="eastAsia"/>
          <w:kern w:val="0"/>
          <w:sz w:val="24"/>
          <w:highlight w:val="none"/>
          <w:vertAlign w:val="subscript"/>
          <w:lang w:bidi="ar"/>
        </w:rPr>
        <w:t>煤</w:t>
      </w:r>
      <w:r>
        <w:rPr>
          <w:rFonts w:hint="eastAsia"/>
          <w:kern w:val="0"/>
          <w:sz w:val="24"/>
          <w:highlight w:val="none"/>
          <w:lang w:bidi="ar"/>
        </w:rPr>
        <w:t>×EF</w:t>
      </w:r>
      <w:r>
        <w:rPr>
          <w:rFonts w:hint="eastAsia"/>
          <w:kern w:val="0"/>
          <w:sz w:val="24"/>
          <w:highlight w:val="none"/>
          <w:vertAlign w:val="subscript"/>
          <w:lang w:bidi="ar"/>
        </w:rPr>
        <w:t>煤</w:t>
      </w:r>
      <w:r>
        <w:rPr>
          <w:rFonts w:hint="eastAsia"/>
          <w:kern w:val="0"/>
          <w:sz w:val="24"/>
          <w:highlight w:val="none"/>
          <w:lang w:bidi="ar"/>
        </w:rPr>
        <w:t>+AD</w:t>
      </w:r>
      <w:r>
        <w:rPr>
          <w:rFonts w:hint="eastAsia"/>
          <w:kern w:val="0"/>
          <w:sz w:val="24"/>
          <w:highlight w:val="none"/>
          <w:vertAlign w:val="subscript"/>
          <w:lang w:bidi="ar"/>
        </w:rPr>
        <w:t>油</w:t>
      </w:r>
      <w:r>
        <w:rPr>
          <w:rFonts w:hint="eastAsia"/>
          <w:kern w:val="0"/>
          <w:sz w:val="24"/>
          <w:highlight w:val="none"/>
          <w:lang w:bidi="ar"/>
        </w:rPr>
        <w:t>×EF</w:t>
      </w:r>
      <w:r>
        <w:rPr>
          <w:rFonts w:hint="eastAsia"/>
          <w:kern w:val="0"/>
          <w:sz w:val="24"/>
          <w:highlight w:val="none"/>
          <w:vertAlign w:val="subscript"/>
          <w:lang w:bidi="ar"/>
        </w:rPr>
        <w:t>油</w:t>
      </w:r>
      <w:r>
        <w:rPr>
          <w:rFonts w:hint="eastAsia"/>
          <w:kern w:val="0"/>
          <w:sz w:val="24"/>
          <w:highlight w:val="none"/>
          <w:lang w:bidi="ar"/>
        </w:rPr>
        <w:t>=</w:t>
      </w:r>
      <w:r>
        <w:rPr>
          <w:rFonts w:hint="eastAsia"/>
          <w:sz w:val="24"/>
          <w:highlight w:val="none"/>
          <w:lang w:val="en-US" w:eastAsia="zh-CN"/>
        </w:rPr>
        <w:t>1171058.25</w:t>
      </w:r>
      <w:r>
        <w:rPr>
          <w:kern w:val="0"/>
          <w:sz w:val="24"/>
          <w:highlight w:val="none"/>
          <w:lang w:bidi="ar"/>
        </w:rPr>
        <w:t>GJ</w:t>
      </w:r>
      <w:r>
        <w:rPr>
          <w:rFonts w:hint="eastAsia"/>
          <w:kern w:val="0"/>
          <w:sz w:val="24"/>
          <w:highlight w:val="none"/>
          <w:lang w:bidi="ar"/>
        </w:rPr>
        <w:t>×</w:t>
      </w:r>
      <w:r>
        <w:rPr>
          <w:rFonts w:hint="eastAsia"/>
          <w:sz w:val="24"/>
          <w:highlight w:val="none"/>
        </w:rPr>
        <w:t>98.56×10</w:t>
      </w:r>
      <w:r>
        <w:rPr>
          <w:rFonts w:hint="eastAsia"/>
          <w:sz w:val="24"/>
          <w:highlight w:val="none"/>
          <w:vertAlign w:val="superscript"/>
        </w:rPr>
        <w:t>-3</w:t>
      </w:r>
      <w:r>
        <w:rPr>
          <w:sz w:val="24"/>
          <w:highlight w:val="none"/>
        </w:rPr>
        <w:t>tC/GJ</w:t>
      </w:r>
      <w:r>
        <w:rPr>
          <w:rFonts w:hint="eastAsia"/>
          <w:sz w:val="24"/>
          <w:highlight w:val="none"/>
        </w:rPr>
        <w:t>+</w:t>
      </w:r>
      <w:r>
        <w:rPr>
          <w:rFonts w:hint="eastAsia"/>
          <w:sz w:val="24"/>
          <w:highlight w:val="none"/>
          <w:lang w:val="en-US" w:eastAsia="zh-CN"/>
        </w:rPr>
        <w:t>43.33</w:t>
      </w:r>
      <w:r>
        <w:rPr>
          <w:kern w:val="0"/>
          <w:sz w:val="24"/>
          <w:highlight w:val="none"/>
          <w:lang w:bidi="ar"/>
        </w:rPr>
        <w:t>GJ</w:t>
      </w:r>
      <w:r>
        <w:rPr>
          <w:rFonts w:hint="eastAsia"/>
          <w:kern w:val="0"/>
          <w:sz w:val="24"/>
          <w:highlight w:val="none"/>
          <w:lang w:bidi="ar"/>
        </w:rPr>
        <w:t>×</w:t>
      </w:r>
      <w:r>
        <w:rPr>
          <w:rFonts w:hint="eastAsia"/>
          <w:sz w:val="24"/>
          <w:highlight w:val="none"/>
        </w:rPr>
        <w:t>72.585×10</w:t>
      </w:r>
      <w:r>
        <w:rPr>
          <w:rFonts w:hint="eastAsia"/>
          <w:sz w:val="24"/>
          <w:highlight w:val="none"/>
          <w:vertAlign w:val="superscript"/>
        </w:rPr>
        <w:t>-3</w:t>
      </w:r>
      <w:r>
        <w:rPr>
          <w:sz w:val="24"/>
          <w:highlight w:val="none"/>
        </w:rPr>
        <w:t>tC/GJ</w:t>
      </w:r>
      <w:r>
        <w:rPr>
          <w:rFonts w:hint="eastAsia"/>
          <w:sz w:val="24"/>
          <w:highlight w:val="none"/>
        </w:rPr>
        <w:t>=44673.59+2.2=</w:t>
      </w:r>
      <w:r>
        <w:rPr>
          <w:rFonts w:hint="eastAsia"/>
          <w:sz w:val="24"/>
          <w:highlight w:val="none"/>
          <w:lang w:val="en-US" w:eastAsia="zh-CN"/>
        </w:rPr>
        <w:t>115422.646</w:t>
      </w:r>
      <w:r>
        <w:rPr>
          <w:rFonts w:hint="eastAsia"/>
          <w:sz w:val="24"/>
          <w:highlight w:val="none"/>
        </w:rPr>
        <w:t xml:space="preserve"> </w:t>
      </w:r>
      <w:r>
        <w:rPr>
          <w:kern w:val="0"/>
          <w:sz w:val="24"/>
          <w:highlight w:val="none"/>
          <w:lang w:bidi="ar"/>
        </w:rPr>
        <w:t>tCO2e</w:t>
      </w:r>
    </w:p>
    <w:p w14:paraId="6972E255">
      <w:pPr>
        <w:widowControl/>
        <w:spacing w:line="360" w:lineRule="auto"/>
        <w:ind w:firstLine="482" w:firstLineChars="200"/>
        <w:jc w:val="left"/>
        <w:rPr>
          <w:sz w:val="24"/>
          <w:highlight w:val="none"/>
        </w:rPr>
      </w:pPr>
      <w:r>
        <w:rPr>
          <w:b/>
          <w:bCs/>
          <w:kern w:val="0"/>
          <w:sz w:val="24"/>
          <w:highlight w:val="none"/>
          <w:lang w:bidi="ar"/>
        </w:rPr>
        <w:t>3</w:t>
      </w:r>
      <w:r>
        <w:rPr>
          <w:rFonts w:hint="eastAsia"/>
          <w:b/>
          <w:bCs/>
          <w:kern w:val="0"/>
          <w:sz w:val="24"/>
          <w:highlight w:val="none"/>
          <w:lang w:bidi="ar"/>
        </w:rPr>
        <w:t>、</w:t>
      </w:r>
      <w:r>
        <w:rPr>
          <w:b/>
          <w:bCs/>
          <w:kern w:val="0"/>
          <w:sz w:val="24"/>
          <w:highlight w:val="none"/>
          <w:lang w:bidi="ar"/>
        </w:rPr>
        <w:t>净购入的电力和热力产生的排放</w:t>
      </w:r>
      <w:r>
        <w:rPr>
          <w:kern w:val="0"/>
          <w:sz w:val="24"/>
          <w:highlight w:val="none"/>
          <w:lang w:bidi="ar"/>
        </w:rPr>
        <w:t xml:space="preserve"> </w:t>
      </w:r>
    </w:p>
    <w:p w14:paraId="2B3663D3">
      <w:pPr>
        <w:widowControl/>
        <w:spacing w:line="360" w:lineRule="auto"/>
        <w:ind w:firstLine="480" w:firstLineChars="200"/>
        <w:jc w:val="left"/>
        <w:rPr>
          <w:sz w:val="24"/>
          <w:highlight w:val="none"/>
        </w:rPr>
      </w:pPr>
      <w:r>
        <w:rPr>
          <w:kern w:val="0"/>
          <w:sz w:val="24"/>
          <w:highlight w:val="none"/>
          <w:lang w:bidi="ar"/>
        </w:rPr>
        <w:t xml:space="preserve">净购入的电力产生的排放以及净购入的热力产生的排放分别按公式（5）和（6）计算。 </w:t>
      </w:r>
    </w:p>
    <w:p w14:paraId="4C6CB7D1">
      <w:pPr>
        <w:widowControl/>
        <w:ind w:firstLine="480" w:firstLineChars="200"/>
        <w:jc w:val="center"/>
        <w:rPr>
          <w:kern w:val="0"/>
          <w:sz w:val="24"/>
          <w:highlight w:val="none"/>
          <w:lang w:bidi="ar"/>
        </w:rPr>
      </w:pPr>
      <w:r>
        <w:rPr>
          <w:kern w:val="0"/>
          <w:sz w:val="24"/>
          <w:highlight w:val="none"/>
          <w:lang w:bidi="ar"/>
        </w:rPr>
        <w:drawing>
          <wp:inline distT="0" distB="0" distL="114300" distR="114300">
            <wp:extent cx="3045460" cy="569595"/>
            <wp:effectExtent l="0" t="0" r="2540" b="1905"/>
            <wp:docPr id="478" name="图片 478" descr="1716718638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descr="1716718638818"/>
                    <pic:cNvPicPr>
                      <a:picLocks noChangeAspect="1"/>
                    </pic:cNvPicPr>
                  </pic:nvPicPr>
                  <pic:blipFill>
                    <a:blip r:embed="rId58"/>
                    <a:stretch>
                      <a:fillRect/>
                    </a:stretch>
                  </pic:blipFill>
                  <pic:spPr>
                    <a:xfrm>
                      <a:off x="0" y="0"/>
                      <a:ext cx="3045460" cy="569595"/>
                    </a:xfrm>
                    <a:prstGeom prst="rect">
                      <a:avLst/>
                    </a:prstGeom>
                  </pic:spPr>
                </pic:pic>
              </a:graphicData>
            </a:graphic>
          </wp:inline>
        </w:drawing>
      </w:r>
    </w:p>
    <w:p w14:paraId="4188BE6B">
      <w:pPr>
        <w:widowControl/>
        <w:spacing w:line="360" w:lineRule="auto"/>
        <w:ind w:firstLine="480" w:firstLineChars="200"/>
        <w:jc w:val="left"/>
        <w:rPr>
          <w:sz w:val="24"/>
          <w:highlight w:val="none"/>
        </w:rPr>
      </w:pPr>
      <w:r>
        <w:rPr>
          <w:kern w:val="0"/>
          <w:sz w:val="24"/>
          <w:highlight w:val="none"/>
          <w:lang w:bidi="ar"/>
        </w:rPr>
        <w:t xml:space="preserve">式中： </w:t>
      </w:r>
    </w:p>
    <w:p w14:paraId="6E801A64">
      <w:pPr>
        <w:widowControl/>
        <w:spacing w:line="360" w:lineRule="auto"/>
        <w:ind w:firstLine="480" w:firstLineChars="200"/>
        <w:jc w:val="left"/>
        <w:rPr>
          <w:sz w:val="24"/>
          <w:highlight w:val="none"/>
        </w:rPr>
      </w:pPr>
      <w:r>
        <w:rPr>
          <w:kern w:val="0"/>
          <w:sz w:val="24"/>
          <w:highlight w:val="none"/>
          <w:lang w:bidi="ar"/>
        </w:rPr>
        <w:t>E</w:t>
      </w:r>
      <w:r>
        <w:rPr>
          <w:kern w:val="0"/>
          <w:sz w:val="24"/>
          <w:highlight w:val="none"/>
          <w:vertAlign w:val="subscript"/>
          <w:lang w:bidi="ar"/>
        </w:rPr>
        <w:t xml:space="preserve"> 电</w:t>
      </w:r>
      <w:r>
        <w:rPr>
          <w:rFonts w:hint="eastAsia"/>
          <w:kern w:val="0"/>
          <w:sz w:val="24"/>
          <w:highlight w:val="none"/>
          <w:lang w:bidi="ar"/>
        </w:rPr>
        <w:t xml:space="preserve">： </w:t>
      </w:r>
      <w:r>
        <w:rPr>
          <w:kern w:val="0"/>
          <w:sz w:val="24"/>
          <w:highlight w:val="none"/>
          <w:lang w:bidi="ar"/>
        </w:rPr>
        <w:t xml:space="preserve">为净购入的电力隐含的排放量，单位为吨二氧化碳（tCO2e）； </w:t>
      </w:r>
    </w:p>
    <w:p w14:paraId="74A05D1F">
      <w:pPr>
        <w:widowControl/>
        <w:spacing w:line="360" w:lineRule="auto"/>
        <w:ind w:firstLine="480" w:firstLineChars="200"/>
        <w:jc w:val="left"/>
        <w:rPr>
          <w:sz w:val="24"/>
          <w:highlight w:val="none"/>
        </w:rPr>
      </w:pPr>
      <w:r>
        <w:rPr>
          <w:kern w:val="0"/>
          <w:sz w:val="24"/>
          <w:highlight w:val="none"/>
          <w:lang w:bidi="ar"/>
        </w:rPr>
        <w:t>AD</w:t>
      </w:r>
      <w:r>
        <w:rPr>
          <w:kern w:val="0"/>
          <w:sz w:val="24"/>
          <w:highlight w:val="none"/>
          <w:vertAlign w:val="subscript"/>
          <w:lang w:bidi="ar"/>
        </w:rPr>
        <w:t>电</w:t>
      </w:r>
      <w:r>
        <w:rPr>
          <w:rFonts w:hint="eastAsia"/>
          <w:kern w:val="0"/>
          <w:sz w:val="24"/>
          <w:highlight w:val="none"/>
          <w:lang w:bidi="ar"/>
        </w:rPr>
        <w:t>：</w:t>
      </w:r>
      <w:r>
        <w:rPr>
          <w:kern w:val="0"/>
          <w:sz w:val="24"/>
          <w:highlight w:val="none"/>
          <w:lang w:bidi="ar"/>
        </w:rPr>
        <w:t xml:space="preserve">为核算和报告年度内的净外购电量，单位为兆瓦时（MWh）； </w:t>
      </w:r>
    </w:p>
    <w:p w14:paraId="33EF79CB">
      <w:pPr>
        <w:widowControl/>
        <w:spacing w:line="360" w:lineRule="auto"/>
        <w:ind w:firstLine="480" w:firstLineChars="200"/>
        <w:jc w:val="left"/>
        <w:rPr>
          <w:sz w:val="24"/>
          <w:highlight w:val="none"/>
        </w:rPr>
      </w:pPr>
      <w:r>
        <w:rPr>
          <w:kern w:val="0"/>
          <w:sz w:val="24"/>
          <w:highlight w:val="none"/>
          <w:lang w:bidi="ar"/>
        </w:rPr>
        <w:t>EF</w:t>
      </w:r>
      <w:r>
        <w:rPr>
          <w:kern w:val="0"/>
          <w:sz w:val="24"/>
          <w:highlight w:val="none"/>
          <w:vertAlign w:val="subscript"/>
          <w:lang w:bidi="ar"/>
        </w:rPr>
        <w:t>电</w:t>
      </w:r>
      <w:r>
        <w:rPr>
          <w:rFonts w:hint="eastAsia"/>
          <w:kern w:val="0"/>
          <w:sz w:val="24"/>
          <w:highlight w:val="none"/>
          <w:lang w:bidi="ar"/>
        </w:rPr>
        <w:t xml:space="preserve">： </w:t>
      </w:r>
      <w:r>
        <w:rPr>
          <w:kern w:val="0"/>
          <w:sz w:val="24"/>
          <w:highlight w:val="none"/>
          <w:lang w:bidi="ar"/>
        </w:rPr>
        <w:t>为区域电网年平均供电排放因子，单位为吨二氧化碳/兆瓦时（tCO</w:t>
      </w:r>
      <w:r>
        <w:rPr>
          <w:kern w:val="0"/>
          <w:sz w:val="24"/>
          <w:highlight w:val="none"/>
          <w:vertAlign w:val="subscript"/>
          <w:lang w:bidi="ar"/>
        </w:rPr>
        <w:t>2</w:t>
      </w:r>
      <w:r>
        <w:rPr>
          <w:kern w:val="0"/>
          <w:sz w:val="24"/>
          <w:highlight w:val="none"/>
          <w:lang w:bidi="ar"/>
        </w:rPr>
        <w:t xml:space="preserve">/MWh）； </w:t>
      </w:r>
    </w:p>
    <w:p w14:paraId="64A52627">
      <w:pPr>
        <w:widowControl/>
        <w:spacing w:line="360" w:lineRule="auto"/>
        <w:ind w:firstLine="480" w:firstLineChars="200"/>
        <w:jc w:val="left"/>
        <w:rPr>
          <w:sz w:val="24"/>
          <w:highlight w:val="none"/>
        </w:rPr>
      </w:pPr>
      <w:r>
        <w:rPr>
          <w:kern w:val="0"/>
          <w:sz w:val="24"/>
          <w:highlight w:val="none"/>
          <w:lang w:bidi="ar"/>
        </w:rPr>
        <w:t>E</w:t>
      </w:r>
      <w:r>
        <w:rPr>
          <w:kern w:val="0"/>
          <w:sz w:val="24"/>
          <w:highlight w:val="none"/>
          <w:vertAlign w:val="subscript"/>
          <w:lang w:bidi="ar"/>
        </w:rPr>
        <w:t>热</w:t>
      </w:r>
      <w:r>
        <w:rPr>
          <w:rFonts w:hint="eastAsia"/>
          <w:kern w:val="0"/>
          <w:sz w:val="24"/>
          <w:highlight w:val="none"/>
          <w:lang w:bidi="ar"/>
        </w:rPr>
        <w:t xml:space="preserve">： </w:t>
      </w:r>
      <w:r>
        <w:rPr>
          <w:kern w:val="0"/>
          <w:sz w:val="24"/>
          <w:highlight w:val="none"/>
          <w:lang w:bidi="ar"/>
        </w:rPr>
        <w:t>为净购入的热力隐含的排放量，单位为吨二氧化碳（tCO</w:t>
      </w:r>
      <w:r>
        <w:rPr>
          <w:kern w:val="0"/>
          <w:sz w:val="24"/>
          <w:highlight w:val="none"/>
          <w:vertAlign w:val="subscript"/>
          <w:lang w:bidi="ar"/>
        </w:rPr>
        <w:t>2</w:t>
      </w:r>
      <w:r>
        <w:rPr>
          <w:kern w:val="0"/>
          <w:sz w:val="24"/>
          <w:highlight w:val="none"/>
          <w:lang w:bidi="ar"/>
        </w:rPr>
        <w:t xml:space="preserve">）； </w:t>
      </w:r>
    </w:p>
    <w:p w14:paraId="2D93BEA7">
      <w:pPr>
        <w:widowControl/>
        <w:spacing w:line="360" w:lineRule="auto"/>
        <w:ind w:firstLine="480" w:firstLineChars="200"/>
        <w:jc w:val="left"/>
        <w:rPr>
          <w:sz w:val="24"/>
          <w:highlight w:val="none"/>
        </w:rPr>
      </w:pPr>
      <w:r>
        <w:rPr>
          <w:kern w:val="0"/>
          <w:sz w:val="24"/>
          <w:highlight w:val="none"/>
          <w:lang w:bidi="ar"/>
        </w:rPr>
        <w:t>AD</w:t>
      </w:r>
      <w:r>
        <w:rPr>
          <w:kern w:val="0"/>
          <w:sz w:val="24"/>
          <w:highlight w:val="none"/>
          <w:vertAlign w:val="subscript"/>
          <w:lang w:bidi="ar"/>
        </w:rPr>
        <w:t>热</w:t>
      </w:r>
      <w:r>
        <w:rPr>
          <w:rFonts w:hint="eastAsia"/>
          <w:kern w:val="0"/>
          <w:sz w:val="24"/>
          <w:highlight w:val="none"/>
          <w:lang w:bidi="ar"/>
        </w:rPr>
        <w:t>：</w:t>
      </w:r>
      <w:r>
        <w:rPr>
          <w:kern w:val="0"/>
          <w:sz w:val="24"/>
          <w:highlight w:val="none"/>
          <w:lang w:bidi="ar"/>
        </w:rPr>
        <w:t xml:space="preserve">为核算和报告年度内的净外购热力，单位为百万千焦（GJ）； </w:t>
      </w:r>
    </w:p>
    <w:p w14:paraId="6DF02E15">
      <w:pPr>
        <w:widowControl/>
        <w:spacing w:line="360" w:lineRule="auto"/>
        <w:ind w:firstLine="480" w:firstLineChars="200"/>
        <w:jc w:val="left"/>
        <w:rPr>
          <w:sz w:val="24"/>
          <w:highlight w:val="none"/>
        </w:rPr>
      </w:pPr>
      <w:r>
        <w:rPr>
          <w:kern w:val="0"/>
          <w:sz w:val="24"/>
          <w:highlight w:val="none"/>
          <w:lang w:bidi="ar"/>
        </w:rPr>
        <w:t>EF</w:t>
      </w:r>
      <w:r>
        <w:rPr>
          <w:kern w:val="0"/>
          <w:sz w:val="24"/>
          <w:highlight w:val="none"/>
          <w:vertAlign w:val="subscript"/>
          <w:lang w:bidi="ar"/>
        </w:rPr>
        <w:t>热</w:t>
      </w:r>
      <w:r>
        <w:rPr>
          <w:rFonts w:hint="eastAsia"/>
          <w:kern w:val="0"/>
          <w:sz w:val="24"/>
          <w:highlight w:val="none"/>
          <w:lang w:bidi="ar"/>
        </w:rPr>
        <w:t>：</w:t>
      </w:r>
      <w:r>
        <w:rPr>
          <w:kern w:val="0"/>
          <w:sz w:val="24"/>
          <w:highlight w:val="none"/>
          <w:lang w:bidi="ar"/>
        </w:rPr>
        <w:t>为年平均供热排放因子，单位为吨二氧化碳/百万千焦（tCO</w:t>
      </w:r>
      <w:r>
        <w:rPr>
          <w:kern w:val="0"/>
          <w:sz w:val="24"/>
          <w:highlight w:val="none"/>
          <w:vertAlign w:val="subscript"/>
          <w:lang w:bidi="ar"/>
        </w:rPr>
        <w:t>2</w:t>
      </w:r>
      <w:r>
        <w:rPr>
          <w:kern w:val="0"/>
          <w:sz w:val="24"/>
          <w:highlight w:val="none"/>
          <w:lang w:bidi="ar"/>
        </w:rPr>
        <w:t>/GJ）。</w:t>
      </w:r>
    </w:p>
    <w:p w14:paraId="631DEB0D">
      <w:pPr>
        <w:widowControl/>
        <w:spacing w:line="360" w:lineRule="auto"/>
        <w:ind w:firstLine="482" w:firstLineChars="200"/>
        <w:jc w:val="left"/>
        <w:rPr>
          <w:sz w:val="24"/>
          <w:highlight w:val="none"/>
        </w:rPr>
      </w:pPr>
      <w:r>
        <w:rPr>
          <w:b/>
          <w:bCs/>
          <w:kern w:val="0"/>
          <w:sz w:val="24"/>
          <w:highlight w:val="none"/>
          <w:lang w:bidi="ar"/>
        </w:rPr>
        <w:t xml:space="preserve">1）活动水平数据获取 </w:t>
      </w:r>
    </w:p>
    <w:p w14:paraId="52366849">
      <w:pPr>
        <w:widowControl/>
        <w:spacing w:line="360" w:lineRule="auto"/>
        <w:ind w:firstLine="480" w:firstLineChars="200"/>
        <w:jc w:val="left"/>
        <w:rPr>
          <w:sz w:val="24"/>
          <w:highlight w:val="none"/>
        </w:rPr>
      </w:pPr>
      <w:r>
        <w:rPr>
          <w:kern w:val="0"/>
          <w:sz w:val="24"/>
          <w:highlight w:val="none"/>
          <w:lang w:bidi="ar"/>
        </w:rPr>
        <w:t xml:space="preserve">核算和报告年度内的净外购电量，是数据中心购买的总电量扣减外销的电量。活动数据以数据中心的电表记录的读数为准，也可采用供应商提供的电费发票或者结算单等结算凭证上的数据。 </w:t>
      </w:r>
    </w:p>
    <w:p w14:paraId="70171008">
      <w:pPr>
        <w:widowControl/>
        <w:spacing w:line="360" w:lineRule="auto"/>
        <w:ind w:firstLine="480" w:firstLineChars="200"/>
        <w:jc w:val="left"/>
        <w:rPr>
          <w:sz w:val="24"/>
          <w:highlight w:val="none"/>
        </w:rPr>
      </w:pPr>
      <w:r>
        <w:rPr>
          <w:kern w:val="0"/>
          <w:sz w:val="24"/>
          <w:highlight w:val="none"/>
          <w:lang w:bidi="ar"/>
        </w:rPr>
        <w:t xml:space="preserve">核算和报告年度内的净外购热力，是数据中心购买的总热力扣减外销的热力。活动数据以数据中心的热力表记录的读数为准，也可采用供应商提供的热力费发票或者结算单等结算凭证上的数据。 </w:t>
      </w:r>
    </w:p>
    <w:p w14:paraId="194CC052">
      <w:pPr>
        <w:widowControl/>
        <w:spacing w:line="360" w:lineRule="auto"/>
        <w:ind w:firstLine="482" w:firstLineChars="200"/>
        <w:jc w:val="left"/>
        <w:rPr>
          <w:sz w:val="24"/>
          <w:highlight w:val="none"/>
        </w:rPr>
      </w:pPr>
      <w:r>
        <w:rPr>
          <w:b/>
          <w:bCs/>
          <w:kern w:val="0"/>
          <w:sz w:val="24"/>
          <w:highlight w:val="none"/>
          <w:lang w:bidi="ar"/>
        </w:rPr>
        <w:t xml:space="preserve">2）排放因子数据获取 </w:t>
      </w:r>
    </w:p>
    <w:p w14:paraId="6DF0A29B">
      <w:pPr>
        <w:widowControl/>
        <w:spacing w:line="360" w:lineRule="auto"/>
        <w:ind w:firstLine="480" w:firstLineChars="200"/>
        <w:jc w:val="left"/>
        <w:rPr>
          <w:sz w:val="24"/>
          <w:highlight w:val="none"/>
        </w:rPr>
      </w:pPr>
      <w:r>
        <w:rPr>
          <w:kern w:val="0"/>
          <w:sz w:val="24"/>
          <w:highlight w:val="none"/>
          <w:lang w:bidi="ar"/>
        </w:rPr>
        <w:t xml:space="preserve">电力消费的排放因子应根据数据中心所在地及目前的东北、华北、华东、华中、西北、南方电网划分，选用国家主管部门最新公布的相应区域电网排放因子。 </w:t>
      </w:r>
    </w:p>
    <w:p w14:paraId="45BA9C25">
      <w:pPr>
        <w:widowControl/>
        <w:spacing w:line="360" w:lineRule="auto"/>
        <w:ind w:firstLine="480" w:firstLineChars="200"/>
        <w:jc w:val="left"/>
        <w:rPr>
          <w:kern w:val="0"/>
          <w:sz w:val="24"/>
          <w:highlight w:val="none"/>
          <w:lang w:bidi="ar"/>
        </w:rPr>
      </w:pPr>
      <w:r>
        <w:rPr>
          <w:kern w:val="0"/>
          <w:sz w:val="24"/>
          <w:highlight w:val="none"/>
          <w:lang w:bidi="ar"/>
        </w:rPr>
        <w:t>热力消费的排放因子优先选用供热单位提供的数据，或当地政府主管部门发布的官方数据，若以上数据均不可得，可取推荐值0.11tCO</w:t>
      </w:r>
      <w:r>
        <w:rPr>
          <w:kern w:val="0"/>
          <w:sz w:val="24"/>
          <w:highlight w:val="none"/>
          <w:vertAlign w:val="subscript"/>
          <w:lang w:bidi="ar"/>
        </w:rPr>
        <w:t>2</w:t>
      </w:r>
      <w:r>
        <w:rPr>
          <w:kern w:val="0"/>
          <w:sz w:val="24"/>
          <w:highlight w:val="none"/>
          <w:lang w:bidi="ar"/>
        </w:rPr>
        <w:t>/GJ。</w:t>
      </w:r>
    </w:p>
    <w:p w14:paraId="29AF7AEF">
      <w:pPr>
        <w:pStyle w:val="15"/>
        <w:spacing w:line="360" w:lineRule="auto"/>
        <w:ind w:left="0" w:leftChars="0" w:firstLine="480" w:firstLineChars="200"/>
        <w:rPr>
          <w:kern w:val="0"/>
          <w:sz w:val="24"/>
          <w:highlight w:val="none"/>
          <w:lang w:bidi="ar"/>
        </w:rPr>
      </w:pPr>
      <w:r>
        <w:rPr>
          <w:rFonts w:hint="eastAsia"/>
          <w:kern w:val="0"/>
          <w:sz w:val="24"/>
          <w:highlight w:val="none"/>
          <w:lang w:bidi="ar"/>
        </w:rPr>
        <w:t>本项目热力有锅炉自供不</w:t>
      </w:r>
      <w:r>
        <w:rPr>
          <w:rFonts w:hint="eastAsia"/>
          <w:kern w:val="0"/>
          <w:sz w:val="24"/>
          <w:highlight w:val="none"/>
          <w:lang w:val="en-US" w:eastAsia="zh-CN" w:bidi="ar"/>
        </w:rPr>
        <w:t>用</w:t>
      </w:r>
      <w:r>
        <w:rPr>
          <w:rFonts w:hint="eastAsia"/>
          <w:kern w:val="0"/>
          <w:sz w:val="24"/>
          <w:highlight w:val="none"/>
          <w:lang w:bidi="ar"/>
        </w:rPr>
        <w:t>买，只购买电力，所以这里只对电力进行计算.黑龙江省电网平均二氧化碳排放因子为0.75kg/kwh=0.75</w:t>
      </w:r>
      <w:r>
        <w:rPr>
          <w:kern w:val="0"/>
          <w:sz w:val="24"/>
          <w:highlight w:val="none"/>
          <w:lang w:bidi="ar"/>
        </w:rPr>
        <w:t>tCO</w:t>
      </w:r>
      <w:r>
        <w:rPr>
          <w:kern w:val="0"/>
          <w:sz w:val="24"/>
          <w:highlight w:val="none"/>
          <w:vertAlign w:val="subscript"/>
          <w:lang w:bidi="ar"/>
        </w:rPr>
        <w:t>2</w:t>
      </w:r>
      <w:r>
        <w:rPr>
          <w:kern w:val="0"/>
          <w:sz w:val="24"/>
          <w:highlight w:val="none"/>
          <w:lang w:bidi="ar"/>
        </w:rPr>
        <w:t>/MWh</w:t>
      </w:r>
      <w:r>
        <w:rPr>
          <w:rFonts w:hint="eastAsia"/>
          <w:kern w:val="0"/>
          <w:sz w:val="24"/>
          <w:highlight w:val="none"/>
          <w:lang w:bidi="ar"/>
        </w:rPr>
        <w:t xml:space="preserve"> 本项目年用电量为</w:t>
      </w:r>
      <w:r>
        <w:rPr>
          <w:rFonts w:hint="eastAsia"/>
          <w:kern w:val="0"/>
          <w:sz w:val="24"/>
          <w:highlight w:val="none"/>
          <w:lang w:val="en-US" w:eastAsia="zh-CN" w:bidi="ar"/>
        </w:rPr>
        <w:t>271.3998</w:t>
      </w:r>
      <w:r>
        <w:rPr>
          <w:rFonts w:hint="eastAsia"/>
          <w:kern w:val="0"/>
          <w:sz w:val="24"/>
          <w:highlight w:val="none"/>
          <w:lang w:bidi="ar"/>
        </w:rPr>
        <w:t>万</w:t>
      </w:r>
      <w:r>
        <w:rPr>
          <w:rFonts w:eastAsia="Times New Roman"/>
          <w:spacing w:val="-1"/>
          <w:sz w:val="22"/>
          <w:szCs w:val="22"/>
          <w:highlight w:val="none"/>
        </w:rPr>
        <w:t>kWh</w:t>
      </w:r>
    </w:p>
    <w:p w14:paraId="37D2E835">
      <w:pPr>
        <w:bidi w:val="0"/>
        <w:rPr>
          <w:kern w:val="0"/>
          <w:sz w:val="24"/>
          <w:highlight w:val="none"/>
          <w:vertAlign w:val="subscript"/>
          <w:lang w:bidi="ar"/>
        </w:rPr>
      </w:pPr>
      <w:r>
        <w:rPr>
          <w:rFonts w:hint="eastAsia"/>
          <w:kern w:val="0"/>
          <w:sz w:val="24"/>
          <w:highlight w:val="none"/>
          <w:lang w:bidi="ar"/>
        </w:rPr>
        <w:t>E</w:t>
      </w:r>
      <w:r>
        <w:rPr>
          <w:rFonts w:hint="eastAsia"/>
          <w:kern w:val="0"/>
          <w:sz w:val="24"/>
          <w:highlight w:val="none"/>
          <w:vertAlign w:val="subscript"/>
          <w:lang w:bidi="ar"/>
        </w:rPr>
        <w:t>电</w:t>
      </w:r>
      <w:r>
        <w:rPr>
          <w:rFonts w:hint="eastAsia"/>
          <w:kern w:val="0"/>
          <w:sz w:val="24"/>
          <w:highlight w:val="none"/>
          <w:lang w:bidi="ar"/>
        </w:rPr>
        <w:t>=AD</w:t>
      </w:r>
      <w:r>
        <w:rPr>
          <w:rFonts w:hint="eastAsia"/>
          <w:kern w:val="0"/>
          <w:sz w:val="24"/>
          <w:highlight w:val="none"/>
          <w:vertAlign w:val="subscript"/>
          <w:lang w:bidi="ar"/>
        </w:rPr>
        <w:t>电</w:t>
      </w:r>
      <w:r>
        <w:rPr>
          <w:rFonts w:hint="eastAsia"/>
          <w:kern w:val="0"/>
          <w:sz w:val="24"/>
          <w:highlight w:val="none"/>
          <w:lang w:bidi="ar"/>
        </w:rPr>
        <w:t>×EF</w:t>
      </w:r>
      <w:r>
        <w:rPr>
          <w:rFonts w:hint="eastAsia"/>
          <w:kern w:val="0"/>
          <w:sz w:val="24"/>
          <w:highlight w:val="none"/>
          <w:vertAlign w:val="subscript"/>
          <w:lang w:bidi="ar"/>
        </w:rPr>
        <w:t>电 =</w:t>
      </w:r>
      <w:r>
        <w:rPr>
          <w:rFonts w:hint="eastAsia" w:eastAsia="宋体"/>
          <w:b/>
          <w:bCs/>
          <w:spacing w:val="-2"/>
          <w:sz w:val="24"/>
          <w:highlight w:val="none"/>
          <w:lang w:val="en-US" w:eastAsia="zh-CN"/>
        </w:rPr>
        <w:t>2713.998</w:t>
      </w:r>
      <w:r>
        <w:rPr>
          <w:rFonts w:hint="eastAsia"/>
          <w:b/>
          <w:bCs/>
          <w:spacing w:val="-2"/>
          <w:sz w:val="24"/>
          <w:highlight w:val="none"/>
        </w:rPr>
        <w:t>M</w:t>
      </w:r>
      <w:r>
        <w:rPr>
          <w:rFonts w:eastAsia="Times New Roman"/>
          <w:b/>
          <w:bCs/>
          <w:spacing w:val="-1"/>
          <w:sz w:val="24"/>
          <w:highlight w:val="none"/>
        </w:rPr>
        <w:t>Wh</w:t>
      </w:r>
      <w:r>
        <w:rPr>
          <w:rFonts w:hint="eastAsia"/>
          <w:kern w:val="0"/>
          <w:sz w:val="24"/>
          <w:highlight w:val="none"/>
          <w:lang w:bidi="ar"/>
        </w:rPr>
        <w:t>×0.75</w:t>
      </w:r>
      <w:r>
        <w:rPr>
          <w:kern w:val="0"/>
          <w:sz w:val="24"/>
          <w:highlight w:val="none"/>
          <w:lang w:bidi="ar"/>
        </w:rPr>
        <w:t>tCO</w:t>
      </w:r>
      <w:r>
        <w:rPr>
          <w:kern w:val="0"/>
          <w:sz w:val="24"/>
          <w:highlight w:val="none"/>
          <w:vertAlign w:val="subscript"/>
          <w:lang w:bidi="ar"/>
        </w:rPr>
        <w:t>2</w:t>
      </w:r>
      <w:r>
        <w:rPr>
          <w:kern w:val="0"/>
          <w:sz w:val="24"/>
          <w:highlight w:val="none"/>
          <w:lang w:bidi="ar"/>
        </w:rPr>
        <w:t>/MWh</w:t>
      </w:r>
      <w:r>
        <w:rPr>
          <w:rFonts w:hint="eastAsia"/>
          <w:kern w:val="0"/>
          <w:sz w:val="24"/>
          <w:highlight w:val="none"/>
          <w:lang w:bidi="ar"/>
        </w:rPr>
        <w:t>=</w:t>
      </w:r>
      <w:r>
        <w:rPr>
          <w:rFonts w:hint="eastAsia"/>
          <w:kern w:val="0"/>
          <w:sz w:val="24"/>
          <w:highlight w:val="none"/>
          <w:lang w:val="en-US" w:eastAsia="zh-CN" w:bidi="ar"/>
        </w:rPr>
        <w:t>2048.99</w:t>
      </w:r>
      <w:r>
        <w:rPr>
          <w:rFonts w:hint="eastAsia"/>
          <w:kern w:val="0"/>
          <w:sz w:val="24"/>
          <w:highlight w:val="none"/>
          <w:lang w:bidi="ar"/>
        </w:rPr>
        <w:t>t</w:t>
      </w:r>
      <w:r>
        <w:rPr>
          <w:kern w:val="0"/>
          <w:sz w:val="24"/>
          <w:highlight w:val="none"/>
          <w:lang w:bidi="ar"/>
        </w:rPr>
        <w:t>CO</w:t>
      </w:r>
      <w:r>
        <w:rPr>
          <w:kern w:val="0"/>
          <w:sz w:val="24"/>
          <w:highlight w:val="none"/>
          <w:vertAlign w:val="subscript"/>
          <w:lang w:bidi="ar"/>
        </w:rPr>
        <w:t>2</w:t>
      </w:r>
    </w:p>
    <w:p w14:paraId="0C2F8B01">
      <w:pPr>
        <w:bidi w:val="0"/>
        <w:rPr>
          <w:rFonts w:hint="eastAsia"/>
          <w:highlight w:val="none"/>
          <w:lang w:val="en-US" w:eastAsia="zh-CN"/>
        </w:rPr>
      </w:pPr>
      <w:r>
        <w:rPr>
          <w:rFonts w:hint="eastAsia"/>
          <w:highlight w:val="none"/>
          <w:lang w:val="en-US" w:eastAsia="zh-CN"/>
        </w:rPr>
        <w:t>根据上述可知企业二氧化碳年排放量为：</w:t>
      </w:r>
    </w:p>
    <w:p w14:paraId="0AA432A5">
      <w:pPr>
        <w:bidi w:val="0"/>
        <w:rPr>
          <w:rFonts w:hint="default"/>
          <w:highlight w:val="none"/>
          <w:lang w:val="en-US" w:eastAsia="zh-CN"/>
        </w:rPr>
      </w:pPr>
      <w:r>
        <w:rPr>
          <w:b/>
          <w:bCs/>
          <w:kern w:val="0"/>
          <w:sz w:val="24"/>
          <w:highlight w:val="none"/>
          <w:lang w:bidi="ar"/>
        </w:rPr>
        <w:t>E = E</w:t>
      </w:r>
      <w:r>
        <w:rPr>
          <w:b/>
          <w:bCs/>
          <w:kern w:val="0"/>
          <w:sz w:val="24"/>
          <w:highlight w:val="none"/>
          <w:vertAlign w:val="subscript"/>
          <w:lang w:bidi="ar"/>
        </w:rPr>
        <w:t>燃烧</w:t>
      </w:r>
      <w:r>
        <w:rPr>
          <w:b/>
          <w:bCs/>
          <w:kern w:val="0"/>
          <w:sz w:val="24"/>
          <w:highlight w:val="none"/>
          <w:lang w:bidi="ar"/>
        </w:rPr>
        <w:t>+ E</w:t>
      </w:r>
      <w:r>
        <w:rPr>
          <w:b/>
          <w:bCs/>
          <w:kern w:val="0"/>
          <w:sz w:val="24"/>
          <w:highlight w:val="none"/>
          <w:vertAlign w:val="subscript"/>
          <w:lang w:bidi="ar"/>
        </w:rPr>
        <w:t>电和热</w:t>
      </w:r>
      <w:r>
        <w:rPr>
          <w:rFonts w:hint="eastAsia"/>
          <w:b/>
          <w:bCs/>
          <w:kern w:val="0"/>
          <w:sz w:val="24"/>
          <w:highlight w:val="none"/>
          <w:lang w:bidi="ar"/>
        </w:rPr>
        <w:t>=</w:t>
      </w:r>
      <w:r>
        <w:rPr>
          <w:rFonts w:hint="eastAsia"/>
          <w:b/>
          <w:bCs/>
          <w:kern w:val="0"/>
          <w:sz w:val="24"/>
          <w:highlight w:val="none"/>
          <w:lang w:val="en-US" w:eastAsia="zh-CN" w:bidi="ar"/>
        </w:rPr>
        <w:t>115422.646</w:t>
      </w:r>
      <w:r>
        <w:rPr>
          <w:rFonts w:hint="eastAsia"/>
          <w:b/>
          <w:bCs/>
          <w:kern w:val="0"/>
          <w:sz w:val="24"/>
          <w:highlight w:val="none"/>
          <w:lang w:bidi="ar"/>
        </w:rPr>
        <w:t>+</w:t>
      </w:r>
      <w:r>
        <w:rPr>
          <w:rFonts w:hint="eastAsia"/>
          <w:b/>
          <w:bCs/>
          <w:kern w:val="0"/>
          <w:sz w:val="24"/>
          <w:highlight w:val="none"/>
          <w:lang w:val="en-US" w:eastAsia="zh-CN" w:bidi="ar"/>
        </w:rPr>
        <w:t>2048.99</w:t>
      </w:r>
      <w:r>
        <w:rPr>
          <w:rFonts w:hint="eastAsia"/>
          <w:b/>
          <w:bCs/>
          <w:kern w:val="0"/>
          <w:sz w:val="24"/>
          <w:highlight w:val="none"/>
          <w:lang w:bidi="ar"/>
        </w:rPr>
        <w:t>=</w:t>
      </w:r>
      <w:r>
        <w:rPr>
          <w:rFonts w:hint="eastAsia"/>
          <w:b/>
          <w:bCs/>
          <w:kern w:val="0"/>
          <w:sz w:val="24"/>
          <w:highlight w:val="none"/>
          <w:lang w:val="en-US" w:eastAsia="zh-CN" w:bidi="ar"/>
        </w:rPr>
        <w:t>117471.636</w:t>
      </w:r>
      <w:r>
        <w:rPr>
          <w:b/>
          <w:bCs/>
          <w:kern w:val="0"/>
          <w:sz w:val="24"/>
          <w:highlight w:val="none"/>
          <w:lang w:bidi="ar"/>
        </w:rPr>
        <w:t>tCO</w:t>
      </w:r>
      <w:r>
        <w:rPr>
          <w:b/>
          <w:bCs/>
          <w:kern w:val="0"/>
          <w:sz w:val="24"/>
          <w:highlight w:val="none"/>
          <w:vertAlign w:val="subscript"/>
          <w:lang w:bidi="ar"/>
        </w:rPr>
        <w:t>2</w:t>
      </w:r>
      <w:r>
        <w:rPr>
          <w:b/>
          <w:bCs/>
          <w:kern w:val="0"/>
          <w:sz w:val="24"/>
          <w:highlight w:val="none"/>
          <w:lang w:bidi="ar"/>
        </w:rPr>
        <w:t>e</w:t>
      </w:r>
    </w:p>
    <w:p w14:paraId="33ACD09B">
      <w:pPr>
        <w:bidi w:val="0"/>
        <w:rPr>
          <w:rFonts w:hint="eastAsia" w:ascii="Times New Roman" w:hAnsi="Times New Roman"/>
          <w:color w:val="auto"/>
          <w:highlight w:val="none"/>
          <w:lang w:val="en-US" w:eastAsia="zh-CN"/>
        </w:rPr>
      </w:pPr>
      <w:r>
        <w:rPr>
          <w:rFonts w:hint="eastAsia" w:ascii="Times New Roman" w:hAnsi="Times New Roman"/>
          <w:color w:val="auto"/>
          <w:highlight w:val="none"/>
          <w:lang w:val="en-US" w:eastAsia="zh-CN"/>
        </w:rPr>
        <w:t>三、减排措施及建议</w:t>
      </w:r>
    </w:p>
    <w:p w14:paraId="0C892420">
      <w:pPr>
        <w:bidi w:val="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t>（1）按《用能单位能源计量器具配备和管理通则》(GB17167-2006）的要求，实行各工段耗能专人管理，建立合理奖罚制度，并严格执行，确保节能降耗工作落到实处。</w:t>
      </w:r>
    </w:p>
    <w:p w14:paraId="41B6E2A4">
      <w:pPr>
        <w:bidi w:val="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t>（2）建议建设单位根据能源法和统计法，建立健全的能源利用和消费统计制度和管理制度。</w:t>
      </w:r>
    </w:p>
    <w:p w14:paraId="04D7BCE3">
      <w:pPr>
        <w:bidi w:val="0"/>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t>（3）企业可通过降低能损，改进高能耗工艺，提高能源综合利用效率等，实施碳减排工程。</w:t>
      </w:r>
    </w:p>
    <w:p w14:paraId="1AD3BC98">
      <w:pPr>
        <w:bidi w:val="0"/>
        <w:rPr>
          <w:rFonts w:hint="eastAsia"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四</w:t>
      </w:r>
      <w:r>
        <w:rPr>
          <w:rFonts w:hint="eastAsia" w:ascii="Times New Roman" w:hAnsi="Times New Roman" w:eastAsia="宋体" w:cs="Times New Roman"/>
          <w:color w:val="auto"/>
          <w:highlight w:val="none"/>
          <w:lang w:val="en-US" w:eastAsia="zh-CN"/>
        </w:rPr>
        <w:t>、结论</w:t>
      </w:r>
    </w:p>
    <w:p w14:paraId="1BB5E1A1">
      <w:pPr>
        <w:rPr>
          <w:rFonts w:hint="default"/>
          <w:highlight w:val="none"/>
          <w:lang w:val="en-US" w:eastAsia="zh-CN"/>
        </w:rPr>
      </w:pPr>
      <w:r>
        <w:rPr>
          <w:rFonts w:hint="eastAsia"/>
          <w:color w:val="auto"/>
          <w:highlight w:val="none"/>
        </w:rPr>
        <w:t>本项目为集中供热项目，运行稳定，供热效率高，</w:t>
      </w:r>
      <w:r>
        <w:rPr>
          <w:rFonts w:hint="eastAsia"/>
          <w:color w:val="auto"/>
          <w:highlight w:val="none"/>
          <w:lang w:val="en-US" w:eastAsia="zh-CN"/>
        </w:rPr>
        <w:t>在采取以上措施的前提下，</w:t>
      </w:r>
      <w:r>
        <w:rPr>
          <w:rFonts w:hint="eastAsia"/>
          <w:color w:val="auto"/>
          <w:highlight w:val="none"/>
        </w:rPr>
        <w:t>可以有效减少能源消耗和碳排放。</w:t>
      </w:r>
    </w:p>
    <w:p w14:paraId="51E16405">
      <w:pPr>
        <w:pStyle w:val="23"/>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C18A28F">
      <w:pPr>
        <w:pStyle w:val="3"/>
        <w:bidi w:val="0"/>
        <w:rPr>
          <w:rFonts w:hint="eastAsia"/>
          <w:highlight w:val="none"/>
          <w:lang w:val="en-US" w:eastAsia="zh-CN"/>
        </w:rPr>
      </w:pPr>
      <w:bookmarkStart w:id="149" w:name="_Toc28114"/>
      <w:r>
        <w:rPr>
          <w:rFonts w:hint="eastAsia"/>
          <w:highlight w:val="none"/>
          <w:lang w:val="en-US" w:eastAsia="zh-CN"/>
        </w:rPr>
        <w:t>6环境保护措施及可行性论证</w:t>
      </w:r>
      <w:bookmarkEnd w:id="149"/>
    </w:p>
    <w:p w14:paraId="08876059">
      <w:pPr>
        <w:rPr>
          <w:rFonts w:ascii="Times New Roman" w:hAnsi="Times New Roman"/>
          <w:highlight w:val="none"/>
        </w:rPr>
      </w:pPr>
      <w:r>
        <w:rPr>
          <w:rFonts w:ascii="Times New Roman" w:hAnsi="Times New Roman"/>
          <w:highlight w:val="none"/>
        </w:rPr>
        <w:t>根据工程分析中所述本项目建设在各阶段产生的污染源状况，本着“达标排放”、“总量控制”的原则，提出具体污染防治措施。</w:t>
      </w:r>
    </w:p>
    <w:p w14:paraId="47AA9E19">
      <w:pPr>
        <w:pStyle w:val="4"/>
        <w:bidi w:val="0"/>
        <w:ind w:left="0" w:leftChars="0" w:firstLine="0" w:firstLineChars="0"/>
        <w:rPr>
          <w:rFonts w:hint="eastAsia"/>
          <w:highlight w:val="none"/>
          <w:lang w:val="en-US" w:eastAsia="zh-CN"/>
        </w:rPr>
      </w:pPr>
      <w:bookmarkStart w:id="150" w:name="_Toc13165"/>
      <w:r>
        <w:rPr>
          <w:rFonts w:hint="eastAsia"/>
          <w:highlight w:val="none"/>
          <w:lang w:val="en-US" w:eastAsia="zh-CN"/>
        </w:rPr>
        <w:t>6.1施工期环境保护措施</w:t>
      </w:r>
      <w:bookmarkEnd w:id="150"/>
    </w:p>
    <w:p w14:paraId="2BC05C36">
      <w:pPr>
        <w:bidi w:val="0"/>
        <w:rPr>
          <w:rFonts w:ascii="Times New Roman" w:hAnsi="Times New Roman"/>
          <w:highlight w:val="none"/>
        </w:rPr>
      </w:pPr>
      <w:r>
        <w:rPr>
          <w:rFonts w:ascii="Times New Roman" w:hAnsi="Times New Roman"/>
          <w:highlight w:val="none"/>
        </w:rPr>
        <w:t>施工期主要建设内容为新建全封闭储煤库。施工期工程活动内容主要包括场地平整、材料及设备运输、构筑建筑物和设备安装。在施工活动中，将不可避免产生废气、废水、噪声、固体废物等，对区域环境将产生一定的影响，其中施工噪声和扬尘的影响最为突出。本次环境将就项目施工可能产生的不利环境影响，提出以下相应的污染防治措施。</w:t>
      </w:r>
    </w:p>
    <w:p w14:paraId="41BC28F2">
      <w:pPr>
        <w:pStyle w:val="5"/>
        <w:bidi w:val="0"/>
        <w:ind w:left="0" w:leftChars="0" w:firstLine="0" w:firstLineChars="0"/>
        <w:rPr>
          <w:rFonts w:hint="eastAsia"/>
          <w:highlight w:val="none"/>
          <w:lang w:val="en-US" w:eastAsia="zh-CN"/>
        </w:rPr>
      </w:pPr>
      <w:bookmarkStart w:id="151" w:name="_Toc25654"/>
      <w:r>
        <w:rPr>
          <w:rFonts w:hint="eastAsia"/>
          <w:highlight w:val="none"/>
          <w:lang w:val="en-US" w:eastAsia="zh-CN"/>
        </w:rPr>
        <w:t>6.1.1地表水污染防治措施</w:t>
      </w:r>
      <w:bookmarkEnd w:id="151"/>
    </w:p>
    <w:p w14:paraId="11BF11A5">
      <w:pPr>
        <w:ind w:firstLine="480"/>
        <w:rPr>
          <w:rFonts w:ascii="Times New Roman" w:hAnsi="Times New Roman"/>
          <w:highlight w:val="none"/>
        </w:rPr>
      </w:pPr>
      <w:r>
        <w:rPr>
          <w:rFonts w:ascii="Times New Roman" w:hAnsi="Times New Roman"/>
          <w:highlight w:val="none"/>
        </w:rPr>
        <w:t>施工废水主要有施工人员生活污水和施工活动产生的废水。</w:t>
      </w:r>
    </w:p>
    <w:p w14:paraId="549C8FC6">
      <w:pPr>
        <w:ind w:firstLine="480"/>
        <w:rPr>
          <w:rFonts w:ascii="Times New Roman" w:hAnsi="Times New Roman"/>
          <w:highlight w:val="none"/>
        </w:rPr>
      </w:pPr>
      <w:r>
        <w:rPr>
          <w:rFonts w:ascii="Times New Roman" w:hAnsi="Times New Roman"/>
          <w:highlight w:val="none"/>
        </w:rPr>
        <w:t>施工生产废水主要特点是悬浮物含量高，混凝土浇筑废水、土石方工程及雨天引起的水土流失、雨污水等悬浮物浓度高的废水，含砂量大，其中SS经沉淀后可以大部分去除。应设置沉淀池，施工废水经沉淀池处理后用于道路降尘，不外排。</w:t>
      </w:r>
    </w:p>
    <w:p w14:paraId="1ABE291C">
      <w:pPr>
        <w:bidi w:val="0"/>
        <w:rPr>
          <w:rFonts w:ascii="Times New Roman" w:hAnsi="Times New Roman"/>
          <w:highlight w:val="none"/>
        </w:rPr>
      </w:pPr>
      <w:r>
        <w:rPr>
          <w:rFonts w:ascii="Times New Roman" w:hAnsi="Times New Roman"/>
          <w:highlight w:val="none"/>
        </w:rPr>
        <w:t>施工人员生活污水排入市政管网，对地表水环境影响较小。</w:t>
      </w:r>
    </w:p>
    <w:p w14:paraId="20D6F40B">
      <w:pPr>
        <w:pStyle w:val="5"/>
        <w:bidi w:val="0"/>
        <w:ind w:left="0" w:leftChars="0" w:firstLine="0" w:firstLineChars="0"/>
        <w:rPr>
          <w:rFonts w:hint="eastAsia"/>
          <w:highlight w:val="none"/>
          <w:lang w:val="en-US" w:eastAsia="zh-CN"/>
        </w:rPr>
      </w:pPr>
      <w:bookmarkStart w:id="152" w:name="_Toc24255"/>
      <w:r>
        <w:rPr>
          <w:rFonts w:hint="eastAsia"/>
          <w:highlight w:val="none"/>
          <w:lang w:val="en-US" w:eastAsia="zh-CN"/>
        </w:rPr>
        <w:t>6.1.2大气污染防治措施</w:t>
      </w:r>
      <w:bookmarkEnd w:id="152"/>
    </w:p>
    <w:p w14:paraId="62CB7C65">
      <w:pPr>
        <w:ind w:firstLine="480"/>
        <w:rPr>
          <w:rFonts w:ascii="Times New Roman" w:hAnsi="Times New Roman"/>
          <w:highlight w:val="none"/>
        </w:rPr>
      </w:pPr>
      <w:r>
        <w:rPr>
          <w:rFonts w:ascii="Times New Roman" w:hAnsi="Times New Roman"/>
          <w:highlight w:val="none"/>
        </w:rPr>
        <w:t>（1）施工现场采用湿法作业并设围挡，施工单位在建筑施工场地四周设置围挡，围挡高度不低于2m，封闭施工现场，并采取洒水抑尘措施。</w:t>
      </w:r>
    </w:p>
    <w:p w14:paraId="2936CF81">
      <w:pPr>
        <w:ind w:firstLine="480"/>
        <w:rPr>
          <w:rFonts w:ascii="Times New Roman" w:hAnsi="Times New Roman"/>
          <w:highlight w:val="none"/>
        </w:rPr>
      </w:pPr>
      <w:r>
        <w:rPr>
          <w:rFonts w:ascii="Times New Roman" w:hAnsi="Times New Roman"/>
          <w:highlight w:val="none"/>
        </w:rPr>
        <w:t>（2）施工单位应在遇到干燥、易起尘的土方工程作业时，辅以洒水压尘，地面洒水降低扬尘对周围环境的影响。</w:t>
      </w:r>
    </w:p>
    <w:p w14:paraId="49B9333E">
      <w:pPr>
        <w:ind w:firstLine="480"/>
        <w:rPr>
          <w:rFonts w:ascii="Times New Roman" w:hAnsi="Times New Roman"/>
          <w:highlight w:val="none"/>
        </w:rPr>
      </w:pPr>
      <w:r>
        <w:rPr>
          <w:rFonts w:ascii="Times New Roman" w:hAnsi="Times New Roman"/>
          <w:highlight w:val="none"/>
        </w:rPr>
        <w:t>（3）施工单位应在物料运输时对运输车辆加盖苫布，选择远离人群密集区的形成路线，并在城区内运输时减速慢行。</w:t>
      </w:r>
    </w:p>
    <w:p w14:paraId="66BCD819">
      <w:pPr>
        <w:ind w:firstLine="480"/>
        <w:rPr>
          <w:rFonts w:ascii="Times New Roman" w:hAnsi="Times New Roman"/>
          <w:highlight w:val="none"/>
        </w:rPr>
      </w:pPr>
      <w:r>
        <w:rPr>
          <w:rFonts w:ascii="Times New Roman" w:hAnsi="Times New Roman"/>
          <w:highlight w:val="none"/>
        </w:rPr>
        <w:t>（4）施工单位合理安排施工进度，尽量缩短建设工期。</w:t>
      </w:r>
    </w:p>
    <w:p w14:paraId="70409D0D">
      <w:pPr>
        <w:ind w:firstLine="480"/>
        <w:rPr>
          <w:rFonts w:ascii="Times New Roman" w:hAnsi="Times New Roman"/>
          <w:highlight w:val="none"/>
        </w:rPr>
      </w:pPr>
      <w:r>
        <w:rPr>
          <w:rFonts w:ascii="Times New Roman" w:hAnsi="Times New Roman"/>
          <w:highlight w:val="none"/>
        </w:rPr>
        <w:t>（5）施工单位对施工管理者和施工人员进行环境保护方面的培训，加强施工操作规范；</w:t>
      </w:r>
    </w:p>
    <w:p w14:paraId="5EFE6FE0">
      <w:pPr>
        <w:ind w:firstLine="480"/>
        <w:rPr>
          <w:rFonts w:ascii="Times New Roman" w:hAnsi="Times New Roman"/>
          <w:highlight w:val="none"/>
        </w:rPr>
      </w:pPr>
      <w:r>
        <w:rPr>
          <w:rFonts w:ascii="Times New Roman" w:hAnsi="Times New Roman"/>
          <w:highlight w:val="none"/>
        </w:rPr>
        <w:t>（6）设置洗车平台，完善排水设施，防止泥土粘带。车辆驶离工地前，应在洗车平台清洗轮胎及车身，不得带泥上路。同时洗车平台四周应设置废水导流渠、收集池、沉砂池等。</w:t>
      </w:r>
    </w:p>
    <w:p w14:paraId="1C9576A0">
      <w:pPr>
        <w:ind w:firstLine="480"/>
        <w:rPr>
          <w:rFonts w:ascii="Times New Roman" w:hAnsi="Times New Roman"/>
          <w:highlight w:val="none"/>
        </w:rPr>
      </w:pPr>
      <w:r>
        <w:rPr>
          <w:rFonts w:ascii="Times New Roman" w:hAnsi="Times New Roman"/>
          <w:highlight w:val="none"/>
        </w:rPr>
        <w:t>（7）运输车辆尽可能采用密闭车斗，并保证物料不遗撒外漏。若无密闭车斗，物料、垃圾、渣土的装载高度不得超过车辆槽帮上沿，车斗应用苫布遮盖严实，保证物料、渣土、垃圾不露出。车辆应按照批准的路线和时间进行运输。</w:t>
      </w:r>
    </w:p>
    <w:p w14:paraId="072CA70D">
      <w:pPr>
        <w:ind w:firstLine="480"/>
        <w:rPr>
          <w:rFonts w:ascii="Times New Roman" w:hAnsi="Times New Roman"/>
          <w:highlight w:val="none"/>
        </w:rPr>
      </w:pPr>
      <w:r>
        <w:rPr>
          <w:rFonts w:ascii="Times New Roman" w:hAnsi="Times New Roman"/>
          <w:highlight w:val="none"/>
        </w:rPr>
        <w:t>（8）施工工地内及工地出口至市政道路间的车行道路，应保持清洁，可采取铺设钢板、铺设混凝土路面方式，辅以洒水、喷洒抑尘剂，防止机动车扬尘。</w:t>
      </w:r>
    </w:p>
    <w:p w14:paraId="0600F00D">
      <w:pPr>
        <w:ind w:firstLine="480"/>
        <w:rPr>
          <w:rFonts w:ascii="Times New Roman" w:hAnsi="Times New Roman"/>
          <w:highlight w:val="none"/>
        </w:rPr>
      </w:pPr>
      <w:r>
        <w:rPr>
          <w:rFonts w:ascii="Times New Roman" w:hAnsi="Times New Roman"/>
          <w:highlight w:val="none"/>
        </w:rPr>
        <w:t>（9）工地裸地防尘要做到：覆盖防尘布或防尘网、植被绿化、天晴勤洒水、工地建筑结构脚手架外侧设置有效抑尘的密目防尘网或防尘布。</w:t>
      </w:r>
    </w:p>
    <w:p w14:paraId="13F94B52">
      <w:pPr>
        <w:ind w:firstLine="480"/>
        <w:rPr>
          <w:rFonts w:ascii="Times New Roman" w:hAnsi="Times New Roman"/>
          <w:highlight w:val="none"/>
        </w:rPr>
      </w:pPr>
      <w:r>
        <w:rPr>
          <w:rFonts w:ascii="Times New Roman" w:hAnsi="Times New Roman"/>
          <w:highlight w:val="none"/>
        </w:rPr>
        <w:t>（10）使用商品混凝土和预拌砂浆，不得现场搅拌、消化石灰及拌石灰土等，应尽量使用成品或半成品石材、木制品，实施装配式施工，减少因切割造成的扬尘。</w:t>
      </w:r>
    </w:p>
    <w:p w14:paraId="2856C96C">
      <w:pPr>
        <w:ind w:firstLine="480"/>
        <w:rPr>
          <w:rFonts w:ascii="Times New Roman" w:hAnsi="Times New Roman"/>
          <w:highlight w:val="none"/>
        </w:rPr>
      </w:pPr>
      <w:r>
        <w:rPr>
          <w:rFonts w:ascii="Times New Roman" w:hAnsi="Times New Roman"/>
          <w:highlight w:val="none"/>
        </w:rPr>
        <w:t>（11）工地内若需从建筑上层将具有粉尘逸散性的物料、渣土或废弃物输送至地面，可从电梯孔道、内部管道输送，或者打包搬运，不得凌空抛撒。</w:t>
      </w:r>
    </w:p>
    <w:p w14:paraId="29BB6C60">
      <w:pPr>
        <w:ind w:firstLine="480"/>
        <w:rPr>
          <w:rFonts w:ascii="Times New Roman" w:hAnsi="Times New Roman"/>
          <w:highlight w:val="none"/>
        </w:rPr>
      </w:pPr>
      <w:r>
        <w:rPr>
          <w:rFonts w:ascii="Times New Roman" w:hAnsi="Times New Roman"/>
          <w:highlight w:val="none"/>
        </w:rPr>
        <w:t>（12）施工单位做好施工现场的交通组织，避免因施工造成的交通阻塞，减少运输车辆怠速产生的废气排放。</w:t>
      </w:r>
    </w:p>
    <w:p w14:paraId="57DEBA60">
      <w:pPr>
        <w:ind w:firstLine="480"/>
        <w:rPr>
          <w:rFonts w:ascii="Times New Roman" w:hAnsi="Times New Roman"/>
          <w:highlight w:val="none"/>
        </w:rPr>
      </w:pPr>
      <w:r>
        <w:rPr>
          <w:rFonts w:ascii="Times New Roman" w:hAnsi="Times New Roman"/>
          <w:highlight w:val="none"/>
        </w:rPr>
        <w:t>（13）建筑材料用苫布遮盖或建封闭库房存放。</w:t>
      </w:r>
    </w:p>
    <w:p w14:paraId="18C92D14">
      <w:pPr>
        <w:rPr>
          <w:rFonts w:ascii="Times New Roman" w:hAnsi="Times New Roman"/>
          <w:highlight w:val="none"/>
        </w:rPr>
      </w:pPr>
      <w:r>
        <w:rPr>
          <w:rFonts w:ascii="Times New Roman" w:hAnsi="Times New Roman"/>
          <w:highlight w:val="none"/>
        </w:rPr>
        <w:t>采取上述措施后，扬尘浓度贡献值满足《大气污染物综合排放标准》（GB16297-1996）表2规定的颗粒物无组织排放监控浓度限值。</w:t>
      </w:r>
    </w:p>
    <w:p w14:paraId="6DDA505E">
      <w:pPr>
        <w:pStyle w:val="5"/>
        <w:bidi w:val="0"/>
        <w:ind w:left="0" w:leftChars="0" w:firstLine="0" w:firstLineChars="0"/>
        <w:rPr>
          <w:rFonts w:hint="eastAsia"/>
          <w:highlight w:val="none"/>
          <w:lang w:val="en-US" w:eastAsia="zh-CN"/>
        </w:rPr>
      </w:pPr>
      <w:bookmarkStart w:id="153" w:name="_Toc21346"/>
      <w:r>
        <w:rPr>
          <w:rFonts w:hint="eastAsia"/>
          <w:highlight w:val="none"/>
          <w:lang w:val="en-US" w:eastAsia="zh-CN"/>
        </w:rPr>
        <w:t>6.1.3噪声污染防治措施</w:t>
      </w:r>
      <w:bookmarkEnd w:id="153"/>
    </w:p>
    <w:p w14:paraId="4EEEE95F">
      <w:pPr>
        <w:rPr>
          <w:rFonts w:hint="default"/>
          <w:highlight w:val="none"/>
          <w:lang w:val="en-US" w:eastAsia="zh-CN"/>
        </w:rPr>
      </w:pPr>
      <w:r>
        <w:rPr>
          <w:rFonts w:hint="default"/>
          <w:highlight w:val="none"/>
          <w:lang w:val="en-US" w:eastAsia="zh-CN"/>
        </w:rPr>
        <w:t>施工单位应严格执行《中华人民共和国噪声污染防治法》，采用低噪声施工机具和先进工艺进行施工，在施工作业中必须合理安排各类施工机械的工作时间，除必须连续作业的工序外，晚上不得施工。施工单位应加强对施工人员的管理，减少人为原因产生的高噪声。</w:t>
      </w:r>
    </w:p>
    <w:p w14:paraId="3F46CEB5">
      <w:pPr>
        <w:rPr>
          <w:rFonts w:hint="default"/>
          <w:highlight w:val="none"/>
          <w:lang w:val="en-US" w:eastAsia="zh-CN"/>
        </w:rPr>
      </w:pPr>
      <w:r>
        <w:rPr>
          <w:rFonts w:hint="default"/>
          <w:highlight w:val="none"/>
          <w:lang w:val="en-US" w:eastAsia="zh-CN"/>
        </w:rPr>
        <w:t>根据有关规定，建设施工时除抢修、抢险作业和因生产工艺上要求或者特殊要求必须连续作业外，禁止夜间进行产生环境噪声污染的建筑施工作业，“因特殊要求必须连续作业的，必须有县级以上人民政府或者有关主管部门的证明”（《中华人民共和国噪声污染防治法》第三十条）。</w:t>
      </w:r>
    </w:p>
    <w:p w14:paraId="7A09DF75">
      <w:pPr>
        <w:rPr>
          <w:rFonts w:hint="default"/>
          <w:highlight w:val="none"/>
          <w:lang w:val="en-US" w:eastAsia="zh-CN"/>
        </w:rPr>
      </w:pPr>
      <w:r>
        <w:rPr>
          <w:rFonts w:hint="default"/>
          <w:highlight w:val="none"/>
          <w:lang w:val="en-US" w:eastAsia="zh-CN"/>
        </w:rPr>
        <w:t>应注重采取相应的控制措施，防止噪声影响周围环境和人们的正常生活。具体要求如下：</w:t>
      </w:r>
    </w:p>
    <w:p w14:paraId="10808F51">
      <w:pPr>
        <w:rPr>
          <w:rFonts w:hint="default"/>
          <w:highlight w:val="none"/>
          <w:lang w:val="en-US" w:eastAsia="zh-CN"/>
        </w:rPr>
      </w:pPr>
      <w:r>
        <w:rPr>
          <w:rFonts w:hint="default"/>
          <w:highlight w:val="none"/>
          <w:lang w:val="en-US" w:eastAsia="zh-CN"/>
        </w:rPr>
        <w:t>（1）合理安排施工计划和施工机械设备组合以及施工时间，禁止夜间（22:00-6:00）施工，避免在同一时间集中使用大量的动力机械设备。施工单位严格执行《建筑施工场界环境噪声排放标准》（GB12523-2011）标准的要求，在施工过程中，尽量减少运行动力机械设备的数量，尽可能使动力机械设备均匀地使用。</w:t>
      </w:r>
    </w:p>
    <w:p w14:paraId="56C49479">
      <w:pPr>
        <w:rPr>
          <w:rFonts w:hint="default"/>
          <w:highlight w:val="none"/>
          <w:lang w:val="en-US" w:eastAsia="zh-CN"/>
        </w:rPr>
      </w:pPr>
      <w:r>
        <w:rPr>
          <w:rFonts w:hint="default"/>
          <w:highlight w:val="none"/>
          <w:lang w:val="en-US" w:eastAsia="zh-CN"/>
        </w:rPr>
        <w:t>（2）对本项目的施工进行合理布局。</w:t>
      </w:r>
    </w:p>
    <w:p w14:paraId="7A14F6B5">
      <w:pPr>
        <w:rPr>
          <w:rFonts w:hint="default"/>
          <w:highlight w:val="none"/>
          <w:lang w:val="en-US" w:eastAsia="zh-CN"/>
        </w:rPr>
      </w:pPr>
      <w:r>
        <w:rPr>
          <w:rFonts w:hint="default"/>
          <w:highlight w:val="none"/>
          <w:lang w:val="en-US" w:eastAsia="zh-CN"/>
        </w:rPr>
        <w:t>（3）从控制声源和噪声传播以及加强管理等几个不同角度对施工噪声进行控制。</w:t>
      </w:r>
    </w:p>
    <w:p w14:paraId="773D5A23">
      <w:pPr>
        <w:rPr>
          <w:rFonts w:hint="default"/>
          <w:highlight w:val="none"/>
          <w:lang w:val="en-US" w:eastAsia="zh-CN"/>
        </w:rPr>
      </w:pPr>
      <w:r>
        <w:rPr>
          <w:rFonts w:hint="default"/>
          <w:highlight w:val="none"/>
          <w:lang w:val="en-US" w:eastAsia="zh-CN"/>
        </w:rPr>
        <w:t>①控制声源</w:t>
      </w:r>
    </w:p>
    <w:p w14:paraId="20872E12">
      <w:pPr>
        <w:rPr>
          <w:rFonts w:hint="default"/>
          <w:highlight w:val="none"/>
          <w:lang w:val="en-US" w:eastAsia="zh-CN"/>
        </w:rPr>
      </w:pPr>
      <w:r>
        <w:rPr>
          <w:rFonts w:hint="default"/>
          <w:highlight w:val="none"/>
          <w:lang w:val="en-US" w:eastAsia="zh-CN"/>
        </w:rPr>
        <w:t>选择低噪声的机械设备。对于开挖和运输土石方的机械设备（挖土机、推土机等）以及翻斗车，可以通过排气消声器和隔离发动机震动部分的方法来降低噪声，其他产生噪声的部分还可以采用部分封闭或者完全封闭的办法，尽量减少振动面的振幅；闲置的机械设备等应该及时予以关闭；一切动力机械设备都应该经常检修，特别是那些会因为部件松动而产生噪声的机械，以及那些降噪部件容易损坏而导致强噪声产生的机械设备。</w:t>
      </w:r>
    </w:p>
    <w:p w14:paraId="15161781">
      <w:pPr>
        <w:rPr>
          <w:rFonts w:hint="default"/>
          <w:highlight w:val="none"/>
          <w:lang w:val="en-US" w:eastAsia="zh-CN"/>
        </w:rPr>
      </w:pPr>
      <w:r>
        <w:rPr>
          <w:rFonts w:hint="default"/>
          <w:highlight w:val="none"/>
          <w:lang w:val="en-US" w:eastAsia="zh-CN"/>
        </w:rPr>
        <w:t>②控制噪声传播</w:t>
      </w:r>
    </w:p>
    <w:p w14:paraId="6A846E1D">
      <w:pPr>
        <w:rPr>
          <w:rFonts w:hint="default"/>
          <w:highlight w:val="none"/>
          <w:lang w:val="en-US" w:eastAsia="zh-CN"/>
        </w:rPr>
      </w:pPr>
      <w:r>
        <w:rPr>
          <w:rFonts w:hint="default"/>
          <w:highlight w:val="none"/>
          <w:lang w:val="en-US" w:eastAsia="zh-CN"/>
        </w:rPr>
        <w:t>将各种噪声比较大的机械设备远离敏感点，并进行一定的隔离和防护消声处理，必要的时候，建议在施工场地四周建立临时性移动隔声屏障，这样可以减少对项目周围等敏感点的影响。</w:t>
      </w:r>
    </w:p>
    <w:p w14:paraId="7B734A68">
      <w:pPr>
        <w:rPr>
          <w:rFonts w:hint="default"/>
          <w:highlight w:val="none"/>
          <w:lang w:val="en-US" w:eastAsia="zh-CN"/>
        </w:rPr>
      </w:pPr>
      <w:r>
        <w:rPr>
          <w:rFonts w:hint="default"/>
          <w:highlight w:val="none"/>
          <w:lang w:val="en-US" w:eastAsia="zh-CN"/>
        </w:rPr>
        <w:t>③加强现场运输管理</w:t>
      </w:r>
    </w:p>
    <w:p w14:paraId="57674EBA">
      <w:pPr>
        <w:rPr>
          <w:rFonts w:hint="default"/>
          <w:highlight w:val="none"/>
          <w:lang w:val="en-US" w:eastAsia="zh-CN"/>
        </w:rPr>
      </w:pPr>
      <w:r>
        <w:rPr>
          <w:rFonts w:hint="default"/>
          <w:highlight w:val="none"/>
          <w:lang w:val="en-US" w:eastAsia="zh-CN"/>
        </w:rPr>
        <w:t>对施工车辆造成的噪声影响要加强管理，运输车辆尽量采用较低声级的喇叭，并在所经过的道路禁止鸣笛，以免影响沿途居民的正常生活。</w:t>
      </w:r>
    </w:p>
    <w:p w14:paraId="1D37ABFF">
      <w:pPr>
        <w:rPr>
          <w:rFonts w:hint="default"/>
          <w:highlight w:val="none"/>
          <w:lang w:val="en-US" w:eastAsia="zh-CN"/>
        </w:rPr>
      </w:pPr>
      <w:r>
        <w:rPr>
          <w:rFonts w:hint="default"/>
          <w:highlight w:val="none"/>
          <w:lang w:val="en-US" w:eastAsia="zh-CN"/>
        </w:rPr>
        <w:t>采取上述措施施工期噪声符合《建筑施工场界环境噪声排放标准》（GB12523-2011）要求。</w:t>
      </w:r>
    </w:p>
    <w:p w14:paraId="01A8A626">
      <w:pPr>
        <w:pStyle w:val="5"/>
        <w:bidi w:val="0"/>
        <w:ind w:left="0" w:leftChars="0" w:firstLine="0" w:firstLineChars="0"/>
        <w:rPr>
          <w:rFonts w:hint="eastAsia"/>
          <w:highlight w:val="none"/>
          <w:lang w:val="en-US" w:eastAsia="zh-CN"/>
        </w:rPr>
      </w:pPr>
      <w:bookmarkStart w:id="154" w:name="_Toc26607"/>
      <w:r>
        <w:rPr>
          <w:rFonts w:hint="eastAsia"/>
          <w:highlight w:val="none"/>
          <w:lang w:val="en-US" w:eastAsia="zh-CN"/>
        </w:rPr>
        <w:t>6.1.4固体废物处置措施</w:t>
      </w:r>
      <w:bookmarkEnd w:id="154"/>
    </w:p>
    <w:p w14:paraId="54AADD1F">
      <w:pPr>
        <w:rPr>
          <w:rFonts w:ascii="Times New Roman" w:hAnsi="Times New Roman"/>
          <w:highlight w:val="none"/>
        </w:rPr>
      </w:pPr>
      <w:r>
        <w:rPr>
          <w:rFonts w:ascii="Times New Roman" w:hAnsi="Times New Roman"/>
          <w:highlight w:val="none"/>
        </w:rPr>
        <w:t>施工期固体废物主要为弃土、建筑垃圾和施工人员产生的生活垃圾。施工产生的弃土和建筑垃圾应及时清运，并按照市政部门批准的地点倾倒。施工人员产生的生活垃圾量较少，可设置固定垃圾箱存放，由市政部门统一清运处理，不得随意丢弃。</w:t>
      </w:r>
    </w:p>
    <w:p w14:paraId="3D1CA384">
      <w:pPr>
        <w:pStyle w:val="5"/>
        <w:bidi w:val="0"/>
        <w:ind w:left="0" w:leftChars="0" w:firstLine="0" w:firstLineChars="0"/>
        <w:rPr>
          <w:rFonts w:hint="eastAsia"/>
          <w:highlight w:val="none"/>
          <w:lang w:val="en-US" w:eastAsia="zh-CN"/>
        </w:rPr>
      </w:pPr>
      <w:bookmarkStart w:id="155" w:name="_Toc13655"/>
      <w:r>
        <w:rPr>
          <w:rFonts w:hint="eastAsia"/>
          <w:highlight w:val="none"/>
          <w:lang w:val="en-US" w:eastAsia="zh-CN"/>
        </w:rPr>
        <w:t>6.1.5施工生态保护措施</w:t>
      </w:r>
      <w:bookmarkEnd w:id="155"/>
    </w:p>
    <w:p w14:paraId="7F5D418A">
      <w:pPr>
        <w:ind w:firstLine="480"/>
        <w:rPr>
          <w:rFonts w:ascii="Times New Roman" w:hAnsi="Times New Roman"/>
          <w:highlight w:val="none"/>
        </w:rPr>
      </w:pPr>
      <w:r>
        <w:rPr>
          <w:rFonts w:ascii="Times New Roman" w:hAnsi="Times New Roman"/>
          <w:highlight w:val="none"/>
        </w:rPr>
        <w:t xml:space="preserve">（1）严格控制用地范围，优化用地面积。物料存放场，施工营地等临时用地布置在红线范围内。 </w:t>
      </w:r>
    </w:p>
    <w:p w14:paraId="6192A72F">
      <w:pPr>
        <w:ind w:firstLine="480"/>
        <w:rPr>
          <w:rFonts w:ascii="Times New Roman" w:hAnsi="Times New Roman"/>
          <w:highlight w:val="none"/>
        </w:rPr>
      </w:pPr>
      <w:r>
        <w:rPr>
          <w:rFonts w:ascii="Times New Roman" w:hAnsi="Times New Roman"/>
          <w:highlight w:val="none"/>
        </w:rPr>
        <w:t xml:space="preserve">（2）施工单位合理组织施工，安排好施工时序。在施工过程中，采取砾石压盖、临时堆土场临时防护等临时防护措施，例如对表土的处理包括剥离、集中堆放、临时拦挡及苫盖等。 </w:t>
      </w:r>
    </w:p>
    <w:p w14:paraId="3F8B5315">
      <w:pPr>
        <w:ind w:firstLine="480"/>
        <w:rPr>
          <w:rFonts w:ascii="Times New Roman" w:hAnsi="Times New Roman"/>
          <w:highlight w:val="none"/>
        </w:rPr>
      </w:pPr>
      <w:r>
        <w:rPr>
          <w:rFonts w:ascii="Times New Roman" w:hAnsi="Times New Roman"/>
          <w:highlight w:val="none"/>
        </w:rPr>
        <w:t>（3）施工单位应制定相应的制度，明确施工区域范围，规范施工人员行为，管理好施工机械和运输车辆，避免乱压乱挖，破坏周围生态环境。</w:t>
      </w:r>
    </w:p>
    <w:p w14:paraId="09E4DD64">
      <w:pPr>
        <w:rPr>
          <w:rFonts w:ascii="Times New Roman" w:hAnsi="Times New Roman"/>
          <w:highlight w:val="none"/>
        </w:rPr>
      </w:pPr>
      <w:r>
        <w:rPr>
          <w:rFonts w:ascii="Times New Roman" w:hAnsi="Times New Roman"/>
          <w:highlight w:val="none"/>
        </w:rPr>
        <w:t>（4）施工期间为防止地表径流冲刷地表，产生水土流失，在临时堆土场周边设临时排水沟，排至厂区外现有排水沟，施工结束后，采用推土机推平临时排水沟。</w:t>
      </w:r>
    </w:p>
    <w:p w14:paraId="6AA1AB27">
      <w:pPr>
        <w:pStyle w:val="4"/>
        <w:bidi w:val="0"/>
        <w:ind w:left="0" w:leftChars="0" w:firstLine="0" w:firstLineChars="0"/>
        <w:rPr>
          <w:rFonts w:hint="eastAsia"/>
          <w:highlight w:val="none"/>
          <w:lang w:val="en-US" w:eastAsia="zh-CN"/>
        </w:rPr>
      </w:pPr>
      <w:bookmarkStart w:id="156" w:name="_Toc17571"/>
      <w:r>
        <w:rPr>
          <w:rFonts w:hint="eastAsia"/>
          <w:highlight w:val="none"/>
          <w:lang w:val="en-US" w:eastAsia="zh-CN"/>
        </w:rPr>
        <w:t>6.2运营期环境保护措施</w:t>
      </w:r>
      <w:bookmarkEnd w:id="156"/>
    </w:p>
    <w:p w14:paraId="2B0F05A3">
      <w:pPr>
        <w:pStyle w:val="5"/>
        <w:ind w:left="0" w:leftChars="0" w:firstLine="0" w:firstLineChars="0"/>
        <w:rPr>
          <w:rFonts w:hint="eastAsia"/>
          <w:highlight w:val="none"/>
          <w:lang w:val="en-US" w:eastAsia="zh-CN"/>
        </w:rPr>
      </w:pPr>
      <w:bookmarkStart w:id="157" w:name="_Toc9761"/>
      <w:r>
        <w:rPr>
          <w:rFonts w:hint="eastAsia"/>
          <w:highlight w:val="none"/>
          <w:lang w:val="en-US" w:eastAsia="zh-CN"/>
        </w:rPr>
        <w:t>6.2.1运营期废气污染防治措施</w:t>
      </w:r>
      <w:bookmarkEnd w:id="157"/>
    </w:p>
    <w:p w14:paraId="12B0E118">
      <w:pPr>
        <w:ind w:firstLine="480"/>
        <w:rPr>
          <w:rFonts w:hint="eastAsia" w:ascii="Times New Roman" w:hAnsi="Times New Roman"/>
          <w:highlight w:val="none"/>
        </w:rPr>
      </w:pPr>
      <w:r>
        <w:rPr>
          <w:rFonts w:ascii="Times New Roman" w:hAnsi="Times New Roman"/>
          <w:highlight w:val="none"/>
        </w:rPr>
        <w:t>本项目正常运行中产生的主要烟气污染物为烟尘、SO</w:t>
      </w:r>
      <w:r>
        <w:rPr>
          <w:rFonts w:ascii="Times New Roman" w:hAnsi="Times New Roman"/>
          <w:highlight w:val="none"/>
          <w:vertAlign w:val="subscript"/>
        </w:rPr>
        <w:t>2</w:t>
      </w:r>
      <w:r>
        <w:rPr>
          <w:rFonts w:ascii="Times New Roman" w:hAnsi="Times New Roman"/>
          <w:highlight w:val="none"/>
        </w:rPr>
        <w:t>、NOx、氨</w:t>
      </w:r>
      <w:r>
        <w:rPr>
          <w:rFonts w:hint="eastAsia" w:ascii="Times New Roman" w:hAnsi="Times New Roman"/>
          <w:highlight w:val="none"/>
        </w:rPr>
        <w:t>、</w:t>
      </w:r>
      <w:r>
        <w:rPr>
          <w:rFonts w:ascii="Times New Roman" w:hAnsi="Times New Roman"/>
          <w:highlight w:val="none"/>
        </w:rPr>
        <w:t>汞及其化合物和</w:t>
      </w:r>
      <w:r>
        <w:rPr>
          <w:rFonts w:hint="eastAsia" w:ascii="Times New Roman" w:hAnsi="Times New Roman"/>
          <w:highlight w:val="none"/>
        </w:rPr>
        <w:t>林格曼黑度</w:t>
      </w:r>
      <w:r>
        <w:rPr>
          <w:rFonts w:ascii="Times New Roman" w:hAnsi="Times New Roman"/>
          <w:highlight w:val="none"/>
        </w:rPr>
        <w:t>。本期工程环境空气污染防治的基本目标是使企业排放的烟气污染物烟尘、SO</w:t>
      </w:r>
      <w:r>
        <w:rPr>
          <w:rFonts w:ascii="Times New Roman" w:hAnsi="Times New Roman"/>
          <w:highlight w:val="none"/>
          <w:vertAlign w:val="subscript"/>
        </w:rPr>
        <w:t>2</w:t>
      </w:r>
      <w:r>
        <w:rPr>
          <w:rFonts w:ascii="Times New Roman" w:hAnsi="Times New Roman"/>
          <w:highlight w:val="none"/>
        </w:rPr>
        <w:t>、NOx满足超低排放要求，即在基准氧含量6%条件下，烟尘、SO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排放浓度分别不高于10mg/m</w:t>
      </w:r>
      <w:r>
        <w:rPr>
          <w:rFonts w:ascii="Times New Roman" w:hAnsi="Times New Roman"/>
          <w:highlight w:val="none"/>
          <w:vertAlign w:val="superscript"/>
        </w:rPr>
        <w:t>3</w:t>
      </w:r>
      <w:r>
        <w:rPr>
          <w:rFonts w:ascii="Times New Roman" w:hAnsi="Times New Roman"/>
          <w:highlight w:val="none"/>
        </w:rPr>
        <w:t>、35mg/m</w:t>
      </w:r>
      <w:r>
        <w:rPr>
          <w:rFonts w:ascii="Times New Roman" w:hAnsi="Times New Roman"/>
          <w:highlight w:val="none"/>
          <w:vertAlign w:val="superscript"/>
        </w:rPr>
        <w:t>3</w:t>
      </w:r>
      <w:r>
        <w:rPr>
          <w:rFonts w:ascii="Times New Roman" w:hAnsi="Times New Roman"/>
          <w:highlight w:val="none"/>
        </w:rPr>
        <w:t>、50mg/m</w:t>
      </w:r>
      <w:r>
        <w:rPr>
          <w:rFonts w:ascii="Times New Roman" w:hAnsi="Times New Roman"/>
          <w:highlight w:val="none"/>
          <w:vertAlign w:val="superscript"/>
        </w:rPr>
        <w:t>3</w:t>
      </w:r>
      <w:r>
        <w:rPr>
          <w:rFonts w:ascii="Times New Roman" w:hAnsi="Times New Roman"/>
          <w:highlight w:val="none"/>
        </w:rPr>
        <w:t>。汞及其化合物</w:t>
      </w:r>
      <w:r>
        <w:rPr>
          <w:rFonts w:hint="eastAsia" w:ascii="Times New Roman" w:hAnsi="Times New Roman"/>
          <w:highlight w:val="none"/>
        </w:rPr>
        <w:t>及林格曼黑度</w:t>
      </w:r>
      <w:r>
        <w:rPr>
          <w:rFonts w:ascii="Times New Roman" w:hAnsi="Times New Roman"/>
          <w:highlight w:val="none"/>
        </w:rPr>
        <w:t>满足</w:t>
      </w:r>
      <w:r>
        <w:rPr>
          <w:rFonts w:hint="eastAsia" w:ascii="Times New Roman" w:hAnsi="Times New Roman"/>
          <w:color w:val="auto"/>
          <w:highlight w:val="none"/>
        </w:rPr>
        <w:t>《火电厂大气污染物排放标准》(GB13223-2011)表1中燃煤锅炉大气污染物排放标准限值</w:t>
      </w:r>
      <w:r>
        <w:rPr>
          <w:rFonts w:ascii="Times New Roman" w:hAnsi="Times New Roman"/>
          <w:highlight w:val="none"/>
        </w:rPr>
        <w:t>，颗粒物</w:t>
      </w:r>
      <w:r>
        <w:rPr>
          <w:rFonts w:hint="eastAsia" w:ascii="Times New Roman" w:hAnsi="Times New Roman"/>
          <w:highlight w:val="none"/>
          <w:lang w:val="en-US" w:eastAsia="zh-CN"/>
        </w:rPr>
        <w:t>厂界</w:t>
      </w:r>
      <w:r>
        <w:rPr>
          <w:rFonts w:ascii="Times New Roman" w:hAnsi="Times New Roman"/>
          <w:highlight w:val="none"/>
        </w:rPr>
        <w:t>排放浓度满足《大气污染物综合排放标准》（GB16297-1996）表2中无组织排放源周界外浓度限值（1.0mg/m</w:t>
      </w:r>
      <w:r>
        <w:rPr>
          <w:rFonts w:ascii="Times New Roman" w:hAnsi="Times New Roman"/>
          <w:highlight w:val="none"/>
          <w:vertAlign w:val="superscript"/>
        </w:rPr>
        <w:t>3</w:t>
      </w:r>
      <w:r>
        <w:rPr>
          <w:rFonts w:ascii="Times New Roman" w:hAnsi="Times New Roman"/>
          <w:highlight w:val="none"/>
        </w:rPr>
        <w:t>）要求，</w:t>
      </w:r>
      <w:r>
        <w:rPr>
          <w:rFonts w:hint="eastAsia" w:ascii="Times New Roman" w:hAnsi="Times New Roman"/>
          <w:highlight w:val="none"/>
          <w:lang w:val="en-US" w:eastAsia="zh-CN"/>
        </w:rPr>
        <w:t>有组织排放颗粒物满足《大气污染物综合排放标准》</w:t>
      </w:r>
      <w:r>
        <w:rPr>
          <w:rFonts w:ascii="Times New Roman" w:hAnsi="Times New Roman"/>
          <w:highlight w:val="none"/>
        </w:rPr>
        <w:t>(GB16297-1996）表2中</w:t>
      </w:r>
      <w:r>
        <w:rPr>
          <w:rFonts w:hint="eastAsia" w:ascii="Times New Roman" w:hAnsi="Times New Roman"/>
          <w:highlight w:val="none"/>
          <w:lang w:val="en-US" w:eastAsia="zh-CN"/>
        </w:rPr>
        <w:t>有</w:t>
      </w:r>
      <w:r>
        <w:rPr>
          <w:rFonts w:ascii="Times New Roman" w:hAnsi="Times New Roman"/>
          <w:highlight w:val="none"/>
        </w:rPr>
        <w:t>组织排放监控浓度</w:t>
      </w:r>
      <w:r>
        <w:rPr>
          <w:rFonts w:hint="eastAsia" w:ascii="Times New Roman" w:hAnsi="Times New Roman"/>
          <w:highlight w:val="none"/>
          <w:lang w:val="en-US" w:eastAsia="zh-CN"/>
        </w:rPr>
        <w:t>，</w:t>
      </w:r>
      <w:r>
        <w:rPr>
          <w:rFonts w:hint="eastAsia" w:ascii="Times New Roman" w:hAnsi="Times New Roman"/>
          <w:highlight w:val="none"/>
        </w:rPr>
        <w:t>本项目排气筒按高度对应的表列排放速率标准值严格50%执行</w:t>
      </w:r>
      <w:r>
        <w:rPr>
          <w:rFonts w:hint="eastAsia" w:ascii="Times New Roman" w:hAnsi="Times New Roman"/>
          <w:highlight w:val="none"/>
          <w:lang w:eastAsia="zh-CN"/>
        </w:rPr>
        <w:t>，</w:t>
      </w:r>
      <w:r>
        <w:rPr>
          <w:rFonts w:hint="eastAsia" w:ascii="Times New Roman" w:hAnsi="Times New Roman"/>
          <w:highlight w:val="none"/>
          <w:lang w:val="en-US" w:eastAsia="zh-CN"/>
        </w:rPr>
        <w:t>氨</w:t>
      </w:r>
      <w:r>
        <w:rPr>
          <w:rFonts w:hint="eastAsia" w:ascii="Times New Roman" w:hAnsi="Times New Roman"/>
          <w:highlight w:val="none"/>
        </w:rPr>
        <w:t>厂界排放浓度满足《恶臭污染物排放标准》（GB14554-93）表1 恶臭污染物厂界二级标准值要求。锅炉烟气处理过程逃逸氨满足《火电厂氮氧化物防治技术政策》（环发〔2010〕10号）中规定：SNCR-SCR氨逃逸控制在2.5mg/m</w:t>
      </w:r>
      <w:r>
        <w:rPr>
          <w:rFonts w:hint="eastAsia" w:ascii="Times New Roman" w:hAnsi="Times New Roman"/>
          <w:highlight w:val="none"/>
          <w:vertAlign w:val="superscript"/>
        </w:rPr>
        <w:t>3</w:t>
      </w:r>
      <w:r>
        <w:rPr>
          <w:rFonts w:hint="eastAsia" w:ascii="Times New Roman" w:hAnsi="Times New Roman"/>
          <w:highlight w:val="none"/>
        </w:rPr>
        <w:t>（干基，标准状态）以下</w:t>
      </w:r>
      <w:r>
        <w:rPr>
          <w:rFonts w:hint="eastAsia" w:ascii="Times New Roman" w:hAnsi="Times New Roman"/>
          <w:highlight w:val="none"/>
          <w:lang w:eastAsia="zh-CN"/>
        </w:rPr>
        <w:t>，</w:t>
      </w:r>
      <w:r>
        <w:rPr>
          <w:rFonts w:ascii="Times New Roman" w:hAnsi="Times New Roman"/>
          <w:highlight w:val="none"/>
        </w:rPr>
        <w:t>对外环境影响较小，可被周围环境所接受</w:t>
      </w:r>
      <w:r>
        <w:rPr>
          <w:rFonts w:hint="eastAsia" w:ascii="Times New Roman" w:hAnsi="Times New Roman"/>
          <w:highlight w:val="none"/>
          <w:lang w:eastAsia="zh-CN"/>
        </w:rPr>
        <w:t>，</w:t>
      </w:r>
      <w:r>
        <w:rPr>
          <w:rFonts w:ascii="Times New Roman" w:hAnsi="Times New Roman"/>
          <w:highlight w:val="none"/>
        </w:rPr>
        <w:t>同时全厂排放的颗粒物、SO</w:t>
      </w:r>
      <w:r>
        <w:rPr>
          <w:rFonts w:ascii="Times New Roman" w:hAnsi="Times New Roman"/>
          <w:highlight w:val="none"/>
          <w:vertAlign w:val="subscript"/>
        </w:rPr>
        <w:t>2</w:t>
      </w:r>
      <w:r>
        <w:rPr>
          <w:rFonts w:ascii="Times New Roman" w:hAnsi="Times New Roman"/>
          <w:highlight w:val="none"/>
        </w:rPr>
        <w:t>及NOx满足地方污染物总量控制要求，将企业对环境空气造成的影响控制在最小；根据《排污许可证申请与核发技术规范 锅炉》和《污染源源强核算技术指南 锅炉》，低氮燃烧+SNCR-SCR、石灰石/石膏法脱硫、袋式除尘为烟气污染防治可行性技术。在选择环境保护措施时尽量做到技术先进和经济合理。</w:t>
      </w:r>
    </w:p>
    <w:p w14:paraId="4D280725">
      <w:pPr>
        <w:ind w:firstLine="480"/>
        <w:rPr>
          <w:rFonts w:ascii="Times New Roman" w:hAnsi="Times New Roman"/>
          <w:highlight w:val="none"/>
        </w:rPr>
      </w:pPr>
      <w:r>
        <w:rPr>
          <w:rFonts w:ascii="Times New Roman" w:hAnsi="Times New Roman"/>
          <w:highlight w:val="none"/>
        </w:rPr>
        <w:t>一、烟气脱硫</w:t>
      </w:r>
    </w:p>
    <w:p w14:paraId="12AEACB9">
      <w:pPr>
        <w:ind w:firstLine="480"/>
        <w:rPr>
          <w:rFonts w:ascii="Times New Roman" w:hAnsi="Times New Roman"/>
          <w:highlight w:val="none"/>
        </w:rPr>
      </w:pPr>
      <w:r>
        <w:rPr>
          <w:rFonts w:ascii="Times New Roman" w:hAnsi="Times New Roman"/>
          <w:highlight w:val="none"/>
        </w:rPr>
        <w:t>（1）烟气脱硫工艺的选择</w:t>
      </w:r>
    </w:p>
    <w:p w14:paraId="40F34FC3">
      <w:pPr>
        <w:ind w:firstLine="480"/>
        <w:rPr>
          <w:rFonts w:ascii="Times New Roman" w:hAnsi="Times New Roman"/>
          <w:highlight w:val="none"/>
        </w:rPr>
      </w:pPr>
      <w:r>
        <w:rPr>
          <w:rFonts w:ascii="Times New Roman" w:hAnsi="Times New Roman"/>
          <w:highlight w:val="none"/>
        </w:rPr>
        <w:t>目前，世界上燃煤锅炉脱硫工艺方法很多，这些方法的应用主要取决于锅炉容量、燃烧设备的类型、燃料的种类含硫量的多少、脱硫率、脱硫剂的供应条件及地理条件、副产品的利用等因素。</w:t>
      </w:r>
    </w:p>
    <w:p w14:paraId="7EC07D13">
      <w:pPr>
        <w:ind w:firstLine="480"/>
        <w:rPr>
          <w:rFonts w:ascii="Times New Roman" w:hAnsi="Times New Roman"/>
          <w:highlight w:val="none"/>
        </w:rPr>
      </w:pPr>
      <w:r>
        <w:rPr>
          <w:rFonts w:ascii="Times New Roman" w:hAnsi="Times New Roman"/>
          <w:highlight w:val="none"/>
        </w:rPr>
        <w:t>按脱硫工艺在生产中所处的部位不同可采用：</w:t>
      </w:r>
    </w:p>
    <w:p w14:paraId="2118285D">
      <w:pPr>
        <w:ind w:firstLine="480"/>
        <w:rPr>
          <w:rFonts w:ascii="Times New Roman" w:hAnsi="Times New Roman"/>
          <w:highlight w:val="none"/>
        </w:rPr>
      </w:pPr>
      <w:r>
        <w:rPr>
          <w:rFonts w:hint="eastAsia" w:ascii="宋体" w:hAnsi="宋体" w:cs="宋体"/>
          <w:highlight w:val="none"/>
        </w:rPr>
        <w:t>①</w:t>
      </w:r>
      <w:r>
        <w:rPr>
          <w:rFonts w:ascii="Times New Roman" w:hAnsi="Times New Roman"/>
          <w:highlight w:val="none"/>
        </w:rPr>
        <w:t>燃烧前脱硫，如原煤洗选脱硫；</w:t>
      </w:r>
    </w:p>
    <w:p w14:paraId="59054C42">
      <w:pPr>
        <w:ind w:firstLine="480"/>
        <w:rPr>
          <w:rFonts w:ascii="Times New Roman" w:hAnsi="Times New Roman"/>
          <w:highlight w:val="none"/>
        </w:rPr>
      </w:pPr>
      <w:r>
        <w:rPr>
          <w:rFonts w:hint="eastAsia" w:ascii="宋体" w:hAnsi="宋体" w:cs="宋体"/>
          <w:highlight w:val="none"/>
        </w:rPr>
        <w:t>②</w:t>
      </w:r>
      <w:r>
        <w:rPr>
          <w:rFonts w:ascii="Times New Roman" w:hAnsi="Times New Roman"/>
          <w:highlight w:val="none"/>
        </w:rPr>
        <w:t>燃烧中脱硫，如洁净煤燃烧和炉内喷钙；</w:t>
      </w:r>
    </w:p>
    <w:p w14:paraId="6DDD75D6">
      <w:pPr>
        <w:ind w:firstLine="480"/>
        <w:rPr>
          <w:rFonts w:ascii="Times New Roman" w:hAnsi="Times New Roman"/>
          <w:highlight w:val="none"/>
        </w:rPr>
      </w:pPr>
      <w:r>
        <w:rPr>
          <w:rFonts w:hint="eastAsia" w:ascii="宋体" w:hAnsi="宋体" w:cs="宋体"/>
          <w:highlight w:val="none"/>
        </w:rPr>
        <w:t>③</w:t>
      </w:r>
      <w:r>
        <w:rPr>
          <w:rFonts w:ascii="Times New Roman" w:hAnsi="Times New Roman"/>
          <w:highlight w:val="none"/>
        </w:rPr>
        <w:t>燃烧后脱硫，如石灰石-石膏湿法、旋转喷雾半干法、海水脱硫、电子束脱硫干法、循环半干法等。</w:t>
      </w:r>
    </w:p>
    <w:p w14:paraId="1E76751A">
      <w:pPr>
        <w:ind w:firstLine="480"/>
        <w:rPr>
          <w:rFonts w:ascii="Times New Roman" w:hAnsi="Times New Roman"/>
          <w:highlight w:val="none"/>
        </w:rPr>
      </w:pPr>
      <w:r>
        <w:rPr>
          <w:rFonts w:ascii="Times New Roman" w:hAnsi="Times New Roman"/>
          <w:highlight w:val="none"/>
        </w:rPr>
        <w:t>燃烧后的烟气脱硫是目前国际上广泛采用的控制二氧化硫的成熟技术。近年来，世界各经济发达国家在烟气脱硫方面均取得了很大的进展。国内外已采用的烟气脱硫方法主要有石灰石-石膏湿法、循环半干法、氧化镁湿法脱硫、双碱法脱硫和氨法脱硫。几种主要烟气脱硫工艺的比较情况见表6.2-1。</w:t>
      </w:r>
    </w:p>
    <w:p w14:paraId="0290F005">
      <w:pPr>
        <w:ind w:firstLine="0" w:firstLineChars="0"/>
        <w:jc w:val="center"/>
        <w:rPr>
          <w:rFonts w:ascii="Times New Roman" w:hAnsi="Times New Roman"/>
          <w:highlight w:val="none"/>
        </w:rPr>
      </w:pPr>
      <w:r>
        <w:rPr>
          <w:rFonts w:hint="eastAsia" w:ascii="黑体" w:hAnsi="黑体" w:eastAsia="黑体" w:cs="黑体"/>
          <w:b w:val="0"/>
          <w:bCs w:val="0"/>
          <w:highlight w:val="none"/>
        </w:rPr>
        <w:t>表</w:t>
      </w:r>
      <w:r>
        <w:rPr>
          <w:rFonts w:ascii="Times New Roman" w:hAnsi="Times New Roman"/>
          <w:b w:val="0"/>
          <w:bCs w:val="0"/>
          <w:highlight w:val="none"/>
        </w:rPr>
        <w:t>6.2-1</w:t>
      </w:r>
      <w:r>
        <w:rPr>
          <w:rFonts w:hint="eastAsia" w:ascii="黑体" w:hAnsi="黑体" w:eastAsia="黑体" w:cs="黑体"/>
          <w:b w:val="0"/>
          <w:bCs w:val="0"/>
          <w:highlight w:val="none"/>
        </w:rPr>
        <w:t>几种主要烟气脱硫工艺的比较表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5"/>
        <w:gridCol w:w="1386"/>
        <w:gridCol w:w="1485"/>
        <w:gridCol w:w="1382"/>
        <w:gridCol w:w="1217"/>
        <w:gridCol w:w="1527"/>
      </w:tblGrid>
      <w:tr w14:paraId="31688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0230A8DB">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项目</w:t>
            </w:r>
          </w:p>
        </w:tc>
        <w:tc>
          <w:tcPr>
            <w:tcW w:w="813" w:type="pct"/>
            <w:noWrap w:val="0"/>
            <w:vAlign w:val="center"/>
          </w:tcPr>
          <w:p w14:paraId="1E4229D4">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石灰-石膏</w:t>
            </w:r>
          </w:p>
        </w:tc>
        <w:tc>
          <w:tcPr>
            <w:tcW w:w="871" w:type="pct"/>
            <w:noWrap w:val="0"/>
            <w:vAlign w:val="center"/>
          </w:tcPr>
          <w:p w14:paraId="6DE46416">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循环半干法</w:t>
            </w:r>
          </w:p>
        </w:tc>
        <w:tc>
          <w:tcPr>
            <w:tcW w:w="811" w:type="pct"/>
            <w:noWrap w:val="0"/>
            <w:vAlign w:val="center"/>
          </w:tcPr>
          <w:p w14:paraId="1659FD72">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氧化镁湿法</w:t>
            </w:r>
          </w:p>
        </w:tc>
        <w:tc>
          <w:tcPr>
            <w:tcW w:w="714" w:type="pct"/>
            <w:noWrap w:val="0"/>
            <w:vAlign w:val="center"/>
          </w:tcPr>
          <w:p w14:paraId="481B630A">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双碱法</w:t>
            </w:r>
          </w:p>
        </w:tc>
        <w:tc>
          <w:tcPr>
            <w:tcW w:w="896" w:type="pct"/>
            <w:noWrap w:val="0"/>
            <w:vAlign w:val="center"/>
          </w:tcPr>
          <w:p w14:paraId="4BF06054">
            <w:pPr>
              <w:spacing w:line="240" w:lineRule="auto"/>
              <w:ind w:firstLine="0" w:firstLineChars="0"/>
              <w:jc w:val="center"/>
              <w:rPr>
                <w:rFonts w:ascii="Times New Roman" w:hAnsi="Times New Roman"/>
                <w:bCs/>
                <w:sz w:val="21"/>
                <w:highlight w:val="none"/>
              </w:rPr>
            </w:pPr>
            <w:r>
              <w:rPr>
                <w:rFonts w:ascii="Times New Roman" w:hAnsi="Times New Roman"/>
                <w:bCs/>
                <w:sz w:val="21"/>
                <w:highlight w:val="none"/>
              </w:rPr>
              <w:t>氨法</w:t>
            </w:r>
          </w:p>
        </w:tc>
      </w:tr>
      <w:tr w14:paraId="38DE30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5E2D431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适用煤种</w:t>
            </w:r>
          </w:p>
        </w:tc>
        <w:tc>
          <w:tcPr>
            <w:tcW w:w="813" w:type="pct"/>
            <w:noWrap w:val="0"/>
            <w:vAlign w:val="center"/>
          </w:tcPr>
          <w:p w14:paraId="3967BA6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不限</w:t>
            </w:r>
          </w:p>
        </w:tc>
        <w:tc>
          <w:tcPr>
            <w:tcW w:w="871" w:type="pct"/>
            <w:noWrap w:val="0"/>
            <w:vAlign w:val="center"/>
          </w:tcPr>
          <w:p w14:paraId="110BBFA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不限</w:t>
            </w:r>
          </w:p>
        </w:tc>
        <w:tc>
          <w:tcPr>
            <w:tcW w:w="811" w:type="pct"/>
            <w:noWrap w:val="0"/>
            <w:vAlign w:val="center"/>
          </w:tcPr>
          <w:p w14:paraId="7C043AC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中低硫煤</w:t>
            </w:r>
          </w:p>
        </w:tc>
        <w:tc>
          <w:tcPr>
            <w:tcW w:w="714" w:type="pct"/>
            <w:noWrap w:val="0"/>
            <w:vAlign w:val="center"/>
          </w:tcPr>
          <w:p w14:paraId="0C3B103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不限</w:t>
            </w:r>
          </w:p>
        </w:tc>
        <w:tc>
          <w:tcPr>
            <w:tcW w:w="896" w:type="pct"/>
            <w:noWrap w:val="0"/>
            <w:vAlign w:val="center"/>
          </w:tcPr>
          <w:p w14:paraId="2D2538B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中低硫煤</w:t>
            </w:r>
          </w:p>
        </w:tc>
      </w:tr>
      <w:tr w14:paraId="2A4EE7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14B7D55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脱硫率</w:t>
            </w:r>
          </w:p>
        </w:tc>
        <w:tc>
          <w:tcPr>
            <w:tcW w:w="813" w:type="pct"/>
            <w:noWrap w:val="0"/>
            <w:vAlign w:val="center"/>
          </w:tcPr>
          <w:p w14:paraId="1ABC55B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90%以上</w:t>
            </w:r>
          </w:p>
        </w:tc>
        <w:tc>
          <w:tcPr>
            <w:tcW w:w="871" w:type="pct"/>
            <w:noWrap w:val="0"/>
            <w:vAlign w:val="center"/>
          </w:tcPr>
          <w:p w14:paraId="0407E56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80%以上</w:t>
            </w:r>
          </w:p>
        </w:tc>
        <w:tc>
          <w:tcPr>
            <w:tcW w:w="811" w:type="pct"/>
            <w:noWrap w:val="0"/>
            <w:vAlign w:val="center"/>
          </w:tcPr>
          <w:p w14:paraId="2F28C641">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90%以上</w:t>
            </w:r>
          </w:p>
        </w:tc>
        <w:tc>
          <w:tcPr>
            <w:tcW w:w="714" w:type="pct"/>
            <w:noWrap w:val="0"/>
            <w:vAlign w:val="center"/>
          </w:tcPr>
          <w:p w14:paraId="5ABA6A1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70%以上</w:t>
            </w:r>
          </w:p>
        </w:tc>
        <w:tc>
          <w:tcPr>
            <w:tcW w:w="896" w:type="pct"/>
            <w:noWrap w:val="0"/>
            <w:vAlign w:val="center"/>
          </w:tcPr>
          <w:p w14:paraId="7FD6B05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95%以上</w:t>
            </w:r>
          </w:p>
        </w:tc>
      </w:tr>
      <w:tr w14:paraId="3D53DA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2C381ED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吸收剂</w:t>
            </w:r>
          </w:p>
        </w:tc>
        <w:tc>
          <w:tcPr>
            <w:tcW w:w="813" w:type="pct"/>
            <w:noWrap w:val="0"/>
            <w:vAlign w:val="center"/>
          </w:tcPr>
          <w:p w14:paraId="5E52151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石灰</w:t>
            </w:r>
          </w:p>
        </w:tc>
        <w:tc>
          <w:tcPr>
            <w:tcW w:w="871" w:type="pct"/>
            <w:noWrap w:val="0"/>
            <w:vAlign w:val="center"/>
          </w:tcPr>
          <w:p w14:paraId="23CDC30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生石灰</w:t>
            </w:r>
          </w:p>
        </w:tc>
        <w:tc>
          <w:tcPr>
            <w:tcW w:w="811" w:type="pct"/>
            <w:noWrap w:val="0"/>
            <w:vAlign w:val="center"/>
          </w:tcPr>
          <w:p w14:paraId="2AFE2BA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氧化镁</w:t>
            </w:r>
          </w:p>
        </w:tc>
        <w:tc>
          <w:tcPr>
            <w:tcW w:w="714" w:type="pct"/>
            <w:noWrap w:val="0"/>
            <w:vAlign w:val="center"/>
          </w:tcPr>
          <w:p w14:paraId="29ED0F3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钠碱、石灰</w:t>
            </w:r>
          </w:p>
        </w:tc>
        <w:tc>
          <w:tcPr>
            <w:tcW w:w="896" w:type="pct"/>
            <w:noWrap w:val="0"/>
            <w:vAlign w:val="center"/>
          </w:tcPr>
          <w:p w14:paraId="73FA89A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氨水</w:t>
            </w:r>
          </w:p>
        </w:tc>
      </w:tr>
      <w:tr w14:paraId="61DAC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5312005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市场占有率</w:t>
            </w:r>
          </w:p>
        </w:tc>
        <w:tc>
          <w:tcPr>
            <w:tcW w:w="813" w:type="pct"/>
            <w:noWrap w:val="0"/>
            <w:vAlign w:val="center"/>
          </w:tcPr>
          <w:p w14:paraId="4D496E5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低</w:t>
            </w:r>
          </w:p>
        </w:tc>
        <w:tc>
          <w:tcPr>
            <w:tcW w:w="871" w:type="pct"/>
            <w:noWrap w:val="0"/>
            <w:vAlign w:val="center"/>
          </w:tcPr>
          <w:p w14:paraId="102C22D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低</w:t>
            </w:r>
          </w:p>
        </w:tc>
        <w:tc>
          <w:tcPr>
            <w:tcW w:w="811" w:type="pct"/>
            <w:noWrap w:val="0"/>
            <w:vAlign w:val="center"/>
          </w:tcPr>
          <w:p w14:paraId="4510BA6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高</w:t>
            </w:r>
          </w:p>
        </w:tc>
        <w:tc>
          <w:tcPr>
            <w:tcW w:w="714" w:type="pct"/>
            <w:noWrap w:val="0"/>
            <w:vAlign w:val="center"/>
          </w:tcPr>
          <w:p w14:paraId="60C1458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低</w:t>
            </w:r>
          </w:p>
        </w:tc>
        <w:tc>
          <w:tcPr>
            <w:tcW w:w="896" w:type="pct"/>
            <w:noWrap w:val="0"/>
            <w:vAlign w:val="center"/>
          </w:tcPr>
          <w:p w14:paraId="32C4C0A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低</w:t>
            </w:r>
          </w:p>
        </w:tc>
      </w:tr>
      <w:tr w14:paraId="1CF25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19C6494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副产物</w:t>
            </w:r>
          </w:p>
        </w:tc>
        <w:tc>
          <w:tcPr>
            <w:tcW w:w="813" w:type="pct"/>
            <w:noWrap w:val="0"/>
            <w:vAlign w:val="center"/>
          </w:tcPr>
          <w:p w14:paraId="1D1D9D21">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石膏</w:t>
            </w:r>
          </w:p>
        </w:tc>
        <w:tc>
          <w:tcPr>
            <w:tcW w:w="871" w:type="pct"/>
            <w:noWrap w:val="0"/>
            <w:vAlign w:val="center"/>
          </w:tcPr>
          <w:p w14:paraId="1ECCA8A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石膏</w:t>
            </w:r>
          </w:p>
        </w:tc>
        <w:tc>
          <w:tcPr>
            <w:tcW w:w="811" w:type="pct"/>
            <w:noWrap w:val="0"/>
            <w:vAlign w:val="center"/>
          </w:tcPr>
          <w:p w14:paraId="5B922C2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硫酸镁</w:t>
            </w:r>
          </w:p>
        </w:tc>
        <w:tc>
          <w:tcPr>
            <w:tcW w:w="714" w:type="pct"/>
            <w:noWrap w:val="0"/>
            <w:vAlign w:val="center"/>
          </w:tcPr>
          <w:p w14:paraId="7E2D181D">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石膏</w:t>
            </w:r>
          </w:p>
        </w:tc>
        <w:tc>
          <w:tcPr>
            <w:tcW w:w="896" w:type="pct"/>
            <w:noWrap w:val="0"/>
            <w:vAlign w:val="center"/>
          </w:tcPr>
          <w:p w14:paraId="4274872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氨水</w:t>
            </w:r>
          </w:p>
        </w:tc>
      </w:tr>
      <w:tr w14:paraId="4EE98D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1C0BC1B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副产物处置</w:t>
            </w:r>
          </w:p>
        </w:tc>
        <w:tc>
          <w:tcPr>
            <w:tcW w:w="813" w:type="pct"/>
            <w:noWrap w:val="0"/>
            <w:vAlign w:val="center"/>
          </w:tcPr>
          <w:p w14:paraId="135F46E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利用</w:t>
            </w:r>
          </w:p>
        </w:tc>
        <w:tc>
          <w:tcPr>
            <w:tcW w:w="871" w:type="pct"/>
            <w:noWrap w:val="0"/>
            <w:vAlign w:val="center"/>
          </w:tcPr>
          <w:p w14:paraId="1FA90FAF">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利用</w:t>
            </w:r>
          </w:p>
        </w:tc>
        <w:tc>
          <w:tcPr>
            <w:tcW w:w="811" w:type="pct"/>
            <w:noWrap w:val="0"/>
            <w:vAlign w:val="center"/>
          </w:tcPr>
          <w:p w14:paraId="01210A1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利用</w:t>
            </w:r>
          </w:p>
        </w:tc>
        <w:tc>
          <w:tcPr>
            <w:tcW w:w="714" w:type="pct"/>
            <w:noWrap w:val="0"/>
            <w:vAlign w:val="center"/>
          </w:tcPr>
          <w:p w14:paraId="6F4E7AC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利用</w:t>
            </w:r>
          </w:p>
        </w:tc>
        <w:tc>
          <w:tcPr>
            <w:tcW w:w="896" w:type="pct"/>
            <w:noWrap w:val="0"/>
            <w:vAlign w:val="center"/>
          </w:tcPr>
          <w:p w14:paraId="55B0EF9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利用</w:t>
            </w:r>
          </w:p>
        </w:tc>
      </w:tr>
      <w:tr w14:paraId="2542AD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26A070E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工艺成熟度</w:t>
            </w:r>
          </w:p>
        </w:tc>
        <w:tc>
          <w:tcPr>
            <w:tcW w:w="813" w:type="pct"/>
            <w:noWrap w:val="0"/>
            <w:vAlign w:val="center"/>
          </w:tcPr>
          <w:p w14:paraId="41BB9F3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成熟</w:t>
            </w:r>
          </w:p>
        </w:tc>
        <w:tc>
          <w:tcPr>
            <w:tcW w:w="871" w:type="pct"/>
            <w:noWrap w:val="0"/>
            <w:vAlign w:val="center"/>
          </w:tcPr>
          <w:p w14:paraId="031B8B2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成熟</w:t>
            </w:r>
          </w:p>
        </w:tc>
        <w:tc>
          <w:tcPr>
            <w:tcW w:w="811" w:type="pct"/>
            <w:noWrap w:val="0"/>
            <w:vAlign w:val="center"/>
          </w:tcPr>
          <w:p w14:paraId="38D866B7">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成熟</w:t>
            </w:r>
          </w:p>
        </w:tc>
        <w:tc>
          <w:tcPr>
            <w:tcW w:w="714" w:type="pct"/>
            <w:noWrap w:val="0"/>
            <w:vAlign w:val="center"/>
          </w:tcPr>
          <w:p w14:paraId="6CF30EB1">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不成熟</w:t>
            </w:r>
          </w:p>
        </w:tc>
        <w:tc>
          <w:tcPr>
            <w:tcW w:w="896" w:type="pct"/>
            <w:noWrap w:val="0"/>
            <w:vAlign w:val="center"/>
          </w:tcPr>
          <w:p w14:paraId="2A87FFE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不成熟</w:t>
            </w:r>
          </w:p>
        </w:tc>
      </w:tr>
      <w:tr w14:paraId="748152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5FD9EB4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废水</w:t>
            </w:r>
          </w:p>
        </w:tc>
        <w:tc>
          <w:tcPr>
            <w:tcW w:w="813" w:type="pct"/>
            <w:noWrap w:val="0"/>
            <w:vAlign w:val="center"/>
          </w:tcPr>
          <w:p w14:paraId="1F16F35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少量</w:t>
            </w:r>
          </w:p>
        </w:tc>
        <w:tc>
          <w:tcPr>
            <w:tcW w:w="871" w:type="pct"/>
            <w:noWrap w:val="0"/>
            <w:vAlign w:val="center"/>
          </w:tcPr>
          <w:p w14:paraId="4BF43119">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少量</w:t>
            </w:r>
          </w:p>
        </w:tc>
        <w:tc>
          <w:tcPr>
            <w:tcW w:w="811" w:type="pct"/>
            <w:noWrap w:val="0"/>
            <w:vAlign w:val="center"/>
          </w:tcPr>
          <w:p w14:paraId="75377D16">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少量</w:t>
            </w:r>
          </w:p>
        </w:tc>
        <w:tc>
          <w:tcPr>
            <w:tcW w:w="714" w:type="pct"/>
            <w:noWrap w:val="0"/>
            <w:vAlign w:val="center"/>
          </w:tcPr>
          <w:p w14:paraId="313B01FA">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少量</w:t>
            </w:r>
          </w:p>
        </w:tc>
        <w:tc>
          <w:tcPr>
            <w:tcW w:w="896" w:type="pct"/>
            <w:noWrap w:val="0"/>
            <w:vAlign w:val="center"/>
          </w:tcPr>
          <w:p w14:paraId="73502A3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大量</w:t>
            </w:r>
          </w:p>
        </w:tc>
      </w:tr>
      <w:tr w14:paraId="42BE2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5" w:type="pct"/>
            <w:noWrap w:val="0"/>
            <w:vAlign w:val="center"/>
          </w:tcPr>
          <w:p w14:paraId="19FD886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药剂市场</w:t>
            </w:r>
          </w:p>
        </w:tc>
        <w:tc>
          <w:tcPr>
            <w:tcW w:w="813" w:type="pct"/>
            <w:noWrap w:val="0"/>
            <w:vAlign w:val="center"/>
          </w:tcPr>
          <w:p w14:paraId="3997A2D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大</w:t>
            </w:r>
          </w:p>
        </w:tc>
        <w:tc>
          <w:tcPr>
            <w:tcW w:w="871" w:type="pct"/>
            <w:noWrap w:val="0"/>
            <w:vAlign w:val="center"/>
          </w:tcPr>
          <w:p w14:paraId="48326210">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大</w:t>
            </w:r>
          </w:p>
        </w:tc>
        <w:tc>
          <w:tcPr>
            <w:tcW w:w="811" w:type="pct"/>
            <w:noWrap w:val="0"/>
            <w:vAlign w:val="center"/>
          </w:tcPr>
          <w:p w14:paraId="0FC6DFB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大</w:t>
            </w:r>
          </w:p>
        </w:tc>
        <w:tc>
          <w:tcPr>
            <w:tcW w:w="714" w:type="pct"/>
            <w:noWrap w:val="0"/>
            <w:vAlign w:val="center"/>
          </w:tcPr>
          <w:p w14:paraId="74C2B5C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中</w:t>
            </w:r>
          </w:p>
        </w:tc>
        <w:tc>
          <w:tcPr>
            <w:tcW w:w="896" w:type="pct"/>
            <w:noWrap w:val="0"/>
            <w:vAlign w:val="center"/>
          </w:tcPr>
          <w:p w14:paraId="2A2A1770">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少</w:t>
            </w:r>
          </w:p>
        </w:tc>
      </w:tr>
    </w:tbl>
    <w:p w14:paraId="108BD406">
      <w:pPr>
        <w:ind w:firstLine="480"/>
        <w:rPr>
          <w:rFonts w:ascii="Times New Roman" w:hAnsi="Times New Roman"/>
          <w:highlight w:val="none"/>
        </w:rPr>
      </w:pPr>
      <w:r>
        <w:rPr>
          <w:rFonts w:ascii="Times New Roman" w:hAnsi="Times New Roman"/>
          <w:highlight w:val="none"/>
        </w:rPr>
        <w:t>工程脱硫方案选择，本工程选择脱硫工艺的原则是：</w:t>
      </w:r>
    </w:p>
    <w:p w14:paraId="288488CA">
      <w:pPr>
        <w:ind w:firstLine="480"/>
        <w:rPr>
          <w:rFonts w:ascii="Times New Roman" w:hAnsi="Times New Roman"/>
          <w:highlight w:val="none"/>
        </w:rPr>
      </w:pPr>
      <w:r>
        <w:rPr>
          <w:rFonts w:hint="eastAsia" w:ascii="宋体" w:hAnsi="宋体" w:cs="宋体"/>
          <w:highlight w:val="none"/>
        </w:rPr>
        <w:t>①</w:t>
      </w:r>
      <w:r>
        <w:rPr>
          <w:rFonts w:ascii="Times New Roman" w:hAnsi="Times New Roman"/>
          <w:highlight w:val="none"/>
        </w:rPr>
        <w:t>烟尘、二氧化硫排放浓度和排放量必须满足超低排放要求；</w:t>
      </w:r>
    </w:p>
    <w:p w14:paraId="5A89FED6">
      <w:pPr>
        <w:ind w:firstLine="480"/>
        <w:rPr>
          <w:rFonts w:ascii="Times New Roman" w:hAnsi="Times New Roman"/>
          <w:highlight w:val="none"/>
        </w:rPr>
      </w:pPr>
      <w:r>
        <w:rPr>
          <w:rFonts w:hint="eastAsia" w:ascii="宋体" w:hAnsi="宋体" w:cs="宋体"/>
          <w:highlight w:val="none"/>
        </w:rPr>
        <w:t>②</w:t>
      </w:r>
      <w:r>
        <w:rPr>
          <w:rFonts w:ascii="Times New Roman" w:hAnsi="Times New Roman"/>
          <w:highlight w:val="none"/>
        </w:rPr>
        <w:t>脱硫工艺要做到技术成熟、设备运行可靠；</w:t>
      </w:r>
    </w:p>
    <w:p w14:paraId="500087E5">
      <w:pPr>
        <w:ind w:firstLine="480"/>
        <w:rPr>
          <w:rFonts w:ascii="Times New Roman" w:hAnsi="Times New Roman"/>
          <w:highlight w:val="none"/>
        </w:rPr>
      </w:pPr>
      <w:r>
        <w:rPr>
          <w:rFonts w:hint="eastAsia" w:ascii="宋体" w:hAnsi="宋体" w:cs="宋体"/>
          <w:highlight w:val="none"/>
        </w:rPr>
        <w:t>③</w:t>
      </w:r>
      <w:r>
        <w:rPr>
          <w:rFonts w:ascii="Times New Roman" w:hAnsi="Times New Roman"/>
          <w:highlight w:val="none"/>
        </w:rPr>
        <w:t>尽量做到对现有装置的改造项目少，对运行条件改变少；</w:t>
      </w:r>
    </w:p>
    <w:p w14:paraId="3A7C093E">
      <w:pPr>
        <w:ind w:firstLine="480"/>
        <w:rPr>
          <w:rFonts w:ascii="Times New Roman" w:hAnsi="Times New Roman"/>
          <w:highlight w:val="none"/>
        </w:rPr>
      </w:pPr>
      <w:r>
        <w:rPr>
          <w:rFonts w:hint="eastAsia" w:ascii="宋体" w:hAnsi="宋体" w:cs="宋体"/>
          <w:highlight w:val="none"/>
        </w:rPr>
        <w:t>④</w:t>
      </w:r>
      <w:r>
        <w:rPr>
          <w:rFonts w:ascii="Times New Roman" w:hAnsi="Times New Roman"/>
          <w:highlight w:val="none"/>
        </w:rPr>
        <w:t>投资省；</w:t>
      </w:r>
    </w:p>
    <w:p w14:paraId="7B16BC73">
      <w:pPr>
        <w:ind w:firstLine="480"/>
        <w:rPr>
          <w:rFonts w:ascii="Times New Roman" w:hAnsi="Times New Roman"/>
          <w:highlight w:val="none"/>
        </w:rPr>
      </w:pPr>
      <w:r>
        <w:rPr>
          <w:rFonts w:hint="eastAsia" w:ascii="宋体" w:hAnsi="宋体" w:cs="宋体"/>
          <w:highlight w:val="none"/>
        </w:rPr>
        <w:t>⑤</w:t>
      </w:r>
      <w:r>
        <w:rPr>
          <w:rFonts w:ascii="Times New Roman" w:hAnsi="Times New Roman"/>
          <w:highlight w:val="none"/>
        </w:rPr>
        <w:t>占地少；</w:t>
      </w:r>
    </w:p>
    <w:p w14:paraId="52A940CD">
      <w:pPr>
        <w:ind w:firstLine="480"/>
        <w:rPr>
          <w:rFonts w:ascii="Times New Roman" w:hAnsi="Times New Roman"/>
          <w:highlight w:val="none"/>
        </w:rPr>
      </w:pPr>
      <w:r>
        <w:rPr>
          <w:rFonts w:hint="eastAsia" w:ascii="宋体" w:hAnsi="宋体" w:cs="宋体"/>
          <w:highlight w:val="none"/>
        </w:rPr>
        <w:t>⑥</w:t>
      </w:r>
      <w:r>
        <w:rPr>
          <w:rFonts w:ascii="Times New Roman" w:hAnsi="Times New Roman"/>
          <w:highlight w:val="none"/>
        </w:rPr>
        <w:t>吸收剂要有稳定可靠的来源；</w:t>
      </w:r>
    </w:p>
    <w:p w14:paraId="1E68F502">
      <w:pPr>
        <w:ind w:firstLine="480"/>
        <w:rPr>
          <w:rFonts w:ascii="Times New Roman" w:hAnsi="Times New Roman"/>
          <w:highlight w:val="none"/>
        </w:rPr>
      </w:pPr>
      <w:r>
        <w:rPr>
          <w:rFonts w:ascii="Times New Roman" w:hAnsi="Times New Roman"/>
          <w:highlight w:val="none"/>
        </w:rPr>
        <w:t>综合考虑从造价、运行经济性、安全性等方面考虑，根据国家现行标准及环保要求，本期工程烟气脱硫系统拟采用炉内脱硫+石灰石–石膏湿法脱硫工艺，该工艺系统具有如下优点：</w:t>
      </w:r>
    </w:p>
    <w:p w14:paraId="107C1C4C">
      <w:pPr>
        <w:ind w:firstLine="480"/>
        <w:rPr>
          <w:rFonts w:ascii="Times New Roman" w:hAnsi="Times New Roman"/>
          <w:highlight w:val="none"/>
        </w:rPr>
      </w:pPr>
      <w:r>
        <w:rPr>
          <w:rFonts w:hint="eastAsia" w:ascii="宋体" w:hAnsi="宋体" w:cs="宋体"/>
          <w:highlight w:val="none"/>
        </w:rPr>
        <w:t>①</w:t>
      </w:r>
      <w:r>
        <w:rPr>
          <w:rFonts w:ascii="Times New Roman" w:hAnsi="Times New Roman"/>
          <w:highlight w:val="none"/>
        </w:rPr>
        <w:t>工艺成熟，可用率高，有较多业绩；</w:t>
      </w:r>
    </w:p>
    <w:p w14:paraId="5025035B">
      <w:pPr>
        <w:ind w:firstLine="480"/>
        <w:rPr>
          <w:rFonts w:ascii="Times New Roman" w:hAnsi="Times New Roman"/>
          <w:highlight w:val="none"/>
        </w:rPr>
      </w:pPr>
      <w:r>
        <w:rPr>
          <w:rFonts w:hint="eastAsia" w:ascii="宋体" w:hAnsi="宋体" w:cs="宋体"/>
          <w:highlight w:val="none"/>
        </w:rPr>
        <w:t>②</w:t>
      </w:r>
      <w:r>
        <w:rPr>
          <w:rFonts w:ascii="Times New Roman" w:hAnsi="Times New Roman"/>
          <w:highlight w:val="none"/>
        </w:rPr>
        <w:t>脱硫效率可达到97%以上；</w:t>
      </w:r>
    </w:p>
    <w:p w14:paraId="55E40DF7">
      <w:pPr>
        <w:ind w:firstLine="480"/>
        <w:rPr>
          <w:rFonts w:ascii="Times New Roman" w:hAnsi="Times New Roman"/>
          <w:highlight w:val="none"/>
        </w:rPr>
      </w:pPr>
      <w:r>
        <w:rPr>
          <w:rFonts w:hint="eastAsia" w:ascii="宋体" w:hAnsi="宋体" w:cs="宋体"/>
          <w:highlight w:val="none"/>
        </w:rPr>
        <w:t>③</w:t>
      </w:r>
      <w:r>
        <w:rPr>
          <w:rFonts w:ascii="Times New Roman" w:hAnsi="Times New Roman"/>
          <w:highlight w:val="none"/>
        </w:rPr>
        <w:t>投资和运行费用合理；</w:t>
      </w:r>
    </w:p>
    <w:p w14:paraId="22A2E98D">
      <w:pPr>
        <w:ind w:firstLine="480"/>
        <w:rPr>
          <w:rFonts w:ascii="Times New Roman" w:hAnsi="Times New Roman"/>
          <w:highlight w:val="none"/>
        </w:rPr>
      </w:pPr>
      <w:r>
        <w:rPr>
          <w:rFonts w:hint="eastAsia" w:ascii="宋体" w:hAnsi="宋体" w:cs="宋体"/>
          <w:highlight w:val="none"/>
        </w:rPr>
        <w:t>④</w:t>
      </w:r>
      <w:r>
        <w:rPr>
          <w:rFonts w:ascii="Times New Roman" w:hAnsi="Times New Roman"/>
          <w:highlight w:val="none"/>
        </w:rPr>
        <w:t>副产物可综合利用，不会造成二次污染；</w:t>
      </w:r>
    </w:p>
    <w:p w14:paraId="7D60440C">
      <w:pPr>
        <w:ind w:firstLine="480"/>
        <w:rPr>
          <w:rFonts w:ascii="Times New Roman" w:hAnsi="Times New Roman"/>
          <w:highlight w:val="none"/>
        </w:rPr>
      </w:pPr>
      <w:r>
        <w:rPr>
          <w:rFonts w:hint="eastAsia" w:ascii="宋体" w:hAnsi="宋体" w:cs="宋体"/>
          <w:highlight w:val="none"/>
        </w:rPr>
        <w:t>⑤</w:t>
      </w:r>
      <w:r>
        <w:rPr>
          <w:rFonts w:ascii="Times New Roman" w:hAnsi="Times New Roman"/>
          <w:highlight w:val="none"/>
        </w:rPr>
        <w:t>脱硫吸收剂廉价，有可靠的来源。</w:t>
      </w:r>
    </w:p>
    <w:p w14:paraId="74319C16">
      <w:pPr>
        <w:ind w:firstLine="480"/>
        <w:rPr>
          <w:rFonts w:ascii="Times New Roman" w:hAnsi="Times New Roman"/>
          <w:highlight w:val="none"/>
        </w:rPr>
      </w:pPr>
      <w:r>
        <w:rPr>
          <w:rFonts w:ascii="Times New Roman" w:hAnsi="Times New Roman"/>
          <w:highlight w:val="none"/>
        </w:rPr>
        <w:t>（2）本项目脱硫系统设置情况</w:t>
      </w:r>
    </w:p>
    <w:p w14:paraId="1A36BA05">
      <w:pPr>
        <w:ind w:firstLine="480"/>
        <w:rPr>
          <w:rFonts w:ascii="Times New Roman" w:hAnsi="Times New Roman"/>
          <w:highlight w:val="none"/>
        </w:rPr>
      </w:pPr>
      <w:r>
        <w:rPr>
          <w:rFonts w:ascii="Times New Roman" w:hAnsi="Times New Roman"/>
          <w:highlight w:val="none"/>
        </w:rPr>
        <w:t>石灰石-石膏烟气脱硫系统包括烟气系统、吸收塔系统、石灰石浆液制备系统、石膏脱水系统、供水和排放时系统和压缩空气系统。</w:t>
      </w:r>
    </w:p>
    <w:p w14:paraId="4E8F48AA">
      <w:pPr>
        <w:ind w:firstLine="480"/>
        <w:rPr>
          <w:rFonts w:ascii="Times New Roman" w:hAnsi="Times New Roman"/>
          <w:highlight w:val="none"/>
        </w:rPr>
      </w:pPr>
      <w:r>
        <w:rPr>
          <w:rFonts w:ascii="Times New Roman" w:hAnsi="Times New Roman"/>
          <w:highlight w:val="none"/>
        </w:rPr>
        <w:t>本项目脱硫剂为外购石灰石粉，由密封罐车运至现场，通过气力卸入石灰石粉仓。粉仓内的石灰石粉经粉仓底部的电动调节式抽板阀、星型给料机均匀地送入石灰石浆液箱内，同时按一定比例加水并搅拌制成一定浓度的吸收浆液，石灰石浆液经石灰石浆液泵送入脱硫吸收塔内。</w:t>
      </w:r>
    </w:p>
    <w:p w14:paraId="45C5209B">
      <w:pPr>
        <w:ind w:firstLine="480"/>
        <w:rPr>
          <w:rFonts w:hint="eastAsia" w:ascii="Times New Roman" w:hAnsi="Times New Roman"/>
          <w:highlight w:val="none"/>
        </w:rPr>
      </w:pPr>
      <w:r>
        <w:rPr>
          <w:rFonts w:ascii="Times New Roman" w:hAnsi="Times New Roman"/>
          <w:highlight w:val="none"/>
        </w:rPr>
        <w:t>本工程建</w:t>
      </w:r>
      <w:r>
        <w:rPr>
          <w:rFonts w:hint="eastAsia" w:ascii="Times New Roman" w:hAnsi="Times New Roman"/>
          <w:highlight w:val="none"/>
          <w:lang w:val="en-US" w:eastAsia="zh-CN"/>
        </w:rPr>
        <w:t>设</w:t>
      </w:r>
      <w:r>
        <w:rPr>
          <w:rFonts w:ascii="Times New Roman" w:hAnsi="Times New Roman"/>
          <w:highlight w:val="none"/>
        </w:rPr>
        <w:t>锅炉采用3炉</w:t>
      </w:r>
      <w:r>
        <w:rPr>
          <w:rFonts w:hint="eastAsia" w:ascii="Times New Roman" w:hAnsi="Times New Roman"/>
          <w:highlight w:val="none"/>
          <w:lang w:val="en-US" w:eastAsia="zh-CN"/>
        </w:rPr>
        <w:t>1</w:t>
      </w:r>
      <w:r>
        <w:rPr>
          <w:rFonts w:ascii="Times New Roman" w:hAnsi="Times New Roman"/>
          <w:highlight w:val="none"/>
        </w:rPr>
        <w:t>塔布置。SO</w:t>
      </w:r>
      <w:r>
        <w:rPr>
          <w:rFonts w:ascii="Times New Roman" w:hAnsi="Times New Roman"/>
          <w:highlight w:val="none"/>
          <w:vertAlign w:val="subscript"/>
        </w:rPr>
        <w:t>2</w:t>
      </w:r>
      <w:r>
        <w:rPr>
          <w:rFonts w:ascii="Times New Roman" w:hAnsi="Times New Roman"/>
          <w:highlight w:val="none"/>
        </w:rPr>
        <w:t>、SO</w:t>
      </w:r>
      <w:r>
        <w:rPr>
          <w:rFonts w:ascii="Times New Roman" w:hAnsi="Times New Roman"/>
          <w:highlight w:val="none"/>
          <w:vertAlign w:val="subscript"/>
        </w:rPr>
        <w:t>3</w:t>
      </w:r>
      <w:r>
        <w:rPr>
          <w:rFonts w:ascii="Times New Roman" w:hAnsi="Times New Roman"/>
          <w:highlight w:val="none"/>
        </w:rPr>
        <w:t>将在吸收塔内被脱除，石膏也将在吸收塔内结晶和生成。吸收塔系统主要设备包括吸收塔、吸收塔再循环泵、氧化风机和石膏排出泵等。考虑到满负荷运行下可能出现较高的入口SO</w:t>
      </w:r>
      <w:r>
        <w:rPr>
          <w:rFonts w:ascii="Times New Roman" w:hAnsi="Times New Roman"/>
          <w:highlight w:val="none"/>
          <w:vertAlign w:val="subscript"/>
        </w:rPr>
        <w:t>2</w:t>
      </w:r>
      <w:r>
        <w:rPr>
          <w:rFonts w:ascii="Times New Roman" w:hAnsi="Times New Roman"/>
          <w:highlight w:val="none"/>
        </w:rPr>
        <w:t>浓度，每台脱硫塔设置四层喷淋层、三层除雾器的高效除尘脱硫一体化技术</w:t>
      </w:r>
      <w:r>
        <w:rPr>
          <w:rFonts w:hint="eastAsia" w:ascii="Times New Roman" w:hAnsi="Times New Roman"/>
          <w:highlight w:val="none"/>
        </w:rPr>
        <w:t>；3台炉设置</w:t>
      </w:r>
      <w:r>
        <w:rPr>
          <w:rFonts w:hint="eastAsia" w:ascii="Times New Roman" w:hAnsi="Times New Roman"/>
          <w:highlight w:val="none"/>
          <w:lang w:val="en-US" w:eastAsia="zh-CN"/>
        </w:rPr>
        <w:t>1</w:t>
      </w:r>
      <w:r>
        <w:rPr>
          <w:rFonts w:hint="eastAsia" w:ascii="Times New Roman" w:hAnsi="Times New Roman"/>
          <w:highlight w:val="none"/>
        </w:rPr>
        <w:t>座吸收塔及辅助设备，采用3炉</w:t>
      </w:r>
      <w:r>
        <w:rPr>
          <w:rFonts w:hint="eastAsia" w:ascii="Times New Roman" w:hAnsi="Times New Roman"/>
          <w:highlight w:val="none"/>
          <w:lang w:val="en-US" w:eastAsia="zh-CN"/>
        </w:rPr>
        <w:t>1</w:t>
      </w:r>
      <w:r>
        <w:rPr>
          <w:rFonts w:hint="eastAsia" w:ascii="Times New Roman" w:hAnsi="Times New Roman"/>
          <w:highlight w:val="none"/>
        </w:rPr>
        <w:t>塔配置，吸收塔采用喷淋塔。吸收塔配置4台浆液循环泵，对应4层喷淋层，每层喷淋层由1台浆液循环泵单独供浆。设置2台氧化风机，其中1台运行，1台备用，为反应提供氧化空气。设置2台石膏浆液排出泵，将反应后的石膏送至石膏浆液脱水系统进行脱水处理。</w:t>
      </w:r>
      <w:r>
        <w:rPr>
          <w:rFonts w:ascii="Times New Roman" w:hAnsi="Times New Roman"/>
          <w:highlight w:val="none"/>
        </w:rPr>
        <w:t>锅炉燃煤烟气中的SO</w:t>
      </w:r>
      <w:r>
        <w:rPr>
          <w:rFonts w:ascii="Times New Roman" w:hAnsi="Times New Roman"/>
          <w:highlight w:val="none"/>
          <w:vertAlign w:val="subscript"/>
        </w:rPr>
        <w:t>2</w:t>
      </w:r>
      <w:r>
        <w:rPr>
          <w:rFonts w:ascii="Times New Roman" w:hAnsi="Times New Roman"/>
          <w:highlight w:val="none"/>
        </w:rPr>
        <w:t>与喷入的石灰石浆液在吸收塔内反应而被脱除，脱硫效率达≥97%；生成的亚硫酸钙通过强制空气氧化，并在搅拌器的不断搅动下，在吸收塔浆池中氧化生成石膏(硫酸钙)。</w:t>
      </w:r>
    </w:p>
    <w:p w14:paraId="6073339E">
      <w:pPr>
        <w:ind w:firstLine="480"/>
        <w:rPr>
          <w:rFonts w:ascii="Times New Roman" w:hAnsi="Times New Roman"/>
          <w:highlight w:val="none"/>
        </w:rPr>
      </w:pPr>
      <w:r>
        <w:rPr>
          <w:rFonts w:hint="eastAsia" w:ascii="Times New Roman" w:hAnsi="Times New Roman"/>
          <w:highlight w:val="none"/>
        </w:rPr>
        <w:t>本期工程设置1座事故浆液箱（45m</w:t>
      </w:r>
      <w:r>
        <w:rPr>
          <w:rFonts w:hint="eastAsia" w:ascii="Times New Roman" w:hAnsi="Times New Roman"/>
          <w:highlight w:val="none"/>
          <w:vertAlign w:val="superscript"/>
        </w:rPr>
        <w:t>3</w:t>
      </w:r>
      <w:r>
        <w:rPr>
          <w:rFonts w:hint="eastAsia" w:ascii="Times New Roman" w:hAnsi="Times New Roman"/>
          <w:highlight w:val="none"/>
        </w:rPr>
        <w:t>），在脱硫系统或吸收塔的浆池、搅拌器出现事故需要检修时，吸收塔内的浆液由事故排浆泵排出存入事故浆液箱中贮存，作为吸收塔再次启动时的石膏晶种。</w:t>
      </w:r>
    </w:p>
    <w:p w14:paraId="7843FD94">
      <w:pPr>
        <w:ind w:firstLine="480"/>
        <w:rPr>
          <w:rFonts w:ascii="Times New Roman" w:hAnsi="Times New Roman"/>
          <w:highlight w:val="none"/>
        </w:rPr>
      </w:pPr>
      <w:r>
        <w:rPr>
          <w:rFonts w:ascii="Times New Roman" w:hAnsi="Times New Roman"/>
          <w:highlight w:val="none"/>
        </w:rPr>
        <w:t>本项目烟气脱硫工程脱硫效率分析和计算结果见表6.2-2。</w:t>
      </w:r>
    </w:p>
    <w:p w14:paraId="4A5B2D9B">
      <w:pPr>
        <w:ind w:firstLine="0" w:firstLineChars="0"/>
        <w:jc w:val="center"/>
        <w:rPr>
          <w:rFonts w:ascii="Times New Roman" w:hAnsi="Times New Roman"/>
          <w:b/>
          <w:bCs/>
          <w:highlight w:val="none"/>
        </w:rPr>
      </w:pPr>
      <w:r>
        <w:rPr>
          <w:rFonts w:hint="eastAsia" w:ascii="黑体" w:hAnsi="黑体" w:eastAsia="黑体" w:cs="黑体"/>
          <w:b w:val="0"/>
          <w:bCs w:val="0"/>
          <w:highlight w:val="none"/>
        </w:rPr>
        <w:t>表</w:t>
      </w:r>
      <w:r>
        <w:rPr>
          <w:rFonts w:hint="default" w:ascii="Times New Roman" w:hAnsi="Times New Roman" w:eastAsia="黑体" w:cs="Times New Roman"/>
          <w:b w:val="0"/>
          <w:bCs w:val="0"/>
          <w:highlight w:val="none"/>
        </w:rPr>
        <w:t>6.2-2</w:t>
      </w:r>
      <w:r>
        <w:rPr>
          <w:rFonts w:hint="eastAsia" w:ascii="黑体" w:hAnsi="黑体" w:eastAsia="黑体" w:cs="黑体"/>
          <w:b w:val="0"/>
          <w:bCs w:val="0"/>
          <w:highlight w:val="none"/>
        </w:rPr>
        <w:t>本项目烟气脱硫工程脱硫效率</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3084"/>
        <w:gridCol w:w="2646"/>
        <w:gridCol w:w="2792"/>
      </w:tblGrid>
      <w:tr w14:paraId="129D4E7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1809" w:type="pct"/>
            <w:noWrap w:val="0"/>
            <w:vAlign w:val="center"/>
          </w:tcPr>
          <w:p w14:paraId="5A8C6B78">
            <w:pPr>
              <w:pStyle w:val="27"/>
              <w:textAlignment w:val="center"/>
              <w:rPr>
                <w:rFonts w:ascii="Times New Roman" w:hAnsi="Times New Roman" w:eastAsia="宋体"/>
                <w:kern w:val="0"/>
                <w:highlight w:val="none"/>
              </w:rPr>
            </w:pPr>
            <w:r>
              <w:rPr>
                <w:rFonts w:ascii="Times New Roman" w:hAnsi="Times New Roman" w:eastAsia="宋体"/>
                <w:kern w:val="0"/>
                <w:highlight w:val="none"/>
              </w:rPr>
              <w:t>SO</w:t>
            </w:r>
            <w:r>
              <w:rPr>
                <w:rFonts w:ascii="Times New Roman" w:hAnsi="Times New Roman" w:eastAsia="宋体"/>
                <w:kern w:val="0"/>
                <w:highlight w:val="none"/>
                <w:vertAlign w:val="subscript"/>
              </w:rPr>
              <w:t>2</w:t>
            </w:r>
            <w:r>
              <w:rPr>
                <w:rFonts w:hint="eastAsia" w:ascii="Times New Roman" w:hAnsi="Times New Roman" w:eastAsia="宋体"/>
                <w:kern w:val="0"/>
                <w:highlight w:val="none"/>
                <w:vertAlign w:val="baseline"/>
                <w:lang w:val="en-US" w:eastAsia="zh-CN"/>
              </w:rPr>
              <w:t>平均</w:t>
            </w:r>
            <w:r>
              <w:rPr>
                <w:rFonts w:hint="eastAsia" w:ascii="Times New Roman" w:hAnsi="Times New Roman" w:eastAsia="宋体"/>
                <w:kern w:val="0"/>
                <w:highlight w:val="none"/>
                <w:lang w:val="en-US" w:eastAsia="zh-CN"/>
              </w:rPr>
              <w:t>实测</w:t>
            </w:r>
            <w:r>
              <w:rPr>
                <w:rFonts w:ascii="Times New Roman" w:hAnsi="Times New Roman" w:eastAsia="宋体"/>
                <w:kern w:val="0"/>
                <w:highlight w:val="none"/>
              </w:rPr>
              <w:t>排放浓度</w:t>
            </w:r>
          </w:p>
        </w:tc>
        <w:tc>
          <w:tcPr>
            <w:tcW w:w="1552" w:type="pct"/>
            <w:noWrap w:val="0"/>
            <w:vAlign w:val="center"/>
          </w:tcPr>
          <w:p w14:paraId="461AE4F0">
            <w:pPr>
              <w:pStyle w:val="27"/>
              <w:textAlignment w:val="center"/>
              <w:rPr>
                <w:rFonts w:ascii="Times New Roman" w:hAnsi="Times New Roman" w:eastAsia="宋体"/>
                <w:kern w:val="0"/>
                <w:highlight w:val="none"/>
              </w:rPr>
            </w:pPr>
            <w:r>
              <w:rPr>
                <w:rFonts w:ascii="Times New Roman" w:hAnsi="Times New Roman" w:eastAsia="宋体"/>
                <w:kern w:val="0"/>
                <w:highlight w:val="none"/>
              </w:rPr>
              <w:t>入口SO</w:t>
            </w:r>
            <w:r>
              <w:rPr>
                <w:rFonts w:ascii="Times New Roman" w:hAnsi="Times New Roman" w:eastAsia="宋体"/>
                <w:kern w:val="0"/>
                <w:highlight w:val="none"/>
                <w:vertAlign w:val="subscript"/>
              </w:rPr>
              <w:t>2</w:t>
            </w:r>
            <w:r>
              <w:rPr>
                <w:rFonts w:hint="eastAsia" w:ascii="Times New Roman" w:hAnsi="Times New Roman" w:eastAsia="宋体"/>
                <w:kern w:val="0"/>
                <w:highlight w:val="none"/>
                <w:vertAlign w:val="baseline"/>
                <w:lang w:val="en-US" w:eastAsia="zh-CN"/>
              </w:rPr>
              <w:t>平均实测</w:t>
            </w:r>
            <w:r>
              <w:rPr>
                <w:rFonts w:ascii="Times New Roman" w:hAnsi="Times New Roman" w:eastAsia="宋体"/>
                <w:kern w:val="0"/>
                <w:highlight w:val="none"/>
              </w:rPr>
              <w:t>浓度mg/Nm</w:t>
            </w:r>
            <w:r>
              <w:rPr>
                <w:rFonts w:ascii="Times New Roman" w:hAnsi="Times New Roman" w:eastAsia="宋体"/>
                <w:kern w:val="0"/>
                <w:highlight w:val="none"/>
                <w:vertAlign w:val="superscript"/>
              </w:rPr>
              <w:t>3</w:t>
            </w:r>
          </w:p>
        </w:tc>
        <w:tc>
          <w:tcPr>
            <w:tcW w:w="1638" w:type="pct"/>
            <w:noWrap w:val="0"/>
            <w:vAlign w:val="center"/>
          </w:tcPr>
          <w:p w14:paraId="43B6F2BC">
            <w:pPr>
              <w:pStyle w:val="27"/>
              <w:textAlignment w:val="center"/>
              <w:rPr>
                <w:rFonts w:ascii="Times New Roman" w:hAnsi="Times New Roman" w:eastAsia="宋体"/>
                <w:kern w:val="0"/>
                <w:highlight w:val="none"/>
              </w:rPr>
            </w:pPr>
            <w:r>
              <w:rPr>
                <w:rFonts w:ascii="Times New Roman" w:hAnsi="Times New Roman" w:eastAsia="宋体"/>
                <w:kern w:val="0"/>
                <w:highlight w:val="none"/>
              </w:rPr>
              <w:t>脱硫率</w:t>
            </w:r>
          </w:p>
        </w:tc>
      </w:tr>
      <w:tr w14:paraId="4454C155">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0" w:hRule="atLeast"/>
        </w:trPr>
        <w:tc>
          <w:tcPr>
            <w:tcW w:w="1809" w:type="pct"/>
            <w:noWrap w:val="0"/>
            <w:vAlign w:val="center"/>
          </w:tcPr>
          <w:p w14:paraId="377A20B8">
            <w:pPr>
              <w:pStyle w:val="27"/>
              <w:textAlignment w:val="center"/>
              <w:rPr>
                <w:rFonts w:ascii="Times New Roman" w:hAnsi="Times New Roman" w:eastAsia="宋体"/>
                <w:kern w:val="0"/>
                <w:highlight w:val="none"/>
              </w:rPr>
            </w:pPr>
            <w:r>
              <w:rPr>
                <w:rFonts w:hint="eastAsia" w:ascii="Times New Roman" w:hAnsi="Times New Roman" w:eastAsia="宋体"/>
                <w:kern w:val="0"/>
                <w:highlight w:val="none"/>
                <w:lang w:val="en-US" w:eastAsia="zh-CN"/>
              </w:rPr>
              <w:t>5</w:t>
            </w:r>
            <w:r>
              <w:rPr>
                <w:rFonts w:ascii="Times New Roman" w:hAnsi="Times New Roman" w:eastAsia="宋体"/>
                <w:kern w:val="0"/>
                <w:highlight w:val="none"/>
              </w:rPr>
              <w:t>mg/Nm</w:t>
            </w:r>
            <w:r>
              <w:rPr>
                <w:rFonts w:ascii="Times New Roman" w:hAnsi="Times New Roman" w:eastAsia="宋体"/>
                <w:kern w:val="0"/>
                <w:highlight w:val="none"/>
                <w:vertAlign w:val="superscript"/>
              </w:rPr>
              <w:t>3</w:t>
            </w:r>
          </w:p>
        </w:tc>
        <w:tc>
          <w:tcPr>
            <w:tcW w:w="1552" w:type="pct"/>
            <w:noWrap w:val="0"/>
            <w:vAlign w:val="center"/>
          </w:tcPr>
          <w:p w14:paraId="4152A759">
            <w:pPr>
              <w:pStyle w:val="27"/>
              <w:textAlignment w:val="center"/>
              <w:rPr>
                <w:rFonts w:hint="default" w:ascii="Times New Roman" w:hAnsi="Times New Roman" w:eastAsia="宋体"/>
                <w:kern w:val="0"/>
                <w:highlight w:val="none"/>
                <w:lang w:val="en-US" w:eastAsia="zh-CN"/>
              </w:rPr>
            </w:pPr>
            <w:r>
              <w:rPr>
                <w:rFonts w:hint="eastAsia" w:ascii="Times New Roman" w:hAnsi="Times New Roman" w:eastAsia="宋体"/>
                <w:kern w:val="0"/>
                <w:highlight w:val="none"/>
                <w:lang w:val="en-US" w:eastAsia="zh-CN"/>
              </w:rPr>
              <w:t>816</w:t>
            </w:r>
          </w:p>
        </w:tc>
        <w:tc>
          <w:tcPr>
            <w:tcW w:w="1638" w:type="pct"/>
            <w:noWrap w:val="0"/>
            <w:vAlign w:val="center"/>
          </w:tcPr>
          <w:p w14:paraId="3EB6F462">
            <w:pPr>
              <w:pStyle w:val="27"/>
              <w:textAlignment w:val="center"/>
              <w:rPr>
                <w:rFonts w:ascii="Times New Roman" w:hAnsi="Times New Roman" w:eastAsia="宋体"/>
                <w:kern w:val="0"/>
                <w:highlight w:val="none"/>
              </w:rPr>
            </w:pPr>
            <w:r>
              <w:rPr>
                <w:rFonts w:hint="eastAsia" w:ascii="Times New Roman" w:hAnsi="Times New Roman" w:eastAsia="宋体"/>
                <w:kern w:val="0"/>
                <w:highlight w:val="none"/>
                <w:lang w:val="en-US" w:eastAsia="zh-CN"/>
              </w:rPr>
              <w:t>99.39</w:t>
            </w:r>
            <w:r>
              <w:rPr>
                <w:rFonts w:ascii="Times New Roman" w:hAnsi="Times New Roman" w:eastAsia="宋体"/>
                <w:kern w:val="0"/>
                <w:highlight w:val="none"/>
              </w:rPr>
              <w:t>%</w:t>
            </w:r>
          </w:p>
        </w:tc>
      </w:tr>
    </w:tbl>
    <w:p w14:paraId="14BCD56C">
      <w:pPr>
        <w:ind w:firstLine="480"/>
        <w:rPr>
          <w:rFonts w:hint="eastAsia" w:ascii="Times New Roman" w:hAnsi="Times New Roman" w:eastAsia="宋体"/>
          <w:highlight w:val="none"/>
          <w:lang w:val="en-US" w:eastAsia="zh-CN"/>
        </w:rPr>
      </w:pPr>
      <w:r>
        <w:rPr>
          <w:rFonts w:ascii="Times New Roman" w:hAnsi="Times New Roman"/>
          <w:highlight w:val="none"/>
        </w:rPr>
        <w:t>由表6.2-</w:t>
      </w:r>
      <w:r>
        <w:rPr>
          <w:rFonts w:hint="eastAsia" w:ascii="Times New Roman" w:hAnsi="Times New Roman"/>
          <w:highlight w:val="none"/>
        </w:rPr>
        <w:t>2</w:t>
      </w:r>
      <w:r>
        <w:rPr>
          <w:rFonts w:ascii="Times New Roman" w:hAnsi="Times New Roman"/>
          <w:highlight w:val="none"/>
        </w:rPr>
        <w:t>可以看出，本项目</w:t>
      </w:r>
      <w:r>
        <w:rPr>
          <w:rFonts w:hint="eastAsia" w:ascii="Times New Roman" w:hAnsi="Times New Roman"/>
          <w:highlight w:val="none"/>
          <w:lang w:val="en-US" w:eastAsia="zh-CN"/>
        </w:rPr>
        <w:t>实际</w:t>
      </w:r>
      <w:r>
        <w:rPr>
          <w:rFonts w:ascii="Times New Roman" w:hAnsi="Times New Roman"/>
          <w:highlight w:val="none"/>
        </w:rPr>
        <w:t>烟气脱硫效率</w:t>
      </w:r>
      <w:r>
        <w:rPr>
          <w:rFonts w:hint="eastAsia" w:ascii="Times New Roman" w:hAnsi="Times New Roman"/>
          <w:highlight w:val="none"/>
          <w:lang w:val="en-US" w:eastAsia="zh-CN"/>
        </w:rPr>
        <w:t>为99.39</w:t>
      </w:r>
      <w:r>
        <w:rPr>
          <w:rFonts w:ascii="Times New Roman" w:hAnsi="Times New Roman"/>
          <w:highlight w:val="none"/>
        </w:rPr>
        <w:t>%</w:t>
      </w:r>
      <w:r>
        <w:rPr>
          <w:rFonts w:hint="eastAsia" w:ascii="Times New Roman" w:hAnsi="Times New Roman"/>
          <w:highlight w:val="none"/>
          <w:lang w:eastAsia="zh-CN"/>
        </w:rPr>
        <w:t>。</w:t>
      </w:r>
    </w:p>
    <w:p w14:paraId="21154222">
      <w:pPr>
        <w:ind w:firstLine="480"/>
        <w:rPr>
          <w:rFonts w:ascii="Times New Roman" w:hAnsi="Times New Roman"/>
          <w:highlight w:val="none"/>
        </w:rPr>
      </w:pPr>
      <w:r>
        <w:rPr>
          <w:rFonts w:ascii="Times New Roman" w:hAnsi="Times New Roman"/>
          <w:highlight w:val="none"/>
        </w:rPr>
        <w:t>根据《排污许可证申请与核发技术规范 锅炉》和《污染源源强核算技术指南 锅炉》，石灰石/石膏湿法脱硫为烟气污染防治可行性技术，石灰石/石膏法烟气脱硫效率在90~99%之间，本项目脱硫塔采用四层喷淋以保证脱硫效率能达到97%以上。</w:t>
      </w:r>
    </w:p>
    <w:p w14:paraId="2E9EC374">
      <w:pPr>
        <w:ind w:firstLine="480"/>
        <w:rPr>
          <w:rFonts w:ascii="Times New Roman" w:hAnsi="Times New Roman"/>
          <w:highlight w:val="none"/>
        </w:rPr>
      </w:pPr>
      <w:r>
        <w:rPr>
          <w:rFonts w:ascii="Times New Roman" w:hAnsi="Times New Roman"/>
          <w:highlight w:val="none"/>
        </w:rPr>
        <w:t>脱硫系统主要工艺指标见表6</w:t>
      </w:r>
      <w:r>
        <w:rPr>
          <w:rFonts w:hint="eastAsia" w:ascii="Times New Roman" w:hAnsi="Times New Roman"/>
          <w:highlight w:val="none"/>
        </w:rPr>
        <w:t>.</w:t>
      </w:r>
      <w:r>
        <w:rPr>
          <w:rFonts w:ascii="Times New Roman" w:hAnsi="Times New Roman"/>
          <w:highlight w:val="none"/>
        </w:rPr>
        <w:t>2-3。</w:t>
      </w:r>
    </w:p>
    <w:p w14:paraId="0C5D82BE">
      <w:pPr>
        <w:ind w:firstLine="0" w:firstLineChars="0"/>
        <w:jc w:val="center"/>
        <w:rPr>
          <w:rFonts w:ascii="Times New Roman" w:hAnsi="Times New Roman"/>
          <w:b/>
          <w:bCs/>
          <w:highlight w:val="none"/>
        </w:rPr>
      </w:pPr>
      <w:r>
        <w:rPr>
          <w:rFonts w:hint="eastAsia" w:ascii="黑体" w:hAnsi="黑体" w:eastAsia="黑体" w:cs="黑体"/>
          <w:b w:val="0"/>
          <w:bCs w:val="0"/>
          <w:highlight w:val="none"/>
        </w:rPr>
        <w:t>表</w:t>
      </w:r>
      <w:r>
        <w:rPr>
          <w:rFonts w:hint="default" w:ascii="Times New Roman" w:hAnsi="Times New Roman" w:eastAsia="黑体" w:cs="Times New Roman"/>
          <w:b w:val="0"/>
          <w:bCs w:val="0"/>
          <w:highlight w:val="none"/>
        </w:rPr>
        <w:t>6.2-3</w:t>
      </w:r>
      <w:r>
        <w:rPr>
          <w:rFonts w:hint="eastAsia" w:ascii="黑体" w:hAnsi="黑体" w:eastAsia="黑体" w:cs="黑体"/>
          <w:b w:val="0"/>
          <w:bCs w:val="0"/>
          <w:highlight w:val="none"/>
        </w:rPr>
        <w:t xml:space="preserve">  脱硫系统主要工艺指标</w:t>
      </w:r>
    </w:p>
    <w:tbl>
      <w:tblPr>
        <w:tblStyle w:val="17"/>
        <w:tblW w:w="4994"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1037"/>
        <w:gridCol w:w="2935"/>
        <w:gridCol w:w="1177"/>
        <w:gridCol w:w="3363"/>
      </w:tblGrid>
      <w:tr w14:paraId="2AC91E5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4" w:hRule="atLeast"/>
          <w:tblHeader/>
        </w:trPr>
        <w:tc>
          <w:tcPr>
            <w:tcW w:w="609" w:type="pct"/>
            <w:noWrap w:val="0"/>
            <w:vAlign w:val="center"/>
          </w:tcPr>
          <w:p w14:paraId="08B83EE7">
            <w:pPr>
              <w:pStyle w:val="27"/>
              <w:textAlignment w:val="center"/>
              <w:rPr>
                <w:rFonts w:ascii="Times New Roman" w:hAnsi="Times New Roman" w:eastAsia="宋体"/>
                <w:kern w:val="0"/>
                <w:highlight w:val="none"/>
              </w:rPr>
            </w:pPr>
            <w:r>
              <w:rPr>
                <w:rFonts w:ascii="Times New Roman" w:hAnsi="Times New Roman" w:eastAsia="宋体"/>
                <w:kern w:val="0"/>
                <w:highlight w:val="none"/>
              </w:rPr>
              <w:t>序号</w:t>
            </w:r>
          </w:p>
        </w:tc>
        <w:tc>
          <w:tcPr>
            <w:tcW w:w="1723" w:type="pct"/>
            <w:noWrap w:val="0"/>
            <w:vAlign w:val="center"/>
          </w:tcPr>
          <w:p w14:paraId="306E20FA">
            <w:pPr>
              <w:pStyle w:val="27"/>
              <w:textAlignment w:val="center"/>
              <w:rPr>
                <w:rFonts w:ascii="Times New Roman" w:hAnsi="Times New Roman" w:eastAsia="宋体"/>
                <w:kern w:val="0"/>
                <w:highlight w:val="none"/>
              </w:rPr>
            </w:pPr>
            <w:r>
              <w:rPr>
                <w:rFonts w:ascii="Times New Roman" w:hAnsi="Times New Roman" w:eastAsia="宋体"/>
                <w:kern w:val="0"/>
                <w:highlight w:val="none"/>
              </w:rPr>
              <w:t>参数</w:t>
            </w:r>
          </w:p>
        </w:tc>
        <w:tc>
          <w:tcPr>
            <w:tcW w:w="691" w:type="pct"/>
            <w:noWrap w:val="0"/>
            <w:vAlign w:val="center"/>
          </w:tcPr>
          <w:p w14:paraId="583C1951">
            <w:pPr>
              <w:pStyle w:val="27"/>
              <w:textAlignment w:val="center"/>
              <w:rPr>
                <w:rFonts w:ascii="Times New Roman" w:hAnsi="Times New Roman" w:eastAsia="宋体"/>
                <w:kern w:val="0"/>
                <w:highlight w:val="none"/>
              </w:rPr>
            </w:pPr>
            <w:r>
              <w:rPr>
                <w:rFonts w:ascii="Times New Roman" w:hAnsi="Times New Roman" w:eastAsia="宋体"/>
                <w:kern w:val="0"/>
                <w:highlight w:val="none"/>
              </w:rPr>
              <w:t>单位</w:t>
            </w:r>
          </w:p>
        </w:tc>
        <w:tc>
          <w:tcPr>
            <w:tcW w:w="1974" w:type="pct"/>
            <w:noWrap w:val="0"/>
            <w:vAlign w:val="center"/>
          </w:tcPr>
          <w:p w14:paraId="6915A096">
            <w:pPr>
              <w:pStyle w:val="27"/>
              <w:textAlignment w:val="center"/>
              <w:rPr>
                <w:rFonts w:ascii="Times New Roman" w:hAnsi="Times New Roman" w:eastAsia="宋体"/>
                <w:kern w:val="0"/>
                <w:highlight w:val="none"/>
              </w:rPr>
            </w:pPr>
            <w:r>
              <w:rPr>
                <w:rFonts w:ascii="Times New Roman" w:hAnsi="Times New Roman" w:eastAsia="宋体"/>
                <w:kern w:val="0"/>
                <w:highlight w:val="none"/>
              </w:rPr>
              <w:t>脱硫工艺：石灰石-石膏法</w:t>
            </w:r>
          </w:p>
        </w:tc>
      </w:tr>
      <w:tr w14:paraId="51E199B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2EC2EBF9">
            <w:pPr>
              <w:pStyle w:val="27"/>
              <w:textAlignment w:val="center"/>
              <w:rPr>
                <w:rFonts w:ascii="Times New Roman" w:hAnsi="Times New Roman" w:eastAsia="宋体"/>
                <w:kern w:val="0"/>
                <w:highlight w:val="none"/>
              </w:rPr>
            </w:pPr>
            <w:r>
              <w:rPr>
                <w:rFonts w:ascii="Times New Roman" w:hAnsi="Times New Roman" w:eastAsia="宋体"/>
                <w:kern w:val="0"/>
                <w:highlight w:val="none"/>
              </w:rPr>
              <w:t>1</w:t>
            </w:r>
          </w:p>
        </w:tc>
        <w:tc>
          <w:tcPr>
            <w:tcW w:w="1723" w:type="pct"/>
            <w:noWrap w:val="0"/>
            <w:vAlign w:val="center"/>
          </w:tcPr>
          <w:p w14:paraId="14FFB20E">
            <w:pPr>
              <w:pStyle w:val="27"/>
              <w:textAlignment w:val="center"/>
              <w:rPr>
                <w:rFonts w:ascii="Times New Roman" w:hAnsi="Times New Roman" w:eastAsia="宋体"/>
                <w:kern w:val="0"/>
                <w:highlight w:val="none"/>
              </w:rPr>
            </w:pPr>
            <w:r>
              <w:rPr>
                <w:rFonts w:ascii="Times New Roman" w:hAnsi="Times New Roman" w:eastAsia="宋体"/>
                <w:kern w:val="0"/>
                <w:highlight w:val="none"/>
              </w:rPr>
              <w:t>设计脱硫效率</w:t>
            </w:r>
          </w:p>
        </w:tc>
        <w:tc>
          <w:tcPr>
            <w:tcW w:w="691" w:type="pct"/>
            <w:noWrap w:val="0"/>
            <w:vAlign w:val="center"/>
          </w:tcPr>
          <w:p w14:paraId="03F7228A">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2D1341BC">
            <w:pPr>
              <w:pStyle w:val="27"/>
              <w:textAlignment w:val="center"/>
              <w:rPr>
                <w:rFonts w:ascii="Times New Roman" w:hAnsi="Times New Roman" w:eastAsia="宋体"/>
                <w:kern w:val="0"/>
                <w:highlight w:val="none"/>
              </w:rPr>
            </w:pPr>
            <w:r>
              <w:rPr>
                <w:rFonts w:ascii="Times New Roman" w:hAnsi="Times New Roman" w:eastAsia="宋体"/>
                <w:kern w:val="0"/>
                <w:highlight w:val="none"/>
              </w:rPr>
              <w:t>≥97</w:t>
            </w:r>
          </w:p>
        </w:tc>
      </w:tr>
      <w:tr w14:paraId="69A3E5C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5761680E">
            <w:pPr>
              <w:pStyle w:val="27"/>
              <w:textAlignment w:val="center"/>
              <w:rPr>
                <w:rFonts w:ascii="Times New Roman" w:hAnsi="Times New Roman" w:eastAsia="宋体"/>
                <w:kern w:val="0"/>
                <w:highlight w:val="none"/>
              </w:rPr>
            </w:pPr>
            <w:r>
              <w:rPr>
                <w:rFonts w:ascii="Times New Roman" w:hAnsi="Times New Roman" w:eastAsia="宋体"/>
                <w:kern w:val="0"/>
                <w:highlight w:val="none"/>
              </w:rPr>
              <w:t>2</w:t>
            </w:r>
          </w:p>
        </w:tc>
        <w:tc>
          <w:tcPr>
            <w:tcW w:w="1723" w:type="pct"/>
            <w:noWrap w:val="0"/>
            <w:vAlign w:val="center"/>
          </w:tcPr>
          <w:p w14:paraId="39CD6598">
            <w:pPr>
              <w:pStyle w:val="27"/>
              <w:textAlignment w:val="center"/>
              <w:rPr>
                <w:rFonts w:ascii="Times New Roman" w:hAnsi="Times New Roman" w:eastAsia="宋体"/>
                <w:kern w:val="0"/>
                <w:highlight w:val="none"/>
              </w:rPr>
            </w:pPr>
            <w:r>
              <w:rPr>
                <w:rFonts w:ascii="Times New Roman" w:hAnsi="Times New Roman" w:eastAsia="宋体"/>
                <w:kern w:val="0"/>
                <w:highlight w:val="none"/>
              </w:rPr>
              <w:t>脱硫后SO</w:t>
            </w:r>
            <w:r>
              <w:rPr>
                <w:rFonts w:ascii="Times New Roman" w:hAnsi="Times New Roman" w:eastAsia="宋体"/>
                <w:kern w:val="0"/>
                <w:highlight w:val="none"/>
                <w:vertAlign w:val="subscript"/>
              </w:rPr>
              <w:t>2</w:t>
            </w:r>
            <w:r>
              <w:rPr>
                <w:rFonts w:ascii="Times New Roman" w:hAnsi="Times New Roman" w:eastAsia="宋体"/>
                <w:kern w:val="0"/>
                <w:highlight w:val="none"/>
              </w:rPr>
              <w:t>排放浓度</w:t>
            </w:r>
          </w:p>
        </w:tc>
        <w:tc>
          <w:tcPr>
            <w:tcW w:w="691" w:type="pct"/>
            <w:noWrap w:val="0"/>
            <w:vAlign w:val="center"/>
          </w:tcPr>
          <w:p w14:paraId="5881E250">
            <w:pPr>
              <w:pStyle w:val="27"/>
              <w:textAlignment w:val="center"/>
              <w:rPr>
                <w:rFonts w:ascii="Times New Roman" w:hAnsi="Times New Roman" w:eastAsia="宋体"/>
                <w:kern w:val="0"/>
                <w:highlight w:val="none"/>
              </w:rPr>
            </w:pPr>
            <w:r>
              <w:rPr>
                <w:rFonts w:ascii="Times New Roman" w:hAnsi="Times New Roman" w:eastAsia="宋体"/>
                <w:kern w:val="0"/>
                <w:highlight w:val="none"/>
              </w:rPr>
              <w:t>mg/Nm</w:t>
            </w:r>
            <w:r>
              <w:rPr>
                <w:rFonts w:ascii="Times New Roman" w:hAnsi="Times New Roman" w:eastAsia="宋体"/>
                <w:kern w:val="0"/>
                <w:highlight w:val="none"/>
                <w:vertAlign w:val="superscript"/>
              </w:rPr>
              <w:t>3</w:t>
            </w:r>
          </w:p>
        </w:tc>
        <w:tc>
          <w:tcPr>
            <w:tcW w:w="1974" w:type="pct"/>
            <w:noWrap w:val="0"/>
            <w:vAlign w:val="center"/>
          </w:tcPr>
          <w:p w14:paraId="4E365865">
            <w:pPr>
              <w:pStyle w:val="27"/>
              <w:textAlignment w:val="center"/>
              <w:rPr>
                <w:rFonts w:ascii="Times New Roman" w:hAnsi="Times New Roman" w:eastAsia="宋体"/>
                <w:kern w:val="0"/>
                <w:highlight w:val="none"/>
              </w:rPr>
            </w:pPr>
            <w:r>
              <w:rPr>
                <w:rFonts w:ascii="Times New Roman" w:hAnsi="Times New Roman" w:eastAsia="宋体"/>
                <w:kern w:val="0"/>
                <w:highlight w:val="none"/>
              </w:rPr>
              <w:t>小于30</w:t>
            </w:r>
          </w:p>
        </w:tc>
      </w:tr>
      <w:tr w14:paraId="2D21CBFD">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1C476E0B">
            <w:pPr>
              <w:pStyle w:val="27"/>
              <w:textAlignment w:val="center"/>
              <w:rPr>
                <w:rFonts w:ascii="Times New Roman" w:hAnsi="Times New Roman" w:eastAsia="宋体"/>
                <w:kern w:val="0"/>
                <w:highlight w:val="none"/>
              </w:rPr>
            </w:pPr>
            <w:r>
              <w:rPr>
                <w:rFonts w:ascii="Times New Roman" w:hAnsi="Times New Roman" w:eastAsia="宋体"/>
                <w:kern w:val="0"/>
                <w:highlight w:val="none"/>
              </w:rPr>
              <w:t>3</w:t>
            </w:r>
          </w:p>
        </w:tc>
        <w:tc>
          <w:tcPr>
            <w:tcW w:w="1723" w:type="pct"/>
            <w:noWrap w:val="0"/>
            <w:vAlign w:val="center"/>
          </w:tcPr>
          <w:p w14:paraId="559BEC67">
            <w:pPr>
              <w:pStyle w:val="27"/>
              <w:textAlignment w:val="center"/>
              <w:rPr>
                <w:rFonts w:ascii="Times New Roman" w:hAnsi="Times New Roman" w:eastAsia="宋体"/>
                <w:kern w:val="0"/>
                <w:highlight w:val="none"/>
              </w:rPr>
            </w:pPr>
            <w:r>
              <w:rPr>
                <w:rFonts w:ascii="Times New Roman" w:hAnsi="Times New Roman" w:eastAsia="宋体"/>
                <w:kern w:val="0"/>
                <w:highlight w:val="none"/>
              </w:rPr>
              <w:t>机组最低运行负荷</w:t>
            </w:r>
          </w:p>
        </w:tc>
        <w:tc>
          <w:tcPr>
            <w:tcW w:w="691" w:type="pct"/>
            <w:noWrap w:val="0"/>
            <w:vAlign w:val="center"/>
          </w:tcPr>
          <w:p w14:paraId="2674B6D2">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6B52C1C1">
            <w:pPr>
              <w:pStyle w:val="27"/>
              <w:textAlignment w:val="center"/>
              <w:rPr>
                <w:rFonts w:ascii="Times New Roman" w:hAnsi="Times New Roman" w:eastAsia="宋体"/>
                <w:kern w:val="0"/>
                <w:highlight w:val="none"/>
              </w:rPr>
            </w:pPr>
            <w:r>
              <w:rPr>
                <w:rFonts w:ascii="Times New Roman" w:hAnsi="Times New Roman" w:eastAsia="宋体"/>
                <w:kern w:val="0"/>
                <w:highlight w:val="none"/>
              </w:rPr>
              <w:t>30</w:t>
            </w:r>
          </w:p>
        </w:tc>
      </w:tr>
      <w:tr w14:paraId="3FE23DA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1F674A1E">
            <w:pPr>
              <w:pStyle w:val="27"/>
              <w:textAlignment w:val="center"/>
              <w:rPr>
                <w:rFonts w:ascii="Times New Roman" w:hAnsi="Times New Roman" w:eastAsia="宋体"/>
                <w:kern w:val="0"/>
                <w:highlight w:val="none"/>
              </w:rPr>
            </w:pPr>
            <w:r>
              <w:rPr>
                <w:rFonts w:ascii="Times New Roman" w:hAnsi="Times New Roman" w:eastAsia="宋体"/>
                <w:kern w:val="0"/>
                <w:highlight w:val="none"/>
              </w:rPr>
              <w:t>4</w:t>
            </w:r>
          </w:p>
        </w:tc>
        <w:tc>
          <w:tcPr>
            <w:tcW w:w="1723" w:type="pct"/>
            <w:noWrap w:val="0"/>
            <w:vAlign w:val="center"/>
          </w:tcPr>
          <w:p w14:paraId="055180B8">
            <w:pPr>
              <w:pStyle w:val="27"/>
              <w:textAlignment w:val="center"/>
              <w:rPr>
                <w:rFonts w:ascii="Times New Roman" w:hAnsi="Times New Roman" w:eastAsia="宋体"/>
                <w:kern w:val="0"/>
                <w:highlight w:val="none"/>
              </w:rPr>
            </w:pPr>
            <w:r>
              <w:rPr>
                <w:rFonts w:ascii="Times New Roman" w:hAnsi="Times New Roman" w:eastAsia="宋体"/>
                <w:kern w:val="0"/>
                <w:highlight w:val="none"/>
              </w:rPr>
              <w:t>吸收剂</w:t>
            </w:r>
          </w:p>
        </w:tc>
        <w:tc>
          <w:tcPr>
            <w:tcW w:w="691" w:type="pct"/>
            <w:noWrap w:val="0"/>
            <w:vAlign w:val="center"/>
          </w:tcPr>
          <w:p w14:paraId="20399486">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5887D4DD">
            <w:pPr>
              <w:pStyle w:val="27"/>
              <w:textAlignment w:val="center"/>
              <w:rPr>
                <w:rFonts w:ascii="Times New Roman" w:hAnsi="Times New Roman" w:eastAsia="宋体"/>
                <w:kern w:val="0"/>
                <w:highlight w:val="none"/>
              </w:rPr>
            </w:pPr>
            <w:r>
              <w:rPr>
                <w:rFonts w:ascii="Times New Roman" w:hAnsi="Times New Roman" w:eastAsia="宋体"/>
                <w:kern w:val="0"/>
                <w:highlight w:val="none"/>
              </w:rPr>
              <w:t>石灰石</w:t>
            </w:r>
          </w:p>
        </w:tc>
      </w:tr>
      <w:tr w14:paraId="54F99AD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4D6F0FC1">
            <w:pPr>
              <w:pStyle w:val="27"/>
              <w:textAlignment w:val="center"/>
              <w:rPr>
                <w:rFonts w:ascii="Times New Roman" w:hAnsi="Times New Roman" w:eastAsia="宋体"/>
                <w:kern w:val="0"/>
                <w:highlight w:val="none"/>
              </w:rPr>
            </w:pPr>
            <w:r>
              <w:rPr>
                <w:rFonts w:ascii="Times New Roman" w:hAnsi="Times New Roman" w:eastAsia="宋体"/>
                <w:kern w:val="0"/>
                <w:highlight w:val="none"/>
              </w:rPr>
              <w:t>5</w:t>
            </w:r>
          </w:p>
        </w:tc>
        <w:tc>
          <w:tcPr>
            <w:tcW w:w="1723" w:type="pct"/>
            <w:noWrap w:val="0"/>
            <w:vAlign w:val="center"/>
          </w:tcPr>
          <w:p w14:paraId="5C76A8A7">
            <w:pPr>
              <w:pStyle w:val="27"/>
              <w:textAlignment w:val="center"/>
              <w:rPr>
                <w:rFonts w:ascii="Times New Roman" w:hAnsi="Times New Roman" w:eastAsia="宋体"/>
                <w:kern w:val="0"/>
                <w:highlight w:val="none"/>
              </w:rPr>
            </w:pPr>
            <w:r>
              <w:rPr>
                <w:rFonts w:ascii="Times New Roman" w:hAnsi="Times New Roman" w:eastAsia="宋体"/>
                <w:kern w:val="0"/>
                <w:highlight w:val="none"/>
              </w:rPr>
              <w:t>系统可用率</w:t>
            </w:r>
          </w:p>
        </w:tc>
        <w:tc>
          <w:tcPr>
            <w:tcW w:w="691" w:type="pct"/>
            <w:noWrap w:val="0"/>
            <w:vAlign w:val="center"/>
          </w:tcPr>
          <w:p w14:paraId="22E98990">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491C0483">
            <w:pPr>
              <w:pStyle w:val="27"/>
              <w:textAlignment w:val="center"/>
              <w:rPr>
                <w:rFonts w:ascii="Times New Roman" w:hAnsi="Times New Roman" w:eastAsia="宋体"/>
                <w:kern w:val="0"/>
                <w:highlight w:val="none"/>
              </w:rPr>
            </w:pPr>
            <w:r>
              <w:rPr>
                <w:rFonts w:ascii="Times New Roman" w:hAnsi="Times New Roman" w:eastAsia="宋体"/>
                <w:kern w:val="0"/>
                <w:highlight w:val="none"/>
              </w:rPr>
              <w:t>≥98</w:t>
            </w:r>
          </w:p>
        </w:tc>
      </w:tr>
      <w:tr w14:paraId="68B4CFF4">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7212F821">
            <w:pPr>
              <w:pStyle w:val="27"/>
              <w:textAlignment w:val="center"/>
              <w:rPr>
                <w:rFonts w:ascii="Times New Roman" w:hAnsi="Times New Roman" w:eastAsia="宋体"/>
                <w:kern w:val="0"/>
                <w:highlight w:val="none"/>
              </w:rPr>
            </w:pPr>
            <w:r>
              <w:rPr>
                <w:rFonts w:ascii="Times New Roman" w:hAnsi="Times New Roman" w:eastAsia="宋体"/>
                <w:kern w:val="0"/>
                <w:highlight w:val="none"/>
              </w:rPr>
              <w:t>6</w:t>
            </w:r>
          </w:p>
        </w:tc>
        <w:tc>
          <w:tcPr>
            <w:tcW w:w="1723" w:type="pct"/>
            <w:noWrap w:val="0"/>
            <w:vAlign w:val="center"/>
          </w:tcPr>
          <w:p w14:paraId="584F6E1E">
            <w:pPr>
              <w:pStyle w:val="27"/>
              <w:textAlignment w:val="center"/>
              <w:rPr>
                <w:rFonts w:ascii="Times New Roman" w:hAnsi="Times New Roman" w:eastAsia="宋体"/>
                <w:kern w:val="0"/>
                <w:highlight w:val="none"/>
              </w:rPr>
            </w:pPr>
            <w:r>
              <w:rPr>
                <w:rFonts w:ascii="Times New Roman" w:hAnsi="Times New Roman" w:eastAsia="宋体"/>
                <w:kern w:val="0"/>
                <w:highlight w:val="none"/>
              </w:rPr>
              <w:t>脱硫副产物</w:t>
            </w:r>
          </w:p>
        </w:tc>
        <w:tc>
          <w:tcPr>
            <w:tcW w:w="691" w:type="pct"/>
            <w:noWrap w:val="0"/>
            <w:vAlign w:val="center"/>
          </w:tcPr>
          <w:p w14:paraId="175519C0">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0C26A65D">
            <w:pPr>
              <w:pStyle w:val="27"/>
              <w:textAlignment w:val="center"/>
              <w:rPr>
                <w:rFonts w:ascii="Times New Roman" w:hAnsi="Times New Roman" w:eastAsia="宋体"/>
                <w:kern w:val="0"/>
                <w:highlight w:val="none"/>
              </w:rPr>
            </w:pPr>
            <w:r>
              <w:rPr>
                <w:rFonts w:ascii="Times New Roman" w:hAnsi="Times New Roman" w:eastAsia="宋体"/>
                <w:kern w:val="0"/>
                <w:highlight w:val="none"/>
              </w:rPr>
              <w:t>石膏</w:t>
            </w:r>
          </w:p>
        </w:tc>
      </w:tr>
      <w:tr w14:paraId="0FA0504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13745039">
            <w:pPr>
              <w:pStyle w:val="27"/>
              <w:textAlignment w:val="center"/>
              <w:rPr>
                <w:rFonts w:ascii="Times New Roman" w:hAnsi="Times New Roman" w:eastAsia="宋体"/>
                <w:kern w:val="0"/>
                <w:highlight w:val="none"/>
              </w:rPr>
            </w:pPr>
            <w:r>
              <w:rPr>
                <w:rFonts w:ascii="Times New Roman" w:hAnsi="Times New Roman" w:eastAsia="宋体"/>
                <w:kern w:val="0"/>
                <w:highlight w:val="none"/>
              </w:rPr>
              <w:t>7</w:t>
            </w:r>
          </w:p>
        </w:tc>
        <w:tc>
          <w:tcPr>
            <w:tcW w:w="1723" w:type="pct"/>
            <w:noWrap w:val="0"/>
            <w:vAlign w:val="center"/>
          </w:tcPr>
          <w:p w14:paraId="540C16A3">
            <w:pPr>
              <w:pStyle w:val="27"/>
              <w:textAlignment w:val="center"/>
              <w:rPr>
                <w:rFonts w:ascii="Times New Roman" w:hAnsi="Times New Roman" w:eastAsia="宋体"/>
                <w:kern w:val="0"/>
                <w:highlight w:val="none"/>
              </w:rPr>
            </w:pPr>
            <w:r>
              <w:rPr>
                <w:rFonts w:ascii="Times New Roman" w:hAnsi="Times New Roman" w:eastAsia="宋体"/>
                <w:kern w:val="0"/>
                <w:highlight w:val="none"/>
              </w:rPr>
              <w:t>二次污染</w:t>
            </w:r>
          </w:p>
        </w:tc>
        <w:tc>
          <w:tcPr>
            <w:tcW w:w="691" w:type="pct"/>
            <w:noWrap w:val="0"/>
            <w:vAlign w:val="center"/>
          </w:tcPr>
          <w:p w14:paraId="3985D9D1">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4013C3A8">
            <w:pPr>
              <w:pStyle w:val="27"/>
              <w:textAlignment w:val="center"/>
              <w:rPr>
                <w:rFonts w:ascii="Times New Roman" w:hAnsi="Times New Roman" w:eastAsia="宋体"/>
                <w:kern w:val="0"/>
                <w:highlight w:val="none"/>
              </w:rPr>
            </w:pPr>
            <w:r>
              <w:rPr>
                <w:rFonts w:ascii="Times New Roman" w:hAnsi="Times New Roman" w:eastAsia="宋体"/>
                <w:kern w:val="0"/>
                <w:highlight w:val="none"/>
              </w:rPr>
              <w:t>达到国家有关标准的规定</w:t>
            </w:r>
          </w:p>
        </w:tc>
      </w:tr>
      <w:tr w14:paraId="5267416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65" w:hRule="atLeast"/>
        </w:trPr>
        <w:tc>
          <w:tcPr>
            <w:tcW w:w="609" w:type="pct"/>
            <w:noWrap w:val="0"/>
            <w:vAlign w:val="center"/>
          </w:tcPr>
          <w:p w14:paraId="2C7C395F">
            <w:pPr>
              <w:pStyle w:val="27"/>
              <w:textAlignment w:val="center"/>
              <w:rPr>
                <w:rFonts w:ascii="Times New Roman" w:hAnsi="Times New Roman" w:eastAsia="宋体"/>
                <w:kern w:val="0"/>
                <w:highlight w:val="none"/>
              </w:rPr>
            </w:pPr>
            <w:bookmarkStart w:id="158" w:name="_Toc196134602"/>
            <w:bookmarkEnd w:id="158"/>
            <w:bookmarkStart w:id="159" w:name="_Toc65500781"/>
            <w:bookmarkEnd w:id="159"/>
            <w:r>
              <w:rPr>
                <w:rFonts w:ascii="Times New Roman" w:hAnsi="Times New Roman" w:eastAsia="宋体"/>
                <w:kern w:val="0"/>
                <w:highlight w:val="none"/>
              </w:rPr>
              <w:t>8</w:t>
            </w:r>
          </w:p>
        </w:tc>
        <w:tc>
          <w:tcPr>
            <w:tcW w:w="1723" w:type="pct"/>
            <w:noWrap w:val="0"/>
            <w:vAlign w:val="center"/>
          </w:tcPr>
          <w:p w14:paraId="4F1C9DDC">
            <w:pPr>
              <w:pStyle w:val="27"/>
              <w:textAlignment w:val="center"/>
              <w:rPr>
                <w:rFonts w:ascii="Times New Roman" w:hAnsi="Times New Roman" w:eastAsia="宋体"/>
                <w:kern w:val="0"/>
                <w:highlight w:val="none"/>
              </w:rPr>
            </w:pPr>
            <w:r>
              <w:rPr>
                <w:rFonts w:ascii="Times New Roman" w:hAnsi="Times New Roman" w:eastAsia="宋体"/>
                <w:kern w:val="0"/>
                <w:highlight w:val="none"/>
              </w:rPr>
              <w:t>控制标准</w:t>
            </w:r>
          </w:p>
        </w:tc>
        <w:tc>
          <w:tcPr>
            <w:tcW w:w="691" w:type="pct"/>
            <w:noWrap w:val="0"/>
            <w:vAlign w:val="center"/>
          </w:tcPr>
          <w:p w14:paraId="6F10DF67">
            <w:pPr>
              <w:pStyle w:val="27"/>
              <w:textAlignment w:val="center"/>
              <w:rPr>
                <w:rFonts w:ascii="Times New Roman" w:hAnsi="Times New Roman" w:eastAsia="宋体"/>
                <w:kern w:val="0"/>
                <w:highlight w:val="none"/>
              </w:rPr>
            </w:pPr>
            <w:r>
              <w:rPr>
                <w:rFonts w:ascii="Times New Roman" w:hAnsi="Times New Roman" w:eastAsia="宋体"/>
                <w:kern w:val="0"/>
                <w:highlight w:val="none"/>
              </w:rPr>
              <w:t>mg/Nm</w:t>
            </w:r>
            <w:r>
              <w:rPr>
                <w:rFonts w:ascii="Times New Roman" w:hAnsi="Times New Roman" w:eastAsia="宋体"/>
                <w:kern w:val="0"/>
                <w:highlight w:val="none"/>
                <w:vertAlign w:val="superscript"/>
              </w:rPr>
              <w:t>3</w:t>
            </w:r>
          </w:p>
        </w:tc>
        <w:tc>
          <w:tcPr>
            <w:tcW w:w="1974" w:type="pct"/>
            <w:noWrap w:val="0"/>
            <w:vAlign w:val="center"/>
          </w:tcPr>
          <w:p w14:paraId="1A0A6664">
            <w:pPr>
              <w:pStyle w:val="27"/>
              <w:textAlignment w:val="center"/>
              <w:rPr>
                <w:rFonts w:ascii="Times New Roman" w:hAnsi="Times New Roman" w:eastAsia="宋体"/>
                <w:kern w:val="0"/>
                <w:highlight w:val="none"/>
              </w:rPr>
            </w:pPr>
            <w:r>
              <w:rPr>
                <w:rFonts w:hint="eastAsia" w:ascii="宋体" w:hAnsi="宋体" w:eastAsia="宋体" w:cs="宋体"/>
                <w:kern w:val="0"/>
                <w:highlight w:val="none"/>
              </w:rPr>
              <w:t>≦</w:t>
            </w:r>
            <w:r>
              <w:rPr>
                <w:rFonts w:ascii="Times New Roman" w:hAnsi="Times New Roman" w:eastAsia="宋体"/>
                <w:kern w:val="0"/>
                <w:highlight w:val="none"/>
              </w:rPr>
              <w:t>35</w:t>
            </w:r>
          </w:p>
        </w:tc>
      </w:tr>
      <w:tr w14:paraId="139CB7A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7" w:hRule="atLeast"/>
        </w:trPr>
        <w:tc>
          <w:tcPr>
            <w:tcW w:w="609" w:type="pct"/>
            <w:noWrap w:val="0"/>
            <w:vAlign w:val="center"/>
          </w:tcPr>
          <w:p w14:paraId="4FDA9938">
            <w:pPr>
              <w:pStyle w:val="27"/>
              <w:textAlignment w:val="center"/>
              <w:rPr>
                <w:rFonts w:ascii="Times New Roman" w:hAnsi="Times New Roman" w:eastAsia="宋体"/>
                <w:kern w:val="0"/>
                <w:highlight w:val="none"/>
              </w:rPr>
            </w:pPr>
            <w:r>
              <w:rPr>
                <w:rFonts w:ascii="Times New Roman" w:hAnsi="Times New Roman" w:eastAsia="宋体"/>
                <w:kern w:val="0"/>
                <w:highlight w:val="none"/>
              </w:rPr>
              <w:t>9</w:t>
            </w:r>
          </w:p>
        </w:tc>
        <w:tc>
          <w:tcPr>
            <w:tcW w:w="1723" w:type="pct"/>
            <w:noWrap w:val="0"/>
            <w:vAlign w:val="center"/>
          </w:tcPr>
          <w:p w14:paraId="39F00A90">
            <w:pPr>
              <w:pStyle w:val="27"/>
              <w:textAlignment w:val="center"/>
              <w:rPr>
                <w:rFonts w:ascii="Times New Roman" w:hAnsi="Times New Roman" w:eastAsia="宋体"/>
                <w:kern w:val="0"/>
                <w:highlight w:val="none"/>
              </w:rPr>
            </w:pPr>
            <w:r>
              <w:rPr>
                <w:rFonts w:ascii="Times New Roman" w:hAnsi="Times New Roman" w:eastAsia="宋体"/>
                <w:kern w:val="0"/>
                <w:highlight w:val="none"/>
              </w:rPr>
              <w:t>对标结果</w:t>
            </w:r>
          </w:p>
        </w:tc>
        <w:tc>
          <w:tcPr>
            <w:tcW w:w="691" w:type="pct"/>
            <w:noWrap w:val="0"/>
            <w:vAlign w:val="center"/>
          </w:tcPr>
          <w:p w14:paraId="025F124F">
            <w:pPr>
              <w:pStyle w:val="27"/>
              <w:textAlignment w:val="center"/>
              <w:rPr>
                <w:rFonts w:ascii="Times New Roman" w:hAnsi="Times New Roman" w:eastAsia="宋体"/>
                <w:kern w:val="0"/>
                <w:highlight w:val="none"/>
              </w:rPr>
            </w:pPr>
            <w:r>
              <w:rPr>
                <w:rFonts w:ascii="Times New Roman" w:hAnsi="Times New Roman" w:eastAsia="宋体"/>
                <w:kern w:val="0"/>
                <w:highlight w:val="none"/>
              </w:rPr>
              <w:t>/</w:t>
            </w:r>
          </w:p>
        </w:tc>
        <w:tc>
          <w:tcPr>
            <w:tcW w:w="1974" w:type="pct"/>
            <w:noWrap w:val="0"/>
            <w:vAlign w:val="center"/>
          </w:tcPr>
          <w:p w14:paraId="6D3362AB">
            <w:pPr>
              <w:pStyle w:val="27"/>
              <w:textAlignment w:val="center"/>
              <w:rPr>
                <w:rFonts w:ascii="Times New Roman" w:hAnsi="Times New Roman" w:eastAsia="宋体"/>
                <w:kern w:val="0"/>
                <w:highlight w:val="none"/>
              </w:rPr>
            </w:pPr>
            <w:r>
              <w:rPr>
                <w:rFonts w:ascii="Times New Roman" w:hAnsi="Times New Roman" w:eastAsia="宋体"/>
                <w:kern w:val="0"/>
                <w:highlight w:val="none"/>
              </w:rPr>
              <w:t>满足标准要求</w:t>
            </w:r>
          </w:p>
        </w:tc>
      </w:tr>
    </w:tbl>
    <w:p w14:paraId="1FC77615">
      <w:pPr>
        <w:ind w:firstLine="480"/>
        <w:rPr>
          <w:rFonts w:ascii="Times New Roman" w:hAnsi="Times New Roman"/>
          <w:highlight w:val="none"/>
        </w:rPr>
      </w:pPr>
      <w:r>
        <w:rPr>
          <w:rFonts w:ascii="Times New Roman" w:hAnsi="Times New Roman"/>
          <w:highlight w:val="none"/>
        </w:rPr>
        <w:t>本项目经过脱硫效率为</w:t>
      </w:r>
      <w:r>
        <w:rPr>
          <w:rFonts w:hint="eastAsia" w:ascii="Times New Roman" w:hAnsi="Times New Roman"/>
          <w:highlight w:val="none"/>
          <w:lang w:val="en-US" w:eastAsia="zh-CN"/>
        </w:rPr>
        <w:t>99.39</w:t>
      </w:r>
      <w:r>
        <w:rPr>
          <w:rFonts w:ascii="Times New Roman" w:hAnsi="Times New Roman"/>
          <w:highlight w:val="none"/>
        </w:rPr>
        <w:t>%的石灰石/石膏法脱硫措施处理后，SO</w:t>
      </w:r>
      <w:r>
        <w:rPr>
          <w:rFonts w:ascii="Times New Roman" w:hAnsi="Times New Roman"/>
          <w:highlight w:val="none"/>
          <w:vertAlign w:val="subscript"/>
        </w:rPr>
        <w:t>2</w:t>
      </w:r>
      <w:r>
        <w:rPr>
          <w:rFonts w:ascii="Times New Roman" w:hAnsi="Times New Roman"/>
          <w:highlight w:val="none"/>
        </w:rPr>
        <w:t>实际排放浓度满足超低排放要求（即在基准氧含量6%条件下，烟尘、SO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X</w:t>
      </w:r>
      <w:r>
        <w:rPr>
          <w:rFonts w:ascii="Times New Roman" w:hAnsi="Times New Roman"/>
          <w:highlight w:val="none"/>
        </w:rPr>
        <w:t>排放浓度分别不高于10mg/m</w:t>
      </w:r>
      <w:r>
        <w:rPr>
          <w:rFonts w:ascii="Times New Roman" w:hAnsi="Times New Roman"/>
          <w:highlight w:val="none"/>
          <w:vertAlign w:val="superscript"/>
        </w:rPr>
        <w:t>3</w:t>
      </w:r>
      <w:r>
        <w:rPr>
          <w:rFonts w:ascii="Times New Roman" w:hAnsi="Times New Roman"/>
          <w:highlight w:val="none"/>
        </w:rPr>
        <w:t>、35mg/m</w:t>
      </w:r>
      <w:r>
        <w:rPr>
          <w:rFonts w:ascii="Times New Roman" w:hAnsi="Times New Roman"/>
          <w:highlight w:val="none"/>
          <w:vertAlign w:val="superscript"/>
        </w:rPr>
        <w:t>3</w:t>
      </w:r>
      <w:r>
        <w:rPr>
          <w:rFonts w:ascii="Times New Roman" w:hAnsi="Times New Roman"/>
          <w:highlight w:val="none"/>
        </w:rPr>
        <w:t>、50mg/m</w:t>
      </w:r>
      <w:r>
        <w:rPr>
          <w:rFonts w:ascii="Times New Roman" w:hAnsi="Times New Roman"/>
          <w:highlight w:val="none"/>
          <w:vertAlign w:val="superscript"/>
        </w:rPr>
        <w:t>3</w:t>
      </w:r>
      <w:r>
        <w:rPr>
          <w:rFonts w:ascii="Times New Roman" w:hAnsi="Times New Roman"/>
          <w:highlight w:val="none"/>
        </w:rPr>
        <w:t>）。因此，本项目采用石灰石/石膏湿法脱硫，技术可行。</w:t>
      </w:r>
    </w:p>
    <w:p w14:paraId="6884C84D">
      <w:pPr>
        <w:ind w:firstLine="480"/>
        <w:rPr>
          <w:rFonts w:ascii="Times New Roman" w:hAnsi="Times New Roman"/>
          <w:highlight w:val="none"/>
        </w:rPr>
      </w:pPr>
      <w:r>
        <w:rPr>
          <w:rFonts w:ascii="Times New Roman" w:hAnsi="Times New Roman"/>
          <w:highlight w:val="none"/>
        </w:rPr>
        <w:t>二、NOx污染控制措施</w:t>
      </w:r>
    </w:p>
    <w:p w14:paraId="1E3E9461">
      <w:pPr>
        <w:ind w:firstLine="480"/>
        <w:rPr>
          <w:rFonts w:ascii="Times New Roman" w:hAnsi="Times New Roman"/>
          <w:highlight w:val="none"/>
        </w:rPr>
      </w:pPr>
      <w:r>
        <w:rPr>
          <w:rFonts w:ascii="Times New Roman" w:hAnsi="Times New Roman"/>
          <w:highlight w:val="none"/>
        </w:rPr>
        <w:t>根据《排污许可证申请与核发技术规范 锅炉》和《污染源源强核算技术指南 锅炉》，本项目采用低氮燃烧+SNCR-SCR联合法脱硝技术去除NOx。锅炉低氮燃烧技术是控制NOx的首选技术，在保证锅炉效率和安全的前提下应尽可能降低锅炉出口NOx的浓度。</w:t>
      </w:r>
    </w:p>
    <w:p w14:paraId="479ACAEE">
      <w:pPr>
        <w:ind w:firstLine="480"/>
        <w:rPr>
          <w:rFonts w:ascii="Times New Roman" w:hAnsi="Times New Roman"/>
          <w:highlight w:val="none"/>
        </w:rPr>
      </w:pPr>
      <w:r>
        <w:rPr>
          <w:rFonts w:ascii="Times New Roman" w:hAnsi="Times New Roman"/>
          <w:highlight w:val="none"/>
        </w:rPr>
        <w:t>SNCR-SCR联合脱硝工艺整个系统分为：尿素溶液制备与储存系统，尿素溶液输送系统，计量混合系统，分配系统，喷射组件等。</w:t>
      </w:r>
    </w:p>
    <w:p w14:paraId="42DE07FD">
      <w:pPr>
        <w:ind w:firstLine="480"/>
        <w:rPr>
          <w:rFonts w:ascii="Times New Roman" w:hAnsi="Times New Roman"/>
          <w:highlight w:val="none"/>
        </w:rPr>
      </w:pPr>
      <w:r>
        <w:rPr>
          <w:rFonts w:ascii="Times New Roman" w:hAnsi="Times New Roman"/>
          <w:highlight w:val="none"/>
        </w:rPr>
        <w:t>SNCR系统主要由尿素加注、存储系统、尿素输送系统、稀释水系统、还原剂炉前计量分配及喷射系统组成。SNCR是一种以NH</w:t>
      </w:r>
      <w:r>
        <w:rPr>
          <w:rFonts w:ascii="Times New Roman" w:hAnsi="Times New Roman"/>
          <w:highlight w:val="none"/>
          <w:vertAlign w:val="subscript"/>
        </w:rPr>
        <w:t>3</w:t>
      </w:r>
      <w:r>
        <w:rPr>
          <w:rFonts w:ascii="Times New Roman" w:hAnsi="Times New Roman"/>
          <w:highlight w:val="none"/>
        </w:rPr>
        <w:t>作为还原剂直接喷入炉膛内，利用炉膛高温，将烟气中的NO</w:t>
      </w:r>
      <w:r>
        <w:rPr>
          <w:rFonts w:ascii="Times New Roman" w:hAnsi="Times New Roman"/>
          <w:highlight w:val="none"/>
          <w:vertAlign w:val="subscript"/>
        </w:rPr>
        <w:t>X</w:t>
      </w:r>
      <w:r>
        <w:rPr>
          <w:rFonts w:ascii="Times New Roman" w:hAnsi="Times New Roman"/>
          <w:highlight w:val="none"/>
        </w:rPr>
        <w:t>分解成无害的N</w:t>
      </w:r>
      <w:r>
        <w:rPr>
          <w:rFonts w:ascii="Times New Roman" w:hAnsi="Times New Roman"/>
          <w:highlight w:val="none"/>
          <w:vertAlign w:val="subscript"/>
        </w:rPr>
        <w:t>2</w:t>
      </w:r>
      <w:r>
        <w:rPr>
          <w:rFonts w:ascii="Times New Roman" w:hAnsi="Times New Roman"/>
          <w:highlight w:val="none"/>
        </w:rPr>
        <w:t>和H</w:t>
      </w:r>
      <w:r>
        <w:rPr>
          <w:rFonts w:ascii="Times New Roman" w:hAnsi="Times New Roman"/>
          <w:highlight w:val="none"/>
          <w:vertAlign w:val="subscript"/>
        </w:rPr>
        <w:t>2</w:t>
      </w:r>
      <w:r>
        <w:rPr>
          <w:rFonts w:ascii="Times New Roman" w:hAnsi="Times New Roman"/>
          <w:highlight w:val="none"/>
        </w:rPr>
        <w:t>O的脱硝方法。本方法不单独设反应器，直接在旋风分离器内反应，设备简单，还原剂贮存和输送稀释系统和SCR共用，只需每台锅炉单独设一套喷射及控制系统和吹扫系统即可。</w:t>
      </w:r>
    </w:p>
    <w:p w14:paraId="78171193">
      <w:pPr>
        <w:ind w:firstLine="480"/>
        <w:rPr>
          <w:rFonts w:ascii="Times New Roman" w:hAnsi="Times New Roman"/>
          <w:highlight w:val="none"/>
        </w:rPr>
      </w:pPr>
      <w:r>
        <w:rPr>
          <w:rFonts w:ascii="Times New Roman" w:hAnsi="Times New Roman"/>
          <w:highlight w:val="none"/>
        </w:rPr>
        <w:t>SCR脱硝系统布置在锅炉尾部烟道内，催化剂共两层，初装一层、预留一层，反应区利用锅炉尾部烟道合适位置的补氨及前面SNCR段逃逸过来的氨气，在反应器内催化剂的作用下氨气与NOx反应，从而脱除NOx，最终处理后的烟气经过烟筒排入大气，催化剂使用寿命为三年。</w:t>
      </w:r>
    </w:p>
    <w:p w14:paraId="314ED605">
      <w:pPr>
        <w:rPr>
          <w:rFonts w:ascii="Times New Roman" w:hAnsi="Times New Roman"/>
          <w:highlight w:val="none"/>
        </w:rPr>
      </w:pPr>
      <w:r>
        <w:rPr>
          <w:rFonts w:ascii="Times New Roman" w:hAnsi="Times New Roman"/>
          <w:highlight w:val="none"/>
        </w:rPr>
        <w:t>SNCR-SCR联合脱硝工艺具有2个反应区，通过布置在锅炉炉墙上的喷射系统，首先将还原剂喷入第1个反应区-炉膛，在高温下还原剂与NO</w:t>
      </w:r>
      <w:r>
        <w:rPr>
          <w:rFonts w:ascii="Times New Roman" w:hAnsi="Times New Roman"/>
          <w:highlight w:val="none"/>
          <w:vertAlign w:val="subscript"/>
        </w:rPr>
        <w:t>X</w:t>
      </w:r>
      <w:r>
        <w:rPr>
          <w:rFonts w:ascii="Times New Roman" w:hAnsi="Times New Roman"/>
          <w:highlight w:val="none"/>
        </w:rPr>
        <w:t>在没有催化剂参与的情况下发生还原反应，实现初步脱硝。然后未参与反应的还原剂进入混合工艺的第2个反应区SCR反应器，在有催化还原的情况下进一步脱硝。</w:t>
      </w:r>
    </w:p>
    <w:p w14:paraId="3412DC6B">
      <w:pPr>
        <w:pStyle w:val="15"/>
        <w:ind w:left="0" w:leftChars="0"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5466715" cy="2609215"/>
            <wp:effectExtent l="0" t="0" r="635" b="635"/>
            <wp:docPr id="1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9"/>
                    <pic:cNvPicPr>
                      <a:picLocks noChangeAspect="1"/>
                    </pic:cNvPicPr>
                  </pic:nvPicPr>
                  <pic:blipFill>
                    <a:blip r:embed="rId59"/>
                    <a:stretch>
                      <a:fillRect/>
                    </a:stretch>
                  </pic:blipFill>
                  <pic:spPr>
                    <a:xfrm>
                      <a:off x="0" y="0"/>
                      <a:ext cx="5466715" cy="2609215"/>
                    </a:xfrm>
                    <a:prstGeom prst="rect">
                      <a:avLst/>
                    </a:prstGeom>
                    <a:noFill/>
                    <a:ln>
                      <a:noFill/>
                    </a:ln>
                  </pic:spPr>
                </pic:pic>
              </a:graphicData>
            </a:graphic>
          </wp:inline>
        </w:drawing>
      </w:r>
    </w:p>
    <w:p w14:paraId="2BD1D3BF">
      <w:pPr>
        <w:ind w:firstLine="0" w:firstLineChars="0"/>
        <w:jc w:val="center"/>
        <w:rPr>
          <w:rFonts w:ascii="Times New Roman" w:hAnsi="Times New Roman"/>
          <w:highlight w:val="none"/>
        </w:rPr>
      </w:pPr>
      <w:r>
        <w:rPr>
          <w:rFonts w:hint="eastAsia" w:ascii="黑体" w:hAnsi="黑体" w:eastAsia="黑体" w:cs="黑体"/>
          <w:b w:val="0"/>
          <w:bCs w:val="0"/>
          <w:highlight w:val="none"/>
        </w:rPr>
        <w:t>图</w:t>
      </w:r>
      <w:r>
        <w:rPr>
          <w:rFonts w:hint="default" w:ascii="Times New Roman" w:hAnsi="Times New Roman" w:eastAsia="黑体" w:cs="Times New Roman"/>
          <w:b w:val="0"/>
          <w:bCs w:val="0"/>
          <w:highlight w:val="none"/>
        </w:rPr>
        <w:t>6.2-1</w:t>
      </w:r>
      <w:r>
        <w:rPr>
          <w:rFonts w:hint="eastAsia" w:ascii="黑体" w:hAnsi="黑体" w:eastAsia="黑体" w:cs="黑体"/>
          <w:b w:val="0"/>
          <w:bCs w:val="0"/>
          <w:highlight w:val="none"/>
        </w:rPr>
        <w:t>典型循环流化床锅炉SNCR-SCR联合脱硝工艺流程图</w:t>
      </w:r>
    </w:p>
    <w:p w14:paraId="41189EE2">
      <w:pPr>
        <w:ind w:firstLine="480"/>
        <w:rPr>
          <w:rFonts w:ascii="Times New Roman" w:hAnsi="Times New Roman"/>
          <w:highlight w:val="none"/>
        </w:rPr>
      </w:pPr>
      <w:r>
        <w:rPr>
          <w:rFonts w:ascii="Times New Roman" w:hAnsi="Times New Roman"/>
          <w:highlight w:val="none"/>
        </w:rPr>
        <w:t>混合SNCR-SCR工艺主要的改进就是省去了SCR工艺设置在烟道的复杂氨气喷射格栅系统，并大幅度减少了催化剂的用量，减少初期投入成本以及运行费用。</w:t>
      </w:r>
    </w:p>
    <w:p w14:paraId="406CD3EA">
      <w:pPr>
        <w:ind w:firstLine="480"/>
        <w:rPr>
          <w:rFonts w:ascii="Times New Roman" w:hAnsi="Times New Roman"/>
          <w:highlight w:val="none"/>
        </w:rPr>
      </w:pPr>
      <w:r>
        <w:rPr>
          <w:rFonts w:ascii="Times New Roman" w:hAnsi="Times New Roman"/>
          <w:highlight w:val="none"/>
        </w:rPr>
        <w:t>本项目采用尿素作为还原剂。尿素为无毒、无挥发性的固体，运输贮存更安全，且尿素溶液的液滴能在炉膛内穿透的更远，可与烟气充分混合，更有效地脱除NOx。</w:t>
      </w:r>
    </w:p>
    <w:p w14:paraId="38574699">
      <w:pPr>
        <w:ind w:firstLine="480"/>
        <w:rPr>
          <w:rFonts w:ascii="Times New Roman" w:hAnsi="Times New Roman"/>
          <w:highlight w:val="none"/>
        </w:rPr>
      </w:pPr>
      <w:r>
        <w:rPr>
          <w:rFonts w:ascii="Times New Roman" w:hAnsi="Times New Roman"/>
          <w:highlight w:val="none"/>
        </w:rPr>
        <w:t>脱硝基本流程为将尿素溶解制备成50%浓度的溶液，经输送泵输送至尿素储罐。储罐中的尿素溶液经计量稀释模块稀释成质量分数10%左右的低浓度溶液后被分配至每杆喷枪，喷入炉膛特定窗口（850</w:t>
      </w:r>
      <w:r>
        <w:rPr>
          <w:rFonts w:hint="eastAsia" w:ascii="宋体" w:hAnsi="宋体" w:cs="宋体"/>
          <w:highlight w:val="none"/>
        </w:rPr>
        <w:t>℃</w:t>
      </w:r>
      <w:r>
        <w:rPr>
          <w:rFonts w:ascii="Times New Roman" w:hAnsi="Times New Roman"/>
          <w:highlight w:val="none"/>
        </w:rPr>
        <w:t>—1050</w:t>
      </w:r>
      <w:r>
        <w:rPr>
          <w:rFonts w:hint="eastAsia" w:ascii="宋体" w:hAnsi="宋体" w:cs="宋体"/>
          <w:highlight w:val="none"/>
        </w:rPr>
        <w:t>℃</w:t>
      </w:r>
      <w:r>
        <w:rPr>
          <w:rFonts w:ascii="Times New Roman" w:hAnsi="Times New Roman"/>
          <w:highlight w:val="none"/>
        </w:rPr>
        <w:t>）与烟气充分混合，进行化学反应，最终达到脱除NOx的目的，此过程为联合脱硝的SNCR部分。</w:t>
      </w:r>
    </w:p>
    <w:p w14:paraId="03F2D7FF">
      <w:pPr>
        <w:ind w:firstLine="480"/>
        <w:rPr>
          <w:rFonts w:ascii="Times New Roman" w:hAnsi="Times New Roman"/>
          <w:highlight w:val="none"/>
        </w:rPr>
      </w:pPr>
      <w:r>
        <w:rPr>
          <w:rFonts w:ascii="Times New Roman" w:hAnsi="Times New Roman"/>
          <w:highlight w:val="none"/>
        </w:rPr>
        <w:t>以尿素为还原剂在第一个反应区发生的化学反应式为：</w:t>
      </w:r>
    </w:p>
    <w:p w14:paraId="708D7AAB">
      <w:pPr>
        <w:ind w:firstLine="0" w:firstLineChars="0"/>
        <w:jc w:val="center"/>
        <w:rPr>
          <w:rFonts w:ascii="Times New Roman" w:hAnsi="Times New Roman"/>
          <w:highlight w:val="none"/>
        </w:rPr>
      </w:pPr>
      <w:r>
        <w:rPr>
          <w:rFonts w:ascii="Times New Roman" w:hAnsi="Times New Roman"/>
          <w:highlight w:val="none"/>
        </w:rPr>
        <w:t>2CO(NH</w:t>
      </w:r>
      <w:r>
        <w:rPr>
          <w:rFonts w:ascii="Times New Roman" w:hAnsi="Times New Roman"/>
          <w:highlight w:val="none"/>
          <w:vertAlign w:val="subscript"/>
        </w:rPr>
        <w:t>2</w:t>
      </w:r>
      <w:r>
        <w:rPr>
          <w:rFonts w:ascii="Times New Roman" w:hAnsi="Times New Roman"/>
          <w:highlight w:val="none"/>
        </w:rPr>
        <w:t>)</w:t>
      </w:r>
      <w:r>
        <w:rPr>
          <w:rFonts w:ascii="Times New Roman" w:hAnsi="Times New Roman"/>
          <w:highlight w:val="none"/>
          <w:vertAlign w:val="subscript"/>
        </w:rPr>
        <w:t>2</w:t>
      </w:r>
      <w:r>
        <w:rPr>
          <w:rFonts w:ascii="Times New Roman" w:hAnsi="Times New Roman"/>
          <w:highlight w:val="none"/>
        </w:rPr>
        <w:t>+4NO+O</w:t>
      </w:r>
      <w:r>
        <w:rPr>
          <w:rFonts w:ascii="Times New Roman" w:hAnsi="Times New Roman"/>
          <w:highlight w:val="none"/>
          <w:vertAlign w:val="subscript"/>
        </w:rPr>
        <w:t>2</w:t>
      </w:r>
      <w:r>
        <w:rPr>
          <w:rFonts w:ascii="Times New Roman" w:hAnsi="Times New Roman"/>
          <w:highlight w:val="none"/>
        </w:rPr>
        <w:t>→4N2+2CO</w:t>
      </w:r>
      <w:r>
        <w:rPr>
          <w:rFonts w:ascii="Times New Roman" w:hAnsi="Times New Roman"/>
          <w:highlight w:val="none"/>
          <w:vertAlign w:val="subscript"/>
        </w:rPr>
        <w:t>2</w:t>
      </w:r>
      <w:r>
        <w:rPr>
          <w:rFonts w:ascii="Times New Roman" w:hAnsi="Times New Roman"/>
          <w:highlight w:val="none"/>
        </w:rPr>
        <w:t>+4H</w:t>
      </w:r>
      <w:r>
        <w:rPr>
          <w:rFonts w:ascii="Times New Roman" w:hAnsi="Times New Roman"/>
          <w:highlight w:val="none"/>
          <w:vertAlign w:val="subscript"/>
        </w:rPr>
        <w:t>2</w:t>
      </w:r>
      <w:r>
        <w:rPr>
          <w:rFonts w:ascii="Times New Roman" w:hAnsi="Times New Roman"/>
          <w:highlight w:val="none"/>
        </w:rPr>
        <w:t>O</w:t>
      </w:r>
    </w:p>
    <w:p w14:paraId="19683C9C">
      <w:pPr>
        <w:ind w:firstLine="480"/>
        <w:rPr>
          <w:rFonts w:ascii="Times New Roman" w:hAnsi="Times New Roman"/>
          <w:highlight w:val="none"/>
        </w:rPr>
      </w:pPr>
      <w:r>
        <w:rPr>
          <w:rFonts w:ascii="Times New Roman" w:hAnsi="Times New Roman"/>
          <w:highlight w:val="none"/>
        </w:rPr>
        <w:t>SCR部分是指在锅炉尾部合适烟温（310</w:t>
      </w:r>
      <w:r>
        <w:rPr>
          <w:rFonts w:hint="eastAsia" w:ascii="宋体" w:hAnsi="宋体" w:cs="宋体"/>
          <w:highlight w:val="none"/>
        </w:rPr>
        <w:t>℃</w:t>
      </w:r>
      <w:r>
        <w:rPr>
          <w:rFonts w:ascii="Times New Roman" w:hAnsi="Times New Roman"/>
          <w:highlight w:val="none"/>
        </w:rPr>
        <w:t>～420</w:t>
      </w:r>
      <w:r>
        <w:rPr>
          <w:rFonts w:hint="eastAsia" w:ascii="宋体" w:hAnsi="宋体" w:cs="宋体"/>
          <w:highlight w:val="none"/>
        </w:rPr>
        <w:t>℃</w:t>
      </w:r>
      <w:r>
        <w:rPr>
          <w:rFonts w:ascii="Times New Roman" w:hAnsi="Times New Roman"/>
          <w:highlight w:val="none"/>
        </w:rPr>
        <w:t>）位置处安装SCR反应器，反应器内布置催化剂，烟气中NOx经SNCR工艺已大部分除去，但由于较高的氨逃逸，到达SCR反应器的还原剂（NH</w:t>
      </w:r>
      <w:r>
        <w:rPr>
          <w:rFonts w:ascii="Times New Roman" w:hAnsi="Times New Roman"/>
          <w:highlight w:val="none"/>
          <w:vertAlign w:val="subscript"/>
        </w:rPr>
        <w:t>3</w:t>
      </w:r>
      <w:r>
        <w:rPr>
          <w:rFonts w:ascii="Times New Roman" w:hAnsi="Times New Roman"/>
          <w:highlight w:val="none"/>
        </w:rPr>
        <w:t>等）还有相当的含量，在催化剂的作用下，还原剂和NOx反应生成N</w:t>
      </w:r>
      <w:r>
        <w:rPr>
          <w:rFonts w:ascii="Times New Roman" w:hAnsi="Times New Roman"/>
          <w:highlight w:val="none"/>
          <w:vertAlign w:val="subscript"/>
        </w:rPr>
        <w:t>2</w:t>
      </w:r>
      <w:r>
        <w:rPr>
          <w:rFonts w:ascii="Times New Roman" w:hAnsi="Times New Roman"/>
          <w:highlight w:val="none"/>
        </w:rPr>
        <w:t>和H</w:t>
      </w:r>
      <w:r>
        <w:rPr>
          <w:rFonts w:ascii="Times New Roman" w:hAnsi="Times New Roman"/>
          <w:highlight w:val="none"/>
          <w:vertAlign w:val="subscript"/>
        </w:rPr>
        <w:t>2</w:t>
      </w:r>
      <w:r>
        <w:rPr>
          <w:rFonts w:ascii="Times New Roman" w:hAnsi="Times New Roman"/>
          <w:highlight w:val="none"/>
        </w:rPr>
        <w:t>O。主反应方程式如下：</w:t>
      </w:r>
    </w:p>
    <w:p w14:paraId="2E16060E">
      <w:pPr>
        <w:ind w:firstLine="0" w:firstLineChars="0"/>
        <w:jc w:val="center"/>
        <w:rPr>
          <w:rFonts w:ascii="Times New Roman" w:hAnsi="Times New Roman"/>
          <w:highlight w:val="none"/>
        </w:rPr>
      </w:pPr>
      <w:r>
        <w:rPr>
          <w:rFonts w:ascii="Times New Roman" w:hAnsi="Times New Roman"/>
          <w:highlight w:val="none"/>
        </w:rPr>
        <w:t>4NH</w:t>
      </w:r>
      <w:r>
        <w:rPr>
          <w:rFonts w:ascii="Times New Roman" w:hAnsi="Times New Roman"/>
          <w:highlight w:val="none"/>
          <w:vertAlign w:val="subscript"/>
        </w:rPr>
        <w:t>3</w:t>
      </w:r>
      <w:r>
        <w:rPr>
          <w:rFonts w:ascii="Times New Roman" w:hAnsi="Times New Roman"/>
          <w:highlight w:val="none"/>
        </w:rPr>
        <w:t>+4NO+O</w:t>
      </w:r>
      <w:r>
        <w:rPr>
          <w:rFonts w:ascii="Times New Roman" w:hAnsi="Times New Roman"/>
          <w:highlight w:val="none"/>
          <w:vertAlign w:val="subscript"/>
        </w:rPr>
        <w:t>2</w:t>
      </w:r>
      <w:r>
        <w:rPr>
          <w:rFonts w:ascii="Times New Roman" w:hAnsi="Times New Roman"/>
          <w:highlight w:val="none"/>
        </w:rPr>
        <w:t>→4N</w:t>
      </w:r>
      <w:r>
        <w:rPr>
          <w:rFonts w:ascii="Times New Roman" w:hAnsi="Times New Roman"/>
          <w:highlight w:val="none"/>
          <w:vertAlign w:val="subscript"/>
        </w:rPr>
        <w:t>2</w:t>
      </w:r>
      <w:r>
        <w:rPr>
          <w:rFonts w:ascii="Times New Roman" w:hAnsi="Times New Roman"/>
          <w:highlight w:val="none"/>
        </w:rPr>
        <w:t>+6H</w:t>
      </w:r>
      <w:r>
        <w:rPr>
          <w:rFonts w:ascii="Times New Roman" w:hAnsi="Times New Roman"/>
          <w:highlight w:val="none"/>
          <w:vertAlign w:val="subscript"/>
        </w:rPr>
        <w:t>2</w:t>
      </w:r>
      <w:r>
        <w:rPr>
          <w:rFonts w:ascii="Times New Roman" w:hAnsi="Times New Roman"/>
          <w:highlight w:val="none"/>
        </w:rPr>
        <w:t>O（在催化剂、合理温度下）</w:t>
      </w:r>
    </w:p>
    <w:p w14:paraId="6CDAF13D">
      <w:pPr>
        <w:ind w:firstLine="480"/>
        <w:rPr>
          <w:rFonts w:ascii="Times New Roman" w:hAnsi="Times New Roman"/>
          <w:highlight w:val="none"/>
        </w:rPr>
      </w:pPr>
      <w:r>
        <w:rPr>
          <w:rFonts w:ascii="Times New Roman" w:hAnsi="Times New Roman"/>
          <w:highlight w:val="none"/>
        </w:rPr>
        <w:t>与单一的SCR工艺和SNCR工艺相比，SNCR-SCR联合工艺具有以下一些优点。</w:t>
      </w:r>
    </w:p>
    <w:p w14:paraId="7D9C6C8C">
      <w:pPr>
        <w:ind w:firstLine="480"/>
        <w:rPr>
          <w:rFonts w:ascii="Times New Roman" w:hAnsi="Times New Roman"/>
          <w:highlight w:val="none"/>
        </w:rPr>
      </w:pPr>
      <w:r>
        <w:rPr>
          <w:rFonts w:ascii="Times New Roman" w:hAnsi="Times New Roman"/>
          <w:highlight w:val="none"/>
        </w:rPr>
        <w:t>单一的SNCR工艺脱硝效率低，而混合SNCR-SCR工艺获得与SCR工艺一样高的脱硝效率；SCR工艺由于脱硝催化剂的使用，大大降低了反应温度并提高了脱硝效率，但是，由于催化剂非常昂贵，一般占整个SCR工艺总投资的1/3左右，并且由于需要定期更换，运行费用也很高。联合法工艺由于首先采用了SNCR工艺初步脱硝，降低了对催化剂的依赖。与SCR工艺相比，混合工艺的催化剂用量可以大大减少；单纯的SNCR工艺为了满足对氨逃逸量的限制，要求该工艺还原剂的喷入点必选严格选择在适宜反应的温度区域内。而在混合SNCR-SCR技术中，SNCR过程中形成的氨泄漏是作为SCR反应的还原剂来设计的，因此。对SNCR阶段氨逃逸的问题考虑可以大大放宽。相对于独立的SNCR工艺，混合工艺氨喷射系统可布置在适宜的反应温度区域稍前的位置，从而延长还原剂的停留时间。在SNCR过程中未完全反应的氨将在位于下游的SCR反应器被进一步利用。混合工艺的这种安排，有助于提高SNCR阶段的脱硝效率。目前，混合工艺的SNCR阶段的脱硝效率已经可以达到50%以上。</w:t>
      </w:r>
    </w:p>
    <w:p w14:paraId="1432AE68">
      <w:pPr>
        <w:ind w:firstLine="480"/>
        <w:rPr>
          <w:rFonts w:ascii="Times New Roman" w:hAnsi="Times New Roman"/>
          <w:highlight w:val="none"/>
        </w:rPr>
      </w:pPr>
      <w:r>
        <w:rPr>
          <w:rFonts w:ascii="Times New Roman" w:hAnsi="Times New Roman"/>
          <w:highlight w:val="none"/>
        </w:rPr>
        <w:t>本项目脱硝系统采用SNCR-SCR联合脱硝技术，脱硝效率不小于</w:t>
      </w:r>
      <w:r>
        <w:rPr>
          <w:rFonts w:hint="eastAsia" w:ascii="Times New Roman" w:hAnsi="Times New Roman"/>
          <w:highlight w:val="none"/>
        </w:rPr>
        <w:t>75</w:t>
      </w:r>
      <w:r>
        <w:rPr>
          <w:rFonts w:ascii="Times New Roman" w:hAnsi="Times New Roman"/>
          <w:highlight w:val="none"/>
        </w:rPr>
        <w:t>%，采用尿素作为还原剂。尿素为无毒、无挥发性的固体，运输贮存更安全，且尿素溶液的液滴能在炉膛内穿透的更远，可与烟气充分混合，更有效地脱除NOx。本项目设计氨逃逸质量浓度为2.5mg/m</w:t>
      </w:r>
      <w:r>
        <w:rPr>
          <w:rFonts w:ascii="Times New Roman" w:hAnsi="Times New Roman"/>
          <w:highlight w:val="none"/>
          <w:vertAlign w:val="superscript"/>
        </w:rPr>
        <w:t>3</w:t>
      </w:r>
      <w:r>
        <w:rPr>
          <w:rFonts w:ascii="Times New Roman" w:hAnsi="Times New Roman"/>
          <w:highlight w:val="none"/>
        </w:rPr>
        <w:t>，可以满足《火电厂烟气脱硝工程技术规范选择性催化还原法》（HJ562-2010）要求脱硝系统氨逃逸质量浓度宜小于2.5mg/m</w:t>
      </w:r>
      <w:r>
        <w:rPr>
          <w:rFonts w:ascii="Times New Roman" w:hAnsi="Times New Roman"/>
          <w:highlight w:val="none"/>
          <w:vertAlign w:val="superscript"/>
        </w:rPr>
        <w:t>3</w:t>
      </w:r>
      <w:r>
        <w:rPr>
          <w:rFonts w:ascii="Times New Roman" w:hAnsi="Times New Roman"/>
          <w:highlight w:val="none"/>
        </w:rPr>
        <w:t>的要求。</w:t>
      </w:r>
    </w:p>
    <w:p w14:paraId="6F59F482">
      <w:pPr>
        <w:ind w:firstLine="480"/>
        <w:rPr>
          <w:rFonts w:hint="eastAsia" w:ascii="Times New Roman" w:hAnsi="Times New Roman"/>
          <w:highlight w:val="none"/>
        </w:rPr>
      </w:pPr>
      <w:r>
        <w:rPr>
          <w:rFonts w:ascii="Times New Roman" w:hAnsi="Times New Roman"/>
          <w:highlight w:val="none"/>
        </w:rPr>
        <w:t>本项目</w:t>
      </w:r>
      <w:r>
        <w:rPr>
          <w:rFonts w:hint="eastAsia" w:ascii="Times New Roman" w:hAnsi="Times New Roman"/>
          <w:highlight w:val="none"/>
        </w:rPr>
        <w:t>烟气脱硝装置工艺原则：</w:t>
      </w:r>
    </w:p>
    <w:p w14:paraId="6FE8F394">
      <w:pPr>
        <w:ind w:firstLine="480"/>
        <w:rPr>
          <w:rFonts w:ascii="Times New Roman" w:hAnsi="Times New Roman"/>
          <w:highlight w:val="none"/>
        </w:rPr>
      </w:pPr>
      <w:r>
        <w:rPr>
          <w:rFonts w:ascii="Times New Roman" w:hAnsi="Times New Roman"/>
          <w:highlight w:val="none"/>
        </w:rPr>
        <w:t>1、按照满负荷100%烟气处理设计脱硝装置，SNCR入口NOx浓度为180mg/Nm</w:t>
      </w:r>
      <w:r>
        <w:rPr>
          <w:rFonts w:ascii="Times New Roman" w:hAnsi="Times New Roman"/>
          <w:highlight w:val="none"/>
          <w:vertAlign w:val="superscript"/>
        </w:rPr>
        <w:t>3</w:t>
      </w:r>
      <w:r>
        <w:rPr>
          <w:rFonts w:ascii="Times New Roman" w:hAnsi="Times New Roman"/>
          <w:highlight w:val="none"/>
        </w:rPr>
        <w:t>，出口NOx浓度不大于100mg/Nm</w:t>
      </w:r>
      <w:r>
        <w:rPr>
          <w:rFonts w:ascii="Times New Roman" w:hAnsi="Times New Roman"/>
          <w:highlight w:val="none"/>
          <w:vertAlign w:val="superscript"/>
        </w:rPr>
        <w:t>3</w:t>
      </w:r>
      <w:r>
        <w:rPr>
          <w:rFonts w:ascii="Times New Roman" w:hAnsi="Times New Roman"/>
          <w:highlight w:val="none"/>
        </w:rPr>
        <w:t>；SCR入口NOx浓度为100mg/Nm</w:t>
      </w:r>
      <w:r>
        <w:rPr>
          <w:rFonts w:ascii="Times New Roman" w:hAnsi="Times New Roman"/>
          <w:highlight w:val="none"/>
          <w:vertAlign w:val="superscript"/>
        </w:rPr>
        <w:t>3</w:t>
      </w:r>
      <w:r>
        <w:rPr>
          <w:rFonts w:ascii="Times New Roman" w:hAnsi="Times New Roman"/>
          <w:highlight w:val="none"/>
        </w:rPr>
        <w:t>，出口NOx浓度不大于50mg/Nm</w:t>
      </w:r>
      <w:r>
        <w:rPr>
          <w:rFonts w:ascii="Times New Roman" w:hAnsi="Times New Roman"/>
          <w:highlight w:val="none"/>
          <w:vertAlign w:val="superscript"/>
        </w:rPr>
        <w:t>3</w:t>
      </w:r>
      <w:r>
        <w:rPr>
          <w:rFonts w:ascii="Times New Roman" w:hAnsi="Times New Roman"/>
          <w:highlight w:val="none"/>
        </w:rPr>
        <w:t>。SCR装置能在入口烟气温度300～420</w:t>
      </w:r>
      <w:r>
        <w:rPr>
          <w:rFonts w:hint="eastAsia" w:ascii="宋体" w:hAnsi="宋体" w:cs="宋体"/>
          <w:highlight w:val="none"/>
        </w:rPr>
        <w:t>℃</w:t>
      </w:r>
      <w:r>
        <w:rPr>
          <w:rFonts w:ascii="Times New Roman" w:hAnsi="Times New Roman"/>
          <w:highlight w:val="none"/>
        </w:rPr>
        <w:t>条件下持续、安全地运行，并确保净烟气中的NOx含量符合设计要求。</w:t>
      </w:r>
    </w:p>
    <w:p w14:paraId="2DC031C4">
      <w:pPr>
        <w:ind w:firstLine="480"/>
        <w:rPr>
          <w:rFonts w:hint="eastAsia" w:ascii="Times New Roman" w:hAnsi="Times New Roman"/>
          <w:highlight w:val="none"/>
        </w:rPr>
      </w:pPr>
      <w:r>
        <w:rPr>
          <w:rFonts w:hint="eastAsia" w:ascii="Times New Roman" w:hAnsi="Times New Roman"/>
          <w:highlight w:val="none"/>
        </w:rPr>
        <w:t>2、脱硝系统不设反应器旁路和省煤器旁路。</w:t>
      </w:r>
    </w:p>
    <w:p w14:paraId="74C4EBEC">
      <w:pPr>
        <w:ind w:firstLine="480"/>
        <w:rPr>
          <w:rFonts w:hint="eastAsia" w:ascii="Times New Roman" w:hAnsi="Times New Roman"/>
          <w:highlight w:val="none"/>
        </w:rPr>
      </w:pPr>
      <w:r>
        <w:rPr>
          <w:rFonts w:hint="eastAsia" w:ascii="Times New Roman" w:hAnsi="Times New Roman"/>
          <w:highlight w:val="none"/>
        </w:rPr>
        <w:t>3、催化剂采用板式催化剂，按“2+1”模式布置。</w:t>
      </w:r>
    </w:p>
    <w:p w14:paraId="6CF7ED37">
      <w:pPr>
        <w:ind w:firstLine="480"/>
        <w:rPr>
          <w:rFonts w:hint="eastAsia" w:ascii="Times New Roman" w:hAnsi="Times New Roman"/>
          <w:highlight w:val="none"/>
        </w:rPr>
      </w:pPr>
      <w:r>
        <w:rPr>
          <w:rFonts w:hint="eastAsia" w:ascii="Times New Roman" w:hAnsi="Times New Roman"/>
          <w:highlight w:val="none"/>
        </w:rPr>
        <w:t>4、采用尿素作为还原剂，采用尿素水解工艺。</w:t>
      </w:r>
    </w:p>
    <w:p w14:paraId="4A849760">
      <w:pPr>
        <w:ind w:firstLine="480"/>
        <w:rPr>
          <w:rFonts w:hint="eastAsia" w:ascii="Times New Roman" w:hAnsi="Times New Roman"/>
          <w:highlight w:val="none"/>
        </w:rPr>
      </w:pPr>
      <w:r>
        <w:rPr>
          <w:rFonts w:hint="eastAsia" w:ascii="Times New Roman" w:hAnsi="Times New Roman"/>
          <w:highlight w:val="none"/>
        </w:rPr>
        <w:t>5、脱硝系统能适应锅炉的启动、停机及负荷变动，脱硝装置的调试、启/停和运行应不影响主机的正常工作。</w:t>
      </w:r>
    </w:p>
    <w:p w14:paraId="08A05C8D">
      <w:pPr>
        <w:ind w:firstLine="480"/>
        <w:rPr>
          <w:rFonts w:hint="eastAsia" w:ascii="Times New Roman" w:hAnsi="Times New Roman"/>
          <w:highlight w:val="none"/>
        </w:rPr>
      </w:pPr>
      <w:r>
        <w:rPr>
          <w:rFonts w:hint="eastAsia" w:ascii="Times New Roman" w:hAnsi="Times New Roman"/>
          <w:highlight w:val="none"/>
        </w:rPr>
        <w:t>6、脱硝系统范围内的设备必须在无振动条件下运行，噪声控制满足标准规范要求，设备运转噪声小于85分贝。</w:t>
      </w:r>
    </w:p>
    <w:p w14:paraId="284EFB54">
      <w:pPr>
        <w:ind w:firstLine="480"/>
        <w:rPr>
          <w:rFonts w:hint="eastAsia" w:ascii="Times New Roman" w:hAnsi="Times New Roman"/>
          <w:highlight w:val="none"/>
        </w:rPr>
      </w:pPr>
      <w:r>
        <w:rPr>
          <w:rFonts w:hint="eastAsia" w:ascii="Times New Roman" w:hAnsi="Times New Roman"/>
          <w:highlight w:val="none"/>
        </w:rPr>
        <w:t>7、脱硝装置的设计进行CFD数值模拟，以此来优化烟气参数的分布、最大化降低烟气阻力和避免积灰。</w:t>
      </w:r>
    </w:p>
    <w:p w14:paraId="6286D144">
      <w:pPr>
        <w:ind w:firstLine="480"/>
        <w:rPr>
          <w:rFonts w:hint="eastAsia" w:ascii="Times New Roman" w:hAnsi="Times New Roman"/>
          <w:highlight w:val="none"/>
        </w:rPr>
      </w:pPr>
      <w:r>
        <w:rPr>
          <w:rFonts w:hint="eastAsia" w:ascii="Times New Roman" w:hAnsi="Times New Roman"/>
          <w:highlight w:val="none"/>
        </w:rPr>
        <w:t>8、脱硝装置设计寿命为30年，可用率不小于99%。</w:t>
      </w:r>
    </w:p>
    <w:p w14:paraId="7453C146">
      <w:pPr>
        <w:ind w:firstLine="480"/>
        <w:rPr>
          <w:rFonts w:hint="eastAsia" w:ascii="Times New Roman" w:hAnsi="Times New Roman"/>
          <w:highlight w:val="none"/>
        </w:rPr>
      </w:pPr>
      <w:r>
        <w:rPr>
          <w:rFonts w:hint="eastAsia" w:ascii="Times New Roman" w:hAnsi="Times New Roman"/>
          <w:highlight w:val="none"/>
        </w:rPr>
        <w:t>9、所有管道及设备必须考虑防腐、保温、防冻伴热。</w:t>
      </w:r>
    </w:p>
    <w:p w14:paraId="1E59423C">
      <w:pPr>
        <w:ind w:firstLine="480"/>
        <w:rPr>
          <w:rFonts w:ascii="Times New Roman" w:hAnsi="Times New Roman"/>
          <w:highlight w:val="none"/>
        </w:rPr>
      </w:pPr>
      <w:r>
        <w:rPr>
          <w:rFonts w:ascii="Times New Roman" w:hAnsi="Times New Roman"/>
          <w:highlight w:val="none"/>
        </w:rPr>
        <w:t>脱硝系统采取控制尿素溶液喷淋量、控制温度及停留时间等措施控制氨逃逸，项目整体氨逃逸控制浓度为2.5mg/m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highlight w:val="none"/>
        </w:rPr>
        <w:t>有组织排放能够满足</w:t>
      </w:r>
      <w:r>
        <w:rPr>
          <w:rFonts w:ascii="Times New Roman" w:hAnsi="Times New Roman"/>
          <w:highlight w:val="none"/>
        </w:rPr>
        <w:t>《火电厂烟气脱硝工程技术规范选择性催化还原法》（HJ562-2010）要求脱硝系统氨逃逸质量浓度宜小于2.5mg/m</w:t>
      </w:r>
      <w:r>
        <w:rPr>
          <w:rFonts w:ascii="Times New Roman" w:hAnsi="Times New Roman"/>
          <w:highlight w:val="none"/>
          <w:vertAlign w:val="superscript"/>
        </w:rPr>
        <w:t>3</w:t>
      </w:r>
      <w:r>
        <w:rPr>
          <w:rFonts w:ascii="Times New Roman" w:hAnsi="Times New Roman"/>
          <w:highlight w:val="none"/>
        </w:rPr>
        <w:t>的要求</w:t>
      </w:r>
      <w:r>
        <w:rPr>
          <w:rFonts w:hint="eastAsia" w:ascii="Times New Roman" w:hAnsi="Times New Roman"/>
          <w:highlight w:val="none"/>
        </w:rPr>
        <w:t>；</w:t>
      </w:r>
      <w:r>
        <w:rPr>
          <w:rFonts w:ascii="Times New Roman" w:hAnsi="Times New Roman"/>
          <w:highlight w:val="none"/>
        </w:rPr>
        <w:t>厂界处氨排放符合《恶臭污染物排放标准》(GB14554-93)表1中二级新扩改建厂界标准限值。</w:t>
      </w:r>
    </w:p>
    <w:p w14:paraId="78E669BA">
      <w:pPr>
        <w:ind w:firstLine="480"/>
        <w:rPr>
          <w:rFonts w:ascii="Times New Roman" w:hAnsi="Times New Roman"/>
          <w:highlight w:val="none"/>
        </w:rPr>
      </w:pPr>
      <w:r>
        <w:rPr>
          <w:rFonts w:ascii="Times New Roman" w:hAnsi="Times New Roman"/>
          <w:highlight w:val="none"/>
        </w:rPr>
        <w:t>三、汞及其化合物污染防治措施</w:t>
      </w:r>
    </w:p>
    <w:p w14:paraId="0B06BF48">
      <w:pPr>
        <w:ind w:firstLine="480"/>
        <w:rPr>
          <w:rFonts w:ascii="Times New Roman" w:hAnsi="Times New Roman"/>
          <w:highlight w:val="none"/>
        </w:rPr>
      </w:pPr>
      <w:r>
        <w:rPr>
          <w:rFonts w:ascii="Times New Roman" w:hAnsi="Times New Roman"/>
          <w:highlight w:val="none"/>
        </w:rPr>
        <w:t>本项目锅炉烟气汞及其化合物采用协同去除，去除效率可达70%。</w:t>
      </w:r>
    </w:p>
    <w:p w14:paraId="28BC1E1B">
      <w:pPr>
        <w:ind w:firstLine="480"/>
        <w:rPr>
          <w:rFonts w:ascii="Times New Roman" w:hAnsi="Times New Roman"/>
          <w:highlight w:val="none"/>
        </w:rPr>
      </w:pPr>
      <w:r>
        <w:rPr>
          <w:rFonts w:ascii="Times New Roman" w:hAnsi="Times New Roman"/>
          <w:highlight w:val="none"/>
        </w:rPr>
        <w:t>燃煤烟气中Hg主要有三种形态：气态单质Hg（为主要形式，占85%以上）、气态二价Hg、固态颗粒Hg。固态颗粒Hg极易被除尘器去除；气态二价Hg极易溶于水，可在脱硫过程协同去除。因此，本项目采取的烟气除尘、脱硫和脱氮系统对汞及其化合物产生协同脱除效率可达70%以上，排放浓度为0.002mg/m</w:t>
      </w:r>
      <w:r>
        <w:rPr>
          <w:rFonts w:ascii="Times New Roman" w:hAnsi="Times New Roman"/>
          <w:highlight w:val="none"/>
          <w:vertAlign w:val="superscript"/>
        </w:rPr>
        <w:t>3</w:t>
      </w:r>
      <w:r>
        <w:rPr>
          <w:rFonts w:ascii="Times New Roman" w:hAnsi="Times New Roman"/>
          <w:highlight w:val="none"/>
        </w:rPr>
        <w:t>，满足</w:t>
      </w:r>
      <w:r>
        <w:rPr>
          <w:rFonts w:hint="eastAsia" w:ascii="Times New Roman" w:hAnsi="Times New Roman"/>
          <w:color w:val="auto"/>
          <w:highlight w:val="none"/>
        </w:rPr>
        <w:t>《火电厂大气污染物排放标准》(GB13223-2011)表1中燃煤锅炉大气污染物排放标准限值</w:t>
      </w:r>
      <w:r>
        <w:rPr>
          <w:rFonts w:hint="eastAsia" w:ascii="Times New Roman" w:hAnsi="Times New Roman"/>
          <w:color w:val="auto"/>
          <w:highlight w:val="none"/>
          <w:lang w:val="en-US" w:eastAsia="zh-CN"/>
        </w:rPr>
        <w:t>要求</w:t>
      </w:r>
      <w:r>
        <w:rPr>
          <w:rFonts w:ascii="Times New Roman" w:hAnsi="Times New Roman"/>
          <w:highlight w:val="none"/>
        </w:rPr>
        <w:t>。</w:t>
      </w:r>
    </w:p>
    <w:p w14:paraId="334141D4">
      <w:pPr>
        <w:ind w:firstLine="480"/>
        <w:rPr>
          <w:rFonts w:ascii="Times New Roman" w:hAnsi="Times New Roman"/>
          <w:highlight w:val="none"/>
        </w:rPr>
      </w:pPr>
      <w:r>
        <w:rPr>
          <w:rFonts w:ascii="Times New Roman" w:hAnsi="Times New Roman"/>
          <w:highlight w:val="none"/>
        </w:rPr>
        <w:t>四、除尘措施</w:t>
      </w:r>
    </w:p>
    <w:p w14:paraId="1DA80487">
      <w:pPr>
        <w:ind w:firstLine="480"/>
        <w:rPr>
          <w:rFonts w:ascii="Times New Roman" w:hAnsi="Times New Roman"/>
          <w:highlight w:val="none"/>
        </w:rPr>
      </w:pPr>
      <w:r>
        <w:rPr>
          <w:rFonts w:ascii="Times New Roman" w:hAnsi="Times New Roman"/>
          <w:highlight w:val="none"/>
        </w:rPr>
        <w:t>目前锅炉房通常选用的除尘器为旋风多管除尘器、静电除尘器和布袋除尘器，三种除尘器的技术、经济比较见表6.2-4。</w:t>
      </w:r>
    </w:p>
    <w:p w14:paraId="68738640">
      <w:pPr>
        <w:ind w:firstLine="0" w:firstLineChars="0"/>
        <w:jc w:val="center"/>
        <w:rPr>
          <w:rFonts w:hint="eastAsia" w:ascii="黑体" w:hAnsi="黑体" w:eastAsia="黑体" w:cs="黑体"/>
          <w:b w:val="0"/>
          <w:bCs w:val="0"/>
          <w:highlight w:val="none"/>
        </w:rPr>
      </w:pPr>
      <w:r>
        <w:rPr>
          <w:rFonts w:hint="eastAsia" w:ascii="黑体" w:hAnsi="黑体" w:eastAsia="黑体" w:cs="黑体"/>
          <w:b w:val="0"/>
          <w:bCs w:val="0"/>
          <w:highlight w:val="none"/>
        </w:rPr>
        <w:t>表</w:t>
      </w:r>
      <w:r>
        <w:rPr>
          <w:rFonts w:hint="default" w:ascii="Times New Roman" w:hAnsi="Times New Roman" w:eastAsia="黑体" w:cs="Times New Roman"/>
          <w:b w:val="0"/>
          <w:bCs w:val="0"/>
          <w:highlight w:val="none"/>
        </w:rPr>
        <w:t>6.2-4</w:t>
      </w:r>
      <w:r>
        <w:rPr>
          <w:rFonts w:hint="eastAsia" w:ascii="黑体" w:hAnsi="黑体" w:eastAsia="黑体" w:cs="黑体"/>
          <w:b w:val="0"/>
          <w:bCs w:val="0"/>
          <w:highlight w:val="none"/>
        </w:rPr>
        <w:t>各种除尘器的技术经济比较</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2584"/>
        <w:gridCol w:w="4842"/>
      </w:tblGrid>
      <w:tr w14:paraId="53D50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tblHeader/>
          <w:jc w:val="center"/>
        </w:trPr>
        <w:tc>
          <w:tcPr>
            <w:tcW w:w="643" w:type="pct"/>
            <w:noWrap w:val="0"/>
            <w:vAlign w:val="center"/>
          </w:tcPr>
          <w:p w14:paraId="3F1B1770">
            <w:pPr>
              <w:pStyle w:val="27"/>
              <w:textAlignment w:val="center"/>
              <w:rPr>
                <w:rFonts w:ascii="Times New Roman" w:hAnsi="Times New Roman" w:eastAsia="宋体"/>
                <w:kern w:val="0"/>
                <w:highlight w:val="none"/>
              </w:rPr>
            </w:pPr>
            <w:r>
              <w:rPr>
                <w:rFonts w:ascii="Times New Roman" w:hAnsi="Times New Roman" w:eastAsia="宋体"/>
                <w:kern w:val="0"/>
                <w:highlight w:val="none"/>
              </w:rPr>
              <w:t>除尘器</w:t>
            </w:r>
          </w:p>
        </w:tc>
        <w:tc>
          <w:tcPr>
            <w:tcW w:w="1516" w:type="pct"/>
            <w:noWrap w:val="0"/>
            <w:vAlign w:val="center"/>
          </w:tcPr>
          <w:p w14:paraId="2D00123F">
            <w:pPr>
              <w:pStyle w:val="27"/>
              <w:textAlignment w:val="center"/>
              <w:rPr>
                <w:rFonts w:ascii="Times New Roman" w:hAnsi="Times New Roman" w:eastAsia="宋体"/>
                <w:kern w:val="0"/>
                <w:highlight w:val="none"/>
              </w:rPr>
            </w:pPr>
            <w:r>
              <w:rPr>
                <w:rFonts w:ascii="Times New Roman" w:hAnsi="Times New Roman" w:eastAsia="宋体"/>
                <w:kern w:val="0"/>
                <w:highlight w:val="none"/>
              </w:rPr>
              <w:t>项目名称</w:t>
            </w:r>
          </w:p>
        </w:tc>
        <w:tc>
          <w:tcPr>
            <w:tcW w:w="2841" w:type="pct"/>
            <w:noWrap w:val="0"/>
            <w:vAlign w:val="center"/>
          </w:tcPr>
          <w:p w14:paraId="0E0A1AD5">
            <w:pPr>
              <w:pStyle w:val="27"/>
              <w:textAlignment w:val="center"/>
              <w:rPr>
                <w:rFonts w:ascii="Times New Roman" w:hAnsi="Times New Roman" w:eastAsia="宋体"/>
                <w:kern w:val="0"/>
                <w:highlight w:val="none"/>
              </w:rPr>
            </w:pPr>
            <w:r>
              <w:rPr>
                <w:rFonts w:ascii="Times New Roman" w:hAnsi="Times New Roman" w:eastAsia="宋体"/>
                <w:kern w:val="0"/>
                <w:highlight w:val="none"/>
              </w:rPr>
              <w:t>特点</w:t>
            </w:r>
          </w:p>
        </w:tc>
      </w:tr>
      <w:tr w14:paraId="587736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restart"/>
            <w:noWrap w:val="0"/>
            <w:vAlign w:val="center"/>
          </w:tcPr>
          <w:p w14:paraId="7619B3C5">
            <w:pPr>
              <w:pStyle w:val="27"/>
              <w:textAlignment w:val="center"/>
              <w:rPr>
                <w:rFonts w:ascii="Times New Roman" w:hAnsi="Times New Roman" w:eastAsia="宋体"/>
                <w:kern w:val="0"/>
                <w:highlight w:val="none"/>
              </w:rPr>
            </w:pPr>
            <w:r>
              <w:rPr>
                <w:rFonts w:ascii="Times New Roman" w:hAnsi="Times New Roman" w:eastAsia="宋体"/>
                <w:kern w:val="0"/>
                <w:highlight w:val="none"/>
              </w:rPr>
              <w:t>旋风多管除尘器</w:t>
            </w:r>
          </w:p>
        </w:tc>
        <w:tc>
          <w:tcPr>
            <w:tcW w:w="1516" w:type="pct"/>
            <w:noWrap w:val="0"/>
            <w:vAlign w:val="center"/>
          </w:tcPr>
          <w:p w14:paraId="33757BB1">
            <w:pPr>
              <w:pStyle w:val="27"/>
              <w:textAlignment w:val="center"/>
              <w:rPr>
                <w:rFonts w:ascii="Times New Roman" w:hAnsi="Times New Roman" w:eastAsia="宋体"/>
                <w:kern w:val="0"/>
                <w:highlight w:val="none"/>
              </w:rPr>
            </w:pPr>
            <w:r>
              <w:rPr>
                <w:rFonts w:ascii="Times New Roman" w:hAnsi="Times New Roman" w:eastAsia="宋体"/>
                <w:kern w:val="0"/>
                <w:highlight w:val="none"/>
              </w:rPr>
              <w:t>效率</w:t>
            </w:r>
          </w:p>
        </w:tc>
        <w:tc>
          <w:tcPr>
            <w:tcW w:w="2841" w:type="pct"/>
            <w:noWrap w:val="0"/>
            <w:vAlign w:val="center"/>
          </w:tcPr>
          <w:p w14:paraId="1B767ADC">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除尘效率≥90%</w:t>
            </w:r>
          </w:p>
        </w:tc>
      </w:tr>
      <w:tr w14:paraId="35312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53631DF9">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AAF384C">
            <w:pPr>
              <w:pStyle w:val="27"/>
              <w:textAlignment w:val="center"/>
              <w:rPr>
                <w:rFonts w:ascii="Times New Roman" w:hAnsi="Times New Roman" w:eastAsia="宋体"/>
                <w:kern w:val="0"/>
                <w:highlight w:val="none"/>
              </w:rPr>
            </w:pPr>
            <w:r>
              <w:rPr>
                <w:rFonts w:ascii="Times New Roman" w:hAnsi="Times New Roman" w:eastAsia="宋体"/>
                <w:kern w:val="0"/>
                <w:highlight w:val="none"/>
              </w:rPr>
              <w:t>排放浓度</w:t>
            </w:r>
          </w:p>
        </w:tc>
        <w:tc>
          <w:tcPr>
            <w:tcW w:w="2841" w:type="pct"/>
            <w:noWrap w:val="0"/>
            <w:vAlign w:val="center"/>
          </w:tcPr>
          <w:p w14:paraId="37D131E8">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＜200mg/m</w:t>
            </w:r>
            <w:r>
              <w:rPr>
                <w:rFonts w:ascii="Times New Roman" w:hAnsi="Times New Roman" w:eastAsia="宋体"/>
                <w:kern w:val="0"/>
                <w:highlight w:val="none"/>
                <w:vertAlign w:val="superscript"/>
              </w:rPr>
              <w:t>3</w:t>
            </w:r>
          </w:p>
        </w:tc>
      </w:tr>
      <w:tr w14:paraId="32BC8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799C2E7C">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55300482">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运行特点</w:t>
            </w:r>
          </w:p>
        </w:tc>
        <w:tc>
          <w:tcPr>
            <w:tcW w:w="2841" w:type="pct"/>
            <w:noWrap w:val="0"/>
            <w:vAlign w:val="center"/>
          </w:tcPr>
          <w:p w14:paraId="110372FD">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①</w:t>
            </w:r>
            <w:r>
              <w:rPr>
                <w:rFonts w:ascii="Times New Roman" w:hAnsi="Times New Roman" w:eastAsia="宋体"/>
                <w:kern w:val="0"/>
                <w:highlight w:val="none"/>
              </w:rPr>
              <w:t>对煤质、烟气成分变化的适应性相对较强</w:t>
            </w:r>
          </w:p>
          <w:p w14:paraId="42BD6D32">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②</w:t>
            </w:r>
            <w:r>
              <w:rPr>
                <w:rFonts w:ascii="Times New Roman" w:hAnsi="Times New Roman" w:eastAsia="宋体"/>
                <w:kern w:val="0"/>
                <w:highlight w:val="none"/>
              </w:rPr>
              <w:t>对烟气温度的适应性较强</w:t>
            </w:r>
          </w:p>
        </w:tc>
      </w:tr>
      <w:tr w14:paraId="6C2A9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643" w:type="pct"/>
            <w:vMerge w:val="continue"/>
            <w:noWrap w:val="0"/>
            <w:vAlign w:val="center"/>
          </w:tcPr>
          <w:p w14:paraId="4263E5E2">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AF455F2">
            <w:pPr>
              <w:pStyle w:val="27"/>
              <w:textAlignment w:val="center"/>
              <w:rPr>
                <w:rFonts w:ascii="Times New Roman" w:hAnsi="Times New Roman" w:eastAsia="宋体"/>
                <w:kern w:val="0"/>
                <w:highlight w:val="none"/>
              </w:rPr>
            </w:pPr>
            <w:r>
              <w:rPr>
                <w:rFonts w:ascii="Times New Roman" w:hAnsi="Times New Roman" w:eastAsia="宋体"/>
                <w:kern w:val="0"/>
                <w:highlight w:val="none"/>
              </w:rPr>
              <w:t>检修与维护</w:t>
            </w:r>
          </w:p>
        </w:tc>
        <w:tc>
          <w:tcPr>
            <w:tcW w:w="2841" w:type="pct"/>
            <w:noWrap w:val="0"/>
            <w:vAlign w:val="center"/>
          </w:tcPr>
          <w:p w14:paraId="7483E9C5">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①</w:t>
            </w:r>
            <w:r>
              <w:rPr>
                <w:rFonts w:ascii="Times New Roman" w:hAnsi="Times New Roman" w:eastAsia="宋体"/>
                <w:kern w:val="0"/>
                <w:highlight w:val="none"/>
              </w:rPr>
              <w:t>检修与维护工作量大</w:t>
            </w:r>
          </w:p>
          <w:p w14:paraId="50B2E750">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②</w:t>
            </w:r>
            <w:r>
              <w:rPr>
                <w:rFonts w:ascii="Times New Roman" w:hAnsi="Times New Roman" w:eastAsia="宋体"/>
                <w:kern w:val="0"/>
                <w:highlight w:val="none"/>
              </w:rPr>
              <w:t>内部部件的故障需要停机检修</w:t>
            </w:r>
          </w:p>
        </w:tc>
      </w:tr>
      <w:tr w14:paraId="55ECCB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736E791E">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3D2189E5">
            <w:pPr>
              <w:pStyle w:val="27"/>
              <w:textAlignment w:val="center"/>
              <w:rPr>
                <w:rFonts w:ascii="Times New Roman" w:hAnsi="Times New Roman" w:eastAsia="宋体"/>
                <w:kern w:val="0"/>
                <w:highlight w:val="none"/>
              </w:rPr>
            </w:pPr>
            <w:r>
              <w:rPr>
                <w:rFonts w:ascii="Times New Roman" w:hAnsi="Times New Roman" w:eastAsia="宋体"/>
                <w:kern w:val="0"/>
                <w:highlight w:val="none"/>
              </w:rPr>
              <w:t>占地面积</w:t>
            </w:r>
          </w:p>
        </w:tc>
        <w:tc>
          <w:tcPr>
            <w:tcW w:w="2841" w:type="pct"/>
            <w:noWrap w:val="0"/>
            <w:vAlign w:val="center"/>
          </w:tcPr>
          <w:p w14:paraId="61E75610">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较大</w:t>
            </w:r>
          </w:p>
        </w:tc>
      </w:tr>
      <w:tr w14:paraId="60BFA5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3B5D26DF">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44BD37E2">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运行业绩及可靠性</w:t>
            </w:r>
          </w:p>
        </w:tc>
        <w:tc>
          <w:tcPr>
            <w:tcW w:w="2841" w:type="pct"/>
            <w:noWrap w:val="0"/>
            <w:vAlign w:val="center"/>
          </w:tcPr>
          <w:p w14:paraId="18DF3C36">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国内外行业运行业绩非常多，安全可靠</w:t>
            </w:r>
          </w:p>
        </w:tc>
      </w:tr>
      <w:tr w14:paraId="75646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55D7E5FE">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1B5AE4EF">
            <w:pPr>
              <w:pStyle w:val="27"/>
              <w:textAlignment w:val="center"/>
              <w:rPr>
                <w:rFonts w:ascii="Times New Roman" w:hAnsi="Times New Roman" w:eastAsia="宋体"/>
                <w:kern w:val="0"/>
                <w:highlight w:val="none"/>
              </w:rPr>
            </w:pPr>
            <w:r>
              <w:rPr>
                <w:rFonts w:ascii="Times New Roman" w:hAnsi="Times New Roman" w:eastAsia="宋体"/>
                <w:kern w:val="0"/>
                <w:highlight w:val="none"/>
              </w:rPr>
              <w:t>初期投资及运行费用</w:t>
            </w:r>
          </w:p>
        </w:tc>
        <w:tc>
          <w:tcPr>
            <w:tcW w:w="2841" w:type="pct"/>
            <w:noWrap w:val="0"/>
            <w:vAlign w:val="center"/>
          </w:tcPr>
          <w:p w14:paraId="6F7EDC4B">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初期投资较小；运行费用较小</w:t>
            </w:r>
          </w:p>
        </w:tc>
      </w:tr>
      <w:tr w14:paraId="454C98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restart"/>
            <w:noWrap w:val="0"/>
            <w:vAlign w:val="center"/>
          </w:tcPr>
          <w:p w14:paraId="128B3051">
            <w:pPr>
              <w:pStyle w:val="27"/>
              <w:textAlignment w:val="center"/>
              <w:rPr>
                <w:rFonts w:ascii="Times New Roman" w:hAnsi="Times New Roman" w:eastAsia="宋体"/>
                <w:kern w:val="0"/>
                <w:highlight w:val="none"/>
              </w:rPr>
            </w:pPr>
            <w:r>
              <w:rPr>
                <w:rFonts w:ascii="Times New Roman" w:hAnsi="Times New Roman" w:eastAsia="宋体"/>
                <w:kern w:val="0"/>
                <w:highlight w:val="none"/>
              </w:rPr>
              <w:t>三电场静电除尘器</w:t>
            </w:r>
          </w:p>
        </w:tc>
        <w:tc>
          <w:tcPr>
            <w:tcW w:w="1516" w:type="pct"/>
            <w:noWrap w:val="0"/>
            <w:vAlign w:val="center"/>
          </w:tcPr>
          <w:p w14:paraId="4E354664">
            <w:pPr>
              <w:pStyle w:val="27"/>
              <w:textAlignment w:val="center"/>
              <w:rPr>
                <w:rFonts w:ascii="Times New Roman" w:hAnsi="Times New Roman" w:eastAsia="宋体"/>
                <w:kern w:val="0"/>
                <w:highlight w:val="none"/>
              </w:rPr>
            </w:pPr>
            <w:r>
              <w:rPr>
                <w:rFonts w:ascii="Times New Roman" w:hAnsi="Times New Roman" w:eastAsia="宋体"/>
                <w:kern w:val="0"/>
                <w:highlight w:val="none"/>
              </w:rPr>
              <w:t>效率</w:t>
            </w:r>
          </w:p>
        </w:tc>
        <w:tc>
          <w:tcPr>
            <w:tcW w:w="2841" w:type="pct"/>
            <w:noWrap w:val="0"/>
            <w:vAlign w:val="center"/>
          </w:tcPr>
          <w:p w14:paraId="7A53BA65">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除尘效率≥99%</w:t>
            </w:r>
          </w:p>
        </w:tc>
      </w:tr>
      <w:tr w14:paraId="1313BD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70E0CC9B">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75D1A7A">
            <w:pPr>
              <w:pStyle w:val="27"/>
              <w:textAlignment w:val="center"/>
              <w:rPr>
                <w:rFonts w:ascii="Times New Roman" w:hAnsi="Times New Roman" w:eastAsia="宋体"/>
                <w:kern w:val="0"/>
                <w:highlight w:val="none"/>
              </w:rPr>
            </w:pPr>
            <w:r>
              <w:rPr>
                <w:rFonts w:ascii="Times New Roman" w:hAnsi="Times New Roman" w:eastAsia="宋体"/>
                <w:kern w:val="0"/>
                <w:highlight w:val="none"/>
              </w:rPr>
              <w:t>排放浓度</w:t>
            </w:r>
          </w:p>
        </w:tc>
        <w:tc>
          <w:tcPr>
            <w:tcW w:w="2841" w:type="pct"/>
            <w:noWrap w:val="0"/>
            <w:vAlign w:val="center"/>
          </w:tcPr>
          <w:p w14:paraId="71626D50">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＜50mg/m</w:t>
            </w:r>
            <w:r>
              <w:rPr>
                <w:rFonts w:ascii="Times New Roman" w:hAnsi="Times New Roman" w:eastAsia="宋体"/>
                <w:kern w:val="0"/>
                <w:highlight w:val="none"/>
                <w:vertAlign w:val="superscript"/>
              </w:rPr>
              <w:t>3</w:t>
            </w:r>
          </w:p>
        </w:tc>
      </w:tr>
      <w:tr w14:paraId="64C25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2BFF1411">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7BAF70B7">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运行特点</w:t>
            </w:r>
          </w:p>
        </w:tc>
        <w:tc>
          <w:tcPr>
            <w:tcW w:w="2841" w:type="pct"/>
            <w:noWrap w:val="0"/>
            <w:vAlign w:val="center"/>
          </w:tcPr>
          <w:p w14:paraId="107CD9C0">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①</w:t>
            </w:r>
            <w:r>
              <w:rPr>
                <w:rFonts w:ascii="Times New Roman" w:hAnsi="Times New Roman" w:eastAsia="宋体"/>
                <w:kern w:val="0"/>
                <w:highlight w:val="none"/>
              </w:rPr>
              <w:t>对煤质、烟气成分变化的适应性相对较强</w:t>
            </w:r>
          </w:p>
          <w:p w14:paraId="2B458D49">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②</w:t>
            </w:r>
            <w:r>
              <w:rPr>
                <w:rFonts w:ascii="Times New Roman" w:hAnsi="Times New Roman" w:eastAsia="宋体"/>
                <w:kern w:val="0"/>
                <w:highlight w:val="none"/>
              </w:rPr>
              <w:t>对烟气温度的适应性较强</w:t>
            </w:r>
          </w:p>
          <w:p w14:paraId="4FBB21EB">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③</w:t>
            </w:r>
            <w:r>
              <w:rPr>
                <w:rFonts w:ascii="Times New Roman" w:hAnsi="Times New Roman" w:eastAsia="宋体"/>
                <w:kern w:val="0"/>
                <w:highlight w:val="none"/>
              </w:rPr>
              <w:t>耗电量大</w:t>
            </w:r>
          </w:p>
        </w:tc>
      </w:tr>
      <w:tr w14:paraId="3057A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6BDE53B9">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7EF38607">
            <w:pPr>
              <w:pStyle w:val="27"/>
              <w:textAlignment w:val="center"/>
              <w:rPr>
                <w:rFonts w:ascii="Times New Roman" w:hAnsi="Times New Roman" w:eastAsia="宋体"/>
                <w:kern w:val="0"/>
                <w:highlight w:val="none"/>
              </w:rPr>
            </w:pPr>
            <w:r>
              <w:rPr>
                <w:rFonts w:ascii="Times New Roman" w:hAnsi="Times New Roman" w:eastAsia="宋体"/>
                <w:kern w:val="0"/>
                <w:highlight w:val="none"/>
              </w:rPr>
              <w:t>检修与维护</w:t>
            </w:r>
          </w:p>
        </w:tc>
        <w:tc>
          <w:tcPr>
            <w:tcW w:w="2841" w:type="pct"/>
            <w:noWrap w:val="0"/>
            <w:vAlign w:val="center"/>
          </w:tcPr>
          <w:p w14:paraId="050C4E2F">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检修与维护方便</w:t>
            </w:r>
          </w:p>
        </w:tc>
      </w:tr>
      <w:tr w14:paraId="70616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6DD2F26F">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0C27D31">
            <w:pPr>
              <w:pStyle w:val="27"/>
              <w:textAlignment w:val="center"/>
              <w:rPr>
                <w:rFonts w:ascii="Times New Roman" w:hAnsi="Times New Roman" w:eastAsia="宋体"/>
                <w:kern w:val="0"/>
                <w:highlight w:val="none"/>
              </w:rPr>
            </w:pPr>
            <w:r>
              <w:rPr>
                <w:rFonts w:ascii="Times New Roman" w:hAnsi="Times New Roman" w:eastAsia="宋体"/>
                <w:kern w:val="0"/>
                <w:highlight w:val="none"/>
              </w:rPr>
              <w:t>占地面积</w:t>
            </w:r>
          </w:p>
        </w:tc>
        <w:tc>
          <w:tcPr>
            <w:tcW w:w="2841" w:type="pct"/>
            <w:noWrap w:val="0"/>
            <w:vAlign w:val="center"/>
          </w:tcPr>
          <w:p w14:paraId="4BB4F334">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较大</w:t>
            </w:r>
          </w:p>
        </w:tc>
      </w:tr>
      <w:tr w14:paraId="49EAA7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1EE6AB88">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B96A784">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运行业绩及可靠性</w:t>
            </w:r>
          </w:p>
        </w:tc>
        <w:tc>
          <w:tcPr>
            <w:tcW w:w="2841" w:type="pct"/>
            <w:noWrap w:val="0"/>
            <w:vAlign w:val="center"/>
          </w:tcPr>
          <w:p w14:paraId="6B672A4F">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国内外行业运行业绩非常多，安全可靠</w:t>
            </w:r>
          </w:p>
        </w:tc>
      </w:tr>
      <w:tr w14:paraId="65C4E1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18863F14">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772FDA6E">
            <w:pPr>
              <w:pStyle w:val="27"/>
              <w:textAlignment w:val="center"/>
              <w:rPr>
                <w:rFonts w:ascii="Times New Roman" w:hAnsi="Times New Roman" w:eastAsia="宋体"/>
                <w:kern w:val="0"/>
                <w:highlight w:val="none"/>
              </w:rPr>
            </w:pPr>
            <w:r>
              <w:rPr>
                <w:rFonts w:ascii="Times New Roman" w:hAnsi="Times New Roman" w:eastAsia="宋体"/>
                <w:kern w:val="0"/>
                <w:highlight w:val="none"/>
              </w:rPr>
              <w:t>初期投资及运行费用</w:t>
            </w:r>
          </w:p>
        </w:tc>
        <w:tc>
          <w:tcPr>
            <w:tcW w:w="2841" w:type="pct"/>
            <w:noWrap w:val="0"/>
            <w:vAlign w:val="center"/>
          </w:tcPr>
          <w:p w14:paraId="0E31B3CF">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初期投资较大，运行费用大</w:t>
            </w:r>
          </w:p>
        </w:tc>
      </w:tr>
      <w:tr w14:paraId="0CF96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restart"/>
            <w:noWrap w:val="0"/>
            <w:vAlign w:val="center"/>
          </w:tcPr>
          <w:p w14:paraId="4D8ECA27">
            <w:pPr>
              <w:pStyle w:val="27"/>
              <w:textAlignment w:val="center"/>
              <w:rPr>
                <w:rFonts w:ascii="Times New Roman" w:hAnsi="Times New Roman" w:eastAsia="宋体"/>
                <w:kern w:val="0"/>
                <w:highlight w:val="none"/>
              </w:rPr>
            </w:pPr>
            <w:r>
              <w:rPr>
                <w:rFonts w:ascii="Times New Roman" w:hAnsi="Times New Roman" w:eastAsia="宋体"/>
                <w:kern w:val="0"/>
                <w:highlight w:val="none"/>
              </w:rPr>
              <w:t>袋式除尘器</w:t>
            </w:r>
          </w:p>
        </w:tc>
        <w:tc>
          <w:tcPr>
            <w:tcW w:w="1516" w:type="pct"/>
            <w:noWrap w:val="0"/>
            <w:vAlign w:val="center"/>
          </w:tcPr>
          <w:p w14:paraId="792AE8E5">
            <w:pPr>
              <w:pStyle w:val="27"/>
              <w:textAlignment w:val="center"/>
              <w:rPr>
                <w:rFonts w:ascii="Times New Roman" w:hAnsi="Times New Roman" w:eastAsia="宋体"/>
                <w:kern w:val="0"/>
                <w:highlight w:val="none"/>
              </w:rPr>
            </w:pPr>
            <w:r>
              <w:rPr>
                <w:rFonts w:ascii="Times New Roman" w:hAnsi="Times New Roman" w:eastAsia="宋体"/>
                <w:kern w:val="0"/>
                <w:highlight w:val="none"/>
              </w:rPr>
              <w:t>效率</w:t>
            </w:r>
          </w:p>
        </w:tc>
        <w:tc>
          <w:tcPr>
            <w:tcW w:w="2841" w:type="pct"/>
            <w:noWrap w:val="0"/>
            <w:vAlign w:val="center"/>
          </w:tcPr>
          <w:p w14:paraId="28F314A4">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可达到很高的除尘效率99.96%</w:t>
            </w:r>
          </w:p>
        </w:tc>
      </w:tr>
      <w:tr w14:paraId="2E7C1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55A20D3A">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22313A4E">
            <w:pPr>
              <w:pStyle w:val="27"/>
              <w:textAlignment w:val="center"/>
              <w:rPr>
                <w:rFonts w:ascii="Times New Roman" w:hAnsi="Times New Roman" w:eastAsia="宋体"/>
                <w:kern w:val="0"/>
                <w:highlight w:val="none"/>
              </w:rPr>
            </w:pPr>
            <w:r>
              <w:rPr>
                <w:rFonts w:ascii="Times New Roman" w:hAnsi="Times New Roman" w:eastAsia="宋体"/>
                <w:kern w:val="0"/>
                <w:highlight w:val="none"/>
              </w:rPr>
              <w:t>排放浓度</w:t>
            </w:r>
          </w:p>
        </w:tc>
        <w:tc>
          <w:tcPr>
            <w:tcW w:w="2841" w:type="pct"/>
            <w:noWrap w:val="0"/>
            <w:vAlign w:val="center"/>
          </w:tcPr>
          <w:p w14:paraId="2F165AF5">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＜50mg/m</w:t>
            </w:r>
            <w:r>
              <w:rPr>
                <w:rFonts w:ascii="Times New Roman" w:hAnsi="Times New Roman" w:eastAsia="宋体"/>
                <w:kern w:val="0"/>
                <w:highlight w:val="none"/>
                <w:vertAlign w:val="superscript"/>
              </w:rPr>
              <w:t>3</w:t>
            </w:r>
          </w:p>
        </w:tc>
      </w:tr>
      <w:tr w14:paraId="295C9E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1F549D3B">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1413C5F2">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运行特点</w:t>
            </w:r>
          </w:p>
        </w:tc>
        <w:tc>
          <w:tcPr>
            <w:tcW w:w="2841" w:type="pct"/>
            <w:noWrap w:val="0"/>
            <w:vAlign w:val="center"/>
          </w:tcPr>
          <w:p w14:paraId="239E5177">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①</w:t>
            </w:r>
            <w:r>
              <w:rPr>
                <w:rFonts w:ascii="Times New Roman" w:hAnsi="Times New Roman" w:eastAsia="宋体"/>
                <w:kern w:val="0"/>
                <w:highlight w:val="none"/>
              </w:rPr>
              <w:t>对煤质、烟气成分变化的适应性相对较强</w:t>
            </w:r>
          </w:p>
          <w:p w14:paraId="2D4C3FFA">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②</w:t>
            </w:r>
            <w:r>
              <w:rPr>
                <w:rFonts w:ascii="Times New Roman" w:hAnsi="Times New Roman" w:eastAsia="宋体"/>
                <w:kern w:val="0"/>
                <w:highlight w:val="none"/>
              </w:rPr>
              <w:t>入口烟温＜180</w:t>
            </w:r>
            <w:r>
              <w:rPr>
                <w:rFonts w:hint="eastAsia" w:ascii="宋体" w:hAnsi="宋体" w:eastAsia="宋体" w:cs="宋体"/>
                <w:kern w:val="0"/>
                <w:highlight w:val="none"/>
              </w:rPr>
              <w:t>℃</w:t>
            </w:r>
            <w:r>
              <w:rPr>
                <w:rFonts w:ascii="Times New Roman" w:hAnsi="Times New Roman" w:eastAsia="宋体"/>
                <w:kern w:val="0"/>
                <w:highlight w:val="none"/>
              </w:rPr>
              <w:t>，故障情况下应有保护措施</w:t>
            </w:r>
          </w:p>
          <w:p w14:paraId="68EC152D">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③</w:t>
            </w:r>
            <w:r>
              <w:rPr>
                <w:rFonts w:ascii="Times New Roman" w:hAnsi="Times New Roman" w:eastAsia="宋体"/>
                <w:kern w:val="0"/>
                <w:highlight w:val="none"/>
              </w:rPr>
              <w:t>阻力较高，能耗较大，约比电除尘器高20%~30%</w:t>
            </w:r>
          </w:p>
          <w:p w14:paraId="71F52352">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④</w:t>
            </w:r>
            <w:r>
              <w:rPr>
                <w:rFonts w:ascii="Times New Roman" w:hAnsi="Times New Roman" w:eastAsia="宋体"/>
                <w:kern w:val="0"/>
                <w:highlight w:val="none"/>
              </w:rPr>
              <w:t>启动和停机要特别注意</w:t>
            </w:r>
          </w:p>
        </w:tc>
      </w:tr>
      <w:tr w14:paraId="17EC78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3E69CF0B">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0089680E">
            <w:pPr>
              <w:pStyle w:val="27"/>
              <w:textAlignment w:val="center"/>
              <w:rPr>
                <w:rFonts w:ascii="Times New Roman" w:hAnsi="Times New Roman" w:eastAsia="宋体"/>
                <w:kern w:val="0"/>
                <w:highlight w:val="none"/>
              </w:rPr>
            </w:pPr>
            <w:r>
              <w:rPr>
                <w:rFonts w:ascii="Times New Roman" w:hAnsi="Times New Roman" w:eastAsia="宋体"/>
                <w:kern w:val="0"/>
                <w:highlight w:val="none"/>
              </w:rPr>
              <w:t>检修与维护</w:t>
            </w:r>
          </w:p>
        </w:tc>
        <w:tc>
          <w:tcPr>
            <w:tcW w:w="2841" w:type="pct"/>
            <w:noWrap w:val="0"/>
            <w:vAlign w:val="center"/>
          </w:tcPr>
          <w:p w14:paraId="7DF01750">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①</w:t>
            </w:r>
            <w:r>
              <w:rPr>
                <w:rFonts w:ascii="Times New Roman" w:hAnsi="Times New Roman" w:eastAsia="宋体"/>
                <w:kern w:val="0"/>
                <w:highlight w:val="none"/>
              </w:rPr>
              <w:t>特定的滤料一般使用约30000h</w:t>
            </w:r>
          </w:p>
          <w:p w14:paraId="0CC5C8B6">
            <w:pPr>
              <w:pStyle w:val="27"/>
              <w:jc w:val="left"/>
              <w:textAlignment w:val="center"/>
              <w:rPr>
                <w:rFonts w:ascii="Times New Roman" w:hAnsi="Times New Roman" w:eastAsia="宋体"/>
                <w:kern w:val="0"/>
                <w:highlight w:val="none"/>
              </w:rPr>
            </w:pPr>
            <w:r>
              <w:rPr>
                <w:rFonts w:hint="eastAsia" w:ascii="宋体" w:hAnsi="宋体" w:eastAsia="宋体" w:cs="宋体"/>
                <w:kern w:val="0"/>
                <w:highlight w:val="none"/>
              </w:rPr>
              <w:t>②</w:t>
            </w:r>
            <w:r>
              <w:rPr>
                <w:rFonts w:ascii="Times New Roman" w:hAnsi="Times New Roman" w:eastAsia="宋体"/>
                <w:kern w:val="0"/>
                <w:highlight w:val="none"/>
              </w:rPr>
              <w:t>可实现不停机检修更换</w:t>
            </w:r>
          </w:p>
        </w:tc>
      </w:tr>
      <w:tr w14:paraId="54C2F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5F2BD581">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10D3059E">
            <w:pPr>
              <w:pStyle w:val="27"/>
              <w:textAlignment w:val="center"/>
              <w:rPr>
                <w:rFonts w:ascii="Times New Roman" w:hAnsi="Times New Roman" w:eastAsia="宋体"/>
                <w:kern w:val="0"/>
                <w:highlight w:val="none"/>
              </w:rPr>
            </w:pPr>
            <w:r>
              <w:rPr>
                <w:rFonts w:ascii="Times New Roman" w:hAnsi="Times New Roman" w:eastAsia="宋体"/>
                <w:kern w:val="0"/>
                <w:highlight w:val="none"/>
              </w:rPr>
              <w:t>占地面积</w:t>
            </w:r>
          </w:p>
        </w:tc>
        <w:tc>
          <w:tcPr>
            <w:tcW w:w="2841" w:type="pct"/>
            <w:noWrap w:val="0"/>
            <w:vAlign w:val="center"/>
          </w:tcPr>
          <w:p w14:paraId="54B4CF10">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较小</w:t>
            </w:r>
          </w:p>
        </w:tc>
      </w:tr>
      <w:tr w14:paraId="12EE2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304C11E2">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22B92A53">
            <w:pPr>
              <w:pStyle w:val="27"/>
              <w:textAlignment w:val="center"/>
              <w:rPr>
                <w:rFonts w:ascii="Times New Roman" w:hAnsi="Times New Roman" w:eastAsia="宋体"/>
                <w:kern w:val="0"/>
                <w:highlight w:val="none"/>
              </w:rPr>
            </w:pPr>
            <w:r>
              <w:rPr>
                <w:rFonts w:ascii="Times New Roman" w:hAnsi="Times New Roman" w:eastAsia="宋体"/>
                <w:kern w:val="0"/>
                <w:highlight w:val="none"/>
              </w:rPr>
              <w:t>运行业绩及可靠性</w:t>
            </w:r>
          </w:p>
        </w:tc>
        <w:tc>
          <w:tcPr>
            <w:tcW w:w="2841" w:type="pct"/>
            <w:noWrap w:val="0"/>
            <w:vAlign w:val="center"/>
          </w:tcPr>
          <w:p w14:paraId="53108CE0">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目前国内1025t/h电站锅炉以下吨位的锅炉的已经普遍应用</w:t>
            </w:r>
          </w:p>
        </w:tc>
      </w:tr>
      <w:tr w14:paraId="62460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43" w:type="pct"/>
            <w:vMerge w:val="continue"/>
            <w:noWrap w:val="0"/>
            <w:vAlign w:val="center"/>
          </w:tcPr>
          <w:p w14:paraId="4EBA7F8D">
            <w:pPr>
              <w:widowControl/>
              <w:spacing w:line="240" w:lineRule="auto"/>
              <w:ind w:firstLine="0" w:firstLineChars="0"/>
              <w:jc w:val="left"/>
              <w:rPr>
                <w:rFonts w:ascii="Times New Roman" w:hAnsi="Times New Roman"/>
                <w:kern w:val="0"/>
                <w:sz w:val="21"/>
                <w:highlight w:val="none"/>
              </w:rPr>
            </w:pPr>
          </w:p>
        </w:tc>
        <w:tc>
          <w:tcPr>
            <w:tcW w:w="1516" w:type="pct"/>
            <w:noWrap w:val="0"/>
            <w:vAlign w:val="center"/>
          </w:tcPr>
          <w:p w14:paraId="404D512C">
            <w:pPr>
              <w:pStyle w:val="27"/>
              <w:textAlignment w:val="center"/>
              <w:rPr>
                <w:rFonts w:ascii="Times New Roman" w:hAnsi="Times New Roman" w:eastAsia="宋体"/>
                <w:kern w:val="0"/>
                <w:highlight w:val="none"/>
              </w:rPr>
            </w:pPr>
            <w:r>
              <w:rPr>
                <w:rFonts w:ascii="Times New Roman" w:hAnsi="Times New Roman" w:eastAsia="宋体"/>
                <w:kern w:val="0"/>
                <w:highlight w:val="none"/>
              </w:rPr>
              <w:t>初期投资及运行费用</w:t>
            </w:r>
          </w:p>
        </w:tc>
        <w:tc>
          <w:tcPr>
            <w:tcW w:w="2841" w:type="pct"/>
            <w:noWrap w:val="0"/>
            <w:vAlign w:val="center"/>
          </w:tcPr>
          <w:p w14:paraId="2094F94D">
            <w:pPr>
              <w:pStyle w:val="27"/>
              <w:jc w:val="left"/>
              <w:textAlignment w:val="center"/>
              <w:rPr>
                <w:rFonts w:ascii="Times New Roman" w:hAnsi="Times New Roman" w:eastAsia="宋体"/>
                <w:kern w:val="0"/>
                <w:highlight w:val="none"/>
              </w:rPr>
            </w:pPr>
            <w:r>
              <w:rPr>
                <w:rFonts w:ascii="Times New Roman" w:hAnsi="Times New Roman" w:eastAsia="宋体"/>
                <w:kern w:val="0"/>
                <w:highlight w:val="none"/>
              </w:rPr>
              <w:t>初期投资较大，运行费用大</w:t>
            </w:r>
          </w:p>
        </w:tc>
      </w:tr>
    </w:tbl>
    <w:p w14:paraId="4DDF2905">
      <w:pPr>
        <w:ind w:firstLine="480"/>
        <w:rPr>
          <w:rFonts w:ascii="Times New Roman" w:hAnsi="Times New Roman"/>
          <w:highlight w:val="none"/>
        </w:rPr>
      </w:pPr>
      <w:r>
        <w:rPr>
          <w:rFonts w:ascii="Times New Roman" w:hAnsi="Times New Roman"/>
          <w:highlight w:val="none"/>
        </w:rPr>
        <w:t>参考《排污许可申请与核发技术规范 锅炉》（HJ 953-2018）和《污染源源强核算技术指南 锅炉》（HJ991-2018），袋式除尘为烟气污染防治可行性技术。</w:t>
      </w:r>
    </w:p>
    <w:p w14:paraId="500C6605">
      <w:pPr>
        <w:ind w:firstLine="480"/>
        <w:rPr>
          <w:rFonts w:ascii="Times New Roman" w:hAnsi="Times New Roman"/>
          <w:highlight w:val="none"/>
        </w:rPr>
      </w:pPr>
      <w:r>
        <w:rPr>
          <w:rFonts w:ascii="Times New Roman" w:hAnsi="Times New Roman"/>
          <w:highlight w:val="none"/>
        </w:rPr>
        <w:t>本工程烟气除尘选用布袋除尘器除尘，其工作原理为：含尘烟气由进风口进入袋式除尘器，颗粒物被机械地收集在滤袋上，过滤可以发生在滤袋的纤维上，也可以发生在滤袋表层附着的灰层上。经滤袋及表层灰层过滤后的清洁烟气由排风口排入大气。滤袋表层灰可通过不同的清灰方式进行清除。与电除尘器相比，袋式除尘器能更好地捕捉超微细颗粒。</w:t>
      </w:r>
    </w:p>
    <w:p w14:paraId="23E1A36B">
      <w:pPr>
        <w:ind w:firstLine="480"/>
        <w:rPr>
          <w:rFonts w:ascii="Times New Roman" w:hAnsi="Times New Roman"/>
          <w:highlight w:val="none"/>
        </w:rPr>
      </w:pPr>
      <w:r>
        <w:rPr>
          <w:rFonts w:ascii="Times New Roman" w:hAnsi="Times New Roman"/>
          <w:highlight w:val="none"/>
        </w:rPr>
        <w:t>袋式除尘器的主要有以下几个优点：</w:t>
      </w:r>
    </w:p>
    <w:p w14:paraId="1C46D149">
      <w:pPr>
        <w:ind w:firstLine="480"/>
        <w:rPr>
          <w:rFonts w:ascii="Times New Roman" w:hAnsi="Times New Roman"/>
          <w:highlight w:val="none"/>
        </w:rPr>
      </w:pPr>
      <w:r>
        <w:rPr>
          <w:rFonts w:hint="eastAsia" w:ascii="宋体" w:hAnsi="宋体" w:cs="宋体"/>
          <w:highlight w:val="none"/>
        </w:rPr>
        <w:t>①</w:t>
      </w:r>
      <w:r>
        <w:rPr>
          <w:rFonts w:ascii="Times New Roman" w:hAnsi="Times New Roman"/>
          <w:highlight w:val="none"/>
        </w:rPr>
        <w:t>袋式除尘器的除尘，除了纤维层的过滤作用外，还有撞击、扩散、静电、重力沉积等作用，因而可捕集到不同粒径的尘粒，其除尘效率可达99.96%以上；</w:t>
      </w:r>
    </w:p>
    <w:p w14:paraId="6A12C72B">
      <w:pPr>
        <w:ind w:firstLine="480"/>
        <w:rPr>
          <w:rFonts w:ascii="Times New Roman" w:hAnsi="Times New Roman"/>
          <w:highlight w:val="none"/>
        </w:rPr>
      </w:pPr>
      <w:r>
        <w:rPr>
          <w:rFonts w:hint="eastAsia" w:ascii="宋体" w:hAnsi="宋体" w:cs="宋体"/>
          <w:highlight w:val="none"/>
        </w:rPr>
        <w:t>②</w:t>
      </w:r>
      <w:r>
        <w:rPr>
          <w:rFonts w:ascii="Times New Roman" w:hAnsi="Times New Roman"/>
          <w:highlight w:val="none"/>
        </w:rPr>
        <w:t>袋式除尘器捕集细小灰粒的能力强，粒径仅为0.0025μm的微尘也能加以捕集，故减少了排入大气中的微尘量，特别是对减少大气中重金属污染更有效；</w:t>
      </w:r>
    </w:p>
    <w:p w14:paraId="029EF352">
      <w:pPr>
        <w:ind w:firstLine="480"/>
        <w:rPr>
          <w:rFonts w:ascii="Times New Roman" w:hAnsi="Times New Roman"/>
          <w:highlight w:val="none"/>
        </w:rPr>
      </w:pPr>
      <w:r>
        <w:rPr>
          <w:rFonts w:hint="eastAsia" w:ascii="宋体" w:hAnsi="宋体" w:cs="宋体"/>
          <w:highlight w:val="none"/>
        </w:rPr>
        <w:t>③</w:t>
      </w:r>
      <w:r>
        <w:rPr>
          <w:rFonts w:ascii="Times New Roman" w:hAnsi="Times New Roman"/>
          <w:highlight w:val="none"/>
        </w:rPr>
        <w:t>袋式除尘器处理烟气量大，每小时可达数百万立方米，可与大型锅炉配套。特别是对高电阻率的颗粒物来说，是用袋式除尘器尤为有利；</w:t>
      </w:r>
    </w:p>
    <w:p w14:paraId="0857FA89">
      <w:pPr>
        <w:ind w:firstLine="480"/>
        <w:rPr>
          <w:rFonts w:ascii="Times New Roman" w:hAnsi="Times New Roman"/>
          <w:highlight w:val="none"/>
        </w:rPr>
      </w:pPr>
      <w:r>
        <w:rPr>
          <w:rFonts w:hint="eastAsia" w:ascii="宋体" w:hAnsi="宋体" w:cs="宋体"/>
          <w:highlight w:val="none"/>
        </w:rPr>
        <w:t>④</w:t>
      </w:r>
      <w:r>
        <w:rPr>
          <w:rFonts w:ascii="Times New Roman" w:hAnsi="Times New Roman"/>
          <w:highlight w:val="none"/>
        </w:rPr>
        <w:t>袋式除尘器的除尘效率不受颗粒物化学成分变化的影响，效率稳定。当除尘器阻力小于1000Pa时，入口含尘浓度即使有较大变化，对其阻力及除尘效率的影响也不明显；</w:t>
      </w:r>
    </w:p>
    <w:p w14:paraId="03992469">
      <w:pPr>
        <w:ind w:firstLine="480"/>
        <w:rPr>
          <w:rFonts w:ascii="Times New Roman" w:hAnsi="Times New Roman"/>
          <w:highlight w:val="none"/>
        </w:rPr>
      </w:pPr>
      <w:r>
        <w:rPr>
          <w:rFonts w:hint="eastAsia" w:ascii="宋体" w:hAnsi="宋体" w:cs="宋体"/>
          <w:highlight w:val="none"/>
        </w:rPr>
        <w:t>⑤</w:t>
      </w:r>
      <w:r>
        <w:rPr>
          <w:rFonts w:ascii="Times New Roman" w:hAnsi="Times New Roman"/>
          <w:highlight w:val="none"/>
        </w:rPr>
        <w:t>实行分室过滤，可在运行中检修与换袋，发生故障一般不必停炉。如果配合喷雾或喷干粉烟气脱硫（FGD）系统，具有一定的脱硫作用。</w:t>
      </w:r>
    </w:p>
    <w:p w14:paraId="1A07A274">
      <w:pPr>
        <w:ind w:firstLine="480"/>
        <w:rPr>
          <w:rFonts w:ascii="Times New Roman" w:hAnsi="Times New Roman"/>
          <w:highlight w:val="none"/>
        </w:rPr>
      </w:pPr>
      <w:r>
        <w:rPr>
          <w:rFonts w:ascii="Times New Roman" w:hAnsi="Times New Roman"/>
          <w:highlight w:val="none"/>
        </w:rPr>
        <w:t>随着国家对环保要求的提高，一方面，电厂更多低要燃用低硫煤，其灰的电阻率值比较高，使得采用电除尘器的费用增大；另一方面，滤袋的质量、袋式的设计以及运行技术水平的提高，使得滤袋使用寿命已大为延长。</w:t>
      </w:r>
    </w:p>
    <w:p w14:paraId="2DD665CF">
      <w:pPr>
        <w:ind w:firstLine="480"/>
        <w:rPr>
          <w:rFonts w:ascii="Times New Roman" w:hAnsi="Times New Roman"/>
          <w:highlight w:val="none"/>
        </w:rPr>
      </w:pPr>
      <w:r>
        <w:rPr>
          <w:rFonts w:ascii="Times New Roman" w:hAnsi="Times New Roman"/>
          <w:highlight w:val="none"/>
        </w:rPr>
        <w:t>袋式除尘器适应性强，不受颗粒物电阻率和物化特性等的影响；在新建或改造机组中都适用，在高灰份燃煤电厂锅炉、循环流化床锅炉及干法脱硫装置的烟气治理中应用较广；适用于排放要求严格的环境敏感地区。</w:t>
      </w:r>
    </w:p>
    <w:p w14:paraId="1426E821">
      <w:pPr>
        <w:ind w:firstLine="480"/>
        <w:rPr>
          <w:rFonts w:ascii="Times New Roman" w:hAnsi="Times New Roman"/>
          <w:highlight w:val="none"/>
        </w:rPr>
      </w:pPr>
      <w:r>
        <w:rPr>
          <w:rFonts w:ascii="Times New Roman" w:hAnsi="Times New Roman"/>
          <w:highlight w:val="none"/>
        </w:rPr>
        <w:t>本项目采用布袋除尘器除尘，保证除尘器效率可达99.92%以上，与湿法脱硫协同除尘，效率可达99.96%，烟气经除尘设施处理后，烟尘排放浓度满足超低排放要求。</w:t>
      </w:r>
    </w:p>
    <w:p w14:paraId="57FD05B7">
      <w:pPr>
        <w:ind w:firstLine="480"/>
        <w:rPr>
          <w:rFonts w:ascii="Times New Roman" w:hAnsi="Times New Roman"/>
          <w:highlight w:val="none"/>
        </w:rPr>
      </w:pPr>
      <w:r>
        <w:rPr>
          <w:rFonts w:ascii="Times New Roman" w:hAnsi="Times New Roman"/>
          <w:highlight w:val="none"/>
        </w:rPr>
        <w:t>颗粒物排放浓度符合超低排放限值要求。</w:t>
      </w:r>
    </w:p>
    <w:p w14:paraId="29D63F47">
      <w:pPr>
        <w:ind w:firstLine="480"/>
        <w:rPr>
          <w:rFonts w:ascii="Times New Roman" w:hAnsi="Times New Roman"/>
          <w:highlight w:val="none"/>
        </w:rPr>
      </w:pPr>
      <w:r>
        <w:rPr>
          <w:rFonts w:ascii="Times New Roman" w:hAnsi="Times New Roman"/>
          <w:highlight w:val="none"/>
        </w:rPr>
        <w:t>五、烟气监测</w:t>
      </w:r>
    </w:p>
    <w:p w14:paraId="6E0F16F0">
      <w:pPr>
        <w:ind w:firstLine="480"/>
        <w:rPr>
          <w:rFonts w:ascii="Times New Roman" w:hAnsi="Times New Roman"/>
          <w:highlight w:val="none"/>
        </w:rPr>
      </w:pPr>
      <w:r>
        <w:rPr>
          <w:rFonts w:ascii="Times New Roman" w:hAnsi="Times New Roman"/>
          <w:highlight w:val="none"/>
        </w:rPr>
        <w:t>本项目锅炉烟气经脱硝、除尘、脱硫处理后分别经1座高</w:t>
      </w:r>
      <w:r>
        <w:rPr>
          <w:rFonts w:hint="eastAsia" w:ascii="Times New Roman" w:hAnsi="Times New Roman"/>
          <w:highlight w:val="none"/>
          <w:lang w:val="en-US" w:eastAsia="zh-CN"/>
        </w:rPr>
        <w:t>60</w:t>
      </w:r>
      <w:r>
        <w:rPr>
          <w:rFonts w:ascii="Times New Roman" w:hAnsi="Times New Roman"/>
          <w:highlight w:val="none"/>
        </w:rPr>
        <w:t>m，内径</w:t>
      </w:r>
      <w:r>
        <w:rPr>
          <w:rFonts w:hint="eastAsia" w:ascii="Times New Roman" w:hAnsi="Times New Roman"/>
          <w:highlight w:val="none"/>
          <w:lang w:val="en-US" w:eastAsia="zh-CN"/>
        </w:rPr>
        <w:t>4</w:t>
      </w:r>
      <w:r>
        <w:rPr>
          <w:rFonts w:ascii="Times New Roman" w:hAnsi="Times New Roman"/>
          <w:highlight w:val="none"/>
        </w:rPr>
        <w:t>m烟囱排放，烟气中烟尘、SO</w:t>
      </w:r>
      <w:r>
        <w:rPr>
          <w:rFonts w:ascii="Times New Roman" w:hAnsi="Times New Roman"/>
          <w:highlight w:val="none"/>
          <w:vertAlign w:val="subscript"/>
        </w:rPr>
        <w:t>2</w:t>
      </w:r>
      <w:r>
        <w:rPr>
          <w:rFonts w:ascii="Times New Roman" w:hAnsi="Times New Roman"/>
          <w:highlight w:val="none"/>
        </w:rPr>
        <w:t>和NOx排放浓度需满足超低排放标准限值要求。</w:t>
      </w:r>
    </w:p>
    <w:p w14:paraId="4176F101">
      <w:pPr>
        <w:ind w:firstLine="480"/>
        <w:rPr>
          <w:rFonts w:ascii="Times New Roman" w:hAnsi="Times New Roman"/>
          <w:highlight w:val="none"/>
        </w:rPr>
      </w:pPr>
      <w:r>
        <w:rPr>
          <w:rFonts w:ascii="Times New Roman" w:hAnsi="Times New Roman"/>
          <w:highlight w:val="none"/>
        </w:rPr>
        <w:t>为及时了解和监测热电厂烟气污染防治措施运行效果和排放情况，应安装烟气自动连续监测系统，监测烟气中烟尘、SO</w:t>
      </w:r>
      <w:r>
        <w:rPr>
          <w:rFonts w:ascii="Times New Roman" w:hAnsi="Times New Roman"/>
          <w:highlight w:val="none"/>
          <w:vertAlign w:val="subscript"/>
        </w:rPr>
        <w:t>2</w:t>
      </w:r>
      <w:r>
        <w:rPr>
          <w:rFonts w:ascii="Times New Roman" w:hAnsi="Times New Roman"/>
          <w:highlight w:val="none"/>
        </w:rPr>
        <w:t>和NOx排放浓度以及烟气温度、流速、O</w:t>
      </w:r>
      <w:r>
        <w:rPr>
          <w:rFonts w:ascii="Times New Roman" w:hAnsi="Times New Roman"/>
          <w:highlight w:val="none"/>
          <w:vertAlign w:val="subscript"/>
        </w:rPr>
        <w:t>2</w:t>
      </w:r>
      <w:r>
        <w:rPr>
          <w:rFonts w:ascii="Times New Roman" w:hAnsi="Times New Roman"/>
          <w:highlight w:val="none"/>
        </w:rPr>
        <w:t>含量、压力、湿度等参数，烟气连续监测装置留有与当地环境保护主管部门的接口。</w:t>
      </w:r>
    </w:p>
    <w:p w14:paraId="763B125F">
      <w:pPr>
        <w:ind w:firstLine="480"/>
        <w:rPr>
          <w:rFonts w:ascii="Times New Roman" w:hAnsi="Times New Roman"/>
          <w:highlight w:val="none"/>
        </w:rPr>
      </w:pPr>
      <w:r>
        <w:rPr>
          <w:rFonts w:ascii="Times New Roman" w:hAnsi="Times New Roman"/>
          <w:highlight w:val="none"/>
        </w:rPr>
        <w:t>本项目</w:t>
      </w:r>
      <w:r>
        <w:rPr>
          <w:rFonts w:hint="eastAsia" w:ascii="Times New Roman" w:hAnsi="Times New Roman"/>
          <w:highlight w:val="none"/>
          <w:lang w:val="en-US" w:eastAsia="zh-CN"/>
        </w:rPr>
        <w:t>三台</w:t>
      </w:r>
      <w:r>
        <w:rPr>
          <w:rFonts w:ascii="Times New Roman" w:hAnsi="Times New Roman"/>
          <w:highlight w:val="none"/>
        </w:rPr>
        <w:t>锅炉共用一座高</w:t>
      </w:r>
      <w:r>
        <w:rPr>
          <w:rFonts w:hint="eastAsia" w:ascii="Times New Roman" w:hAnsi="Times New Roman"/>
          <w:highlight w:val="none"/>
          <w:lang w:val="en-US" w:eastAsia="zh-CN"/>
        </w:rPr>
        <w:t>60</w:t>
      </w:r>
      <w:r>
        <w:rPr>
          <w:rFonts w:ascii="Times New Roman" w:hAnsi="Times New Roman"/>
          <w:highlight w:val="none"/>
        </w:rPr>
        <w:t>m烟囱，设置1套烟气在线监测系统；与</w:t>
      </w:r>
      <w:r>
        <w:rPr>
          <w:rFonts w:hint="eastAsia" w:ascii="Times New Roman" w:hAnsi="Times New Roman"/>
          <w:highlight w:val="none"/>
          <w:lang w:val="en-US" w:eastAsia="zh-CN"/>
        </w:rPr>
        <w:t>绥芬河</w:t>
      </w:r>
      <w:r>
        <w:rPr>
          <w:rFonts w:ascii="Times New Roman" w:hAnsi="Times New Roman"/>
          <w:highlight w:val="none"/>
        </w:rPr>
        <w:t>市生态环境局监控中心联网。</w:t>
      </w:r>
    </w:p>
    <w:p w14:paraId="59CD4851">
      <w:pPr>
        <w:ind w:firstLine="480"/>
        <w:rPr>
          <w:rFonts w:ascii="Times New Roman" w:hAnsi="Times New Roman"/>
          <w:highlight w:val="none"/>
        </w:rPr>
      </w:pPr>
      <w:r>
        <w:rPr>
          <w:rFonts w:ascii="Times New Roman" w:hAnsi="Times New Roman"/>
          <w:highlight w:val="none"/>
        </w:rPr>
        <w:t>在线监测装置的安装位置遵照《固定污染源烟气排放连续监测技术规范》要求：“为了便于颗粒物和流速参比方法的校验和比对监测，烟气CEMS不宜安装在烟道内烟气流速小于5m/s的位置”，“颗粒物CEMS应设置在距弯头、阀门、变径管下游方向不小于4倍烟道直径，以及距上述部件上游方向不小于2倍烟道直径处；对于气态污染物在线监测设备应设置在距弯头、阀门、变径管下游方向不小于2倍烟道直径，以及距上述部件上游方向不小于0.5倍烟道直径处。</w:t>
      </w:r>
    </w:p>
    <w:p w14:paraId="0D360F7D">
      <w:pPr>
        <w:ind w:firstLine="480"/>
        <w:rPr>
          <w:rFonts w:ascii="Times New Roman" w:hAnsi="Times New Roman"/>
          <w:highlight w:val="none"/>
        </w:rPr>
      </w:pPr>
      <w:r>
        <w:rPr>
          <w:rFonts w:ascii="Times New Roman" w:hAnsi="Times New Roman"/>
          <w:highlight w:val="none"/>
        </w:rPr>
        <w:t>六、烟囱高度合理性论证</w:t>
      </w:r>
    </w:p>
    <w:p w14:paraId="163DE5EA">
      <w:pPr>
        <w:ind w:firstLine="480"/>
        <w:rPr>
          <w:rFonts w:ascii="Times New Roman" w:hAnsi="Times New Roman"/>
          <w:highlight w:val="none"/>
        </w:rPr>
      </w:pPr>
      <w:r>
        <w:rPr>
          <w:rFonts w:ascii="Times New Roman" w:hAnsi="Times New Roman"/>
          <w:highlight w:val="none"/>
        </w:rPr>
        <w:t>根据《制定地方大气污染物排放标准的技术方法》(GBT 3840-1991)，新建、改建和扩建工程的排气筒应保证其出口处烟气速度Vs不得小于按下式计算出的风速Vc的1.5倍。</w:t>
      </w:r>
    </w:p>
    <w:p w14:paraId="2EBF6F07">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2724150" cy="638175"/>
            <wp:effectExtent l="0" t="0" r="0" b="9525"/>
            <wp:docPr id="1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0"/>
                    <pic:cNvPicPr>
                      <a:picLocks noChangeAspect="1"/>
                    </pic:cNvPicPr>
                  </pic:nvPicPr>
                  <pic:blipFill>
                    <a:blip r:embed="rId60"/>
                    <a:stretch>
                      <a:fillRect/>
                    </a:stretch>
                  </pic:blipFill>
                  <pic:spPr>
                    <a:xfrm>
                      <a:off x="0" y="0"/>
                      <a:ext cx="2724150" cy="638175"/>
                    </a:xfrm>
                    <a:prstGeom prst="rect">
                      <a:avLst/>
                    </a:prstGeom>
                    <a:noFill/>
                    <a:ln>
                      <a:noFill/>
                    </a:ln>
                  </pic:spPr>
                </pic:pic>
              </a:graphicData>
            </a:graphic>
          </wp:inline>
        </w:drawing>
      </w:r>
    </w:p>
    <w:p w14:paraId="5A67CD5C">
      <w:pPr>
        <w:ind w:firstLine="0" w:firstLineChars="0"/>
        <w:jc w:val="center"/>
        <w:rPr>
          <w:rFonts w:ascii="Times New Roman" w:hAnsi="Times New Roman"/>
          <w:highlight w:val="none"/>
        </w:rPr>
      </w:pPr>
      <w:r>
        <w:rPr>
          <w:rFonts w:ascii="Times New Roman" w:hAnsi="Times New Roman"/>
          <w:highlight w:val="none"/>
        </w:rPr>
        <w:drawing>
          <wp:inline distT="0" distB="0" distL="114300" distR="114300">
            <wp:extent cx="1828800" cy="400050"/>
            <wp:effectExtent l="0" t="0" r="0" b="0"/>
            <wp:docPr id="1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
                    <pic:cNvPicPr>
                      <a:picLocks noChangeAspect="1"/>
                    </pic:cNvPicPr>
                  </pic:nvPicPr>
                  <pic:blipFill>
                    <a:blip r:embed="rId61"/>
                    <a:stretch>
                      <a:fillRect/>
                    </a:stretch>
                  </pic:blipFill>
                  <pic:spPr>
                    <a:xfrm>
                      <a:off x="0" y="0"/>
                      <a:ext cx="1828800" cy="400050"/>
                    </a:xfrm>
                    <a:prstGeom prst="rect">
                      <a:avLst/>
                    </a:prstGeom>
                    <a:noFill/>
                    <a:ln>
                      <a:noFill/>
                    </a:ln>
                  </pic:spPr>
                </pic:pic>
              </a:graphicData>
            </a:graphic>
          </wp:inline>
        </w:drawing>
      </w:r>
    </w:p>
    <w:p w14:paraId="0A855AE9">
      <w:pPr>
        <w:ind w:firstLine="480"/>
        <w:rPr>
          <w:rFonts w:ascii="Times New Roman" w:hAnsi="Times New Roman"/>
          <w:highlight w:val="none"/>
        </w:rPr>
      </w:pPr>
      <w:r>
        <w:rPr>
          <w:rFonts w:ascii="Times New Roman" w:hAnsi="Times New Roman"/>
          <w:highlight w:val="none"/>
        </w:rPr>
        <w:t>式中：</w:t>
      </w:r>
    </w:p>
    <w:p w14:paraId="3B2A983B">
      <w:pPr>
        <w:ind w:firstLine="420"/>
        <w:rPr>
          <w:rFonts w:ascii="Times New Roman" w:hAnsi="Times New Roman"/>
          <w:highlight w:val="none"/>
        </w:rPr>
      </w:pPr>
      <w:r>
        <w:rPr>
          <w:rFonts w:ascii="Times New Roman" w:hAnsi="Times New Roman"/>
          <w:position w:val="-6"/>
          <w:sz w:val="21"/>
          <w:szCs w:val="28"/>
          <w:highlight w:val="none"/>
        </w:rPr>
        <w:object>
          <v:shape id="_x0000_i1031" o:spt="75" type="#_x0000_t75" style="height:21.9pt;width:11.9pt;" o:ole="t" filled="f" o:preferrelative="t" stroked="f" coordsize="21600,21600">
            <v:path/>
            <v:fill on="f" focussize="0,0"/>
            <v:stroke on="f"/>
            <v:imagedata r:id="rId63" o:title=""/>
            <o:lock v:ext="edit" aspectratio="t"/>
            <w10:wrap type="none"/>
            <w10:anchorlock/>
          </v:shape>
          <o:OLEObject Type="Embed" ProgID="Equation.3" ShapeID="_x0000_i1031" DrawAspect="Content" ObjectID="_1468075731" r:id="rId62">
            <o:LockedField>false</o:LockedField>
          </o:OLEObject>
        </w:object>
      </w:r>
      <w:r>
        <w:rPr>
          <w:rFonts w:ascii="Times New Roman" w:hAnsi="Times New Roman"/>
          <w:highlight w:val="none"/>
        </w:rPr>
        <w:t>—排气筒出口高度处环境风速的多年平均风速，</w:t>
      </w:r>
      <w:r>
        <w:rPr>
          <w:rFonts w:hint="eastAsia" w:ascii="Times New Roman" w:hAnsi="Times New Roman"/>
          <w:highlight w:val="none"/>
          <w:lang w:val="en-US" w:eastAsia="zh-CN"/>
        </w:rPr>
        <w:t>3.4</w:t>
      </w:r>
      <w:r>
        <w:rPr>
          <w:rFonts w:ascii="Times New Roman" w:hAnsi="Times New Roman"/>
          <w:highlight w:val="none"/>
        </w:rPr>
        <w:t>m/s</w:t>
      </w:r>
    </w:p>
    <w:p w14:paraId="2010A1CA">
      <w:pPr>
        <w:ind w:firstLine="480"/>
        <w:rPr>
          <w:rFonts w:hint="default" w:ascii="Times New Roman" w:hAnsi="Times New Roman" w:eastAsia="宋体"/>
          <w:highlight w:val="none"/>
          <w:lang w:val="en-US" w:eastAsia="zh-CN"/>
        </w:rPr>
      </w:pPr>
      <w:r>
        <w:rPr>
          <w:rFonts w:ascii="Times New Roman" w:hAnsi="Times New Roman"/>
          <w:highlight w:val="none"/>
        </w:rPr>
        <w:t>K—韦伯斜率；K按照上面公式计算为</w:t>
      </w:r>
      <w:r>
        <w:rPr>
          <w:rFonts w:hint="eastAsia" w:ascii="Times New Roman" w:hAnsi="Times New Roman"/>
          <w:highlight w:val="none"/>
          <w:lang w:val="en-US" w:eastAsia="zh-CN"/>
        </w:rPr>
        <w:t>1.386</w:t>
      </w:r>
    </w:p>
    <w:p w14:paraId="7526D24D">
      <w:pPr>
        <w:ind w:firstLine="420"/>
        <w:rPr>
          <w:rFonts w:ascii="Times New Roman" w:hAnsi="Times New Roman"/>
          <w:highlight w:val="none"/>
        </w:rPr>
      </w:pPr>
      <w:r>
        <w:rPr>
          <w:rFonts w:ascii="Times New Roman" w:hAnsi="Times New Roman"/>
          <w:position w:val="-10"/>
          <w:sz w:val="21"/>
          <w:szCs w:val="28"/>
          <w:highlight w:val="none"/>
        </w:rPr>
        <w:object>
          <v:shape id="_x0000_i1032" o:spt="75" type="#_x0000_t75" style="height:15.65pt;width:26.9pt;" o:ole="t" filled="f" o:preferrelative="t" stroked="f" coordsize="21600,21600">
            <v:path/>
            <v:fill on="f" focussize="0,0"/>
            <v:stroke on="f"/>
            <v:imagedata r:id="rId65" o:title=""/>
            <o:lock v:ext="edit" aspectratio="t"/>
            <w10:wrap type="none"/>
            <w10:anchorlock/>
          </v:shape>
          <o:OLEObject Type="Embed" ProgID="Equation.3" ShapeID="_x0000_i1032" DrawAspect="Content" ObjectID="_1468075732" r:id="rId64">
            <o:LockedField>false</o:LockedField>
          </o:OLEObject>
        </w:object>
      </w:r>
      <w:r>
        <w:rPr>
          <w:rFonts w:ascii="Times New Roman" w:hAnsi="Times New Roman"/>
          <w:highlight w:val="none"/>
        </w:rPr>
        <w:t>—函数，</w:t>
      </w:r>
      <w:r>
        <w:rPr>
          <w:rFonts w:ascii="Times New Roman" w:hAnsi="Times New Roman"/>
          <w:position w:val="-6"/>
          <w:sz w:val="21"/>
          <w:szCs w:val="28"/>
          <w:highlight w:val="none"/>
        </w:rPr>
        <w:object>
          <v:shape id="_x0000_i1033" o:spt="75" type="#_x0000_t75" style="height:14.4pt;width:11.25pt;" o:ole="t" filled="f" o:preferrelative="t" stroked="f" coordsize="21600,21600">
            <v:path/>
            <v:fill on="f" focussize="0,0"/>
            <v:stroke on="f"/>
            <v:imagedata r:id="rId67" o:title=""/>
            <o:lock v:ext="edit" aspectratio="t"/>
            <w10:wrap type="none"/>
            <w10:anchorlock/>
          </v:shape>
          <o:OLEObject Type="Embed" ProgID="Equation.3" ShapeID="_x0000_i1033" DrawAspect="Content" ObjectID="_1468075733" r:id="rId66">
            <o:LockedField>false</o:LockedField>
          </o:OLEObject>
        </w:object>
      </w:r>
      <w:r>
        <w:rPr>
          <w:rFonts w:ascii="Times New Roman" w:hAnsi="Times New Roman"/>
          <w:highlight w:val="none"/>
        </w:rPr>
        <w:t>=1+1/K。</w:t>
      </w:r>
    </w:p>
    <w:p w14:paraId="66EAF12D">
      <w:pPr>
        <w:ind w:firstLine="480"/>
        <w:rPr>
          <w:rFonts w:ascii="Times New Roman" w:hAnsi="Times New Roman"/>
          <w:highlight w:val="none"/>
        </w:rPr>
      </w:pPr>
      <w:r>
        <w:rPr>
          <w:rFonts w:ascii="Times New Roman" w:hAnsi="Times New Roman"/>
          <w:highlight w:val="none"/>
        </w:rPr>
        <w:t>本项目</w:t>
      </w:r>
      <w:r>
        <w:rPr>
          <w:rFonts w:hint="eastAsia" w:ascii="Times New Roman" w:hAnsi="Times New Roman"/>
          <w:highlight w:val="none"/>
          <w:lang w:val="en-US" w:eastAsia="zh-CN"/>
        </w:rPr>
        <w:t>三台</w:t>
      </w:r>
      <w:r>
        <w:rPr>
          <w:rFonts w:ascii="Times New Roman" w:hAnsi="Times New Roman"/>
          <w:highlight w:val="none"/>
        </w:rPr>
        <w:t>锅炉烟气经处理后通过一座</w:t>
      </w:r>
      <w:r>
        <w:rPr>
          <w:rFonts w:hint="eastAsia" w:ascii="Times New Roman" w:hAnsi="Times New Roman"/>
          <w:highlight w:val="none"/>
          <w:lang w:val="en-US" w:eastAsia="zh-CN"/>
        </w:rPr>
        <w:t>60</w:t>
      </w:r>
      <w:r>
        <w:rPr>
          <w:rFonts w:ascii="Times New Roman" w:hAnsi="Times New Roman"/>
          <w:highlight w:val="none"/>
        </w:rPr>
        <w:t>m烟囱排出</w:t>
      </w:r>
      <w:r>
        <w:rPr>
          <w:rFonts w:hint="eastAsia" w:ascii="Times New Roman" w:hAnsi="Times New Roman"/>
          <w:highlight w:val="none"/>
          <w:lang w:eastAsia="zh-CN"/>
        </w:rPr>
        <w:t>，</w:t>
      </w:r>
      <w:r>
        <w:rPr>
          <w:rFonts w:hint="eastAsia" w:ascii="Times New Roman" w:hAnsi="Times New Roman"/>
          <w:highlight w:val="none"/>
          <w:lang w:val="en-US" w:eastAsia="zh-CN"/>
        </w:rPr>
        <w:t>按照企业实际运行情况</w:t>
      </w:r>
      <w:r>
        <w:rPr>
          <w:rFonts w:ascii="Times New Roman" w:hAnsi="Times New Roman"/>
          <w:highlight w:val="none"/>
        </w:rPr>
        <w:t>经计算项目</w:t>
      </w:r>
      <w:r>
        <w:rPr>
          <w:rFonts w:hint="eastAsia" w:ascii="Times New Roman" w:hAnsi="Times New Roman"/>
          <w:highlight w:val="none"/>
          <w:lang w:val="en-US" w:eastAsia="zh-CN"/>
        </w:rPr>
        <w:t>三台</w:t>
      </w:r>
      <w:r>
        <w:rPr>
          <w:rFonts w:ascii="Times New Roman" w:hAnsi="Times New Roman"/>
          <w:highlight w:val="none"/>
        </w:rPr>
        <w:t>锅炉烟气出口速度</w:t>
      </w:r>
      <w:r>
        <w:rPr>
          <w:rFonts w:hint="eastAsia" w:ascii="Times New Roman" w:hAnsi="Times New Roman"/>
          <w:highlight w:val="none"/>
          <w:lang w:val="en-US" w:eastAsia="zh-CN"/>
        </w:rPr>
        <w:t>最大</w:t>
      </w:r>
      <w:r>
        <w:rPr>
          <w:rFonts w:ascii="Times New Roman" w:hAnsi="Times New Roman"/>
          <w:highlight w:val="none"/>
        </w:rPr>
        <w:t>Vs为</w:t>
      </w:r>
      <w:r>
        <w:rPr>
          <w:rFonts w:hint="eastAsia" w:ascii="Times New Roman" w:hAnsi="Times New Roman"/>
          <w:highlight w:val="none"/>
          <w:lang w:val="en-US" w:eastAsia="zh-CN"/>
        </w:rPr>
        <w:t>6.9</w:t>
      </w:r>
      <w:r>
        <w:rPr>
          <w:rFonts w:ascii="Times New Roman" w:hAnsi="Times New Roman"/>
          <w:highlight w:val="none"/>
        </w:rPr>
        <w:t>m/s，Vc为</w:t>
      </w:r>
      <w:r>
        <w:rPr>
          <w:rFonts w:hint="eastAsia" w:ascii="Times New Roman" w:hAnsi="Times New Roman"/>
          <w:highlight w:val="none"/>
          <w:lang w:val="en-US" w:eastAsia="zh-CN"/>
        </w:rPr>
        <w:t>2.2</w:t>
      </w:r>
      <w:r>
        <w:rPr>
          <w:rFonts w:ascii="Times New Roman" w:hAnsi="Times New Roman"/>
          <w:highlight w:val="none"/>
        </w:rPr>
        <w:t>m/s，Vs大于1.5Vc，因此本项目采用的烟囱高度与出口内径从环境保护角度来看是合理的。</w:t>
      </w:r>
    </w:p>
    <w:p w14:paraId="54CEC46A">
      <w:pPr>
        <w:ind w:firstLine="480"/>
        <w:rPr>
          <w:rFonts w:ascii="Times New Roman" w:hAnsi="Times New Roman"/>
          <w:highlight w:val="none"/>
        </w:rPr>
      </w:pPr>
      <w:r>
        <w:rPr>
          <w:rFonts w:ascii="Times New Roman" w:hAnsi="Times New Roman"/>
          <w:highlight w:val="none"/>
        </w:rPr>
        <w:t>本工程锅炉烟气经除尘、脱硫、脱硝处理后由</w:t>
      </w:r>
      <w:r>
        <w:rPr>
          <w:rFonts w:hint="eastAsia" w:ascii="Times New Roman" w:hAnsi="Times New Roman"/>
          <w:highlight w:val="none"/>
          <w:lang w:val="en-US" w:eastAsia="zh-CN"/>
        </w:rPr>
        <w:t>60</w:t>
      </w:r>
      <w:r>
        <w:rPr>
          <w:rFonts w:ascii="Times New Roman" w:hAnsi="Times New Roman"/>
          <w:highlight w:val="none"/>
        </w:rPr>
        <w:t>m高，内径为</w:t>
      </w:r>
      <w:r>
        <w:rPr>
          <w:rFonts w:hint="eastAsia" w:ascii="Times New Roman" w:hAnsi="Times New Roman"/>
          <w:highlight w:val="none"/>
          <w:lang w:val="en-US" w:eastAsia="zh-CN"/>
        </w:rPr>
        <w:t>4</w:t>
      </w:r>
      <w:r>
        <w:rPr>
          <w:rFonts w:ascii="Times New Roman" w:hAnsi="Times New Roman"/>
          <w:highlight w:val="none"/>
        </w:rPr>
        <w:t>m的烟囱排放，烟气中烟尘的排放浓度为</w:t>
      </w:r>
      <w:r>
        <w:rPr>
          <w:rFonts w:hint="eastAsia" w:ascii="Times New Roman" w:hAnsi="Times New Roman"/>
          <w:highlight w:val="none"/>
          <w:lang w:val="en-US" w:eastAsia="zh-CN"/>
        </w:rPr>
        <w:t>3.23</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的排放浓度为</w:t>
      </w:r>
      <w:r>
        <w:rPr>
          <w:rFonts w:hint="eastAsia" w:ascii="Times New Roman" w:hAnsi="Times New Roman"/>
          <w:highlight w:val="none"/>
          <w:lang w:val="en-US" w:eastAsia="zh-CN"/>
        </w:rPr>
        <w:t>9.746</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，NOx排放浓度为</w:t>
      </w:r>
      <w:r>
        <w:rPr>
          <w:rFonts w:hint="eastAsia" w:ascii="Times New Roman" w:hAnsi="Times New Roman"/>
          <w:highlight w:val="none"/>
        </w:rPr>
        <w:t>45</w:t>
      </w:r>
      <w:r>
        <w:rPr>
          <w:rFonts w:ascii="Times New Roman" w:hAnsi="Times New Roman"/>
          <w:highlight w:val="none"/>
        </w:rPr>
        <w:t>mg/m</w:t>
      </w:r>
      <w:r>
        <w:rPr>
          <w:rFonts w:ascii="Times New Roman" w:hAnsi="Times New Roman"/>
          <w:highlight w:val="none"/>
          <w:vertAlign w:val="superscript"/>
        </w:rPr>
        <w:t>3</w:t>
      </w:r>
      <w:r>
        <w:rPr>
          <w:rFonts w:ascii="Times New Roman" w:hAnsi="Times New Roman"/>
          <w:highlight w:val="none"/>
        </w:rPr>
        <w:t>，能满足超低排放限值要求。</w:t>
      </w:r>
      <w:r>
        <w:rPr>
          <w:rFonts w:hint="eastAsia" w:ascii="Times New Roman" w:hAnsi="Times New Roman"/>
          <w:highlight w:val="none"/>
        </w:rPr>
        <w:t>且本项目烟囱高度为</w:t>
      </w:r>
      <w:r>
        <w:rPr>
          <w:rFonts w:hint="eastAsia" w:ascii="Times New Roman" w:hAnsi="Times New Roman"/>
          <w:highlight w:val="none"/>
          <w:lang w:val="en-US" w:eastAsia="zh-CN"/>
        </w:rPr>
        <w:t>60</w:t>
      </w:r>
      <w:r>
        <w:rPr>
          <w:rFonts w:hint="eastAsia" w:ascii="Times New Roman" w:hAnsi="Times New Roman"/>
          <w:highlight w:val="none"/>
        </w:rPr>
        <w:t>m，高于周围200m范围内最高构筑物3m以上。</w:t>
      </w:r>
    </w:p>
    <w:p w14:paraId="7817C1F4">
      <w:pPr>
        <w:pStyle w:val="7"/>
        <w:ind w:firstLine="480"/>
        <w:rPr>
          <w:rFonts w:ascii="Times New Roman" w:hAnsi="Times New Roman"/>
          <w:highlight w:val="none"/>
        </w:rPr>
      </w:pPr>
      <w:r>
        <w:rPr>
          <w:rFonts w:ascii="Times New Roman" w:hAnsi="Times New Roman"/>
          <w:highlight w:val="none"/>
        </w:rPr>
        <w:t>七、锅炉非正常工况烟气防治措施</w:t>
      </w:r>
    </w:p>
    <w:p w14:paraId="1A6FD976">
      <w:pPr>
        <w:pStyle w:val="7"/>
        <w:ind w:firstLine="480"/>
        <w:rPr>
          <w:rFonts w:ascii="Times New Roman" w:hAnsi="Times New Roman"/>
          <w:highlight w:val="none"/>
        </w:rPr>
      </w:pPr>
      <w:r>
        <w:rPr>
          <w:rFonts w:ascii="Times New Roman" w:hAnsi="Times New Roman"/>
          <w:highlight w:val="none"/>
        </w:rPr>
        <w:t>项目非正常工况锅炉烟气净化系统出现滤袋破损、脱硫塔设备故障、脱硝系统不能投运和低负荷运行或设备故障导致脱硝系统不能投运，相较正常排放污染物浓度大幅度上升。评价要求加强管理，避免或尽量减少非正常工况的发生，进一步降低非正常工况下对当地环境空气质量的不利影响。</w:t>
      </w:r>
    </w:p>
    <w:p w14:paraId="3CB2BAB3">
      <w:pPr>
        <w:pStyle w:val="7"/>
        <w:ind w:firstLine="480"/>
        <w:rPr>
          <w:rFonts w:ascii="Times New Roman" w:hAnsi="Times New Roman"/>
          <w:highlight w:val="none"/>
        </w:rPr>
      </w:pPr>
      <w:r>
        <w:rPr>
          <w:rFonts w:ascii="Times New Roman" w:hAnsi="Times New Roman"/>
          <w:highlight w:val="none"/>
        </w:rPr>
        <w:t>八、颗粒物及食堂油烟排放控制措施</w:t>
      </w:r>
    </w:p>
    <w:p w14:paraId="46FEF7BB">
      <w:pPr>
        <w:ind w:firstLine="480"/>
        <w:rPr>
          <w:rFonts w:ascii="Times New Roman" w:hAnsi="Times New Roman"/>
          <w:highlight w:val="none"/>
        </w:rPr>
      </w:pPr>
      <w:r>
        <w:rPr>
          <w:rFonts w:ascii="Times New Roman" w:hAnsi="Times New Roman"/>
          <w:highlight w:val="none"/>
        </w:rPr>
        <w:t>1、</w:t>
      </w:r>
      <w:r>
        <w:rPr>
          <w:rFonts w:hint="eastAsia" w:ascii="Times New Roman" w:hAnsi="Times New Roman"/>
          <w:highlight w:val="none"/>
        </w:rPr>
        <w:t>煤库</w:t>
      </w:r>
      <w:r>
        <w:rPr>
          <w:rFonts w:ascii="Times New Roman" w:hAnsi="Times New Roman"/>
          <w:highlight w:val="none"/>
        </w:rPr>
        <w:t xml:space="preserve">及输煤系统防尘措施 </w:t>
      </w:r>
    </w:p>
    <w:p w14:paraId="43C551A0">
      <w:pPr>
        <w:ind w:firstLine="480"/>
        <w:rPr>
          <w:rFonts w:ascii="Times New Roman" w:hAnsi="Times New Roman"/>
          <w:highlight w:val="none"/>
        </w:rPr>
      </w:pPr>
      <w:r>
        <w:rPr>
          <w:rFonts w:ascii="Times New Roman" w:hAnsi="Times New Roman"/>
          <w:highlight w:val="none"/>
        </w:rPr>
        <w:t>1）拟建项目采用全封闭</w:t>
      </w:r>
      <w:r>
        <w:rPr>
          <w:rFonts w:hint="eastAsia" w:ascii="Times New Roman" w:hAnsi="Times New Roman"/>
          <w:highlight w:val="none"/>
        </w:rPr>
        <w:t>储煤库</w:t>
      </w:r>
      <w:r>
        <w:rPr>
          <w:rFonts w:ascii="Times New Roman" w:hAnsi="Times New Roman"/>
          <w:highlight w:val="none"/>
        </w:rPr>
        <w:t>，并在</w:t>
      </w:r>
      <w:r>
        <w:rPr>
          <w:rFonts w:hint="eastAsia" w:ascii="Times New Roman" w:hAnsi="Times New Roman"/>
          <w:highlight w:val="none"/>
        </w:rPr>
        <w:t>储煤库</w:t>
      </w:r>
      <w:r>
        <w:rPr>
          <w:rFonts w:ascii="Times New Roman" w:hAnsi="Times New Roman"/>
          <w:highlight w:val="none"/>
        </w:rPr>
        <w:t>内设置喷淋装置进行抑尘，以减轻煤尘对厂区环境影响。</w:t>
      </w:r>
    </w:p>
    <w:p w14:paraId="1B9B3A69">
      <w:pPr>
        <w:ind w:firstLine="480"/>
        <w:rPr>
          <w:rFonts w:ascii="Times New Roman" w:hAnsi="Times New Roman"/>
          <w:highlight w:val="none"/>
        </w:rPr>
      </w:pPr>
      <w:r>
        <w:rPr>
          <w:rFonts w:ascii="Times New Roman" w:hAnsi="Times New Roman"/>
          <w:highlight w:val="none"/>
        </w:rPr>
        <w:t>2）输煤系统采用全封闭输煤栈桥，各输送机头部、导料槽出口设置自动喷水雾装置。</w:t>
      </w:r>
    </w:p>
    <w:p w14:paraId="6484AA8E">
      <w:pPr>
        <w:ind w:firstLine="480"/>
        <w:rPr>
          <w:rFonts w:ascii="Times New Roman" w:hAnsi="Times New Roman"/>
          <w:highlight w:val="none"/>
        </w:rPr>
      </w:pPr>
      <w:r>
        <w:rPr>
          <w:rFonts w:ascii="Times New Roman" w:hAnsi="Times New Roman"/>
          <w:highlight w:val="none"/>
        </w:rPr>
        <w:t>3）运煤车在装卸后都要清扫或清洗，运煤车要加蓬布，以减少煤灰沿途散落而污染环境。</w:t>
      </w:r>
    </w:p>
    <w:p w14:paraId="79495400">
      <w:pPr>
        <w:ind w:firstLine="480"/>
        <w:rPr>
          <w:rFonts w:ascii="Times New Roman" w:hAnsi="Times New Roman"/>
          <w:highlight w:val="none"/>
        </w:rPr>
      </w:pPr>
      <w:r>
        <w:rPr>
          <w:rFonts w:ascii="Times New Roman" w:hAnsi="Times New Roman"/>
          <w:highlight w:val="none"/>
        </w:rPr>
        <w:t xml:space="preserve">4）碎煤机室配套集气罩和除尘系统，由布袋除尘器、防爆离心风机、空压机、风管及其附件、控制及监测系统等组成。 </w:t>
      </w:r>
    </w:p>
    <w:p w14:paraId="21193019">
      <w:pPr>
        <w:ind w:firstLine="480"/>
        <w:rPr>
          <w:rFonts w:ascii="Times New Roman" w:hAnsi="Times New Roman"/>
          <w:highlight w:val="none"/>
        </w:rPr>
      </w:pPr>
      <w:r>
        <w:rPr>
          <w:rFonts w:ascii="Times New Roman" w:hAnsi="Times New Roman"/>
          <w:highlight w:val="none"/>
        </w:rPr>
        <w:t xml:space="preserve">2、除灰渣及石灰石粉输送系统防尘措施 </w:t>
      </w:r>
    </w:p>
    <w:p w14:paraId="60A2F236">
      <w:pPr>
        <w:ind w:firstLine="480"/>
        <w:rPr>
          <w:rFonts w:ascii="Times New Roman" w:hAnsi="Times New Roman"/>
          <w:highlight w:val="none"/>
        </w:rPr>
      </w:pPr>
      <w:r>
        <w:rPr>
          <w:rFonts w:ascii="Times New Roman" w:hAnsi="Times New Roman"/>
          <w:highlight w:val="none"/>
        </w:rPr>
        <w:t>1）本项目除灰渣系统采用灰、渣分除，锅炉除灰采用正压浓相气力除灰系统；炉底排渣采用机械湿式除渣系统。灰经输灰管道直接气力输送至灰仓暂存，由专用密封罐车运出厂外进行综合利用，不会因汽车运灰带来二次污染。灰仓、渣仓仓顶均设置脉冲除尘器。</w:t>
      </w:r>
    </w:p>
    <w:p w14:paraId="15380040">
      <w:pPr>
        <w:ind w:firstLine="480"/>
        <w:rPr>
          <w:rFonts w:ascii="Times New Roman" w:hAnsi="Times New Roman"/>
          <w:highlight w:val="none"/>
        </w:rPr>
      </w:pPr>
      <w:r>
        <w:rPr>
          <w:rFonts w:ascii="Times New Roman" w:hAnsi="Times New Roman"/>
          <w:highlight w:val="none"/>
        </w:rPr>
        <w:t>2）石灰石粉由专用密封罐车运送至厂内，石灰石粉采用气力输送至石灰石粉仓暂存，仓顶设置脉冲除尘器。</w:t>
      </w:r>
    </w:p>
    <w:p w14:paraId="2A693352">
      <w:pPr>
        <w:ind w:firstLine="480"/>
        <w:rPr>
          <w:rFonts w:ascii="Times New Roman" w:hAnsi="Times New Roman"/>
          <w:highlight w:val="none"/>
        </w:rPr>
      </w:pPr>
      <w:r>
        <w:rPr>
          <w:rFonts w:ascii="Times New Roman" w:hAnsi="Times New Roman"/>
          <w:highlight w:val="none"/>
        </w:rPr>
        <w:t>3）运渣车在装卸后都要清扫或清洗，并加盖篷布，以减少炉渣沿途散落而污染环境。</w:t>
      </w:r>
    </w:p>
    <w:p w14:paraId="4FDC562F">
      <w:pPr>
        <w:ind w:firstLine="480"/>
        <w:rPr>
          <w:rFonts w:ascii="Times New Roman" w:hAnsi="Times New Roman"/>
          <w:highlight w:val="none"/>
        </w:rPr>
      </w:pPr>
      <w:r>
        <w:rPr>
          <w:rFonts w:ascii="Times New Roman" w:hAnsi="Times New Roman"/>
          <w:highlight w:val="none"/>
        </w:rPr>
        <w:t>本项目采取的废气污染防治措施为常用废气治理措施，经济具有合理性、能够长期稳定运行和达标排放。</w:t>
      </w:r>
    </w:p>
    <w:p w14:paraId="01DCAA99">
      <w:pPr>
        <w:ind w:firstLine="480"/>
        <w:rPr>
          <w:rFonts w:hint="eastAsia" w:ascii="Times New Roman" w:hAnsi="Times New Roman"/>
          <w:highlight w:val="none"/>
        </w:rPr>
      </w:pPr>
      <w:r>
        <w:rPr>
          <w:rFonts w:hint="eastAsia" w:ascii="Times New Roman" w:hAnsi="Times New Roman"/>
          <w:highlight w:val="none"/>
        </w:rPr>
        <w:t>本项目食堂油烟经油烟净化器净化后，经专用烟道引至楼顶排放，</w:t>
      </w:r>
    </w:p>
    <w:p w14:paraId="3182B5FF">
      <w:pPr>
        <w:ind w:firstLine="480"/>
        <w:rPr>
          <w:rFonts w:ascii="Times New Roman" w:hAnsi="Times New Roman"/>
          <w:highlight w:val="none"/>
        </w:rPr>
      </w:pPr>
      <w:r>
        <w:rPr>
          <w:rFonts w:ascii="Times New Roman" w:hAnsi="Times New Roman"/>
          <w:highlight w:val="none"/>
        </w:rPr>
        <w:t>采取上述措施，可保证厂界无组织颗粒物的浓度满足《大气污染物综合排放标准》(GB16297-1996)中</w:t>
      </w:r>
      <w:r>
        <w:rPr>
          <w:rFonts w:hint="eastAsia" w:ascii="Times New Roman" w:hAnsi="Times New Roman"/>
          <w:highlight w:val="none"/>
        </w:rPr>
        <w:t>表2</w:t>
      </w:r>
      <w:r>
        <w:rPr>
          <w:rFonts w:ascii="Times New Roman" w:hAnsi="Times New Roman"/>
          <w:highlight w:val="none"/>
        </w:rPr>
        <w:t>无组织排放监控浓度限值（1.0mg/m</w:t>
      </w:r>
      <w:r>
        <w:rPr>
          <w:rFonts w:ascii="Times New Roman" w:hAnsi="Times New Roman"/>
          <w:highlight w:val="none"/>
          <w:vertAlign w:val="superscript"/>
        </w:rPr>
        <w:t>3</w:t>
      </w:r>
      <w:r>
        <w:rPr>
          <w:rFonts w:ascii="Times New Roman" w:hAnsi="Times New Roman"/>
          <w:highlight w:val="none"/>
        </w:rPr>
        <w:t>）要求。</w:t>
      </w:r>
      <w:r>
        <w:rPr>
          <w:rFonts w:hint="eastAsia" w:ascii="Times New Roman" w:hAnsi="Times New Roman"/>
          <w:highlight w:val="none"/>
        </w:rPr>
        <w:t>食堂油烟排放可满足《饮食业油烟排放标准（试行）》（GB18483-2001）（中型）油烟最高允许排放浓度为2.0mg/m</w:t>
      </w:r>
      <w:r>
        <w:rPr>
          <w:rFonts w:hint="eastAsia" w:ascii="Times New Roman" w:hAnsi="Times New Roman"/>
          <w:highlight w:val="none"/>
          <w:vertAlign w:val="superscript"/>
        </w:rPr>
        <w:t>3</w:t>
      </w:r>
      <w:r>
        <w:rPr>
          <w:rFonts w:hint="eastAsia" w:ascii="Times New Roman" w:hAnsi="Times New Roman"/>
          <w:highlight w:val="none"/>
        </w:rPr>
        <w:t>的要求。</w:t>
      </w:r>
    </w:p>
    <w:p w14:paraId="3E63EC16">
      <w:pPr>
        <w:pStyle w:val="23"/>
        <w:ind w:firstLine="480"/>
        <w:rPr>
          <w:rFonts w:hint="eastAsia"/>
          <w:color w:val="auto"/>
          <w:highlight w:val="none"/>
        </w:rPr>
      </w:pPr>
      <w:r>
        <w:rPr>
          <w:rFonts w:hint="eastAsia"/>
          <w:color w:val="auto"/>
          <w:highlight w:val="none"/>
        </w:rPr>
        <w:t>九、废气治理措施最优化的方案</w:t>
      </w:r>
    </w:p>
    <w:p w14:paraId="039CA929">
      <w:pPr>
        <w:ind w:firstLine="480"/>
        <w:rPr>
          <w:highlight w:val="none"/>
        </w:rPr>
      </w:pPr>
      <w:r>
        <w:rPr>
          <w:rFonts w:hint="eastAsia"/>
          <w:highlight w:val="none"/>
        </w:rPr>
        <w:t>本项目位于</w:t>
      </w:r>
      <w:r>
        <w:rPr>
          <w:rFonts w:hint="eastAsia"/>
          <w:highlight w:val="none"/>
          <w:lang w:val="en-US" w:eastAsia="zh-CN"/>
        </w:rPr>
        <w:t>绥芬河市</w:t>
      </w:r>
      <w:r>
        <w:rPr>
          <w:rFonts w:hint="eastAsia"/>
          <w:highlight w:val="none"/>
        </w:rPr>
        <w:t>，属于环境空气质量达标区，根据《环境影响评价技术导则-大气</w:t>
      </w:r>
      <w:r>
        <w:rPr>
          <w:rFonts w:ascii="Times New Roman" w:hAnsi="Times New Roman"/>
          <w:highlight w:val="none"/>
        </w:rPr>
        <w:t>环境》(HJ2.2-2018)》</w:t>
      </w:r>
      <w:r>
        <w:rPr>
          <w:rFonts w:hint="eastAsia" w:ascii="Times New Roman" w:hAnsi="Times New Roman"/>
          <w:highlight w:val="none"/>
        </w:rPr>
        <w:t>中“8.8.6.</w:t>
      </w:r>
      <w:r>
        <w:rPr>
          <w:rFonts w:hint="eastAsia" w:ascii="Times New Roman" w:hAnsi="Times New Roman"/>
          <w:highlight w:val="none"/>
          <w:lang w:val="en-US" w:eastAsia="zh-CN"/>
        </w:rPr>
        <w:t>1</w:t>
      </w:r>
      <w:r>
        <w:rPr>
          <w:rFonts w:hint="eastAsia" w:ascii="Times New Roman" w:hAnsi="Times New Roman"/>
          <w:highlight w:val="none"/>
        </w:rPr>
        <w:t xml:space="preserve"> 达标区建设项目选择大气污染治理设施、预防措施或多方案比选时，应综合考虑成本和治理效果，选择最佳可行技术方案，保证大气污染物能够达标排放，并使环境影响可以接受”</w:t>
      </w:r>
      <w:r>
        <w:rPr>
          <w:rFonts w:hint="eastAsia"/>
          <w:highlight w:val="none"/>
        </w:rPr>
        <w:t>可知，大气污染防治技术应选择最优方案。本项目在方案比选过程优先考虑处理效率高，污染排放小的处理工艺，在能够保障达标排放的情况下选择处理效果更好的污染防治工艺。本项目每台锅炉产生的锅炉烟气均采用低氮燃烧+SNCR-SCR联合脱硝（尿素）+布袋除尘器+石灰石–石膏湿法烟气脱硫（3炉</w:t>
      </w:r>
      <w:r>
        <w:rPr>
          <w:rFonts w:hint="eastAsia"/>
          <w:highlight w:val="none"/>
          <w:lang w:val="en-US" w:eastAsia="zh-CN"/>
        </w:rPr>
        <w:t>1</w:t>
      </w:r>
      <w:r>
        <w:rPr>
          <w:rFonts w:hint="eastAsia"/>
          <w:highlight w:val="none"/>
        </w:rPr>
        <w:t>塔），共用1座</w:t>
      </w:r>
      <w:r>
        <w:rPr>
          <w:rFonts w:hint="eastAsia"/>
          <w:highlight w:val="none"/>
          <w:lang w:val="en-US" w:eastAsia="zh-CN"/>
        </w:rPr>
        <w:t>60</w:t>
      </w:r>
      <w:r>
        <w:rPr>
          <w:rFonts w:hint="eastAsia"/>
          <w:highlight w:val="none"/>
        </w:rPr>
        <w:t>米高烟囱排放，已装设烟气在线监测系统并与省市平台联网。能够满足导则中要求的最优化方案要求。</w:t>
      </w:r>
    </w:p>
    <w:p w14:paraId="302454BA">
      <w:pPr>
        <w:ind w:firstLine="480"/>
        <w:rPr>
          <w:rFonts w:ascii="Times New Roman" w:hAnsi="Times New Roman"/>
          <w:highlight w:val="none"/>
        </w:rPr>
      </w:pPr>
      <w:r>
        <w:rPr>
          <w:rFonts w:hint="eastAsia" w:ascii="Times New Roman" w:hAnsi="Times New Roman"/>
          <w:highlight w:val="none"/>
        </w:rPr>
        <w:t>十</w:t>
      </w:r>
      <w:r>
        <w:rPr>
          <w:rFonts w:ascii="Times New Roman" w:hAnsi="Times New Roman"/>
          <w:highlight w:val="none"/>
        </w:rPr>
        <w:t>、废气污染防治措施结论</w:t>
      </w:r>
    </w:p>
    <w:p w14:paraId="127F2538">
      <w:pPr>
        <w:ind w:firstLine="480"/>
        <w:rPr>
          <w:rFonts w:ascii="Times New Roman" w:hAnsi="Times New Roman"/>
          <w:highlight w:val="none"/>
        </w:rPr>
      </w:pPr>
      <w:r>
        <w:rPr>
          <w:rFonts w:ascii="Times New Roman" w:hAnsi="Times New Roman"/>
          <w:highlight w:val="none"/>
        </w:rPr>
        <w:t>本项目</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w:t>
      </w:r>
      <w:r>
        <w:rPr>
          <w:rFonts w:ascii="Times New Roman" w:hAnsi="Times New Roman"/>
          <w:highlight w:val="none"/>
        </w:rPr>
        <w:t>配备三套除尘、</w:t>
      </w:r>
      <w:r>
        <w:rPr>
          <w:rFonts w:hint="eastAsia" w:ascii="Times New Roman" w:hAnsi="Times New Roman"/>
          <w:highlight w:val="none"/>
          <w:lang w:val="en-US" w:eastAsia="zh-CN"/>
        </w:rPr>
        <w:t>一</w:t>
      </w:r>
      <w:r>
        <w:rPr>
          <w:rFonts w:ascii="Times New Roman" w:hAnsi="Times New Roman"/>
          <w:highlight w:val="none"/>
        </w:rPr>
        <w:t>套脱硫、三套脱硝（SNCR共用一套</w:t>
      </w:r>
      <w:r>
        <w:rPr>
          <w:rFonts w:hint="eastAsia" w:ascii="Times New Roman" w:hAnsi="Times New Roman"/>
          <w:highlight w:val="none"/>
        </w:rPr>
        <w:t>，尿素溶液制备系统共用一套，喷淋系统设置三套</w:t>
      </w:r>
      <w:r>
        <w:rPr>
          <w:rFonts w:ascii="Times New Roman" w:hAnsi="Times New Roman"/>
          <w:highlight w:val="none"/>
        </w:rPr>
        <w:t>）环保设施，烟气采用石灰石-石膏湿法脱硫工艺，脱硫效率≥97%；脱硝采用低氮燃烧技术，SNCR-SCR联合脱硝，脱硝效率≥</w:t>
      </w:r>
      <w:r>
        <w:rPr>
          <w:rFonts w:hint="eastAsia" w:ascii="Times New Roman" w:hAnsi="Times New Roman"/>
          <w:highlight w:val="none"/>
        </w:rPr>
        <w:t>75</w:t>
      </w:r>
      <w:r>
        <w:rPr>
          <w:rFonts w:ascii="Times New Roman" w:hAnsi="Times New Roman"/>
          <w:highlight w:val="none"/>
        </w:rPr>
        <w:t>%，脱硝剂采用尿素溶液；除尘采用袋式除尘，除尘效率≥99.92%，脱硫系统加装高效除雾器后协同除尘效率≥50%，综合除尘效率≥99.96%，处理后通过</w:t>
      </w:r>
      <w:r>
        <w:rPr>
          <w:rFonts w:hint="eastAsia" w:ascii="Times New Roman" w:hAnsi="Times New Roman"/>
          <w:highlight w:val="none"/>
          <w:lang w:val="en-US" w:eastAsia="zh-CN"/>
        </w:rPr>
        <w:t>60m</w:t>
      </w:r>
      <w:r>
        <w:rPr>
          <w:rFonts w:ascii="Times New Roman" w:hAnsi="Times New Roman"/>
          <w:highlight w:val="none"/>
        </w:rPr>
        <w:t>烟囱排放，烟尘、二氧化硫、氮氧化物满足《全面实施燃煤电厂超低排放和节能改造工作方案》中的超低排放限值（在基准氧含量6%条件下，烟尘、二氧化硫、氮氧化物排放浓度不高于10mg/m</w:t>
      </w:r>
      <w:r>
        <w:rPr>
          <w:rFonts w:ascii="Times New Roman" w:hAnsi="Times New Roman"/>
          <w:highlight w:val="none"/>
          <w:vertAlign w:val="superscript"/>
        </w:rPr>
        <w:t>3</w:t>
      </w:r>
      <w:r>
        <w:rPr>
          <w:rFonts w:ascii="Times New Roman" w:hAnsi="Times New Roman"/>
          <w:highlight w:val="none"/>
        </w:rPr>
        <w:t>、35mg/m</w:t>
      </w:r>
      <w:r>
        <w:rPr>
          <w:rFonts w:ascii="Times New Roman" w:hAnsi="Times New Roman"/>
          <w:highlight w:val="none"/>
          <w:vertAlign w:val="superscript"/>
        </w:rPr>
        <w:t>3</w:t>
      </w:r>
      <w:r>
        <w:rPr>
          <w:rFonts w:ascii="Times New Roman" w:hAnsi="Times New Roman"/>
          <w:highlight w:val="none"/>
        </w:rPr>
        <w:t>、50mg/m</w:t>
      </w:r>
      <w:r>
        <w:rPr>
          <w:rFonts w:ascii="Times New Roman" w:hAnsi="Times New Roman"/>
          <w:highlight w:val="none"/>
          <w:vertAlign w:val="superscript"/>
        </w:rPr>
        <w:t>3</w:t>
      </w:r>
      <w:r>
        <w:rPr>
          <w:rFonts w:ascii="Times New Roman" w:hAnsi="Times New Roman"/>
          <w:highlight w:val="none"/>
        </w:rPr>
        <w:t>），烟气中汞及其化合物、烟气黑度（林格曼黑度）</w:t>
      </w:r>
      <w:r>
        <w:rPr>
          <w:rFonts w:hint="eastAsia" w:ascii="Times New Roman" w:hAnsi="Times New Roman"/>
          <w:color w:val="auto"/>
          <w:highlight w:val="none"/>
        </w:rPr>
        <w:t>《火电厂大气污染物排放标准》(GB13223-2011)表1中燃煤锅炉大气污染物排放标准限值</w:t>
      </w:r>
      <w:r>
        <w:rPr>
          <w:rFonts w:hint="eastAsia" w:ascii="Times New Roman" w:hAnsi="Times New Roman"/>
          <w:highlight w:val="none"/>
        </w:rPr>
        <w:t>要求</w:t>
      </w:r>
      <w:r>
        <w:rPr>
          <w:rFonts w:ascii="Times New Roman" w:hAnsi="Times New Roman"/>
          <w:highlight w:val="none"/>
        </w:rPr>
        <w:t>，安装烟气在线自动监测系统1套。</w:t>
      </w:r>
    </w:p>
    <w:p w14:paraId="4E1A1704">
      <w:pPr>
        <w:ind w:firstLine="480"/>
        <w:rPr>
          <w:rFonts w:ascii="Times New Roman" w:hAnsi="Times New Roman"/>
          <w:highlight w:val="none"/>
        </w:rPr>
      </w:pPr>
      <w:r>
        <w:rPr>
          <w:rFonts w:ascii="Times New Roman" w:hAnsi="Times New Roman"/>
          <w:highlight w:val="none"/>
        </w:rPr>
        <w:t>脱硝系统采取控制尿素溶液喷淋量、控制温度及停留时间等措施控制氨逃逸，项目整体氨逃逸控制浓度为2.5mg/m</w:t>
      </w:r>
      <w:r>
        <w:rPr>
          <w:rFonts w:ascii="Times New Roman" w:hAnsi="Times New Roman"/>
          <w:highlight w:val="none"/>
          <w:vertAlign w:val="superscript"/>
        </w:rPr>
        <w:t>3</w:t>
      </w:r>
      <w:r>
        <w:rPr>
          <w:rFonts w:ascii="Times New Roman" w:hAnsi="Times New Roman"/>
          <w:highlight w:val="none"/>
        </w:rPr>
        <w:t>，</w:t>
      </w:r>
      <w:r>
        <w:rPr>
          <w:rFonts w:hint="eastAsia" w:ascii="Times New Roman" w:hAnsi="Times New Roman"/>
          <w:highlight w:val="none"/>
        </w:rPr>
        <w:t>有组织排放能够满足</w:t>
      </w:r>
      <w:r>
        <w:rPr>
          <w:rFonts w:ascii="Times New Roman" w:hAnsi="Times New Roman"/>
          <w:highlight w:val="none"/>
        </w:rPr>
        <w:t>《火电厂烟气脱硝工程技术规范选择性催化还原法》（HJ562-2010）要求脱硝系统氨逃逸质量浓度宜小于2.5mg/m</w:t>
      </w:r>
      <w:r>
        <w:rPr>
          <w:rFonts w:ascii="Times New Roman" w:hAnsi="Times New Roman"/>
          <w:highlight w:val="none"/>
          <w:vertAlign w:val="superscript"/>
        </w:rPr>
        <w:t>3</w:t>
      </w:r>
      <w:r>
        <w:rPr>
          <w:rFonts w:ascii="Times New Roman" w:hAnsi="Times New Roman"/>
          <w:highlight w:val="none"/>
        </w:rPr>
        <w:t>的要求</w:t>
      </w:r>
      <w:r>
        <w:rPr>
          <w:rFonts w:hint="eastAsia" w:ascii="Times New Roman" w:hAnsi="Times New Roman"/>
          <w:highlight w:val="none"/>
        </w:rPr>
        <w:t>；</w:t>
      </w:r>
      <w:r>
        <w:rPr>
          <w:rFonts w:ascii="Times New Roman" w:hAnsi="Times New Roman"/>
          <w:highlight w:val="none"/>
        </w:rPr>
        <w:t>厂界氨气等恶臭污染物排放符合《恶臭污染物排放标准》（GB14554-93）表1中的二级标准要求。</w:t>
      </w:r>
    </w:p>
    <w:p w14:paraId="70A13891">
      <w:pPr>
        <w:ind w:firstLine="480"/>
        <w:rPr>
          <w:rFonts w:hint="eastAsia" w:ascii="Times New Roman" w:hAnsi="Times New Roman"/>
          <w:highlight w:val="none"/>
        </w:rPr>
      </w:pPr>
      <w:r>
        <w:rPr>
          <w:rFonts w:ascii="Times New Roman" w:hAnsi="Times New Roman"/>
          <w:highlight w:val="none"/>
        </w:rPr>
        <w:t>碎煤机室密闭，</w:t>
      </w:r>
      <w:r>
        <w:rPr>
          <w:rFonts w:hint="eastAsia" w:ascii="Times New Roman" w:hAnsi="Times New Roman"/>
          <w:highlight w:val="none"/>
          <w:lang w:val="en-US" w:eastAsia="zh-CN"/>
        </w:rPr>
        <w:t>经</w:t>
      </w:r>
      <w:r>
        <w:rPr>
          <w:rFonts w:hint="eastAsia" w:ascii="Times New Roman" w:hAnsi="Times New Roman"/>
          <w:highlight w:val="none"/>
        </w:rPr>
        <w:t>布袋除尘器</w:t>
      </w:r>
      <w:r>
        <w:rPr>
          <w:rFonts w:hint="eastAsia" w:ascii="Times New Roman" w:hAnsi="Times New Roman"/>
          <w:highlight w:val="none"/>
          <w:lang w:val="en-US" w:eastAsia="zh-CN"/>
        </w:rPr>
        <w:t>处理后，通过15m高排气筒排放</w:t>
      </w:r>
      <w:r>
        <w:rPr>
          <w:rFonts w:ascii="Times New Roman" w:hAnsi="Times New Roman"/>
          <w:highlight w:val="none"/>
        </w:rPr>
        <w:t>；灰仓、渣仓和石灰石粉仓密闭，分别设置1套脉冲除尘器</w:t>
      </w:r>
      <w:r>
        <w:rPr>
          <w:rFonts w:hint="eastAsia" w:ascii="Times New Roman" w:hAnsi="Times New Roman"/>
          <w:highlight w:val="none"/>
          <w:lang w:eastAsia="zh-CN"/>
        </w:rPr>
        <w:t>；</w:t>
      </w:r>
      <w:r>
        <w:rPr>
          <w:rFonts w:hint="eastAsia" w:ascii="Times New Roman" w:hAnsi="Times New Roman"/>
          <w:highlight w:val="none"/>
          <w:lang w:val="en-US" w:eastAsia="zh-CN"/>
        </w:rPr>
        <w:t>半</w:t>
      </w:r>
      <w:r>
        <w:rPr>
          <w:rFonts w:ascii="Times New Roman" w:hAnsi="Times New Roman"/>
          <w:highlight w:val="none"/>
        </w:rPr>
        <w:t>封闭式</w:t>
      </w:r>
      <w:r>
        <w:rPr>
          <w:rFonts w:hint="eastAsia" w:ascii="Times New Roman" w:hAnsi="Times New Roman"/>
          <w:highlight w:val="none"/>
        </w:rPr>
        <w:t>储煤库</w:t>
      </w:r>
      <w:r>
        <w:rPr>
          <w:rFonts w:hint="eastAsia" w:cs="Times New Roman"/>
          <w:highlight w:val="none"/>
        </w:rPr>
        <w:t>采用挡煤墙（</w:t>
      </w:r>
      <w:r>
        <w:rPr>
          <w:rFonts w:hint="eastAsia" w:cs="Times New Roman"/>
          <w:highlight w:val="none"/>
          <w:lang w:val="en-US" w:eastAsia="zh-CN"/>
        </w:rPr>
        <w:t>2</w:t>
      </w:r>
      <w:r>
        <w:rPr>
          <w:rFonts w:hint="eastAsia" w:cs="Times New Roman"/>
          <w:highlight w:val="none"/>
        </w:rPr>
        <w:t>m高维护砖墙+</w:t>
      </w:r>
      <w:r>
        <w:rPr>
          <w:rFonts w:hint="eastAsia" w:cs="Times New Roman"/>
          <w:highlight w:val="none"/>
          <w:lang w:val="en-US" w:eastAsia="zh-CN"/>
        </w:rPr>
        <w:t>7</w:t>
      </w:r>
      <w:r>
        <w:rPr>
          <w:rFonts w:hint="eastAsia" w:cs="Times New Roman"/>
          <w:highlight w:val="none"/>
        </w:rPr>
        <w:t>m高防风抑尘网）+</w:t>
      </w:r>
      <w:r>
        <w:rPr>
          <w:rFonts w:hint="eastAsia" w:cs="Times New Roman"/>
          <w:highlight w:val="none"/>
          <w:lang w:val="en-US" w:eastAsia="zh-CN"/>
        </w:rPr>
        <w:t>苫布苫盖半</w:t>
      </w:r>
      <w:r>
        <w:rPr>
          <w:rFonts w:hint="eastAsia" w:cs="Times New Roman"/>
          <w:highlight w:val="none"/>
        </w:rPr>
        <w:t>封闭形式</w:t>
      </w:r>
      <w:r>
        <w:rPr>
          <w:rFonts w:hint="eastAsia" w:cs="Times New Roman"/>
          <w:highlight w:val="none"/>
          <w:lang w:val="en-US" w:eastAsia="zh-CN"/>
        </w:rPr>
        <w:t>+定期洒水降尘</w:t>
      </w:r>
      <w:r>
        <w:rPr>
          <w:rFonts w:hint="eastAsia" w:ascii="Times New Roman" w:hAnsi="Times New Roman"/>
          <w:highlight w:val="none"/>
          <w:lang w:eastAsia="zh-CN"/>
        </w:rPr>
        <w:t>。</w:t>
      </w:r>
      <w:r>
        <w:rPr>
          <w:rFonts w:hint="eastAsia" w:ascii="Times New Roman" w:hAnsi="Times New Roman"/>
          <w:highlight w:val="none"/>
          <w:lang w:val="en-US" w:eastAsia="zh-CN"/>
        </w:rPr>
        <w:t>有组织排放颗粒物满足《大气污染物综合排放标准》</w:t>
      </w:r>
      <w:r>
        <w:rPr>
          <w:rFonts w:ascii="Times New Roman" w:hAnsi="Times New Roman"/>
          <w:highlight w:val="none"/>
        </w:rPr>
        <w:t>(GB16297-1996）表2中</w:t>
      </w:r>
      <w:r>
        <w:rPr>
          <w:rFonts w:hint="eastAsia" w:ascii="Times New Roman" w:hAnsi="Times New Roman"/>
          <w:highlight w:val="none"/>
          <w:lang w:val="en-US" w:eastAsia="zh-CN"/>
        </w:rPr>
        <w:t>有</w:t>
      </w:r>
      <w:r>
        <w:rPr>
          <w:rFonts w:ascii="Times New Roman" w:hAnsi="Times New Roman"/>
          <w:highlight w:val="none"/>
        </w:rPr>
        <w:t>组织排放监控浓度</w:t>
      </w:r>
      <w:r>
        <w:rPr>
          <w:rFonts w:hint="eastAsia" w:ascii="Times New Roman" w:hAnsi="Times New Roman"/>
          <w:highlight w:val="none"/>
          <w:lang w:val="en-US" w:eastAsia="zh-CN"/>
        </w:rPr>
        <w:t>，</w:t>
      </w:r>
      <w:r>
        <w:rPr>
          <w:rFonts w:hint="eastAsia" w:ascii="Times New Roman" w:hAnsi="Times New Roman"/>
          <w:highlight w:val="none"/>
        </w:rPr>
        <w:t>本项目排气筒按高度对应的表列排放速率标准值严格50%执行</w:t>
      </w:r>
      <w:r>
        <w:rPr>
          <w:rFonts w:hint="eastAsia" w:ascii="Times New Roman" w:hAnsi="Times New Roman"/>
          <w:highlight w:val="none"/>
          <w:lang w:eastAsia="zh-CN"/>
        </w:rPr>
        <w:t>，</w:t>
      </w:r>
      <w:r>
        <w:rPr>
          <w:rFonts w:ascii="Times New Roman" w:hAnsi="Times New Roman"/>
          <w:highlight w:val="none"/>
        </w:rPr>
        <w:t>厂界无组织排放符合《大气污染物综合排放标准》（GB16297-1996）规定的</w:t>
      </w:r>
      <w:r>
        <w:rPr>
          <w:rFonts w:hint="eastAsia" w:ascii="Times New Roman" w:hAnsi="Times New Roman"/>
          <w:highlight w:val="none"/>
        </w:rPr>
        <w:t>表2</w:t>
      </w:r>
      <w:r>
        <w:rPr>
          <w:rFonts w:ascii="Times New Roman" w:hAnsi="Times New Roman"/>
          <w:highlight w:val="none"/>
        </w:rPr>
        <w:t>颗粒物无组织排放监控浓度1.0mg/m</w:t>
      </w:r>
      <w:r>
        <w:rPr>
          <w:rFonts w:ascii="Times New Roman" w:hAnsi="Times New Roman"/>
          <w:highlight w:val="none"/>
          <w:vertAlign w:val="superscript"/>
        </w:rPr>
        <w:t>3</w:t>
      </w:r>
      <w:r>
        <w:rPr>
          <w:rFonts w:ascii="Times New Roman" w:hAnsi="Times New Roman"/>
          <w:highlight w:val="none"/>
        </w:rPr>
        <w:t>的要求。</w:t>
      </w:r>
      <w:r>
        <w:rPr>
          <w:rFonts w:hint="eastAsia" w:ascii="Times New Roman" w:hAnsi="Times New Roman"/>
          <w:highlight w:val="none"/>
        </w:rPr>
        <w:t>本项目油烟经油烟净化器净化后，经专用烟道引至楼顶排放。可满足《饮食业油烟排放标准（试行）》（GB18483-2001）（中型）油烟最高允许排放浓度为2.0mg/m</w:t>
      </w:r>
      <w:r>
        <w:rPr>
          <w:rFonts w:hint="eastAsia" w:ascii="Times New Roman" w:hAnsi="Times New Roman"/>
          <w:highlight w:val="none"/>
          <w:vertAlign w:val="superscript"/>
        </w:rPr>
        <w:t>3</w:t>
      </w:r>
      <w:r>
        <w:rPr>
          <w:rFonts w:hint="eastAsia" w:ascii="Times New Roman" w:hAnsi="Times New Roman"/>
          <w:highlight w:val="none"/>
        </w:rPr>
        <w:t>的要求。</w:t>
      </w:r>
    </w:p>
    <w:p w14:paraId="11F00B2D">
      <w:pPr>
        <w:pStyle w:val="23"/>
        <w:rPr>
          <w:rFonts w:ascii="Times New Roman" w:hAnsi="Times New Roman"/>
          <w:color w:val="auto"/>
          <w:highlight w:val="none"/>
        </w:rPr>
      </w:pPr>
      <w:r>
        <w:rPr>
          <w:rFonts w:ascii="Times New Roman" w:hAnsi="Times New Roman"/>
          <w:color w:val="auto"/>
          <w:highlight w:val="none"/>
        </w:rPr>
        <w:t>本项目在方案比选过程优先考虑处理效率高，污染排放小的处理工艺，在能够保障达标排放的情况下选择处理效果更好的污染防治工艺。本项目每台锅炉产生的锅炉烟气均采用低氮燃烧+SNCR-SCR联合脱硝（尿素）+布袋除尘器+石灰石–石膏湿法烟气脱硫（</w:t>
      </w:r>
      <w:r>
        <w:rPr>
          <w:rFonts w:hint="eastAsia" w:ascii="Times New Roman" w:hAnsi="Times New Roman"/>
          <w:color w:val="auto"/>
          <w:highlight w:val="none"/>
        </w:rPr>
        <w:t>3</w:t>
      </w:r>
      <w:r>
        <w:rPr>
          <w:rFonts w:ascii="Times New Roman" w:hAnsi="Times New Roman"/>
          <w:color w:val="auto"/>
          <w:highlight w:val="none"/>
        </w:rPr>
        <w:t>炉</w:t>
      </w:r>
      <w:r>
        <w:rPr>
          <w:rFonts w:hint="eastAsia" w:ascii="Times New Roman" w:hAnsi="Times New Roman"/>
          <w:color w:val="auto"/>
          <w:highlight w:val="none"/>
          <w:lang w:val="en-US" w:eastAsia="zh-CN"/>
        </w:rPr>
        <w:t>1</w:t>
      </w:r>
      <w:r>
        <w:rPr>
          <w:rFonts w:ascii="Times New Roman" w:hAnsi="Times New Roman"/>
          <w:color w:val="auto"/>
          <w:highlight w:val="none"/>
        </w:rPr>
        <w:t>塔），</w:t>
      </w:r>
      <w:r>
        <w:rPr>
          <w:rFonts w:hint="eastAsia" w:ascii="Times New Roman" w:hAnsi="Times New Roman"/>
          <w:color w:val="auto"/>
          <w:highlight w:val="none"/>
        </w:rPr>
        <w:t>3</w:t>
      </w:r>
      <w:r>
        <w:rPr>
          <w:rFonts w:ascii="Times New Roman" w:hAnsi="Times New Roman"/>
          <w:color w:val="auto"/>
          <w:highlight w:val="none"/>
        </w:rPr>
        <w:t>台锅炉共用1座</w:t>
      </w:r>
      <w:r>
        <w:rPr>
          <w:rFonts w:hint="eastAsia" w:ascii="Times New Roman" w:hAnsi="Times New Roman"/>
          <w:color w:val="auto"/>
          <w:highlight w:val="none"/>
          <w:lang w:val="en-US" w:eastAsia="zh-CN"/>
        </w:rPr>
        <w:t>60</w:t>
      </w:r>
      <w:r>
        <w:rPr>
          <w:rFonts w:ascii="Times New Roman" w:hAnsi="Times New Roman"/>
          <w:color w:val="auto"/>
          <w:highlight w:val="none"/>
        </w:rPr>
        <w:t>米高烟囱排放，已装设烟气在线监测系统并与省市平台联网。能够满足导则中要求的最优化方案要求。</w:t>
      </w:r>
    </w:p>
    <w:p w14:paraId="7E8BF148">
      <w:pPr>
        <w:pStyle w:val="5"/>
        <w:bidi w:val="0"/>
        <w:ind w:left="0" w:leftChars="0" w:firstLine="0" w:firstLineChars="0"/>
        <w:rPr>
          <w:rFonts w:hint="eastAsia"/>
          <w:highlight w:val="none"/>
          <w:lang w:val="en-US" w:eastAsia="zh-CN"/>
        </w:rPr>
      </w:pPr>
      <w:bookmarkStart w:id="160" w:name="_Toc12722"/>
      <w:r>
        <w:rPr>
          <w:rFonts w:hint="eastAsia"/>
          <w:highlight w:val="none"/>
          <w:lang w:val="en-US" w:eastAsia="zh-CN"/>
        </w:rPr>
        <w:t>6.2.2运营期废水污染防治措施</w:t>
      </w:r>
      <w:bookmarkEnd w:id="160"/>
    </w:p>
    <w:p w14:paraId="1D6C0272">
      <w:pPr>
        <w:rPr>
          <w:rFonts w:ascii="Times New Roman" w:hAnsi="Times New Roman"/>
          <w:highlight w:val="none"/>
        </w:rPr>
      </w:pPr>
      <w:r>
        <w:rPr>
          <w:rFonts w:ascii="Times New Roman" w:hAnsi="Times New Roman"/>
          <w:highlight w:val="none"/>
        </w:rPr>
        <w:t>本项目生产废水主要为锅炉排污水、脱硫废水。由于工业废水的水质不同，处理方法也不同，所有废水处理采取就近、分散、分项处理，尽可能最大限度重复利用，做到生产废水不外排。生活污水排入市政管网。废水处理措施如下：</w:t>
      </w:r>
    </w:p>
    <w:p w14:paraId="5F37111C">
      <w:pPr>
        <w:ind w:firstLine="480"/>
        <w:rPr>
          <w:rFonts w:ascii="Times New Roman" w:hAnsi="Times New Roman"/>
          <w:highlight w:val="none"/>
        </w:rPr>
      </w:pPr>
      <w:r>
        <w:rPr>
          <w:rFonts w:ascii="Times New Roman" w:hAnsi="Times New Roman"/>
          <w:highlight w:val="none"/>
        </w:rPr>
        <w:t>厂区内排水系统采用分流制：雨水排水系统。生产废水主要有锅炉排污水、脱硫废水等，锅炉排污水、脱硫废水回用于生产，不外排。本项目不设置化学实验室，无实验室废液。</w:t>
      </w:r>
    </w:p>
    <w:p w14:paraId="4038CBF6">
      <w:pPr>
        <w:pStyle w:val="23"/>
        <w:rPr>
          <w:rFonts w:hint="eastAsia" w:ascii="Times New Roman" w:hAnsi="Times New Roman"/>
          <w:szCs w:val="24"/>
          <w:highlight w:val="none"/>
          <w:lang w:val="en-US" w:eastAsia="zh-CN"/>
        </w:rPr>
      </w:pPr>
      <w:r>
        <w:rPr>
          <w:rFonts w:ascii="Times New Roman" w:hAnsi="Times New Roman"/>
          <w:szCs w:val="24"/>
          <w:highlight w:val="none"/>
        </w:rPr>
        <w:t>锅炉排污水回用于</w:t>
      </w:r>
      <w:r>
        <w:rPr>
          <w:rFonts w:hint="eastAsia" w:ascii="Times New Roman" w:hAnsi="Times New Roman"/>
          <w:szCs w:val="24"/>
          <w:highlight w:val="none"/>
        </w:rPr>
        <w:t>用于冷渣器冷却水系统补水（</w:t>
      </w:r>
      <w:r>
        <w:rPr>
          <w:rFonts w:hint="eastAsia" w:ascii="Times New Roman" w:hAnsi="Times New Roman"/>
          <w:szCs w:val="24"/>
          <w:highlight w:val="none"/>
          <w:lang w:val="en-US" w:eastAsia="zh-CN"/>
        </w:rPr>
        <w:t>6m³/h，30240</w:t>
      </w:r>
      <w:r>
        <w:rPr>
          <w:rFonts w:hint="eastAsia" w:ascii="Times New Roman" w:hAnsi="Times New Roman"/>
          <w:highlight w:val="none"/>
          <w:lang w:val="en-US" w:eastAsia="zh-CN"/>
        </w:rPr>
        <w:t>t/a</w:t>
      </w:r>
      <w:r>
        <w:rPr>
          <w:rFonts w:hint="eastAsia" w:ascii="Times New Roman" w:hAnsi="Times New Roman"/>
          <w:szCs w:val="24"/>
          <w:highlight w:val="none"/>
        </w:rPr>
        <w:t>）</w:t>
      </w:r>
      <w:r>
        <w:rPr>
          <w:rFonts w:ascii="Times New Roman" w:hAnsi="Times New Roman"/>
          <w:szCs w:val="24"/>
          <w:highlight w:val="none"/>
        </w:rPr>
        <w:t>。脱硫废水采用回流水池→一体化污水处理装置→高效旋流分离器→生物净化装置→多介质净化装置→多功能处理剂→净水箱处理工艺，回用于灰渣加湿</w:t>
      </w:r>
      <w:r>
        <w:rPr>
          <w:rFonts w:hint="eastAsia" w:ascii="Times New Roman" w:hAnsi="Times New Roman"/>
          <w:szCs w:val="24"/>
          <w:highlight w:val="none"/>
        </w:rPr>
        <w:t>（</w:t>
      </w:r>
      <w:r>
        <w:rPr>
          <w:rFonts w:hint="eastAsia" w:ascii="Times New Roman" w:hAnsi="Times New Roman"/>
          <w:szCs w:val="24"/>
          <w:highlight w:val="none"/>
          <w:lang w:val="en-US" w:eastAsia="zh-CN"/>
        </w:rPr>
        <w:t>2</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10080t/a</w:t>
      </w:r>
      <w:r>
        <w:rPr>
          <w:rFonts w:hint="eastAsia" w:ascii="Times New Roman" w:hAnsi="Times New Roman"/>
          <w:szCs w:val="24"/>
          <w:highlight w:val="none"/>
        </w:rPr>
        <w:t>）、煤场洒水降尘（</w:t>
      </w:r>
      <w:r>
        <w:rPr>
          <w:rFonts w:hint="eastAsia" w:ascii="Times New Roman" w:hAnsi="Times New Roman"/>
          <w:szCs w:val="24"/>
          <w:highlight w:val="none"/>
          <w:lang w:val="en-US" w:eastAsia="zh-CN"/>
        </w:rPr>
        <w:t>3</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15069.75t/a</w:t>
      </w:r>
      <w:r>
        <w:rPr>
          <w:rFonts w:hint="eastAsia" w:ascii="Times New Roman" w:hAnsi="Times New Roman"/>
          <w:szCs w:val="24"/>
          <w:highlight w:val="none"/>
        </w:rPr>
        <w:t>）。生活污水（</w:t>
      </w:r>
      <w:r>
        <w:rPr>
          <w:rFonts w:hint="eastAsia" w:ascii="Times New Roman" w:hAnsi="Times New Roman"/>
          <w:szCs w:val="24"/>
          <w:highlight w:val="none"/>
          <w:lang w:val="en-US" w:eastAsia="zh-CN"/>
        </w:rPr>
        <w:t>0.464</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2352t/a</w:t>
      </w:r>
      <w:r>
        <w:rPr>
          <w:rFonts w:hint="eastAsia" w:ascii="Times New Roman" w:hAnsi="Times New Roman"/>
          <w:szCs w:val="24"/>
          <w:highlight w:val="none"/>
        </w:rPr>
        <w:t>）排入化粪池处理后排入市政管网（食堂废水经隔油池处理后与生活污水一同排入化粪池），</w:t>
      </w:r>
      <w:r>
        <w:rPr>
          <w:rFonts w:hint="eastAsia" w:ascii="Times New Roman" w:hAnsi="Times New Roman"/>
          <w:szCs w:val="24"/>
          <w:highlight w:val="none"/>
          <w:lang w:val="en-US" w:eastAsia="zh-CN"/>
        </w:rPr>
        <w:t>经污水管网排入绥芬河中环污水处理有限公司（</w:t>
      </w:r>
      <w:r>
        <w:rPr>
          <w:rFonts w:hint="eastAsia"/>
          <w:highlight w:val="none"/>
          <w:lang w:val="en-US" w:eastAsia="zh-CN"/>
        </w:rPr>
        <w:t>排污许可证编号：</w:t>
      </w:r>
      <w:r>
        <w:rPr>
          <w:rFonts w:hint="eastAsia" w:ascii="Times New Roman" w:hAnsi="Times New Roman" w:eastAsia="宋体" w:cs="Times New Roman"/>
          <w:szCs w:val="24"/>
          <w:highlight w:val="none"/>
          <w:lang w:val="en-US" w:eastAsia="zh-CN"/>
        </w:rPr>
        <w:t>91231081692616585X001Z</w:t>
      </w:r>
      <w:r>
        <w:rPr>
          <w:rFonts w:hint="eastAsia"/>
          <w:highlight w:val="none"/>
          <w:lang w:val="en-US" w:eastAsia="zh-CN"/>
        </w:rPr>
        <w:t>）</w:t>
      </w:r>
      <w:r>
        <w:rPr>
          <w:rFonts w:hint="eastAsia" w:ascii="Times New Roman" w:hAnsi="Times New Roman"/>
          <w:szCs w:val="24"/>
          <w:highlight w:val="none"/>
          <w:lang w:val="en-US" w:eastAsia="zh-CN"/>
        </w:rPr>
        <w:t>，处理达到《城镇污水处理厂污染物排放标准》(GB18918—2002)一级B标准后最终汇入小绥芬河。</w:t>
      </w:r>
    </w:p>
    <w:p w14:paraId="2EDD1825">
      <w:pPr>
        <w:ind w:firstLine="480"/>
        <w:rPr>
          <w:rFonts w:hint="eastAsia" w:ascii="Times New Roman" w:hAnsi="Times New Roman"/>
          <w:highlight w:val="none"/>
        </w:rPr>
      </w:pPr>
      <w:r>
        <w:rPr>
          <w:rFonts w:hint="eastAsia" w:ascii="Times New Roman" w:hAnsi="Times New Roman"/>
          <w:szCs w:val="24"/>
          <w:highlight w:val="none"/>
          <w:lang w:val="en-US" w:eastAsia="zh-CN"/>
        </w:rPr>
        <w:t>绥芬河中环污水处理有限公司</w:t>
      </w:r>
      <w:r>
        <w:rPr>
          <w:rFonts w:hint="eastAsia" w:ascii="Times New Roman" w:hAnsi="Times New Roman"/>
          <w:highlight w:val="none"/>
        </w:rPr>
        <w:t>于201</w:t>
      </w:r>
      <w:r>
        <w:rPr>
          <w:rFonts w:hint="eastAsia" w:ascii="Times New Roman" w:hAnsi="Times New Roman"/>
          <w:highlight w:val="none"/>
          <w:lang w:val="en-US" w:eastAsia="zh-CN"/>
        </w:rPr>
        <w:t>1</w:t>
      </w:r>
      <w:r>
        <w:rPr>
          <w:rFonts w:hint="eastAsia" w:ascii="Times New Roman" w:hAnsi="Times New Roman"/>
          <w:highlight w:val="none"/>
        </w:rPr>
        <w:t>年投产，属于城镇污水处理厂，</w:t>
      </w:r>
      <w:r>
        <w:rPr>
          <w:rFonts w:hint="eastAsia" w:ascii="Times New Roman" w:hAnsi="Times New Roman"/>
          <w:szCs w:val="24"/>
          <w:highlight w:val="none"/>
          <w:lang w:val="en-US" w:eastAsia="zh-CN"/>
        </w:rPr>
        <w:t>绥芬河中环污水处理有限公司</w:t>
      </w:r>
      <w:r>
        <w:rPr>
          <w:rFonts w:hint="eastAsia" w:ascii="Times New Roman" w:hAnsi="Times New Roman"/>
          <w:highlight w:val="none"/>
        </w:rPr>
        <w:t>采用较为先进的污水处理工艺</w:t>
      </w:r>
      <w:r>
        <w:rPr>
          <w:rFonts w:hint="eastAsia" w:ascii="Times New Roman" w:hAnsi="Times New Roman"/>
          <w:highlight w:val="none"/>
          <w:lang w:val="en-US" w:eastAsia="zh-CN"/>
        </w:rPr>
        <w:t>CAST工艺</w:t>
      </w:r>
      <w:r>
        <w:rPr>
          <w:rFonts w:hint="eastAsia" w:ascii="Times New Roman" w:hAnsi="Times New Roman"/>
          <w:highlight w:val="none"/>
        </w:rPr>
        <w:t>，其设计规模为</w:t>
      </w:r>
      <w:r>
        <w:rPr>
          <w:rFonts w:hint="eastAsia" w:ascii="Times New Roman" w:hAnsi="Times New Roman"/>
          <w:highlight w:val="none"/>
          <w:lang w:val="en-US" w:eastAsia="zh-CN"/>
        </w:rPr>
        <w:t>2</w:t>
      </w:r>
      <w:r>
        <w:rPr>
          <w:rFonts w:hint="eastAsia" w:ascii="Times New Roman" w:hAnsi="Times New Roman"/>
          <w:highlight w:val="none"/>
        </w:rPr>
        <w:t>万立方米/日。出水水质达到《城镇污水处理厂污染物排放标准》（GB18918-2002）一级</w:t>
      </w:r>
      <w:r>
        <w:rPr>
          <w:rFonts w:hint="eastAsia" w:ascii="Times New Roman" w:hAnsi="Times New Roman"/>
          <w:highlight w:val="none"/>
          <w:lang w:val="en-US" w:eastAsia="zh-CN"/>
        </w:rPr>
        <w:t>B</w:t>
      </w:r>
      <w:r>
        <w:rPr>
          <w:rFonts w:hint="eastAsia" w:ascii="Times New Roman" w:hAnsi="Times New Roman"/>
          <w:highlight w:val="none"/>
        </w:rPr>
        <w:t>标准。本项目生活污水水质满足《污水综合排放标准》（GB8978-1996）三级标准。</w:t>
      </w:r>
    </w:p>
    <w:p w14:paraId="7EB9C0A3">
      <w:pPr>
        <w:pStyle w:val="23"/>
        <w:rPr>
          <w:rFonts w:hint="eastAsia" w:ascii="Times New Roman" w:hAnsi="Times New Roman"/>
          <w:highlight w:val="none"/>
        </w:rPr>
      </w:pPr>
    </w:p>
    <w:p w14:paraId="48A4F716">
      <w:pPr>
        <w:ind w:left="0" w:leftChars="0" w:firstLine="0" w:firstLineChars="0"/>
        <w:jc w:val="both"/>
        <w:rPr>
          <w:rFonts w:hint="eastAsia" w:eastAsia="宋体"/>
          <w:highlight w:val="none"/>
          <w:lang w:eastAsia="zh-CN"/>
        </w:rPr>
      </w:pPr>
      <w:r>
        <w:rPr>
          <w:rFonts w:hint="eastAsia" w:eastAsia="宋体"/>
          <w:highlight w:val="none"/>
          <w:lang w:eastAsia="zh-CN"/>
        </w:rPr>
        <w:drawing>
          <wp:inline distT="0" distB="0" distL="114300" distR="114300">
            <wp:extent cx="5270500" cy="1370330"/>
            <wp:effectExtent l="0" t="0" r="0" b="0"/>
            <wp:docPr id="116" name="ECB019B1-382A-4266-B25C-5B523AA43C14-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ECB019B1-382A-4266-B25C-5B523AA43C14-2" descr="wps"/>
                    <pic:cNvPicPr>
                      <a:picLocks noChangeAspect="1"/>
                    </pic:cNvPicPr>
                  </pic:nvPicPr>
                  <pic:blipFill>
                    <a:blip r:embed="rId68"/>
                    <a:stretch>
                      <a:fillRect/>
                    </a:stretch>
                  </pic:blipFill>
                  <pic:spPr>
                    <a:xfrm>
                      <a:off x="0" y="0"/>
                      <a:ext cx="5270500" cy="1370330"/>
                    </a:xfrm>
                    <a:prstGeom prst="rect">
                      <a:avLst/>
                    </a:prstGeom>
                  </pic:spPr>
                </pic:pic>
              </a:graphicData>
            </a:graphic>
          </wp:inline>
        </w:drawing>
      </w:r>
    </w:p>
    <w:p w14:paraId="58F55505">
      <w:pPr>
        <w:ind w:firstLine="0" w:firstLineChars="0"/>
        <w:jc w:val="center"/>
        <w:rPr>
          <w:rFonts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6.2-</w:t>
      </w:r>
      <w:r>
        <w:rPr>
          <w:rFonts w:hint="eastAsia" w:ascii="Times New Roman" w:hAnsi="Times New Roman"/>
          <w:highlight w:val="none"/>
        </w:rPr>
        <w:t>2</w:t>
      </w:r>
      <w:r>
        <w:rPr>
          <w:rFonts w:hint="eastAsia" w:ascii="黑体" w:hAnsi="黑体" w:eastAsia="黑体" w:cs="黑体"/>
          <w:highlight w:val="none"/>
        </w:rPr>
        <w:t>污水处理厂工艺流程图</w:t>
      </w:r>
    </w:p>
    <w:p w14:paraId="6DD1E296">
      <w:pPr>
        <w:ind w:firstLine="0" w:firstLineChars="0"/>
        <w:rPr>
          <w:rFonts w:hint="eastAsia" w:ascii="Times New Roman" w:hAnsi="Times New Roman"/>
          <w:highlight w:val="none"/>
        </w:rPr>
      </w:pPr>
      <w:r>
        <w:rPr>
          <w:highlight w:val="none"/>
        </w:rPr>
        <w:drawing>
          <wp:inline distT="0" distB="0" distL="114300" distR="114300">
            <wp:extent cx="5267960" cy="2638425"/>
            <wp:effectExtent l="0" t="0" r="8890" b="9525"/>
            <wp:docPr id="1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7"/>
                    <pic:cNvPicPr>
                      <a:picLocks noChangeAspect="1"/>
                    </pic:cNvPicPr>
                  </pic:nvPicPr>
                  <pic:blipFill>
                    <a:blip r:embed="rId69"/>
                    <a:stretch>
                      <a:fillRect/>
                    </a:stretch>
                  </pic:blipFill>
                  <pic:spPr>
                    <a:xfrm>
                      <a:off x="0" y="0"/>
                      <a:ext cx="5267960" cy="2638425"/>
                    </a:xfrm>
                    <a:prstGeom prst="rect">
                      <a:avLst/>
                    </a:prstGeom>
                    <a:noFill/>
                    <a:ln>
                      <a:noFill/>
                    </a:ln>
                  </pic:spPr>
                </pic:pic>
              </a:graphicData>
            </a:graphic>
          </wp:inline>
        </w:drawing>
      </w:r>
    </w:p>
    <w:p w14:paraId="1DA74733">
      <w:pPr>
        <w:ind w:firstLine="0" w:firstLineChars="0"/>
        <w:jc w:val="center"/>
        <w:rPr>
          <w:rFonts w:hint="eastAsia" w:ascii="Times New Roman" w:hAnsi="Times New Roman"/>
          <w:highlight w:val="none"/>
        </w:rPr>
      </w:pPr>
      <w:r>
        <w:rPr>
          <w:rFonts w:hint="eastAsia" w:ascii="黑体" w:hAnsi="黑体" w:eastAsia="黑体" w:cs="黑体"/>
          <w:highlight w:val="none"/>
        </w:rPr>
        <w:t>图</w:t>
      </w:r>
      <w:r>
        <w:rPr>
          <w:rFonts w:ascii="Times New Roman" w:hAnsi="Times New Roman"/>
          <w:highlight w:val="none"/>
        </w:rPr>
        <w:t>6.2-</w:t>
      </w:r>
      <w:r>
        <w:rPr>
          <w:rFonts w:hint="eastAsia" w:ascii="Times New Roman" w:hAnsi="Times New Roman"/>
          <w:highlight w:val="none"/>
        </w:rPr>
        <w:t>3</w:t>
      </w:r>
      <w:r>
        <w:rPr>
          <w:rFonts w:hint="eastAsia" w:ascii="黑体" w:hAnsi="黑体" w:eastAsia="黑体" w:cs="黑体"/>
          <w:b w:val="0"/>
          <w:bCs w:val="0"/>
          <w:highlight w:val="none"/>
        </w:rPr>
        <w:t>污水处理厂排污许可证简况</w:t>
      </w:r>
    </w:p>
    <w:p w14:paraId="12E93B84">
      <w:pPr>
        <w:ind w:firstLine="480"/>
        <w:rPr>
          <w:rFonts w:hint="eastAsia" w:ascii="Times New Roman" w:hAnsi="Times New Roman"/>
          <w:highlight w:val="none"/>
        </w:rPr>
      </w:pPr>
      <w:r>
        <w:rPr>
          <w:rFonts w:hint="eastAsia" w:ascii="Times New Roman" w:hAnsi="Times New Roman"/>
          <w:szCs w:val="24"/>
          <w:highlight w:val="none"/>
          <w:lang w:val="en-US" w:eastAsia="zh-CN"/>
        </w:rPr>
        <w:t>绥芬河中环污水处理有限公司</w:t>
      </w:r>
      <w:r>
        <w:rPr>
          <w:rFonts w:hint="eastAsia" w:ascii="Times New Roman" w:hAnsi="Times New Roman"/>
          <w:highlight w:val="none"/>
        </w:rPr>
        <w:t>已申领排污许可证，排污许可证编号为</w:t>
      </w:r>
      <w:r>
        <w:rPr>
          <w:rFonts w:hint="eastAsia" w:ascii="Times New Roman" w:hAnsi="Times New Roman" w:eastAsia="宋体" w:cs="Times New Roman"/>
          <w:szCs w:val="24"/>
          <w:highlight w:val="none"/>
          <w:lang w:val="en-US" w:eastAsia="zh-CN"/>
        </w:rPr>
        <w:t>91231081692616585X001Z</w:t>
      </w:r>
      <w:r>
        <w:rPr>
          <w:rFonts w:hint="eastAsia" w:ascii="Times New Roman" w:hAnsi="Times New Roman"/>
          <w:highlight w:val="none"/>
        </w:rPr>
        <w:t>，有效期至</w:t>
      </w:r>
      <w:r>
        <w:rPr>
          <w:rFonts w:ascii="Times New Roman" w:hAnsi="Times New Roman"/>
          <w:highlight w:val="none"/>
        </w:rPr>
        <w:t>202</w:t>
      </w:r>
      <w:r>
        <w:rPr>
          <w:rFonts w:hint="eastAsia" w:ascii="Times New Roman" w:hAnsi="Times New Roman"/>
          <w:highlight w:val="none"/>
          <w:lang w:val="en-US" w:eastAsia="zh-CN"/>
        </w:rPr>
        <w:t>9</w:t>
      </w:r>
      <w:r>
        <w:rPr>
          <w:rFonts w:ascii="Times New Roman" w:hAnsi="Times New Roman"/>
          <w:highlight w:val="none"/>
        </w:rPr>
        <w:t>-</w:t>
      </w:r>
      <w:r>
        <w:rPr>
          <w:rFonts w:hint="eastAsia" w:ascii="Times New Roman" w:hAnsi="Times New Roman"/>
          <w:highlight w:val="none"/>
          <w:lang w:val="en-US" w:eastAsia="zh-CN"/>
        </w:rPr>
        <w:t>6</w:t>
      </w:r>
      <w:r>
        <w:rPr>
          <w:rFonts w:ascii="Times New Roman" w:hAnsi="Times New Roman"/>
          <w:highlight w:val="none"/>
        </w:rPr>
        <w:t>-2</w:t>
      </w:r>
      <w:r>
        <w:rPr>
          <w:rFonts w:hint="eastAsia" w:ascii="Times New Roman" w:hAnsi="Times New Roman"/>
          <w:highlight w:val="none"/>
          <w:lang w:val="en-US" w:eastAsia="zh-CN"/>
        </w:rPr>
        <w:t>5</w:t>
      </w:r>
      <w:r>
        <w:rPr>
          <w:rFonts w:hint="eastAsia" w:ascii="Times New Roman" w:hAnsi="Times New Roman"/>
          <w:highlight w:val="none"/>
        </w:rPr>
        <w:t>。该企业目前已按要求填报排污许可证执行报告、定期监测并及时公开监测信息。</w:t>
      </w:r>
    </w:p>
    <w:p w14:paraId="23842093">
      <w:pPr>
        <w:ind w:firstLine="480"/>
        <w:rPr>
          <w:rFonts w:hint="eastAsia" w:ascii="Times New Roman" w:hAnsi="Times New Roman"/>
          <w:highlight w:val="none"/>
        </w:rPr>
      </w:pPr>
      <w:r>
        <w:rPr>
          <w:rFonts w:hint="eastAsia" w:ascii="Times New Roman" w:hAnsi="Times New Roman"/>
          <w:highlight w:val="none"/>
        </w:rPr>
        <w:t>因此，从水量、水质及环保要求角度分析，依托该污水处理厂可行。</w:t>
      </w:r>
    </w:p>
    <w:p w14:paraId="4611D1BE">
      <w:pPr>
        <w:rPr>
          <w:rFonts w:hint="eastAsia" w:ascii="Times New Roman" w:hAnsi="Times New Roman"/>
          <w:highlight w:val="none"/>
        </w:rPr>
      </w:pPr>
      <w:r>
        <w:rPr>
          <w:rFonts w:ascii="Times New Roman" w:hAnsi="Times New Roman"/>
          <w:highlight w:val="none"/>
        </w:rPr>
        <w:t>根据以上分析，本项目投产运行后，对地表水环境的影响较小</w:t>
      </w:r>
      <w:r>
        <w:rPr>
          <w:rFonts w:hint="eastAsia" w:ascii="Times New Roman" w:hAnsi="Times New Roman"/>
          <w:highlight w:val="none"/>
        </w:rPr>
        <w:t>，废水处理措施可行。</w:t>
      </w:r>
    </w:p>
    <w:p w14:paraId="389FFFBE">
      <w:pPr>
        <w:pStyle w:val="5"/>
        <w:bidi w:val="0"/>
        <w:ind w:left="0" w:leftChars="0" w:firstLine="0" w:firstLineChars="0"/>
        <w:rPr>
          <w:rFonts w:hint="eastAsia"/>
          <w:highlight w:val="none"/>
          <w:lang w:val="en-US" w:eastAsia="zh-CN"/>
        </w:rPr>
      </w:pPr>
      <w:bookmarkStart w:id="161" w:name="_Toc9296"/>
      <w:r>
        <w:rPr>
          <w:rFonts w:hint="eastAsia"/>
          <w:highlight w:val="none"/>
          <w:lang w:val="en-US" w:eastAsia="zh-CN"/>
        </w:rPr>
        <w:t>6.2.3运营期噪声污染防治措施</w:t>
      </w:r>
      <w:bookmarkEnd w:id="161"/>
    </w:p>
    <w:p w14:paraId="5C58500F">
      <w:pPr>
        <w:pStyle w:val="21"/>
        <w:ind w:firstLine="480"/>
        <w:rPr>
          <w:rFonts w:ascii="Times New Roman" w:hAnsi="Times New Roman"/>
          <w:highlight w:val="none"/>
        </w:rPr>
      </w:pPr>
      <w:r>
        <w:rPr>
          <w:rFonts w:ascii="Times New Roman" w:hAnsi="Times New Roman"/>
          <w:highlight w:val="none"/>
        </w:rPr>
        <w:t>本项目对高噪声设备，采用隔音、消声、隔振等降噪措施，使各种噪声源得到有效的控制。本次评价提出的声环境保护措施有：</w:t>
      </w:r>
    </w:p>
    <w:p w14:paraId="15F7B3D1">
      <w:pPr>
        <w:pStyle w:val="21"/>
        <w:ind w:firstLine="480"/>
        <w:rPr>
          <w:rFonts w:ascii="Times New Roman" w:hAnsi="Times New Roman"/>
          <w:highlight w:val="none"/>
        </w:rPr>
      </w:pPr>
      <w:r>
        <w:rPr>
          <w:rFonts w:ascii="Times New Roman" w:hAnsi="Times New Roman"/>
          <w:highlight w:val="none"/>
        </w:rPr>
        <w:t>（1）锅炉和配套风机、水泵噪声控制措施</w:t>
      </w:r>
    </w:p>
    <w:p w14:paraId="7A8FE8D6">
      <w:pPr>
        <w:pStyle w:val="21"/>
        <w:ind w:firstLine="480"/>
        <w:rPr>
          <w:rFonts w:ascii="Times New Roman" w:hAnsi="Times New Roman"/>
          <w:highlight w:val="none"/>
        </w:rPr>
      </w:pPr>
      <w:r>
        <w:rPr>
          <w:rFonts w:ascii="Times New Roman" w:hAnsi="Times New Roman"/>
          <w:highlight w:val="none"/>
        </w:rPr>
        <w:t>对引风机管道外壳阻尼；一次风机和二次风机可在进风口处安装消声器及管道外壳阻尼；锅炉给水泵安装隔声罩壳。采取以上措施，结合厂房隔声，可使噪声源源强最低降低25dB(A)。</w:t>
      </w:r>
    </w:p>
    <w:p w14:paraId="0522D967">
      <w:pPr>
        <w:pStyle w:val="21"/>
        <w:ind w:firstLine="480"/>
        <w:rPr>
          <w:rFonts w:ascii="Times New Roman" w:hAnsi="Times New Roman"/>
          <w:highlight w:val="none"/>
        </w:rPr>
      </w:pPr>
      <w:r>
        <w:rPr>
          <w:rFonts w:ascii="Times New Roman" w:hAnsi="Times New Roman"/>
          <w:highlight w:val="none"/>
        </w:rPr>
        <w:t>（2）空压机噪声控制</w:t>
      </w:r>
    </w:p>
    <w:p w14:paraId="0BFE86A5">
      <w:pPr>
        <w:pStyle w:val="21"/>
        <w:ind w:firstLine="480"/>
        <w:rPr>
          <w:rFonts w:ascii="Times New Roman" w:hAnsi="Times New Roman"/>
          <w:highlight w:val="none"/>
        </w:rPr>
      </w:pPr>
      <w:r>
        <w:rPr>
          <w:rFonts w:ascii="Times New Roman" w:hAnsi="Times New Roman"/>
          <w:highlight w:val="none"/>
        </w:rPr>
        <w:t>应建设独立的空压间，并对机房采用隔声门窗。机组安装时可在进风口安装消声器，通过采取综合处理措施后，可使空压间内噪声低于65dB(A)。</w:t>
      </w:r>
    </w:p>
    <w:p w14:paraId="2F29AFE7">
      <w:pPr>
        <w:pStyle w:val="21"/>
        <w:ind w:firstLine="480"/>
        <w:rPr>
          <w:rFonts w:ascii="Times New Roman" w:hAnsi="Times New Roman"/>
          <w:highlight w:val="none"/>
        </w:rPr>
      </w:pPr>
      <w:r>
        <w:rPr>
          <w:rFonts w:ascii="Times New Roman" w:hAnsi="Times New Roman"/>
          <w:highlight w:val="none"/>
        </w:rPr>
        <w:t>（3）水泵噪声控制</w:t>
      </w:r>
    </w:p>
    <w:p w14:paraId="02A52760">
      <w:pPr>
        <w:pStyle w:val="21"/>
        <w:ind w:firstLine="480"/>
        <w:rPr>
          <w:rFonts w:ascii="Times New Roman" w:hAnsi="Times New Roman"/>
          <w:highlight w:val="none"/>
        </w:rPr>
      </w:pPr>
      <w:r>
        <w:rPr>
          <w:rFonts w:ascii="Times New Roman" w:hAnsi="Times New Roman"/>
          <w:highlight w:val="none"/>
        </w:rPr>
        <w:t>首先应选择低噪声水泵，安装时要保证设备平衡并采取减振基础，采取以上措施，结合厂房隔声，可使泵房内噪声控制在65dB(A）以内。</w:t>
      </w:r>
    </w:p>
    <w:p w14:paraId="24A54DF4">
      <w:pPr>
        <w:rPr>
          <w:rFonts w:hint="eastAsia" w:ascii="Times New Roman" w:hAnsi="Times New Roman"/>
          <w:highlight w:val="none"/>
        </w:rPr>
      </w:pPr>
      <w:r>
        <w:rPr>
          <w:rFonts w:ascii="Times New Roman" w:hAnsi="Times New Roman"/>
          <w:highlight w:val="none"/>
        </w:rPr>
        <w:t>本项目锅炉烟筒等高噪声设备在远离敏感点的一侧布置，以降低噪声对敏感目标的影响，通过采取上述噪声防控措施，厂界噪声可满足《工业企业厂界环境噪声排放标准》（GB12348-2008）</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r>
        <w:rPr>
          <w:rFonts w:hint="eastAsia" w:ascii="Times New Roman" w:hAnsi="Times New Roman"/>
          <w:highlight w:val="none"/>
        </w:rPr>
        <w:t>声环境敏感目标处噪声预测值均符合《声环境质量标准》（GB3096-2008）2类标准。</w:t>
      </w:r>
    </w:p>
    <w:p w14:paraId="4FB664D4">
      <w:pPr>
        <w:pStyle w:val="5"/>
        <w:bidi w:val="0"/>
        <w:ind w:left="0" w:leftChars="0" w:firstLine="0" w:firstLineChars="0"/>
        <w:rPr>
          <w:rFonts w:hint="default"/>
          <w:highlight w:val="none"/>
          <w:lang w:val="en-US" w:eastAsia="zh-CN"/>
        </w:rPr>
      </w:pPr>
      <w:bookmarkStart w:id="162" w:name="_Toc23606"/>
      <w:r>
        <w:rPr>
          <w:rFonts w:hint="eastAsia"/>
          <w:highlight w:val="none"/>
          <w:lang w:val="en-US" w:eastAsia="zh-CN"/>
        </w:rPr>
        <w:t>6.2.4运营期固体废物污染防治措施</w:t>
      </w:r>
      <w:bookmarkEnd w:id="162"/>
    </w:p>
    <w:p w14:paraId="26BEC406">
      <w:pPr>
        <w:bidi w:val="0"/>
        <w:rPr>
          <w:highlight w:val="none"/>
        </w:rPr>
      </w:pPr>
      <w:r>
        <w:rPr>
          <w:highlight w:val="none"/>
        </w:rPr>
        <w:t>（1）炉灰、炉渣</w:t>
      </w:r>
      <w:r>
        <w:rPr>
          <w:rFonts w:hint="eastAsia"/>
          <w:highlight w:val="none"/>
        </w:rPr>
        <w:t>、</w:t>
      </w:r>
      <w:r>
        <w:rPr>
          <w:highlight w:val="none"/>
        </w:rPr>
        <w:t>脱硫石膏</w:t>
      </w:r>
    </w:p>
    <w:p w14:paraId="285B46AA">
      <w:pPr>
        <w:bidi w:val="0"/>
        <w:rPr>
          <w:highlight w:val="none"/>
        </w:rPr>
      </w:pPr>
      <w:r>
        <w:rPr>
          <w:highlight w:val="none"/>
        </w:rPr>
        <w:t>本项目炉灰产生量为</w:t>
      </w:r>
      <w:r>
        <w:rPr>
          <w:rFonts w:hint="eastAsia"/>
          <w:highlight w:val="none"/>
          <w:lang w:val="en-US" w:eastAsia="zh-CN"/>
        </w:rPr>
        <w:t>6050.89</w:t>
      </w:r>
      <w:r>
        <w:rPr>
          <w:highlight w:val="none"/>
        </w:rPr>
        <w:t>t/a，炉渣产生量</w:t>
      </w:r>
      <w:r>
        <w:rPr>
          <w:rFonts w:hint="eastAsia"/>
          <w:highlight w:val="none"/>
          <w:lang w:val="en-US" w:eastAsia="zh-CN"/>
        </w:rPr>
        <w:t>25919.71</w:t>
      </w:r>
      <w:r>
        <w:rPr>
          <w:highlight w:val="none"/>
        </w:rPr>
        <w:t>t/a。本项目建</w:t>
      </w:r>
      <w:r>
        <w:rPr>
          <w:rFonts w:hint="eastAsia"/>
          <w:highlight w:val="none"/>
          <w:lang w:val="en-US" w:eastAsia="zh-CN"/>
        </w:rPr>
        <w:t>1</w:t>
      </w:r>
      <w:r>
        <w:rPr>
          <w:highlight w:val="none"/>
        </w:rPr>
        <w:t>座</w:t>
      </w:r>
      <w:r>
        <w:rPr>
          <w:rFonts w:hint="eastAsia"/>
          <w:highlight w:val="none"/>
          <w:lang w:val="en-US" w:eastAsia="zh-CN"/>
        </w:rPr>
        <w:t>300</w:t>
      </w:r>
      <w:r>
        <w:rPr>
          <w:highlight w:val="none"/>
        </w:rPr>
        <w:t>m</w:t>
      </w:r>
      <w:r>
        <w:rPr>
          <w:highlight w:val="none"/>
          <w:vertAlign w:val="superscript"/>
        </w:rPr>
        <w:t>3</w:t>
      </w:r>
      <w:r>
        <w:rPr>
          <w:highlight w:val="none"/>
        </w:rPr>
        <w:t>灰仓，每座钢渣仓可存渣</w:t>
      </w:r>
      <w:r>
        <w:rPr>
          <w:rFonts w:hint="eastAsia"/>
          <w:highlight w:val="none"/>
          <w:lang w:val="en-US" w:eastAsia="zh-CN"/>
        </w:rPr>
        <w:t>240</w:t>
      </w:r>
      <w:r>
        <w:rPr>
          <w:highlight w:val="none"/>
        </w:rPr>
        <w:t>t，满足锅炉在额定工况下约</w:t>
      </w:r>
      <w:r>
        <w:rPr>
          <w:rFonts w:hint="eastAsia"/>
          <w:highlight w:val="none"/>
          <w:lang w:val="en-US" w:eastAsia="zh-CN"/>
        </w:rPr>
        <w:t>8</w:t>
      </w:r>
      <w:r>
        <w:rPr>
          <w:rFonts w:hint="eastAsia"/>
          <w:highlight w:val="none"/>
        </w:rPr>
        <w:t>天</w:t>
      </w:r>
      <w:r>
        <w:rPr>
          <w:highlight w:val="none"/>
        </w:rPr>
        <w:t>的灰量；建</w:t>
      </w:r>
      <w:r>
        <w:rPr>
          <w:rFonts w:hint="eastAsia"/>
          <w:highlight w:val="none"/>
          <w:lang w:val="en-US" w:eastAsia="zh-CN"/>
        </w:rPr>
        <w:t>1</w:t>
      </w:r>
      <w:r>
        <w:rPr>
          <w:highlight w:val="none"/>
        </w:rPr>
        <w:t>座设计容积为</w:t>
      </w:r>
      <w:r>
        <w:rPr>
          <w:rFonts w:hint="eastAsia"/>
          <w:highlight w:val="none"/>
          <w:lang w:val="en-US" w:eastAsia="zh-CN"/>
        </w:rPr>
        <w:t>300</w:t>
      </w:r>
      <w:r>
        <w:rPr>
          <w:highlight w:val="none"/>
        </w:rPr>
        <w:t>m</w:t>
      </w:r>
      <w:r>
        <w:rPr>
          <w:highlight w:val="none"/>
          <w:vertAlign w:val="superscript"/>
        </w:rPr>
        <w:t>3</w:t>
      </w:r>
      <w:r>
        <w:rPr>
          <w:highlight w:val="none"/>
        </w:rPr>
        <w:t>渣仓，每座钢渣仓可存渣</w:t>
      </w:r>
      <w:r>
        <w:rPr>
          <w:rFonts w:hint="eastAsia"/>
          <w:highlight w:val="none"/>
          <w:lang w:val="en-US" w:eastAsia="zh-CN"/>
        </w:rPr>
        <w:t>240</w:t>
      </w:r>
      <w:r>
        <w:rPr>
          <w:highlight w:val="none"/>
        </w:rPr>
        <w:t>t，可临时贮存灰渣2天，本项目不设置永久性灰渣库，产生的灰渣临时暂存在灰仓、渣仓，每1-2天外运至</w:t>
      </w:r>
      <w:r>
        <w:rPr>
          <w:rFonts w:hint="eastAsia"/>
          <w:highlight w:val="none"/>
          <w:lang w:val="en-US" w:eastAsia="zh-CN"/>
        </w:rPr>
        <w:t>需回填的采矿区</w:t>
      </w:r>
      <w:r>
        <w:rPr>
          <w:highlight w:val="none"/>
        </w:rPr>
        <w:t>。</w:t>
      </w:r>
    </w:p>
    <w:p w14:paraId="6A7A80F6">
      <w:pPr>
        <w:bidi w:val="0"/>
        <w:rPr>
          <w:highlight w:val="none"/>
        </w:rPr>
      </w:pPr>
      <w:r>
        <w:rPr>
          <w:highlight w:val="none"/>
        </w:rPr>
        <w:t>本项目产生的灰渣</w:t>
      </w:r>
      <w:r>
        <w:rPr>
          <w:rFonts w:hint="eastAsia"/>
          <w:highlight w:val="none"/>
          <w:lang w:val="en-US" w:eastAsia="zh-CN"/>
        </w:rPr>
        <w:t>运至需回填的采矿区</w:t>
      </w:r>
      <w:r>
        <w:rPr>
          <w:highlight w:val="none"/>
        </w:rPr>
        <w:t>。本项目锅炉灰渣产生量为</w:t>
      </w:r>
      <w:r>
        <w:rPr>
          <w:rFonts w:hint="eastAsia"/>
          <w:highlight w:val="none"/>
          <w:lang w:val="en-US" w:eastAsia="zh-CN"/>
        </w:rPr>
        <w:t>31970.6</w:t>
      </w:r>
      <w:r>
        <w:rPr>
          <w:highlight w:val="none"/>
        </w:rPr>
        <w:t>吨/a，可接收本项目灰渣量大于本项目锅炉灰渣产生量，能够满足本项目灰渣处理需求。</w:t>
      </w:r>
    </w:p>
    <w:p w14:paraId="4641DFDC">
      <w:pPr>
        <w:bidi w:val="0"/>
        <w:rPr>
          <w:rFonts w:hint="eastAsia"/>
          <w:highlight w:val="none"/>
        </w:rPr>
      </w:pPr>
      <w:r>
        <w:rPr>
          <w:highlight w:val="none"/>
        </w:rPr>
        <w:t>本项目</w:t>
      </w:r>
      <w:r>
        <w:rPr>
          <w:rFonts w:hint="eastAsia"/>
          <w:highlight w:val="none"/>
        </w:rPr>
        <w:t>3台锅炉共用1套石膏脱水系统，设3台真空皮带脱水机。每台真空皮带脱水机出力按两台炉BMCR工况下所排石膏量的100%配置。</w:t>
      </w:r>
      <w:r>
        <w:rPr>
          <w:highlight w:val="none"/>
        </w:rPr>
        <w:t>脱硫石膏产生量</w:t>
      </w:r>
      <w:r>
        <w:rPr>
          <w:rFonts w:hint="eastAsia"/>
          <w:highlight w:val="none"/>
          <w:lang w:val="en-US" w:eastAsia="zh-CN"/>
        </w:rPr>
        <w:t>502.549</w:t>
      </w:r>
      <w:r>
        <w:rPr>
          <w:highlight w:val="none"/>
        </w:rPr>
        <w:t>t/a，含脱硫废水处理过程中沉淀出的脱硫石膏，储存在脱硫综合楼内的脱硫石膏贮存间（面积</w:t>
      </w:r>
      <w:r>
        <w:rPr>
          <w:rFonts w:hint="eastAsia"/>
          <w:highlight w:val="none"/>
          <w:lang w:val="en-US" w:eastAsia="zh-CN"/>
        </w:rPr>
        <w:t>10</w:t>
      </w:r>
      <w:r>
        <w:rPr>
          <w:highlight w:val="none"/>
        </w:rPr>
        <w:t>m</w:t>
      </w:r>
      <w:r>
        <w:rPr>
          <w:highlight w:val="none"/>
          <w:vertAlign w:val="superscript"/>
        </w:rPr>
        <w:t>2</w:t>
      </w:r>
      <w:r>
        <w:rPr>
          <w:highlight w:val="none"/>
        </w:rPr>
        <w:t>），</w:t>
      </w:r>
      <w:r>
        <w:rPr>
          <w:rFonts w:hint="eastAsia"/>
          <w:highlight w:val="none"/>
        </w:rPr>
        <w:t>石膏贮存间的容积可以满足3台炉FGD装置运行3天所排石膏的贮存要求。</w:t>
      </w:r>
      <w:r>
        <w:rPr>
          <w:highlight w:val="none"/>
        </w:rPr>
        <w:t>定期外运至</w:t>
      </w:r>
      <w:r>
        <w:rPr>
          <w:rFonts w:hint="eastAsia"/>
          <w:highlight w:val="none"/>
          <w:lang w:val="en-US" w:eastAsia="zh-CN"/>
        </w:rPr>
        <w:t>需回填的采矿区进行回填</w:t>
      </w:r>
      <w:r>
        <w:rPr>
          <w:rFonts w:hint="eastAsia"/>
          <w:highlight w:val="none"/>
        </w:rPr>
        <w:t>。</w:t>
      </w:r>
    </w:p>
    <w:p w14:paraId="06E0DF05">
      <w:pPr>
        <w:bidi w:val="0"/>
        <w:rPr>
          <w:highlight w:val="none"/>
        </w:rPr>
      </w:pPr>
      <w:r>
        <w:rPr>
          <w:highlight w:val="none"/>
        </w:rPr>
        <w:t>（3）废催化剂</w:t>
      </w:r>
    </w:p>
    <w:p w14:paraId="7EE03DB3">
      <w:pPr>
        <w:bidi w:val="0"/>
        <w:rPr>
          <w:highlight w:val="none"/>
        </w:rPr>
      </w:pPr>
      <w:r>
        <w:rPr>
          <w:highlight w:val="none"/>
        </w:rPr>
        <w:t>本项目脱硝产生的废催化剂（寿命3年）10m</w:t>
      </w:r>
      <w:r>
        <w:rPr>
          <w:highlight w:val="none"/>
          <w:vertAlign w:val="superscript"/>
        </w:rPr>
        <w:t>3</w:t>
      </w:r>
      <w:r>
        <w:rPr>
          <w:highlight w:val="none"/>
        </w:rPr>
        <w:t>/3年，废催化剂的主要成分有V2O5、WO3和TiO2，根据《国家危险废物名录（202</w:t>
      </w:r>
      <w:r>
        <w:rPr>
          <w:rFonts w:hint="eastAsia"/>
          <w:highlight w:val="none"/>
          <w:lang w:val="en-US" w:eastAsia="zh-CN"/>
        </w:rPr>
        <w:t>5</w:t>
      </w:r>
      <w:r>
        <w:rPr>
          <w:highlight w:val="none"/>
        </w:rPr>
        <w:t>年版）》可知，本项目产生的脱硝废催化剂属于危险废物（HW50废催化剂中的772-07-50烟气脱硝过程中产生的废钒钛系催化剂），应委托有危废处理资质单位统一处理。</w:t>
      </w:r>
    </w:p>
    <w:p w14:paraId="7A56B39A">
      <w:pPr>
        <w:bidi w:val="0"/>
        <w:rPr>
          <w:highlight w:val="none"/>
        </w:rPr>
      </w:pPr>
      <w:r>
        <w:rPr>
          <w:highlight w:val="none"/>
        </w:rPr>
        <w:t>危险废物应在厂内暂存，</w:t>
      </w:r>
      <w:r>
        <w:rPr>
          <w:rFonts w:hint="eastAsia"/>
          <w:highlight w:val="none"/>
        </w:rPr>
        <w:t>现有</w:t>
      </w:r>
      <w:r>
        <w:rPr>
          <w:highlight w:val="none"/>
        </w:rPr>
        <w:t>危废</w:t>
      </w:r>
      <w:r>
        <w:rPr>
          <w:rFonts w:hint="eastAsia"/>
          <w:highlight w:val="none"/>
          <w:lang w:val="en-US" w:eastAsia="zh-CN"/>
        </w:rPr>
        <w:t>贮存点</w:t>
      </w:r>
      <w:r>
        <w:rPr>
          <w:highlight w:val="none"/>
        </w:rPr>
        <w:t>建筑面积</w:t>
      </w:r>
      <w:r>
        <w:rPr>
          <w:rFonts w:hint="eastAsia"/>
          <w:highlight w:val="none"/>
          <w:lang w:val="en-US" w:eastAsia="zh-CN"/>
        </w:rPr>
        <w:t>1</w:t>
      </w:r>
      <w:r>
        <w:rPr>
          <w:highlight w:val="none"/>
        </w:rPr>
        <w:t>0m</w:t>
      </w:r>
      <w:r>
        <w:rPr>
          <w:highlight w:val="none"/>
          <w:vertAlign w:val="superscript"/>
        </w:rPr>
        <w:t>2</w:t>
      </w:r>
      <w:r>
        <w:rPr>
          <w:highlight w:val="none"/>
        </w:rPr>
        <w:t>。危废</w:t>
      </w:r>
      <w:r>
        <w:rPr>
          <w:rFonts w:hint="eastAsia"/>
          <w:highlight w:val="none"/>
          <w:lang w:val="en-US" w:eastAsia="zh-CN"/>
        </w:rPr>
        <w:t>贮存点</w:t>
      </w:r>
      <w:r>
        <w:rPr>
          <w:highlight w:val="none"/>
        </w:rPr>
        <w:t>满足以下要求：</w:t>
      </w:r>
    </w:p>
    <w:p w14:paraId="49C0DCB6">
      <w:pPr>
        <w:bidi w:val="0"/>
        <w:rPr>
          <w:highlight w:val="none"/>
        </w:rPr>
      </w:pPr>
      <w:r>
        <w:rPr>
          <w:rFonts w:hint="eastAsia"/>
          <w:highlight w:val="none"/>
        </w:rPr>
        <w:t>①</w:t>
      </w:r>
      <w:r>
        <w:rPr>
          <w:highlight w:val="none"/>
        </w:rPr>
        <w:t>固体危险废物应在贮存设施内分别堆放，其余危险废物应装入容器内，装载危险废物的容器及材质要满足相应标准要求；</w:t>
      </w:r>
    </w:p>
    <w:p w14:paraId="6FC3E470">
      <w:pPr>
        <w:bidi w:val="0"/>
        <w:rPr>
          <w:highlight w:val="none"/>
        </w:rPr>
      </w:pPr>
      <w:r>
        <w:rPr>
          <w:rFonts w:hint="eastAsia"/>
          <w:highlight w:val="none"/>
        </w:rPr>
        <w:t>②</w:t>
      </w:r>
      <w:r>
        <w:rPr>
          <w:highlight w:val="none"/>
        </w:rPr>
        <w:t>盛装危险废物的容器上必须粘贴符合《危险废物贮存污染控制标准》（GB18597-2001）附录A所示的标签。</w:t>
      </w:r>
    </w:p>
    <w:p w14:paraId="466B4B1E">
      <w:pPr>
        <w:bidi w:val="0"/>
        <w:rPr>
          <w:highlight w:val="none"/>
        </w:rPr>
      </w:pPr>
      <w:r>
        <w:rPr>
          <w:rFonts w:hint="eastAsia"/>
          <w:highlight w:val="none"/>
        </w:rPr>
        <w:t>③</w:t>
      </w:r>
      <w:r>
        <w:rPr>
          <w:highlight w:val="none"/>
        </w:rPr>
        <w:t>暂存间地面与裙角要用坚固、防渗的材料建造，建筑材料必须与危险废物相容，地面应耐腐蚀、硬化、表面无裂隙；</w:t>
      </w:r>
    </w:p>
    <w:p w14:paraId="3493587E">
      <w:pPr>
        <w:bidi w:val="0"/>
        <w:rPr>
          <w:highlight w:val="none"/>
        </w:rPr>
      </w:pPr>
      <w:r>
        <w:rPr>
          <w:rFonts w:hint="eastAsia"/>
          <w:highlight w:val="none"/>
        </w:rPr>
        <w:t>④</w:t>
      </w:r>
      <w:r>
        <w:rPr>
          <w:highlight w:val="none"/>
        </w:rPr>
        <w:t>危险废物暂存间管理者应做好危险废物情况的记录，记录危险废物名称、来源、数量、特性、包装容器的类别、入库日期、存放位置、出库日期、接收单位等信息，并定期对暂存间贮存设施及包装容器进行检查。</w:t>
      </w:r>
    </w:p>
    <w:p w14:paraId="33724328">
      <w:pPr>
        <w:bidi w:val="0"/>
        <w:rPr>
          <w:highlight w:val="none"/>
        </w:rPr>
      </w:pPr>
      <w:r>
        <w:rPr>
          <w:rFonts w:hint="eastAsia"/>
          <w:highlight w:val="none"/>
        </w:rPr>
        <w:t>⑤</w:t>
      </w:r>
      <w:r>
        <w:rPr>
          <w:highlight w:val="none"/>
        </w:rPr>
        <w:t>应配备通讯设备、照明设施、安全防护服装及工具，并设有应急防护设施。</w:t>
      </w:r>
    </w:p>
    <w:p w14:paraId="204E3ABA">
      <w:pPr>
        <w:bidi w:val="0"/>
        <w:rPr>
          <w:highlight w:val="none"/>
        </w:rPr>
      </w:pPr>
      <w:r>
        <w:rPr>
          <w:highlight w:val="none"/>
        </w:rPr>
        <w:t>综上所述，在正常情况下，本项目运营期固体废物可实现全部合理地处理处置。</w:t>
      </w:r>
    </w:p>
    <w:p w14:paraId="09447935">
      <w:pPr>
        <w:bidi w:val="0"/>
        <w:rPr>
          <w:rFonts w:hint="default" w:eastAsia="宋体"/>
          <w:highlight w:val="none"/>
          <w:lang w:val="en-US" w:eastAsia="zh-CN"/>
        </w:rPr>
      </w:pPr>
      <w:r>
        <w:rPr>
          <w:highlight w:val="none"/>
        </w:rPr>
        <w:t>（4）废离子交换树脂</w:t>
      </w:r>
      <w:r>
        <w:rPr>
          <w:rFonts w:hint="eastAsia"/>
          <w:highlight w:val="none"/>
          <w:lang w:val="en-US" w:eastAsia="zh-CN"/>
        </w:rPr>
        <w:t>和反渗透膜</w:t>
      </w:r>
    </w:p>
    <w:p w14:paraId="0313F660">
      <w:pPr>
        <w:bidi w:val="0"/>
        <w:rPr>
          <w:highlight w:val="none"/>
        </w:rPr>
      </w:pPr>
      <w:r>
        <w:rPr>
          <w:highlight w:val="none"/>
        </w:rPr>
        <w:t>本项目废离子交换树脂</w:t>
      </w:r>
      <w:r>
        <w:rPr>
          <w:rFonts w:hint="eastAsia"/>
          <w:highlight w:val="none"/>
          <w:lang w:val="en-US" w:eastAsia="zh-CN"/>
        </w:rPr>
        <w:t>和反渗透膜</w:t>
      </w:r>
      <w:r>
        <w:rPr>
          <w:highlight w:val="none"/>
        </w:rPr>
        <w:t>由</w:t>
      </w:r>
      <w:r>
        <w:rPr>
          <w:rFonts w:hint="eastAsia"/>
          <w:highlight w:val="none"/>
          <w:lang w:val="en-US" w:eastAsia="zh-CN"/>
        </w:rPr>
        <w:t>厂家回收处置</w:t>
      </w:r>
      <w:r>
        <w:rPr>
          <w:highlight w:val="none"/>
        </w:rPr>
        <w:t>。</w:t>
      </w:r>
    </w:p>
    <w:p w14:paraId="51E5D16B">
      <w:pPr>
        <w:bidi w:val="0"/>
        <w:rPr>
          <w:highlight w:val="none"/>
        </w:rPr>
      </w:pPr>
      <w:r>
        <w:rPr>
          <w:highlight w:val="none"/>
        </w:rPr>
        <w:t>（5）生活垃圾</w:t>
      </w:r>
    </w:p>
    <w:p w14:paraId="7B91F131">
      <w:pPr>
        <w:ind w:firstLine="480"/>
        <w:rPr>
          <w:rFonts w:ascii="Times New Roman" w:hAnsi="Times New Roman"/>
          <w:highlight w:val="none"/>
        </w:rPr>
      </w:pPr>
      <w:r>
        <w:rPr>
          <w:rFonts w:ascii="Times New Roman" w:hAnsi="Times New Roman"/>
          <w:highlight w:val="none"/>
        </w:rPr>
        <w:t>本项目设置生活垃圾收集箱（加盖），分类收集、及时清运，生活垃圾由市政部门统一收集处理，可消除对环境的影响，处置效率可达100％。</w:t>
      </w:r>
    </w:p>
    <w:p w14:paraId="6398693A">
      <w:pPr>
        <w:ind w:firstLine="480"/>
        <w:rPr>
          <w:rFonts w:ascii="Times New Roman" w:hAnsi="Times New Roman"/>
          <w:kern w:val="0"/>
          <w:szCs w:val="21"/>
          <w:highlight w:val="none"/>
        </w:rPr>
      </w:pPr>
      <w:r>
        <w:rPr>
          <w:rFonts w:ascii="Times New Roman" w:hAnsi="Times New Roman"/>
          <w:kern w:val="0"/>
          <w:szCs w:val="21"/>
          <w:highlight w:val="none"/>
        </w:rPr>
        <w:t>（6）餐厨垃圾及废油脂</w:t>
      </w:r>
    </w:p>
    <w:p w14:paraId="1B4A2A31">
      <w:pPr>
        <w:rPr>
          <w:rFonts w:ascii="Times New Roman" w:hAnsi="Times New Roman"/>
          <w:kern w:val="0"/>
          <w:szCs w:val="21"/>
          <w:highlight w:val="none"/>
        </w:rPr>
      </w:pPr>
      <w:r>
        <w:rPr>
          <w:rFonts w:ascii="Times New Roman" w:hAnsi="Times New Roman"/>
          <w:kern w:val="0"/>
          <w:szCs w:val="21"/>
          <w:highlight w:val="none"/>
        </w:rPr>
        <w:t>餐厨垃圾及废油脂集中收集，交由有资质单位处置。</w:t>
      </w:r>
    </w:p>
    <w:p w14:paraId="0DEC4715">
      <w:pPr>
        <w:pStyle w:val="5"/>
        <w:bidi w:val="0"/>
        <w:ind w:left="0" w:leftChars="0" w:firstLine="0" w:firstLineChars="0"/>
        <w:rPr>
          <w:rFonts w:hint="eastAsia"/>
          <w:highlight w:val="none"/>
          <w:lang w:val="en-US" w:eastAsia="zh-CN"/>
        </w:rPr>
      </w:pPr>
      <w:bookmarkStart w:id="163" w:name="_Toc22068"/>
      <w:r>
        <w:rPr>
          <w:rFonts w:hint="eastAsia"/>
          <w:highlight w:val="none"/>
          <w:lang w:val="en-US" w:eastAsia="zh-CN"/>
        </w:rPr>
        <w:t>6.2.5地下水污染防治措施</w:t>
      </w:r>
      <w:bookmarkEnd w:id="163"/>
    </w:p>
    <w:p w14:paraId="07BE5671">
      <w:pPr>
        <w:ind w:firstLine="480"/>
        <w:rPr>
          <w:rFonts w:ascii="Times New Roman" w:hAnsi="Times New Roman"/>
          <w:color w:val="auto"/>
          <w:highlight w:val="none"/>
        </w:rPr>
      </w:pPr>
      <w:r>
        <w:rPr>
          <w:rFonts w:ascii="Times New Roman" w:hAnsi="Times New Roman"/>
          <w:color w:val="auto"/>
          <w:highlight w:val="none"/>
        </w:rPr>
        <w:t>一、防渗原则</w:t>
      </w:r>
    </w:p>
    <w:p w14:paraId="210009EB">
      <w:pPr>
        <w:ind w:firstLine="480"/>
        <w:rPr>
          <w:rFonts w:ascii="Times New Roman" w:hAnsi="Times New Roman"/>
          <w:color w:val="auto"/>
          <w:highlight w:val="none"/>
        </w:rPr>
      </w:pPr>
      <w:r>
        <w:rPr>
          <w:rFonts w:ascii="Times New Roman" w:hAnsi="Times New Roman"/>
          <w:color w:val="auto"/>
          <w:highlight w:val="none"/>
        </w:rPr>
        <w:t>地下水污染防治措施按照“源头控制、分区防控、污染监控、应急响应”相结合的原则，从污染物的产生、入渗、扩散、应急响应全阶段进行控制。</w:t>
      </w:r>
    </w:p>
    <w:p w14:paraId="02CD5203">
      <w:pPr>
        <w:ind w:firstLine="480"/>
        <w:rPr>
          <w:rFonts w:ascii="Times New Roman" w:hAnsi="Times New Roman"/>
          <w:color w:val="auto"/>
          <w:highlight w:val="none"/>
        </w:rPr>
      </w:pPr>
      <w:r>
        <w:rPr>
          <w:rFonts w:ascii="Times New Roman" w:hAnsi="Times New Roman"/>
          <w:color w:val="auto"/>
          <w:highlight w:val="none"/>
        </w:rPr>
        <w:t>（1）源头控制措施：主要包括在工艺、管道、设备、污水储存及处理构筑物应采取相应防渗措施，要杜绝未做防渗处理的地段，防止和降低污染物跑、冒、滴、漏，将污染物泄漏的环境风险事故降到最低程度；管线敷设尽量采用“可视化”原则，即管道尽可能在地上或架空敷设，做到污染物“早发现、早处理”，减少由于埋地管道泄漏而造成的地下水污染。</w:t>
      </w:r>
    </w:p>
    <w:p w14:paraId="0B3C99F4">
      <w:pPr>
        <w:ind w:firstLine="480"/>
        <w:rPr>
          <w:rFonts w:ascii="Times New Roman" w:hAnsi="Times New Roman"/>
          <w:color w:val="auto"/>
          <w:highlight w:val="none"/>
        </w:rPr>
      </w:pPr>
      <w:r>
        <w:rPr>
          <w:rFonts w:ascii="Times New Roman" w:hAnsi="Times New Roman"/>
          <w:color w:val="auto"/>
          <w:highlight w:val="none"/>
        </w:rPr>
        <w:t>（2）分区防控措施：根据预测结果和场地包气带特征及其防污性能，提出防渗技术要求；或根据建设项目场地天然包气带防污性能、污染控制难易程度和污染物特性提出防渗技术要求。</w:t>
      </w:r>
    </w:p>
    <w:p w14:paraId="7711083B">
      <w:pPr>
        <w:pStyle w:val="7"/>
        <w:ind w:firstLine="480"/>
        <w:rPr>
          <w:rFonts w:ascii="Times New Roman" w:hAnsi="Times New Roman"/>
          <w:color w:val="auto"/>
          <w:highlight w:val="none"/>
        </w:rPr>
      </w:pPr>
      <w:r>
        <w:rPr>
          <w:rFonts w:ascii="Times New Roman" w:hAnsi="Times New Roman"/>
          <w:color w:val="auto"/>
          <w:highlight w:val="none"/>
        </w:rPr>
        <w:t>（3）污染监控体系：建立科学合理的场区及周边地下水监测系统，包括建立完善的监测制度、配备先进的检测仪器和设备，科学、合理设置地下水污染监测井，及时发现污染、及时控制，同时建立地下水污染应急处理方案，及时发现污染问题并加以处理。</w:t>
      </w:r>
    </w:p>
    <w:p w14:paraId="616C04DD">
      <w:pPr>
        <w:pStyle w:val="7"/>
        <w:ind w:firstLine="480"/>
        <w:rPr>
          <w:rFonts w:ascii="Times New Roman" w:hAnsi="Times New Roman"/>
          <w:color w:val="auto"/>
          <w:highlight w:val="none"/>
        </w:rPr>
      </w:pPr>
      <w:r>
        <w:rPr>
          <w:rFonts w:ascii="Times New Roman" w:hAnsi="Times New Roman"/>
          <w:color w:val="auto"/>
          <w:highlight w:val="none"/>
        </w:rPr>
        <w:t>（4）应急响应措施：一旦发现地下水污染事故，立即启动应急预案、采取应急措施控制地下水污染：</w:t>
      </w:r>
      <w:r>
        <w:rPr>
          <w:rFonts w:hint="eastAsia" w:ascii="宋体" w:hAnsi="宋体" w:cs="宋体"/>
          <w:color w:val="auto"/>
          <w:highlight w:val="none"/>
        </w:rPr>
        <w:t>①</w:t>
      </w:r>
      <w:r>
        <w:rPr>
          <w:rFonts w:ascii="Times New Roman" w:hAnsi="Times New Roman"/>
          <w:color w:val="auto"/>
          <w:highlight w:val="none"/>
        </w:rPr>
        <w:t>停止生产；</w:t>
      </w:r>
      <w:r>
        <w:rPr>
          <w:rFonts w:hint="eastAsia" w:ascii="宋体" w:hAnsi="宋体" w:cs="宋体"/>
          <w:color w:val="auto"/>
          <w:highlight w:val="none"/>
        </w:rPr>
        <w:t>②</w:t>
      </w:r>
      <w:r>
        <w:rPr>
          <w:rFonts w:ascii="Times New Roman" w:hAnsi="Times New Roman"/>
          <w:color w:val="auto"/>
          <w:highlight w:val="none"/>
        </w:rPr>
        <w:t>加强下游地下水监测密度并按时向环境保护的有关部门汇报监测情况；</w:t>
      </w:r>
      <w:r>
        <w:rPr>
          <w:rFonts w:hint="eastAsia" w:ascii="宋体" w:hAnsi="宋体" w:cs="宋体"/>
          <w:color w:val="auto"/>
          <w:highlight w:val="none"/>
        </w:rPr>
        <w:t>③</w:t>
      </w:r>
      <w:r>
        <w:rPr>
          <w:rFonts w:ascii="Times New Roman" w:hAnsi="Times New Roman"/>
          <w:color w:val="auto"/>
          <w:highlight w:val="none"/>
        </w:rPr>
        <w:t>把发生泄漏池子中的废水用车运到其他污水处理系统；</w:t>
      </w:r>
      <w:r>
        <w:rPr>
          <w:rFonts w:hint="eastAsia" w:ascii="宋体" w:hAnsi="宋体" w:cs="宋体"/>
          <w:color w:val="auto"/>
          <w:highlight w:val="none"/>
        </w:rPr>
        <w:t>④</w:t>
      </w:r>
      <w:r>
        <w:rPr>
          <w:rFonts w:ascii="Times New Roman" w:hAnsi="Times New Roman"/>
          <w:color w:val="auto"/>
          <w:highlight w:val="none"/>
        </w:rPr>
        <w:t>查出泄漏发生的原因，在未对厂内所有污水池进行安全检查之前不得生产。</w:t>
      </w:r>
    </w:p>
    <w:p w14:paraId="59114479">
      <w:pPr>
        <w:pStyle w:val="21"/>
        <w:ind w:firstLine="480"/>
        <w:rPr>
          <w:rFonts w:ascii="Times New Roman" w:hAnsi="Times New Roman"/>
          <w:color w:val="auto"/>
          <w:highlight w:val="none"/>
        </w:rPr>
      </w:pPr>
      <w:r>
        <w:rPr>
          <w:rFonts w:ascii="Times New Roman" w:hAnsi="Times New Roman"/>
          <w:color w:val="auto"/>
          <w:highlight w:val="none"/>
        </w:rPr>
        <w:t>二、防渗措施</w:t>
      </w:r>
    </w:p>
    <w:p w14:paraId="3B926D57">
      <w:pPr>
        <w:pStyle w:val="21"/>
        <w:ind w:firstLine="480"/>
        <w:rPr>
          <w:rFonts w:ascii="Times New Roman" w:hAnsi="Times New Roman"/>
          <w:color w:val="auto"/>
          <w:highlight w:val="none"/>
        </w:rPr>
      </w:pPr>
      <w:r>
        <w:rPr>
          <w:rFonts w:ascii="Times New Roman" w:hAnsi="Times New Roman"/>
          <w:color w:val="auto"/>
          <w:highlight w:val="none"/>
        </w:rPr>
        <w:t>《环境影响评价技术导则 地下水环境》（HJ610-2016）分区防渗控制措施，一般情况下，应以水平防渗为主，防控措施应满足以下要求：</w:t>
      </w:r>
    </w:p>
    <w:p w14:paraId="01D22612">
      <w:pPr>
        <w:pStyle w:val="21"/>
        <w:ind w:firstLine="480"/>
        <w:rPr>
          <w:rFonts w:ascii="Times New Roman" w:hAnsi="Times New Roman"/>
          <w:color w:val="auto"/>
          <w:highlight w:val="none"/>
        </w:rPr>
      </w:pPr>
      <w:r>
        <w:rPr>
          <w:rFonts w:hint="eastAsia" w:hAnsi="宋体" w:cs="宋体"/>
          <w:color w:val="auto"/>
          <w:highlight w:val="none"/>
        </w:rPr>
        <w:t>①</w:t>
      </w:r>
      <w:r>
        <w:rPr>
          <w:rFonts w:ascii="Times New Roman" w:hAnsi="Times New Roman"/>
          <w:color w:val="auto"/>
          <w:highlight w:val="none"/>
        </w:rPr>
        <w:t>已颁布污染控制国家标准或防渗技术规范的行业，水平防渗技术要求按照相应标准或规范执行，如GB16889、GB18597、GB18598、GB18599、GB/T50934 等；</w:t>
      </w:r>
    </w:p>
    <w:p w14:paraId="7612F49D">
      <w:pPr>
        <w:pStyle w:val="21"/>
        <w:ind w:firstLine="480"/>
        <w:rPr>
          <w:rFonts w:ascii="Times New Roman" w:hAnsi="Times New Roman"/>
          <w:color w:val="auto"/>
          <w:highlight w:val="none"/>
        </w:rPr>
      </w:pPr>
      <w:r>
        <w:rPr>
          <w:rFonts w:hint="eastAsia" w:hAnsi="宋体" w:cs="宋体"/>
          <w:color w:val="auto"/>
          <w:highlight w:val="none"/>
        </w:rPr>
        <w:t>②</w:t>
      </w:r>
      <w:r>
        <w:rPr>
          <w:rFonts w:ascii="Times New Roman" w:hAnsi="Times New Roman"/>
          <w:color w:val="auto"/>
          <w:highlight w:val="none"/>
        </w:rPr>
        <w:t>未颁布相关标准的行业，根据预测结果和场地包气带特征及其防污性能，提出防渗技术要求；或根据建设项目场地天然包气带防污性能、污染控制难易程度和污染物特性，提出防渗技术要求。</w:t>
      </w:r>
    </w:p>
    <w:p w14:paraId="3CB2C4FE">
      <w:pPr>
        <w:pStyle w:val="21"/>
        <w:ind w:firstLine="480"/>
        <w:rPr>
          <w:rFonts w:ascii="Times New Roman" w:hAnsi="Times New Roman"/>
          <w:color w:val="auto"/>
          <w:highlight w:val="none"/>
        </w:rPr>
      </w:pPr>
      <w:r>
        <w:rPr>
          <w:rFonts w:ascii="Times New Roman" w:hAnsi="Times New Roman"/>
          <w:color w:val="auto"/>
          <w:highlight w:val="none"/>
        </w:rPr>
        <w:t>故未颁布相关标准的行业，将地下水污染防渗分区分为三个级别：重点防渗区、一般防渗区、简单防渗区，具体见表6.2-5。</w:t>
      </w:r>
    </w:p>
    <w:p w14:paraId="50E9F869">
      <w:pPr>
        <w:pStyle w:val="21"/>
        <w:ind w:firstLine="0" w:firstLineChars="0"/>
        <w:jc w:val="center"/>
        <w:rPr>
          <w:rFonts w:ascii="Times New Roman" w:hAnsi="Times New Roman"/>
          <w:color w:val="auto"/>
          <w:highlight w:val="none"/>
        </w:rPr>
      </w:pPr>
      <w:r>
        <w:rPr>
          <w:rFonts w:hint="eastAsia" w:ascii="黑体" w:hAnsi="黑体" w:eastAsia="黑体" w:cs="黑体"/>
          <w:color w:val="auto"/>
          <w:highlight w:val="none"/>
        </w:rPr>
        <w:t>表</w:t>
      </w:r>
      <w:r>
        <w:rPr>
          <w:rFonts w:hint="default" w:ascii="Times New Roman" w:hAnsi="Times New Roman" w:eastAsia="黑体" w:cs="Times New Roman"/>
          <w:color w:val="auto"/>
          <w:highlight w:val="none"/>
        </w:rPr>
        <w:t>6.2-5</w:t>
      </w:r>
      <w:r>
        <w:rPr>
          <w:rFonts w:hint="eastAsia" w:ascii="黑体" w:hAnsi="黑体" w:eastAsia="黑体" w:cs="黑体"/>
          <w:color w:val="auto"/>
          <w:highlight w:val="none"/>
        </w:rPr>
        <w:t>地下水污染防渗分区参照表</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704"/>
        <w:gridCol w:w="1704"/>
        <w:gridCol w:w="1704"/>
        <w:gridCol w:w="1517"/>
        <w:gridCol w:w="1893"/>
      </w:tblGrid>
      <w:tr w14:paraId="02FF656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jc w:val="center"/>
        </w:trPr>
        <w:tc>
          <w:tcPr>
            <w:tcW w:w="1704" w:type="dxa"/>
            <w:noWrap w:val="0"/>
            <w:vAlign w:val="center"/>
          </w:tcPr>
          <w:p w14:paraId="4CDFC036">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分区防渗</w:t>
            </w:r>
          </w:p>
        </w:tc>
        <w:tc>
          <w:tcPr>
            <w:tcW w:w="1704" w:type="dxa"/>
            <w:noWrap w:val="0"/>
            <w:vAlign w:val="center"/>
          </w:tcPr>
          <w:p w14:paraId="334C77B0">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天然包气带防污性能</w:t>
            </w:r>
          </w:p>
        </w:tc>
        <w:tc>
          <w:tcPr>
            <w:tcW w:w="1704" w:type="dxa"/>
            <w:noWrap w:val="0"/>
            <w:vAlign w:val="center"/>
          </w:tcPr>
          <w:p w14:paraId="3953465F">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污染控制难易程度</w:t>
            </w:r>
          </w:p>
        </w:tc>
        <w:tc>
          <w:tcPr>
            <w:tcW w:w="1517" w:type="dxa"/>
            <w:noWrap w:val="0"/>
            <w:vAlign w:val="center"/>
          </w:tcPr>
          <w:p w14:paraId="55A8FDE0">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污染物类型</w:t>
            </w:r>
          </w:p>
        </w:tc>
        <w:tc>
          <w:tcPr>
            <w:tcW w:w="1893" w:type="dxa"/>
            <w:noWrap w:val="0"/>
            <w:vAlign w:val="center"/>
          </w:tcPr>
          <w:p w14:paraId="3274A883">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防渗技术要求</w:t>
            </w:r>
          </w:p>
        </w:tc>
      </w:tr>
      <w:tr w14:paraId="6F4BCD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vMerge w:val="restart"/>
            <w:noWrap w:val="0"/>
            <w:vAlign w:val="center"/>
          </w:tcPr>
          <w:p w14:paraId="34F72A68">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重点防渗区</w:t>
            </w:r>
          </w:p>
        </w:tc>
        <w:tc>
          <w:tcPr>
            <w:tcW w:w="1704" w:type="dxa"/>
            <w:noWrap w:val="0"/>
            <w:vAlign w:val="center"/>
          </w:tcPr>
          <w:p w14:paraId="5D5A9F64">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弱</w:t>
            </w:r>
          </w:p>
        </w:tc>
        <w:tc>
          <w:tcPr>
            <w:tcW w:w="1704" w:type="dxa"/>
            <w:noWrap w:val="0"/>
            <w:vAlign w:val="center"/>
          </w:tcPr>
          <w:p w14:paraId="17D01B6C">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难</w:t>
            </w:r>
          </w:p>
        </w:tc>
        <w:tc>
          <w:tcPr>
            <w:tcW w:w="1517" w:type="dxa"/>
            <w:vMerge w:val="restart"/>
            <w:noWrap w:val="0"/>
            <w:vAlign w:val="center"/>
          </w:tcPr>
          <w:p w14:paraId="1405EB59">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重金属、持久性有机污染物</w:t>
            </w:r>
          </w:p>
        </w:tc>
        <w:tc>
          <w:tcPr>
            <w:tcW w:w="1893" w:type="dxa"/>
            <w:vMerge w:val="restart"/>
            <w:noWrap w:val="0"/>
            <w:vAlign w:val="center"/>
          </w:tcPr>
          <w:p w14:paraId="561DA6CB">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等效黏土防渗层 Mb≥6.0m，K≤10</w:t>
            </w:r>
            <w:r>
              <w:rPr>
                <w:rFonts w:ascii="Times New Roman" w:hAnsi="Times New Roman"/>
                <w:color w:val="auto"/>
                <w:sz w:val="21"/>
                <w:highlight w:val="none"/>
                <w:vertAlign w:val="superscript"/>
              </w:rPr>
              <w:t>-7</w:t>
            </w:r>
            <w:r>
              <w:rPr>
                <w:rFonts w:ascii="Times New Roman" w:hAnsi="Times New Roman"/>
                <w:color w:val="auto"/>
                <w:sz w:val="21"/>
                <w:highlight w:val="none"/>
              </w:rPr>
              <w:t>cm/s；或参照GB18598 执行</w:t>
            </w:r>
          </w:p>
        </w:tc>
      </w:tr>
      <w:tr w14:paraId="615411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704" w:type="dxa"/>
            <w:vMerge w:val="continue"/>
            <w:noWrap w:val="0"/>
            <w:vAlign w:val="center"/>
          </w:tcPr>
          <w:p w14:paraId="29504EDC">
            <w:pPr>
              <w:pStyle w:val="21"/>
              <w:spacing w:line="240" w:lineRule="auto"/>
              <w:ind w:firstLine="0" w:firstLineChars="0"/>
              <w:jc w:val="center"/>
              <w:rPr>
                <w:rFonts w:ascii="Times New Roman" w:hAnsi="Times New Roman"/>
                <w:color w:val="auto"/>
                <w:sz w:val="21"/>
                <w:highlight w:val="none"/>
              </w:rPr>
            </w:pPr>
          </w:p>
        </w:tc>
        <w:tc>
          <w:tcPr>
            <w:tcW w:w="1704" w:type="dxa"/>
            <w:noWrap w:val="0"/>
            <w:vAlign w:val="center"/>
          </w:tcPr>
          <w:p w14:paraId="17C8C2EA">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中-强</w:t>
            </w:r>
          </w:p>
        </w:tc>
        <w:tc>
          <w:tcPr>
            <w:tcW w:w="1704" w:type="dxa"/>
            <w:noWrap w:val="0"/>
            <w:vAlign w:val="center"/>
          </w:tcPr>
          <w:p w14:paraId="77488426">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难</w:t>
            </w:r>
          </w:p>
        </w:tc>
        <w:tc>
          <w:tcPr>
            <w:tcW w:w="1517" w:type="dxa"/>
            <w:vMerge w:val="continue"/>
            <w:noWrap w:val="0"/>
            <w:vAlign w:val="center"/>
          </w:tcPr>
          <w:p w14:paraId="2022C616">
            <w:pPr>
              <w:pStyle w:val="21"/>
              <w:spacing w:line="240" w:lineRule="auto"/>
              <w:ind w:firstLine="0" w:firstLineChars="0"/>
              <w:jc w:val="center"/>
              <w:rPr>
                <w:rFonts w:ascii="Times New Roman" w:hAnsi="Times New Roman"/>
                <w:color w:val="auto"/>
                <w:sz w:val="21"/>
                <w:highlight w:val="none"/>
              </w:rPr>
            </w:pPr>
          </w:p>
        </w:tc>
        <w:tc>
          <w:tcPr>
            <w:tcW w:w="1893" w:type="dxa"/>
            <w:vMerge w:val="continue"/>
            <w:noWrap w:val="0"/>
            <w:vAlign w:val="center"/>
          </w:tcPr>
          <w:p w14:paraId="2DF8AF40">
            <w:pPr>
              <w:pStyle w:val="21"/>
              <w:spacing w:line="240" w:lineRule="auto"/>
              <w:ind w:firstLine="0" w:firstLineChars="0"/>
              <w:jc w:val="center"/>
              <w:rPr>
                <w:rFonts w:ascii="Times New Roman" w:hAnsi="Times New Roman"/>
                <w:color w:val="auto"/>
                <w:sz w:val="21"/>
                <w:highlight w:val="none"/>
              </w:rPr>
            </w:pPr>
          </w:p>
        </w:tc>
      </w:tr>
      <w:tr w14:paraId="41E921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vMerge w:val="continue"/>
            <w:noWrap w:val="0"/>
            <w:vAlign w:val="center"/>
          </w:tcPr>
          <w:p w14:paraId="47EF15E4">
            <w:pPr>
              <w:pStyle w:val="21"/>
              <w:spacing w:line="240" w:lineRule="auto"/>
              <w:ind w:firstLine="0" w:firstLineChars="0"/>
              <w:jc w:val="center"/>
              <w:rPr>
                <w:rFonts w:ascii="Times New Roman" w:hAnsi="Times New Roman"/>
                <w:color w:val="auto"/>
                <w:sz w:val="21"/>
                <w:highlight w:val="none"/>
              </w:rPr>
            </w:pPr>
          </w:p>
        </w:tc>
        <w:tc>
          <w:tcPr>
            <w:tcW w:w="1704" w:type="dxa"/>
            <w:noWrap w:val="0"/>
            <w:vAlign w:val="center"/>
          </w:tcPr>
          <w:p w14:paraId="630B8AE3">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弱</w:t>
            </w:r>
          </w:p>
        </w:tc>
        <w:tc>
          <w:tcPr>
            <w:tcW w:w="1704" w:type="dxa"/>
            <w:noWrap w:val="0"/>
            <w:vAlign w:val="center"/>
          </w:tcPr>
          <w:p w14:paraId="799C2E38">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w:t>
            </w:r>
          </w:p>
        </w:tc>
        <w:tc>
          <w:tcPr>
            <w:tcW w:w="1517" w:type="dxa"/>
            <w:vMerge w:val="continue"/>
            <w:noWrap w:val="0"/>
            <w:vAlign w:val="center"/>
          </w:tcPr>
          <w:p w14:paraId="1539D453">
            <w:pPr>
              <w:pStyle w:val="21"/>
              <w:spacing w:line="240" w:lineRule="auto"/>
              <w:ind w:firstLine="0" w:firstLineChars="0"/>
              <w:jc w:val="center"/>
              <w:rPr>
                <w:rFonts w:ascii="Times New Roman" w:hAnsi="Times New Roman"/>
                <w:color w:val="auto"/>
                <w:sz w:val="21"/>
                <w:highlight w:val="none"/>
              </w:rPr>
            </w:pPr>
          </w:p>
        </w:tc>
        <w:tc>
          <w:tcPr>
            <w:tcW w:w="1893" w:type="dxa"/>
            <w:vMerge w:val="continue"/>
            <w:noWrap w:val="0"/>
            <w:vAlign w:val="center"/>
          </w:tcPr>
          <w:p w14:paraId="2F065843">
            <w:pPr>
              <w:pStyle w:val="21"/>
              <w:spacing w:line="240" w:lineRule="auto"/>
              <w:ind w:firstLine="0" w:firstLineChars="0"/>
              <w:jc w:val="center"/>
              <w:rPr>
                <w:rFonts w:ascii="Times New Roman" w:hAnsi="Times New Roman"/>
                <w:color w:val="auto"/>
                <w:sz w:val="21"/>
                <w:highlight w:val="none"/>
              </w:rPr>
            </w:pPr>
          </w:p>
        </w:tc>
      </w:tr>
      <w:tr w14:paraId="71394CC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vMerge w:val="restart"/>
            <w:noWrap w:val="0"/>
            <w:vAlign w:val="center"/>
          </w:tcPr>
          <w:p w14:paraId="72B07959">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一般防渗区</w:t>
            </w:r>
          </w:p>
        </w:tc>
        <w:tc>
          <w:tcPr>
            <w:tcW w:w="1704" w:type="dxa"/>
            <w:noWrap w:val="0"/>
            <w:vAlign w:val="center"/>
          </w:tcPr>
          <w:p w14:paraId="1E8AE6DD">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弱</w:t>
            </w:r>
          </w:p>
        </w:tc>
        <w:tc>
          <w:tcPr>
            <w:tcW w:w="1704" w:type="dxa"/>
            <w:noWrap w:val="0"/>
            <w:vAlign w:val="center"/>
          </w:tcPr>
          <w:p w14:paraId="20AAC7CD">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易-难</w:t>
            </w:r>
          </w:p>
        </w:tc>
        <w:tc>
          <w:tcPr>
            <w:tcW w:w="1517" w:type="dxa"/>
            <w:vMerge w:val="restart"/>
            <w:noWrap w:val="0"/>
            <w:vAlign w:val="center"/>
          </w:tcPr>
          <w:p w14:paraId="25AD1B34">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其他类型</w:t>
            </w:r>
          </w:p>
        </w:tc>
        <w:tc>
          <w:tcPr>
            <w:tcW w:w="1893" w:type="dxa"/>
            <w:vMerge w:val="restart"/>
            <w:noWrap w:val="0"/>
            <w:vAlign w:val="center"/>
          </w:tcPr>
          <w:p w14:paraId="604D0511">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等效黏土防渗层 Mb≥1.5m， K≤10</w:t>
            </w:r>
            <w:r>
              <w:rPr>
                <w:rFonts w:ascii="Times New Roman" w:hAnsi="Times New Roman"/>
                <w:color w:val="auto"/>
                <w:sz w:val="21"/>
                <w:highlight w:val="none"/>
                <w:vertAlign w:val="superscript"/>
              </w:rPr>
              <w:t>-7</w:t>
            </w:r>
            <w:r>
              <w:rPr>
                <w:rFonts w:ascii="Times New Roman" w:hAnsi="Times New Roman"/>
                <w:color w:val="auto"/>
                <w:sz w:val="21"/>
                <w:highlight w:val="none"/>
              </w:rPr>
              <w:t xml:space="preserve"> cm/s；或参照GB16889执行</w:t>
            </w:r>
          </w:p>
        </w:tc>
      </w:tr>
      <w:tr w14:paraId="61E622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0" w:hRule="atLeast"/>
          <w:jc w:val="center"/>
        </w:trPr>
        <w:tc>
          <w:tcPr>
            <w:tcW w:w="1704" w:type="dxa"/>
            <w:vMerge w:val="continue"/>
            <w:noWrap w:val="0"/>
            <w:vAlign w:val="center"/>
          </w:tcPr>
          <w:p w14:paraId="79AF5A62">
            <w:pPr>
              <w:pStyle w:val="21"/>
              <w:spacing w:line="240" w:lineRule="auto"/>
              <w:ind w:firstLine="0" w:firstLineChars="0"/>
              <w:jc w:val="center"/>
              <w:rPr>
                <w:rFonts w:ascii="Times New Roman" w:hAnsi="Times New Roman"/>
                <w:color w:val="auto"/>
                <w:sz w:val="21"/>
                <w:highlight w:val="none"/>
              </w:rPr>
            </w:pPr>
          </w:p>
        </w:tc>
        <w:tc>
          <w:tcPr>
            <w:tcW w:w="1704" w:type="dxa"/>
            <w:noWrap w:val="0"/>
            <w:vAlign w:val="center"/>
          </w:tcPr>
          <w:p w14:paraId="457F3795">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中-强</w:t>
            </w:r>
          </w:p>
        </w:tc>
        <w:tc>
          <w:tcPr>
            <w:tcW w:w="1704" w:type="dxa"/>
            <w:noWrap w:val="0"/>
            <w:vAlign w:val="center"/>
          </w:tcPr>
          <w:p w14:paraId="1CCB185D">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w:t>
            </w:r>
          </w:p>
        </w:tc>
        <w:tc>
          <w:tcPr>
            <w:tcW w:w="1517" w:type="dxa"/>
            <w:vMerge w:val="continue"/>
            <w:noWrap w:val="0"/>
            <w:vAlign w:val="center"/>
          </w:tcPr>
          <w:p w14:paraId="2C00D61B">
            <w:pPr>
              <w:pStyle w:val="21"/>
              <w:spacing w:line="240" w:lineRule="auto"/>
              <w:ind w:firstLine="0" w:firstLineChars="0"/>
              <w:jc w:val="center"/>
              <w:rPr>
                <w:rFonts w:ascii="Times New Roman" w:hAnsi="Times New Roman"/>
                <w:color w:val="auto"/>
                <w:sz w:val="21"/>
                <w:highlight w:val="none"/>
              </w:rPr>
            </w:pPr>
          </w:p>
        </w:tc>
        <w:tc>
          <w:tcPr>
            <w:tcW w:w="1893" w:type="dxa"/>
            <w:vMerge w:val="continue"/>
            <w:noWrap w:val="0"/>
            <w:vAlign w:val="center"/>
          </w:tcPr>
          <w:p w14:paraId="30C2F119">
            <w:pPr>
              <w:pStyle w:val="21"/>
              <w:spacing w:line="240" w:lineRule="auto"/>
              <w:ind w:firstLine="0" w:firstLineChars="0"/>
              <w:jc w:val="center"/>
              <w:rPr>
                <w:rFonts w:ascii="Times New Roman" w:hAnsi="Times New Roman"/>
                <w:color w:val="auto"/>
                <w:sz w:val="21"/>
                <w:highlight w:val="none"/>
              </w:rPr>
            </w:pPr>
          </w:p>
        </w:tc>
      </w:tr>
      <w:tr w14:paraId="3C5D05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23" w:hRule="atLeast"/>
          <w:jc w:val="center"/>
        </w:trPr>
        <w:tc>
          <w:tcPr>
            <w:tcW w:w="1704" w:type="dxa"/>
            <w:vMerge w:val="continue"/>
            <w:noWrap w:val="0"/>
            <w:vAlign w:val="center"/>
          </w:tcPr>
          <w:p w14:paraId="498F68F7">
            <w:pPr>
              <w:pStyle w:val="21"/>
              <w:spacing w:line="240" w:lineRule="auto"/>
              <w:ind w:firstLine="0" w:firstLineChars="0"/>
              <w:jc w:val="center"/>
              <w:rPr>
                <w:rFonts w:ascii="Times New Roman" w:hAnsi="Times New Roman"/>
                <w:color w:val="auto"/>
                <w:sz w:val="21"/>
                <w:highlight w:val="none"/>
              </w:rPr>
            </w:pPr>
          </w:p>
        </w:tc>
        <w:tc>
          <w:tcPr>
            <w:tcW w:w="1704" w:type="dxa"/>
            <w:noWrap w:val="0"/>
            <w:vAlign w:val="center"/>
          </w:tcPr>
          <w:p w14:paraId="0CFF1B9C">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中</w:t>
            </w:r>
          </w:p>
        </w:tc>
        <w:tc>
          <w:tcPr>
            <w:tcW w:w="1704" w:type="dxa"/>
            <w:noWrap w:val="0"/>
            <w:vAlign w:val="center"/>
          </w:tcPr>
          <w:p w14:paraId="076353D0">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w:t>
            </w:r>
          </w:p>
        </w:tc>
        <w:tc>
          <w:tcPr>
            <w:tcW w:w="1517" w:type="dxa"/>
            <w:vMerge w:val="continue"/>
            <w:noWrap w:val="0"/>
            <w:vAlign w:val="center"/>
          </w:tcPr>
          <w:p w14:paraId="64DB0966">
            <w:pPr>
              <w:pStyle w:val="21"/>
              <w:spacing w:line="240" w:lineRule="auto"/>
              <w:ind w:firstLine="0" w:firstLineChars="0"/>
              <w:jc w:val="center"/>
              <w:rPr>
                <w:rFonts w:ascii="Times New Roman" w:hAnsi="Times New Roman"/>
                <w:color w:val="auto"/>
                <w:sz w:val="21"/>
                <w:highlight w:val="none"/>
              </w:rPr>
            </w:pPr>
          </w:p>
        </w:tc>
        <w:tc>
          <w:tcPr>
            <w:tcW w:w="1893" w:type="dxa"/>
            <w:vMerge w:val="continue"/>
            <w:noWrap w:val="0"/>
            <w:vAlign w:val="center"/>
          </w:tcPr>
          <w:p w14:paraId="398A3770">
            <w:pPr>
              <w:pStyle w:val="21"/>
              <w:spacing w:line="240" w:lineRule="auto"/>
              <w:ind w:firstLine="0" w:firstLineChars="0"/>
              <w:jc w:val="center"/>
              <w:rPr>
                <w:rFonts w:ascii="Times New Roman" w:hAnsi="Times New Roman"/>
                <w:color w:val="auto"/>
                <w:sz w:val="21"/>
                <w:highlight w:val="none"/>
              </w:rPr>
            </w:pPr>
          </w:p>
        </w:tc>
      </w:tr>
      <w:tr w14:paraId="72B550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vMerge w:val="continue"/>
            <w:noWrap w:val="0"/>
            <w:vAlign w:val="center"/>
          </w:tcPr>
          <w:p w14:paraId="4AADA920">
            <w:pPr>
              <w:pStyle w:val="21"/>
              <w:spacing w:line="240" w:lineRule="auto"/>
              <w:ind w:firstLine="0" w:firstLineChars="0"/>
              <w:jc w:val="center"/>
              <w:rPr>
                <w:rFonts w:ascii="Times New Roman" w:hAnsi="Times New Roman"/>
                <w:color w:val="auto"/>
                <w:sz w:val="21"/>
                <w:highlight w:val="none"/>
              </w:rPr>
            </w:pPr>
          </w:p>
        </w:tc>
        <w:tc>
          <w:tcPr>
            <w:tcW w:w="1704" w:type="dxa"/>
            <w:noWrap w:val="0"/>
            <w:vAlign w:val="center"/>
          </w:tcPr>
          <w:p w14:paraId="447EA99F">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强</w:t>
            </w:r>
          </w:p>
        </w:tc>
        <w:tc>
          <w:tcPr>
            <w:tcW w:w="1704" w:type="dxa"/>
            <w:noWrap w:val="0"/>
            <w:vAlign w:val="center"/>
          </w:tcPr>
          <w:p w14:paraId="0D870175">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w:t>
            </w:r>
          </w:p>
        </w:tc>
        <w:tc>
          <w:tcPr>
            <w:tcW w:w="1517" w:type="dxa"/>
            <w:vMerge w:val="continue"/>
            <w:noWrap w:val="0"/>
            <w:vAlign w:val="center"/>
          </w:tcPr>
          <w:p w14:paraId="671162CA">
            <w:pPr>
              <w:pStyle w:val="21"/>
              <w:spacing w:line="240" w:lineRule="auto"/>
              <w:ind w:firstLine="0" w:firstLineChars="0"/>
              <w:jc w:val="center"/>
              <w:rPr>
                <w:rFonts w:ascii="Times New Roman" w:hAnsi="Times New Roman"/>
                <w:color w:val="auto"/>
                <w:sz w:val="21"/>
                <w:highlight w:val="none"/>
              </w:rPr>
            </w:pPr>
          </w:p>
        </w:tc>
        <w:tc>
          <w:tcPr>
            <w:tcW w:w="1893" w:type="dxa"/>
            <w:vMerge w:val="continue"/>
            <w:noWrap w:val="0"/>
            <w:vAlign w:val="center"/>
          </w:tcPr>
          <w:p w14:paraId="7194962E">
            <w:pPr>
              <w:pStyle w:val="21"/>
              <w:spacing w:line="240" w:lineRule="auto"/>
              <w:ind w:firstLine="0" w:firstLineChars="0"/>
              <w:jc w:val="center"/>
              <w:rPr>
                <w:rFonts w:ascii="Times New Roman" w:hAnsi="Times New Roman"/>
                <w:color w:val="auto"/>
                <w:sz w:val="21"/>
                <w:highlight w:val="none"/>
              </w:rPr>
            </w:pPr>
          </w:p>
        </w:tc>
      </w:tr>
      <w:tr w14:paraId="43DE07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noWrap w:val="0"/>
            <w:vAlign w:val="center"/>
          </w:tcPr>
          <w:p w14:paraId="247BC35E">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简单防渗区</w:t>
            </w:r>
          </w:p>
        </w:tc>
        <w:tc>
          <w:tcPr>
            <w:tcW w:w="1704" w:type="dxa"/>
            <w:noWrap w:val="0"/>
            <w:vAlign w:val="center"/>
          </w:tcPr>
          <w:p w14:paraId="729F66FC">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中-强</w:t>
            </w:r>
          </w:p>
        </w:tc>
        <w:tc>
          <w:tcPr>
            <w:tcW w:w="1704" w:type="dxa"/>
            <w:noWrap w:val="0"/>
            <w:vAlign w:val="center"/>
          </w:tcPr>
          <w:p w14:paraId="33D00486">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易</w:t>
            </w:r>
          </w:p>
        </w:tc>
        <w:tc>
          <w:tcPr>
            <w:tcW w:w="1517" w:type="dxa"/>
            <w:noWrap w:val="0"/>
            <w:vAlign w:val="center"/>
          </w:tcPr>
          <w:p w14:paraId="2B8FEF98">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其他类型</w:t>
            </w:r>
          </w:p>
        </w:tc>
        <w:tc>
          <w:tcPr>
            <w:tcW w:w="1893" w:type="dxa"/>
            <w:noWrap w:val="0"/>
            <w:vAlign w:val="center"/>
          </w:tcPr>
          <w:p w14:paraId="33BAC247">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一般地面硬化</w:t>
            </w:r>
          </w:p>
        </w:tc>
      </w:tr>
    </w:tbl>
    <w:p w14:paraId="0EFC577A">
      <w:pPr>
        <w:ind w:firstLine="480"/>
        <w:rPr>
          <w:rFonts w:ascii="Times New Roman" w:hAnsi="Times New Roman"/>
          <w:color w:val="auto"/>
          <w:highlight w:val="none"/>
        </w:rPr>
      </w:pPr>
      <w:r>
        <w:rPr>
          <w:rFonts w:ascii="Times New Roman" w:hAnsi="Times New Roman"/>
          <w:color w:val="auto"/>
          <w:highlight w:val="none"/>
        </w:rPr>
        <w:t>根据《环境影响评价技术导则 地下水环境》（HJ610-2016）将厂区各生产功能单元可能泄漏至地面区域的污染物性质和生产单元的构筑方式，将厂区建筑区域划分为重点污染防治区、一般污染防治区和简单污染防治区，并按要求进行地表防渗。</w:t>
      </w:r>
    </w:p>
    <w:p w14:paraId="5089CAFD">
      <w:pPr>
        <w:ind w:firstLine="480"/>
        <w:rPr>
          <w:rFonts w:hint="eastAsia" w:ascii="Times New Roman" w:hAnsi="Times New Roman"/>
          <w:color w:val="auto"/>
          <w:highlight w:val="none"/>
        </w:rPr>
      </w:pPr>
      <w:r>
        <w:rPr>
          <w:rFonts w:hint="eastAsia" w:ascii="Times New Roman" w:hAnsi="Times New Roman"/>
          <w:color w:val="auto"/>
          <w:highlight w:val="none"/>
        </w:rPr>
        <w:t>（1）重点污染防治区</w:t>
      </w:r>
    </w:p>
    <w:p w14:paraId="3A51FDD3">
      <w:pPr>
        <w:ind w:firstLine="480"/>
        <w:rPr>
          <w:rFonts w:hint="eastAsia" w:ascii="Times New Roman" w:hAnsi="Times New Roman"/>
          <w:color w:val="auto"/>
          <w:highlight w:val="none"/>
        </w:rPr>
      </w:pPr>
      <w:r>
        <w:rPr>
          <w:rFonts w:hint="eastAsia" w:ascii="Times New Roman" w:hAnsi="Times New Roman"/>
          <w:color w:val="auto"/>
          <w:highlight w:val="none"/>
        </w:rPr>
        <w:t>指位于地下或半地下的生产功能单元，污染地下水环境的污染物泄漏后不容易被及时发现和处理，或场地水文地质条件相对较差的区域和部位。主要</w:t>
      </w:r>
      <w:r>
        <w:rPr>
          <w:rFonts w:hint="eastAsia" w:ascii="Times New Roman" w:hAnsi="Times New Roman"/>
          <w:color w:val="auto"/>
          <w:highlight w:val="none"/>
          <w:lang w:val="en-US" w:eastAsia="zh-CN"/>
        </w:rPr>
        <w:t>为</w:t>
      </w:r>
      <w:r>
        <w:rPr>
          <w:rFonts w:hint="eastAsia" w:ascii="Times New Roman" w:hAnsi="Times New Roman"/>
          <w:color w:val="auto"/>
          <w:highlight w:val="none"/>
          <w:lang w:eastAsia="zh-CN"/>
        </w:rPr>
        <w:t>危废贮存点</w:t>
      </w:r>
      <w:r>
        <w:rPr>
          <w:rFonts w:hint="eastAsia" w:ascii="Times New Roman" w:hAnsi="Times New Roman"/>
          <w:color w:val="auto"/>
          <w:highlight w:val="none"/>
        </w:rPr>
        <w:t>。重点防渗区</w:t>
      </w:r>
      <w:r>
        <w:rPr>
          <w:rFonts w:hint="eastAsia" w:ascii="Times New Roman" w:hAnsi="Times New Roman"/>
          <w:color w:val="auto"/>
          <w:highlight w:val="none"/>
          <w:lang w:eastAsia="zh-CN"/>
        </w:rPr>
        <w:t>危废贮存点</w:t>
      </w:r>
      <w:r>
        <w:rPr>
          <w:rFonts w:hint="eastAsia" w:ascii="Times New Roman" w:hAnsi="Times New Roman"/>
          <w:color w:val="auto"/>
          <w:highlight w:val="none"/>
        </w:rPr>
        <w:t>采用高密度聚乙烯HDPE膜，土工膜厚度不应小于2mm，防渗系数不大于10</w:t>
      </w:r>
      <w:r>
        <w:rPr>
          <w:rFonts w:hint="eastAsia" w:ascii="Times New Roman" w:hAnsi="Times New Roman"/>
          <w:color w:val="auto"/>
          <w:highlight w:val="none"/>
          <w:vertAlign w:val="superscript"/>
        </w:rPr>
        <w:t>-10</w:t>
      </w:r>
      <w:r>
        <w:rPr>
          <w:rFonts w:hint="eastAsia" w:ascii="Times New Roman" w:hAnsi="Times New Roman"/>
          <w:color w:val="auto"/>
          <w:highlight w:val="none"/>
        </w:rPr>
        <w:t>cm/s，埋深不宜小于300mm，膜上、下应设置保护层。重点防渗区防渗措施满足《环境影响评价技术导则 地下水环境》(HJ610-2016)表7地下水污染防渗分区参照表中重点防渗区防渗技术要求，防渗层的防渗性能不应低于6.0m厚渗透系数为1×10</w:t>
      </w:r>
      <w:r>
        <w:rPr>
          <w:rFonts w:hint="eastAsia" w:ascii="Times New Roman" w:hAnsi="Times New Roman"/>
          <w:color w:val="auto"/>
          <w:highlight w:val="none"/>
          <w:vertAlign w:val="superscript"/>
        </w:rPr>
        <w:t>-7</w:t>
      </w:r>
      <w:r>
        <w:rPr>
          <w:rFonts w:hint="eastAsia" w:ascii="Times New Roman" w:hAnsi="Times New Roman"/>
          <w:color w:val="auto"/>
          <w:highlight w:val="none"/>
        </w:rPr>
        <w:t>cm/s 的黏土层的防渗性能。</w:t>
      </w:r>
    </w:p>
    <w:p w14:paraId="325E610B">
      <w:pPr>
        <w:ind w:firstLine="480"/>
        <w:rPr>
          <w:rFonts w:ascii="Times New Roman" w:hAnsi="Times New Roman"/>
          <w:color w:val="auto"/>
          <w:highlight w:val="none"/>
        </w:rPr>
      </w:pPr>
      <w:r>
        <w:rPr>
          <w:rFonts w:ascii="Times New Roman" w:hAnsi="Times New Roman"/>
          <w:color w:val="auto"/>
          <w:highlight w:val="none"/>
        </w:rPr>
        <w:t>（</w:t>
      </w:r>
      <w:r>
        <w:rPr>
          <w:rFonts w:hint="eastAsia" w:ascii="Times New Roman" w:hAnsi="Times New Roman"/>
          <w:color w:val="auto"/>
          <w:highlight w:val="none"/>
        </w:rPr>
        <w:t>2</w:t>
      </w:r>
      <w:r>
        <w:rPr>
          <w:rFonts w:ascii="Times New Roman" w:hAnsi="Times New Roman"/>
          <w:color w:val="auto"/>
          <w:highlight w:val="none"/>
        </w:rPr>
        <w:t>）一般污染防治区</w:t>
      </w:r>
    </w:p>
    <w:p w14:paraId="658E3A7A">
      <w:pPr>
        <w:ind w:firstLine="480"/>
        <w:rPr>
          <w:rFonts w:ascii="Times New Roman" w:hAnsi="Times New Roman"/>
          <w:color w:val="auto"/>
          <w:highlight w:val="none"/>
        </w:rPr>
      </w:pPr>
      <w:r>
        <w:rPr>
          <w:rFonts w:ascii="Times New Roman" w:hAnsi="Times New Roman"/>
          <w:color w:val="auto"/>
          <w:highlight w:val="none"/>
        </w:rPr>
        <w:t>一般污染防治区指对地下水环境有污染的物料或污染物渗漏后，可及时发现和处理的区域或部位。本项目一般防渗区为脱硫</w:t>
      </w:r>
      <w:r>
        <w:rPr>
          <w:rFonts w:hint="eastAsia" w:ascii="Times New Roman" w:hAnsi="Times New Roman"/>
          <w:color w:val="auto"/>
          <w:highlight w:val="none"/>
          <w:lang w:val="en-US" w:eastAsia="zh-CN"/>
        </w:rPr>
        <w:t>塔、</w:t>
      </w:r>
      <w:r>
        <w:rPr>
          <w:rFonts w:ascii="Times New Roman" w:hAnsi="Times New Roman"/>
          <w:color w:val="auto"/>
          <w:highlight w:val="none"/>
        </w:rPr>
        <w:t>主厂房所在区域，底部防渗层铺设2mm 厚的高密度聚乙烯土工膜，或等效黏土防渗层至少1.5m 厚，渗透系数≤10</w:t>
      </w:r>
      <w:r>
        <w:rPr>
          <w:rFonts w:ascii="Times New Roman" w:hAnsi="Times New Roman"/>
          <w:color w:val="auto"/>
          <w:highlight w:val="none"/>
          <w:vertAlign w:val="superscript"/>
        </w:rPr>
        <w:t>-7</w:t>
      </w:r>
      <w:r>
        <w:rPr>
          <w:rFonts w:ascii="Times New Roman" w:hAnsi="Times New Roman"/>
          <w:color w:val="auto"/>
          <w:highlight w:val="none"/>
        </w:rPr>
        <w:t>cm/s 的其它人工材料，满足《环境影响评价技术导则 地下水环境》（HJ610-2016）表7 中一般防渗区防渗技术要求（等效黏土防渗层Mb≥1.5m，渗透系数≤10</w:t>
      </w:r>
      <w:r>
        <w:rPr>
          <w:rFonts w:ascii="Times New Roman" w:hAnsi="Times New Roman"/>
          <w:color w:val="auto"/>
          <w:highlight w:val="none"/>
          <w:vertAlign w:val="superscript"/>
        </w:rPr>
        <w:t>-7</w:t>
      </w:r>
      <w:r>
        <w:rPr>
          <w:rFonts w:ascii="Times New Roman" w:hAnsi="Times New Roman"/>
          <w:color w:val="auto"/>
          <w:highlight w:val="none"/>
        </w:rPr>
        <w:t>cm/s）。</w:t>
      </w:r>
    </w:p>
    <w:p w14:paraId="0DA9D5FE">
      <w:pPr>
        <w:ind w:firstLine="480"/>
        <w:rPr>
          <w:rFonts w:ascii="Times New Roman" w:hAnsi="Times New Roman"/>
          <w:color w:val="auto"/>
          <w:highlight w:val="none"/>
        </w:rPr>
      </w:pPr>
      <w:r>
        <w:rPr>
          <w:rFonts w:ascii="Times New Roman" w:hAnsi="Times New Roman"/>
          <w:color w:val="auto"/>
          <w:highlight w:val="none"/>
        </w:rPr>
        <w:t>（3）简单污染防治区</w:t>
      </w:r>
    </w:p>
    <w:p w14:paraId="74F0E1FC">
      <w:pPr>
        <w:ind w:firstLine="480"/>
        <w:rPr>
          <w:rFonts w:hint="eastAsia" w:ascii="Times New Roman" w:hAnsi="Times New Roman"/>
          <w:color w:val="auto"/>
          <w:highlight w:val="none"/>
        </w:rPr>
      </w:pPr>
      <w:r>
        <w:rPr>
          <w:rFonts w:ascii="Times New Roman" w:hAnsi="Times New Roman"/>
          <w:color w:val="auto"/>
          <w:highlight w:val="none"/>
        </w:rPr>
        <w:t>本项目简单防渗区为除重点防渗区和一般防渗区以外的厂区道路，参照《环境影响评价技术导则 地下水环境》(HJ610-2016)表7 地下水污染防渗分区参照表中简单防渗区防渗技术要求，主要防渗措施为水泥地面硬化。</w:t>
      </w:r>
    </w:p>
    <w:p w14:paraId="739BA5E1">
      <w:pPr>
        <w:pStyle w:val="7"/>
        <w:ind w:firstLine="0" w:firstLineChars="0"/>
        <w:jc w:val="center"/>
        <w:rPr>
          <w:rFonts w:hint="eastAsia" w:ascii="黑体" w:hAnsi="黑体" w:eastAsia="黑体" w:cs="黑体"/>
          <w:color w:val="auto"/>
          <w:highlight w:val="none"/>
        </w:rPr>
      </w:pPr>
      <w:r>
        <w:rPr>
          <w:rFonts w:hint="eastAsia" w:ascii="黑体" w:hAnsi="黑体" w:eastAsia="黑体" w:cs="黑体"/>
          <w:color w:val="auto"/>
          <w:highlight w:val="none"/>
        </w:rPr>
        <w:t>表</w:t>
      </w:r>
      <w:r>
        <w:rPr>
          <w:rFonts w:hint="default" w:ascii="Times New Roman" w:hAnsi="Times New Roman" w:eastAsia="黑体" w:cs="Times New Roman"/>
          <w:color w:val="auto"/>
          <w:highlight w:val="none"/>
        </w:rPr>
        <w:t>6.2-6</w:t>
      </w:r>
      <w:r>
        <w:rPr>
          <w:rFonts w:hint="eastAsia" w:ascii="黑体" w:hAnsi="黑体" w:eastAsia="黑体" w:cs="黑体"/>
          <w:color w:val="auto"/>
          <w:highlight w:val="none"/>
        </w:rPr>
        <w:t>污染防治措施分区一览表</w:t>
      </w:r>
    </w:p>
    <w:tbl>
      <w:tblPr>
        <w:tblStyle w:val="17"/>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868"/>
        <w:gridCol w:w="2081"/>
        <w:gridCol w:w="4573"/>
      </w:tblGrid>
      <w:tr w14:paraId="502DF9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096" w:type="pct"/>
            <w:noWrap w:val="0"/>
            <w:vAlign w:val="center"/>
          </w:tcPr>
          <w:p w14:paraId="4E9FD75F">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防渗分区</w:t>
            </w:r>
          </w:p>
        </w:tc>
        <w:tc>
          <w:tcPr>
            <w:tcW w:w="1221" w:type="pct"/>
            <w:noWrap w:val="0"/>
            <w:vAlign w:val="center"/>
          </w:tcPr>
          <w:p w14:paraId="0F107AF7">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防渗部位</w:t>
            </w:r>
          </w:p>
        </w:tc>
        <w:tc>
          <w:tcPr>
            <w:tcW w:w="2683" w:type="pct"/>
            <w:noWrap w:val="0"/>
            <w:vAlign w:val="center"/>
          </w:tcPr>
          <w:p w14:paraId="2909CE90">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防渗要求</w:t>
            </w:r>
          </w:p>
        </w:tc>
      </w:tr>
      <w:tr w14:paraId="6D4649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096" w:type="pct"/>
            <w:noWrap w:val="0"/>
            <w:vAlign w:val="center"/>
          </w:tcPr>
          <w:p w14:paraId="144B7472">
            <w:pPr>
              <w:pStyle w:val="21"/>
              <w:spacing w:line="240" w:lineRule="auto"/>
              <w:ind w:firstLine="0" w:firstLineChars="0"/>
              <w:jc w:val="center"/>
              <w:rPr>
                <w:rFonts w:ascii="Times New Roman" w:hAnsi="Times New Roman"/>
                <w:color w:val="auto"/>
                <w:sz w:val="21"/>
                <w:highlight w:val="none"/>
              </w:rPr>
            </w:pPr>
            <w:r>
              <w:rPr>
                <w:rFonts w:hint="eastAsia" w:ascii="Times New Roman" w:hAnsi="Times New Roman"/>
                <w:color w:val="auto"/>
                <w:sz w:val="21"/>
                <w:highlight w:val="none"/>
              </w:rPr>
              <w:t>重点防渗区</w:t>
            </w:r>
          </w:p>
        </w:tc>
        <w:tc>
          <w:tcPr>
            <w:tcW w:w="1221" w:type="pct"/>
            <w:noWrap w:val="0"/>
            <w:vAlign w:val="center"/>
          </w:tcPr>
          <w:p w14:paraId="689263E5">
            <w:pPr>
              <w:pStyle w:val="21"/>
              <w:spacing w:line="240" w:lineRule="auto"/>
              <w:ind w:firstLine="0" w:firstLineChars="0"/>
              <w:jc w:val="center"/>
              <w:rPr>
                <w:rFonts w:hint="eastAsia" w:ascii="Times New Roman" w:hAnsi="Times New Roman" w:eastAsia="宋体"/>
                <w:color w:val="auto"/>
                <w:sz w:val="21"/>
                <w:highlight w:val="none"/>
                <w:lang w:eastAsia="zh-CN"/>
              </w:rPr>
            </w:pPr>
            <w:r>
              <w:rPr>
                <w:rFonts w:hint="eastAsia" w:ascii="Times New Roman" w:hAnsi="Times New Roman" w:eastAsia="宋体"/>
                <w:color w:val="auto"/>
                <w:sz w:val="21"/>
                <w:highlight w:val="none"/>
                <w:lang w:eastAsia="zh-CN"/>
              </w:rPr>
              <w:t>危废贮存点</w:t>
            </w:r>
          </w:p>
        </w:tc>
        <w:tc>
          <w:tcPr>
            <w:tcW w:w="2683" w:type="pct"/>
            <w:noWrap w:val="0"/>
            <w:vAlign w:val="center"/>
          </w:tcPr>
          <w:p w14:paraId="7BE2DB36">
            <w:pPr>
              <w:pStyle w:val="21"/>
              <w:spacing w:line="240" w:lineRule="auto"/>
              <w:ind w:firstLine="0" w:firstLineChars="0"/>
              <w:jc w:val="center"/>
              <w:rPr>
                <w:rFonts w:ascii="Times New Roman" w:hAnsi="Times New Roman"/>
                <w:color w:val="auto"/>
                <w:sz w:val="21"/>
                <w:highlight w:val="none"/>
              </w:rPr>
            </w:pPr>
            <w:r>
              <w:rPr>
                <w:rFonts w:hint="eastAsia" w:ascii="Times New Roman" w:hAnsi="Times New Roman"/>
                <w:color w:val="auto"/>
                <w:sz w:val="21"/>
                <w:highlight w:val="none"/>
              </w:rPr>
              <w:t>防渗层的防渗性能不应低于6.0m厚渗透系数为1×10</w:t>
            </w:r>
            <w:r>
              <w:rPr>
                <w:rFonts w:hint="eastAsia" w:ascii="Times New Roman" w:hAnsi="Times New Roman"/>
                <w:color w:val="auto"/>
                <w:sz w:val="21"/>
                <w:highlight w:val="none"/>
                <w:vertAlign w:val="superscript"/>
              </w:rPr>
              <w:t>-7</w:t>
            </w:r>
            <w:r>
              <w:rPr>
                <w:rFonts w:hint="eastAsia" w:ascii="Times New Roman" w:hAnsi="Times New Roman"/>
                <w:color w:val="auto"/>
                <w:sz w:val="21"/>
                <w:highlight w:val="none"/>
              </w:rPr>
              <w:t>cm/s 的黏土层的防渗性能。</w:t>
            </w:r>
          </w:p>
        </w:tc>
      </w:tr>
      <w:tr w14:paraId="5BFF16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096" w:type="pct"/>
            <w:noWrap w:val="0"/>
            <w:vAlign w:val="center"/>
          </w:tcPr>
          <w:p w14:paraId="0DD6E9D7">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一般防渗区</w:t>
            </w:r>
          </w:p>
        </w:tc>
        <w:tc>
          <w:tcPr>
            <w:tcW w:w="1221" w:type="pct"/>
            <w:noWrap w:val="0"/>
            <w:vAlign w:val="center"/>
          </w:tcPr>
          <w:p w14:paraId="6AAC6AF0">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主厂房</w:t>
            </w:r>
            <w:r>
              <w:rPr>
                <w:rFonts w:hint="eastAsia" w:ascii="Times New Roman" w:hAnsi="Times New Roman"/>
                <w:color w:val="auto"/>
                <w:sz w:val="21"/>
                <w:highlight w:val="none"/>
                <w:lang w:eastAsia="zh-CN"/>
              </w:rPr>
              <w:t>、</w:t>
            </w:r>
            <w:r>
              <w:rPr>
                <w:rFonts w:hint="eastAsia" w:ascii="Times New Roman" w:hAnsi="Times New Roman"/>
                <w:color w:val="auto"/>
                <w:sz w:val="21"/>
                <w:highlight w:val="none"/>
                <w:lang w:val="en-US" w:eastAsia="zh-CN"/>
              </w:rPr>
              <w:t>脱硫塔</w:t>
            </w:r>
          </w:p>
        </w:tc>
        <w:tc>
          <w:tcPr>
            <w:tcW w:w="2683" w:type="pct"/>
            <w:noWrap w:val="0"/>
            <w:vAlign w:val="center"/>
          </w:tcPr>
          <w:p w14:paraId="171E2FF9">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底部防渗层铺设2mm 厚的高密度聚乙烯土工膜，或等效黏土防渗层至少1.5m 厚，渗透系数≤10</w:t>
            </w:r>
            <w:r>
              <w:rPr>
                <w:rFonts w:ascii="Times New Roman" w:hAnsi="Times New Roman"/>
                <w:color w:val="auto"/>
                <w:sz w:val="21"/>
                <w:highlight w:val="none"/>
                <w:vertAlign w:val="superscript"/>
              </w:rPr>
              <w:t>-7</w:t>
            </w:r>
            <w:r>
              <w:rPr>
                <w:rFonts w:ascii="Times New Roman" w:hAnsi="Times New Roman"/>
                <w:color w:val="auto"/>
                <w:sz w:val="21"/>
                <w:highlight w:val="none"/>
              </w:rPr>
              <w:t>cm/s的其它人工材料</w:t>
            </w:r>
          </w:p>
        </w:tc>
      </w:tr>
      <w:tr w14:paraId="47FA6E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096" w:type="pct"/>
            <w:noWrap w:val="0"/>
            <w:vAlign w:val="center"/>
          </w:tcPr>
          <w:p w14:paraId="484472A3">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简单防渗区</w:t>
            </w:r>
          </w:p>
        </w:tc>
        <w:tc>
          <w:tcPr>
            <w:tcW w:w="1221" w:type="pct"/>
            <w:noWrap w:val="0"/>
            <w:vAlign w:val="center"/>
          </w:tcPr>
          <w:p w14:paraId="6EE57785">
            <w:pPr>
              <w:pStyle w:val="21"/>
              <w:spacing w:line="240" w:lineRule="auto"/>
              <w:ind w:firstLine="0" w:firstLineChars="0"/>
              <w:jc w:val="center"/>
              <w:rPr>
                <w:rFonts w:ascii="Times New Roman" w:hAnsi="Times New Roman"/>
                <w:color w:val="auto"/>
                <w:sz w:val="21"/>
                <w:highlight w:val="none"/>
              </w:rPr>
            </w:pPr>
            <w:r>
              <w:rPr>
                <w:rFonts w:hint="eastAsia" w:ascii="Times New Roman" w:hAnsi="Times New Roman"/>
                <w:color w:val="auto"/>
                <w:sz w:val="21"/>
                <w:highlight w:val="none"/>
              </w:rPr>
              <w:t>道路及</w:t>
            </w:r>
            <w:r>
              <w:rPr>
                <w:rFonts w:ascii="Times New Roman" w:hAnsi="Times New Roman"/>
                <w:color w:val="auto"/>
                <w:sz w:val="21"/>
                <w:highlight w:val="none"/>
              </w:rPr>
              <w:t>其他区域</w:t>
            </w:r>
          </w:p>
        </w:tc>
        <w:tc>
          <w:tcPr>
            <w:tcW w:w="2683" w:type="pct"/>
            <w:noWrap w:val="0"/>
            <w:vAlign w:val="center"/>
          </w:tcPr>
          <w:p w14:paraId="7D05F93A">
            <w:pPr>
              <w:pStyle w:val="21"/>
              <w:spacing w:line="240" w:lineRule="auto"/>
              <w:ind w:firstLine="0" w:firstLineChars="0"/>
              <w:jc w:val="center"/>
              <w:rPr>
                <w:rFonts w:ascii="Times New Roman" w:hAnsi="Times New Roman"/>
                <w:color w:val="auto"/>
                <w:sz w:val="21"/>
                <w:highlight w:val="none"/>
              </w:rPr>
            </w:pPr>
            <w:r>
              <w:rPr>
                <w:rFonts w:ascii="Times New Roman" w:hAnsi="Times New Roman"/>
                <w:color w:val="auto"/>
                <w:sz w:val="21"/>
                <w:highlight w:val="none"/>
              </w:rPr>
              <w:t>一般地面硬化</w:t>
            </w:r>
          </w:p>
        </w:tc>
      </w:tr>
    </w:tbl>
    <w:p w14:paraId="199CEE98">
      <w:pPr>
        <w:bidi w:val="0"/>
        <w:ind w:left="0" w:leftChars="0" w:firstLine="0" w:firstLineChars="0"/>
        <w:rPr>
          <w:color w:val="auto"/>
          <w:highlight w:val="none"/>
        </w:rPr>
      </w:pPr>
      <w:r>
        <w:rPr>
          <w:sz w:val="24"/>
          <w:highlight w:val="none"/>
        </w:rPr>
        <mc:AlternateContent>
          <mc:Choice Requires="wps">
            <w:drawing>
              <wp:anchor distT="0" distB="0" distL="114300" distR="114300" simplePos="0" relativeHeight="251697152" behindDoc="0" locked="0" layoutInCell="1" allowOverlap="1">
                <wp:simplePos x="0" y="0"/>
                <wp:positionH relativeFrom="column">
                  <wp:posOffset>2334260</wp:posOffset>
                </wp:positionH>
                <wp:positionV relativeFrom="paragraph">
                  <wp:posOffset>971550</wp:posOffset>
                </wp:positionV>
                <wp:extent cx="1697355" cy="710565"/>
                <wp:effectExtent l="0" t="0" r="17145" b="13335"/>
                <wp:wrapNone/>
                <wp:docPr id="175" name="文本框 175"/>
                <wp:cNvGraphicFramePr/>
                <a:graphic xmlns:a="http://schemas.openxmlformats.org/drawingml/2006/main">
                  <a:graphicData uri="http://schemas.microsoft.com/office/word/2010/wordprocessingShape">
                    <wps:wsp>
                      <wps:cNvSpPr txBox="1"/>
                      <wps:spPr>
                        <a:xfrm>
                          <a:off x="3477260" y="1885950"/>
                          <a:ext cx="1697355" cy="7105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3B79FFE">
                            <w:pPr>
                              <w:rPr>
                                <w:rFonts w:hint="eastAsia" w:eastAsia="宋体"/>
                                <w:lang w:val="en-US" w:eastAsia="zh-CN"/>
                              </w:rPr>
                            </w:pPr>
                            <w:r>
                              <w:rPr>
                                <w:rFonts w:hint="eastAsia"/>
                                <w:lang w:val="en-US" w:eastAsia="zh-CN"/>
                              </w:rPr>
                              <w:t>储煤场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8pt;margin-top:76.5pt;height:55.95pt;width:133.65pt;z-index:251697152;mso-width-relative:page;mso-height-relative:page;" fillcolor="#FFFFFF [3201]" filled="t" stroked="f" coordsize="21600,21600" o:gfxdata="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c4H&#10;m9YAAAALAQAADwAAAAAAAAABACAAAAAiAAAAZHJzL2Rvd25yZXYueG1sUEsBAhQAFAAAAAgAh07i&#10;QGCoS8RdAgAAnwQAAA4AAAAAAAAAAQAgAAAAJQEAAGRycy9lMm9Eb2MueG1sUEsFBgAAAAAGAAYA&#10;WQEAAPQFAAAAAA==&#10;">
                <v:fill on="t" focussize="0,0"/>
                <v:stroke on="f" weight="0.5pt"/>
                <v:imagedata o:title=""/>
                <o:lock v:ext="edit" aspectratio="f"/>
                <v:textbox>
                  <w:txbxContent>
                    <w:p w14:paraId="53B79FFE">
                      <w:pPr>
                        <w:rPr>
                          <w:rFonts w:hint="eastAsia" w:eastAsia="宋体"/>
                          <w:lang w:val="en-US" w:eastAsia="zh-CN"/>
                        </w:rPr>
                      </w:pPr>
                      <w:r>
                        <w:rPr>
                          <w:rFonts w:hint="eastAsia"/>
                          <w:lang w:val="en-US" w:eastAsia="zh-CN"/>
                        </w:rPr>
                        <w:t>储煤场</w:t>
                      </w:r>
                    </w:p>
                  </w:txbxContent>
                </v:textbox>
              </v:shape>
            </w:pict>
          </mc:Fallback>
        </mc:AlternateContent>
      </w:r>
      <w:r>
        <w:rPr>
          <w:color w:val="auto"/>
          <w:sz w:val="24"/>
          <w:highlight w:val="none"/>
        </w:rPr>
        <mc:AlternateContent>
          <mc:Choice Requires="wps">
            <w:drawing>
              <wp:anchor distT="0" distB="0" distL="114300" distR="114300" simplePos="0" relativeHeight="251695104" behindDoc="0" locked="0" layoutInCell="1" allowOverlap="1">
                <wp:simplePos x="0" y="0"/>
                <wp:positionH relativeFrom="column">
                  <wp:posOffset>616585</wp:posOffset>
                </wp:positionH>
                <wp:positionV relativeFrom="paragraph">
                  <wp:posOffset>6929120</wp:posOffset>
                </wp:positionV>
                <wp:extent cx="902335" cy="375285"/>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902335" cy="375285"/>
                        </a:xfrm>
                        <a:prstGeom prst="rect">
                          <a:avLst/>
                        </a:prstGeom>
                        <a:noFill/>
                        <a:ln>
                          <a:noFill/>
                        </a:ln>
                      </wps:spPr>
                      <wps:txbx>
                        <w:txbxContent>
                          <w:p w14:paraId="4DA44F9A">
                            <w:pPr>
                              <w:ind w:left="0" w:leftChars="0" w:firstLine="0" w:firstLineChars="0"/>
                              <w:rPr>
                                <w:rFonts w:hint="eastAsia"/>
                                <w:lang w:val="en-US" w:eastAsia="zh-CN"/>
                              </w:rPr>
                            </w:pPr>
                            <w:r>
                              <w:rPr>
                                <w:rFonts w:ascii="Times New Roman" w:hAnsi="Times New Roman"/>
                                <w:sz w:val="21"/>
                              </w:rPr>
                              <w:t>一般防渗区</w:t>
                            </w:r>
                          </w:p>
                        </w:txbxContent>
                      </wps:txbx>
                      <wps:bodyPr upright="1"/>
                    </wps:wsp>
                  </a:graphicData>
                </a:graphic>
              </wp:anchor>
            </w:drawing>
          </mc:Choice>
          <mc:Fallback>
            <w:pict>
              <v:shape id="_x0000_s1026" o:spid="_x0000_s1026" o:spt="202" type="#_x0000_t202" style="position:absolute;left:0pt;margin-left:48.55pt;margin-top:545.6pt;height:29.55pt;width:71.05pt;z-index:251695104;mso-width-relative:page;mso-height-relative:page;" filled="f" stroked="f" coordsize="21600,21600" o:gfxdata="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VSlSnY&#10;AAAADAEAAA8AAAAAAAAAAQAgAAAAIgAAAGRycy9kb3ducmV2LnhtbFBLAQIUABQAAAAIAIdO4kD2&#10;EDRJrgEAAFEDAAAOAAAAAAAAAAEAIAAAACcBAABkcnMvZTJvRG9jLnhtbFBLBQYAAAAABgAGAFkB&#10;AABHBQAAAAA=&#10;">
                <v:fill on="f" focussize="0,0"/>
                <v:stroke on="f"/>
                <v:imagedata o:title=""/>
                <o:lock v:ext="edit" aspectratio="f"/>
                <v:textbox>
                  <w:txbxContent>
                    <w:p w14:paraId="4DA44F9A">
                      <w:pPr>
                        <w:ind w:left="0" w:leftChars="0" w:firstLine="0" w:firstLineChars="0"/>
                        <w:rPr>
                          <w:rFonts w:hint="eastAsia"/>
                          <w:lang w:val="en-US" w:eastAsia="zh-CN"/>
                        </w:rPr>
                      </w:pPr>
                      <w:r>
                        <w:rPr>
                          <w:rFonts w:ascii="Times New Roman" w:hAnsi="Times New Roman"/>
                          <w:sz w:val="21"/>
                        </w:rPr>
                        <w:t>一般防渗区</w:t>
                      </w:r>
                    </w:p>
                  </w:txbxContent>
                </v:textbox>
              </v:shape>
            </w:pict>
          </mc:Fallback>
        </mc:AlternateContent>
      </w:r>
      <w:r>
        <w:rPr>
          <w:color w:val="auto"/>
          <w:sz w:val="24"/>
          <w:highlight w:val="none"/>
        </w:rPr>
        <mc:AlternateContent>
          <mc:Choice Requires="wps">
            <w:drawing>
              <wp:anchor distT="0" distB="0" distL="114300" distR="114300" simplePos="0" relativeHeight="251693056" behindDoc="0" locked="0" layoutInCell="1" allowOverlap="1">
                <wp:simplePos x="0" y="0"/>
                <wp:positionH relativeFrom="column">
                  <wp:posOffset>278130</wp:posOffset>
                </wp:positionH>
                <wp:positionV relativeFrom="paragraph">
                  <wp:posOffset>7046595</wp:posOffset>
                </wp:positionV>
                <wp:extent cx="240030" cy="151765"/>
                <wp:effectExtent l="4445" t="5080" r="22225" b="14605"/>
                <wp:wrapNone/>
                <wp:docPr id="154" name="矩形 154"/>
                <wp:cNvGraphicFramePr/>
                <a:graphic xmlns:a="http://schemas.openxmlformats.org/drawingml/2006/main">
                  <a:graphicData uri="http://schemas.microsoft.com/office/word/2010/wordprocessingShape">
                    <wps:wsp>
                      <wps:cNvSpPr/>
                      <wps:spPr>
                        <a:xfrm>
                          <a:off x="0" y="0"/>
                          <a:ext cx="240030" cy="151765"/>
                        </a:xfrm>
                        <a:prstGeom prst="rect">
                          <a:avLst/>
                        </a:prstGeom>
                        <a:solidFill>
                          <a:srgbClr val="4F81BD"/>
                        </a:solidFill>
                        <a:ln w="9525" cap="flat" cmpd="sng">
                          <a:solidFill>
                            <a:srgbClr val="4F81BD"/>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1.9pt;margin-top:554.85pt;height:11.95pt;width:18.9pt;z-index:251693056;mso-width-relative:page;mso-height-relative:page;" fillcolor="#4F81BD" filled="t" stroked="t" coordsize="21600,21600" o:gfxdata="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rJdFnZAAAACwEAAA8AAAAAAAAAAQAgAAAAIgAAAGRycy9kb3ducmV2&#10;LnhtbFBLAQIUABQAAAAIAIdO4kCdACpG+wEAACEEAAAOAAAAAAAAAAEAIAAAACgBAABkcnMvZTJv&#10;RG9jLnhtbFBLBQYAAAAABgAGAFkBAACVBQAAAAA=&#10;">
                <v:fill on="t" focussize="0,0"/>
                <v:stroke color="#4F81BD" joinstyle="miter"/>
                <v:imagedata o:title=""/>
                <o:lock v:ext="edit" aspectratio="f"/>
              </v:rect>
            </w:pict>
          </mc:Fallback>
        </mc:AlternateContent>
      </w:r>
      <w:r>
        <w:rPr>
          <w:color w:val="auto"/>
          <w:sz w:val="24"/>
          <w:highlight w:val="none"/>
        </w:rPr>
        <mc:AlternateContent>
          <mc:Choice Requires="wps">
            <w:drawing>
              <wp:anchor distT="0" distB="0" distL="114300" distR="114300" simplePos="0" relativeHeight="251696128" behindDoc="0" locked="0" layoutInCell="1" allowOverlap="1">
                <wp:simplePos x="0" y="0"/>
                <wp:positionH relativeFrom="column">
                  <wp:posOffset>602615</wp:posOffset>
                </wp:positionH>
                <wp:positionV relativeFrom="paragraph">
                  <wp:posOffset>7226935</wp:posOffset>
                </wp:positionV>
                <wp:extent cx="902335" cy="375285"/>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902335" cy="375285"/>
                        </a:xfrm>
                        <a:prstGeom prst="rect">
                          <a:avLst/>
                        </a:prstGeom>
                        <a:noFill/>
                        <a:ln>
                          <a:noFill/>
                        </a:ln>
                      </wps:spPr>
                      <wps:txbx>
                        <w:txbxContent>
                          <w:p w14:paraId="2CFED2FA">
                            <w:pPr>
                              <w:ind w:left="0" w:leftChars="0" w:firstLine="0" w:firstLineChars="0"/>
                              <w:rPr>
                                <w:rFonts w:hint="eastAsia"/>
                                <w:lang w:val="en-US" w:eastAsia="zh-CN"/>
                              </w:rPr>
                            </w:pPr>
                            <w:r>
                              <w:rPr>
                                <w:rFonts w:hint="eastAsia" w:ascii="Times New Roman" w:hAnsi="Times New Roman"/>
                                <w:sz w:val="21"/>
                              </w:rPr>
                              <w:t>重点</w:t>
                            </w:r>
                            <w:r>
                              <w:rPr>
                                <w:rFonts w:ascii="Times New Roman" w:hAnsi="Times New Roman"/>
                                <w:sz w:val="21"/>
                              </w:rPr>
                              <w:t>防渗区</w:t>
                            </w:r>
                          </w:p>
                        </w:txbxContent>
                      </wps:txbx>
                      <wps:bodyPr upright="1"/>
                    </wps:wsp>
                  </a:graphicData>
                </a:graphic>
              </wp:anchor>
            </w:drawing>
          </mc:Choice>
          <mc:Fallback>
            <w:pict>
              <v:shape id="_x0000_s1026" o:spid="_x0000_s1026" o:spt="202" type="#_x0000_t202" style="position:absolute;left:0pt;margin-left:47.45pt;margin-top:569.05pt;height:29.55pt;width:71.05pt;z-index:251696128;mso-width-relative:page;mso-height-relative:page;" filled="f" stroked="f" coordsize="21600,21600" o:gfxdata="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AvnQi7Y&#10;AAAADAEAAA8AAAAAAAAAAQAgAAAAIgAAAGRycy9kb3ducmV2LnhtbFBLAQIUABQAAAAIAIdO4kDS&#10;HcZqrgEAAFEDAAAOAAAAAAAAAAEAIAAAACcBAABkcnMvZTJvRG9jLnhtbFBLBQYAAAAABgAGAFkB&#10;AABHBQAAAAA=&#10;">
                <v:fill on="f" focussize="0,0"/>
                <v:stroke on="f"/>
                <v:imagedata o:title=""/>
                <o:lock v:ext="edit" aspectratio="f"/>
                <v:textbox>
                  <w:txbxContent>
                    <w:p w14:paraId="2CFED2FA">
                      <w:pPr>
                        <w:ind w:left="0" w:leftChars="0" w:firstLine="0" w:firstLineChars="0"/>
                        <w:rPr>
                          <w:rFonts w:hint="eastAsia"/>
                          <w:lang w:val="en-US" w:eastAsia="zh-CN"/>
                        </w:rPr>
                      </w:pPr>
                      <w:r>
                        <w:rPr>
                          <w:rFonts w:hint="eastAsia" w:ascii="Times New Roman" w:hAnsi="Times New Roman"/>
                          <w:sz w:val="21"/>
                        </w:rPr>
                        <w:t>重点</w:t>
                      </w:r>
                      <w:r>
                        <w:rPr>
                          <w:rFonts w:ascii="Times New Roman" w:hAnsi="Times New Roman"/>
                          <w:sz w:val="21"/>
                        </w:rPr>
                        <w:t>防渗区</w:t>
                      </w:r>
                    </w:p>
                  </w:txbxContent>
                </v:textbox>
              </v:shape>
            </w:pict>
          </mc:Fallback>
        </mc:AlternateContent>
      </w:r>
      <w:r>
        <w:rPr>
          <w:color w:val="auto"/>
          <w:sz w:val="24"/>
          <w:highlight w:val="none"/>
        </w:rPr>
        <mc:AlternateContent>
          <mc:Choice Requires="wps">
            <w:drawing>
              <wp:anchor distT="0" distB="0" distL="114300" distR="114300" simplePos="0" relativeHeight="251694080" behindDoc="0" locked="0" layoutInCell="1" allowOverlap="1">
                <wp:simplePos x="0" y="0"/>
                <wp:positionH relativeFrom="column">
                  <wp:posOffset>262255</wp:posOffset>
                </wp:positionH>
                <wp:positionV relativeFrom="paragraph">
                  <wp:posOffset>7320280</wp:posOffset>
                </wp:positionV>
                <wp:extent cx="240030" cy="151765"/>
                <wp:effectExtent l="4445" t="5080" r="22225" b="14605"/>
                <wp:wrapNone/>
                <wp:docPr id="118" name="矩形 118"/>
                <wp:cNvGraphicFramePr/>
                <a:graphic xmlns:a="http://schemas.openxmlformats.org/drawingml/2006/main">
                  <a:graphicData uri="http://schemas.microsoft.com/office/word/2010/wordprocessingShape">
                    <wps:wsp>
                      <wps:cNvSpPr/>
                      <wps:spPr>
                        <a:xfrm>
                          <a:off x="0" y="0"/>
                          <a:ext cx="240030" cy="151765"/>
                        </a:xfrm>
                        <a:prstGeom prst="rect">
                          <a:avLst/>
                        </a:prstGeom>
                        <a:solidFill>
                          <a:srgbClr val="FF0000"/>
                        </a:solidFill>
                        <a:ln w="9525" cap="flat" cmpd="sng">
                          <a:solidFill>
                            <a:srgbClr val="FF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0.65pt;margin-top:576.4pt;height:11.95pt;width:18.9pt;z-index:251694080;mso-width-relative:page;mso-height-relative:page;" fillcolor="#FF0000" filled="t" stroked="t" coordsize="21600,21600" o:gfxdata="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ydZ9oAAAALAQAADwAAAAAAAAABACAAAAAiAAAAZHJzL2Rvd25yZXYu&#10;eG1sUEsBAhQAFAAAAAgAh07iQPgA+6z5AQAAIQQAAA4AAAAAAAAAAQAgAAAAKQEAAGRycy9lMm9E&#10;b2MueG1sUEsFBgAAAAAGAAYAWQEAAJQFAAAAAA==&#10;">
                <v:fill on="t" focussize="0,0"/>
                <v:stroke color="#FF0000" joinstyle="miter"/>
                <v:imagedata o:title=""/>
                <o:lock v:ext="edit" aspectratio="f"/>
              </v:rect>
            </w:pict>
          </mc:Fallback>
        </mc:AlternateContent>
      </w:r>
      <w:r>
        <w:rPr>
          <w:highlight w:val="none"/>
        </w:rPr>
        <w:drawing>
          <wp:inline distT="0" distB="0" distL="114300" distR="114300">
            <wp:extent cx="5269230" cy="7579360"/>
            <wp:effectExtent l="0" t="0" r="7620" b="2540"/>
            <wp:docPr id="17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9"/>
                    <pic:cNvPicPr>
                      <a:picLocks noChangeAspect="1"/>
                    </pic:cNvPicPr>
                  </pic:nvPicPr>
                  <pic:blipFill>
                    <a:blip r:embed="rId70"/>
                    <a:stretch>
                      <a:fillRect/>
                    </a:stretch>
                  </pic:blipFill>
                  <pic:spPr>
                    <a:xfrm>
                      <a:off x="0" y="0"/>
                      <a:ext cx="5269230" cy="7579360"/>
                    </a:xfrm>
                    <a:prstGeom prst="rect">
                      <a:avLst/>
                    </a:prstGeom>
                    <a:noFill/>
                    <a:ln>
                      <a:noFill/>
                    </a:ln>
                  </pic:spPr>
                </pic:pic>
              </a:graphicData>
            </a:graphic>
          </wp:inline>
        </w:drawing>
      </w:r>
    </w:p>
    <w:p w14:paraId="2CCECAC4">
      <w:pPr>
        <w:jc w:val="center"/>
        <w:rPr>
          <w:rFonts w:hint="eastAsia"/>
          <w:color w:val="auto"/>
          <w:highlight w:val="none"/>
          <w:lang w:val="en-US" w:eastAsia="zh-CN"/>
        </w:rPr>
      </w:pPr>
      <w:r>
        <w:rPr>
          <w:rFonts w:hint="eastAsia" w:ascii="黑体" w:hAnsi="黑体" w:eastAsia="黑体" w:cs="黑体"/>
          <w:color w:val="auto"/>
          <w:highlight w:val="none"/>
          <w:lang w:val="en-US" w:eastAsia="zh-CN"/>
        </w:rPr>
        <w:t>图</w:t>
      </w:r>
      <w:r>
        <w:rPr>
          <w:rFonts w:hint="default" w:ascii="Times New Roman" w:hAnsi="Times New Roman" w:eastAsia="黑体" w:cs="Times New Roman"/>
          <w:color w:val="auto"/>
          <w:highlight w:val="none"/>
          <w:lang w:val="en-US" w:eastAsia="zh-CN"/>
        </w:rPr>
        <w:t>6.2-2</w:t>
      </w:r>
      <w:r>
        <w:rPr>
          <w:rFonts w:hint="eastAsia" w:ascii="黑体" w:hAnsi="黑体" w:eastAsia="黑体" w:cs="黑体"/>
          <w:color w:val="auto"/>
          <w:highlight w:val="none"/>
          <w:lang w:val="en-US" w:eastAsia="zh-CN"/>
        </w:rPr>
        <w:t>分区防渗图</w:t>
      </w:r>
    </w:p>
    <w:p w14:paraId="2E278EB9">
      <w:pPr>
        <w:pStyle w:val="5"/>
        <w:bidi w:val="0"/>
        <w:ind w:left="0" w:leftChars="0" w:firstLine="0" w:firstLineChars="0"/>
        <w:rPr>
          <w:rFonts w:ascii="Times New Roman" w:hAnsi="Times New Roman"/>
          <w:color w:val="auto"/>
          <w:highlight w:val="none"/>
        </w:rPr>
      </w:pPr>
      <w:bookmarkStart w:id="164" w:name="_Toc20567"/>
      <w:r>
        <w:rPr>
          <w:rFonts w:hint="eastAsia"/>
          <w:highlight w:val="none"/>
          <w:lang w:val="en-US" w:eastAsia="zh-CN"/>
        </w:rPr>
        <w:t>6.2.6</w:t>
      </w:r>
      <w:r>
        <w:rPr>
          <w:rFonts w:hint="eastAsia" w:ascii="Times New Roman" w:hAnsi="Times New Roman"/>
          <w:color w:val="auto"/>
          <w:highlight w:val="none"/>
          <w:lang w:val="en-US" w:eastAsia="zh-CN"/>
        </w:rPr>
        <w:t>燃煤、</w:t>
      </w:r>
      <w:r>
        <w:rPr>
          <w:rFonts w:ascii="Times New Roman" w:hAnsi="Times New Roman"/>
          <w:color w:val="auto"/>
          <w:highlight w:val="none"/>
        </w:rPr>
        <w:t>灰渣运输环节污染防治措施</w:t>
      </w:r>
      <w:bookmarkEnd w:id="164"/>
    </w:p>
    <w:p w14:paraId="3E76A393">
      <w:pPr>
        <w:ind w:firstLine="480"/>
        <w:rPr>
          <w:rFonts w:ascii="Times New Roman" w:hAnsi="Times New Roman"/>
          <w:color w:val="auto"/>
          <w:highlight w:val="none"/>
        </w:rPr>
      </w:pPr>
      <w:r>
        <w:rPr>
          <w:rFonts w:ascii="Times New Roman" w:hAnsi="Times New Roman"/>
          <w:color w:val="auto"/>
          <w:highlight w:val="none"/>
        </w:rPr>
        <w:t>（1）扬尘污染防治措施</w:t>
      </w:r>
    </w:p>
    <w:p w14:paraId="2D2872D4">
      <w:pPr>
        <w:ind w:firstLine="480"/>
        <w:rPr>
          <w:rFonts w:ascii="Times New Roman" w:hAnsi="Times New Roman"/>
          <w:color w:val="auto"/>
          <w:highlight w:val="none"/>
        </w:rPr>
      </w:pPr>
      <w:r>
        <w:rPr>
          <w:rFonts w:ascii="Times New Roman" w:hAnsi="Times New Roman"/>
          <w:color w:val="auto"/>
          <w:highlight w:val="none"/>
        </w:rPr>
        <w:t>本项目运输车辆采用密闭措施，避免运输过程产生物料遗撒，并且要求驾驶员在运输过程中做到文明驾驶，途经村庄时要减速慢行，以减少扬尘的产生量。</w:t>
      </w:r>
    </w:p>
    <w:p w14:paraId="162B0911">
      <w:pPr>
        <w:ind w:firstLine="480"/>
        <w:rPr>
          <w:rFonts w:hint="eastAsia" w:ascii="Times New Roman" w:hAnsi="Times New Roman"/>
          <w:color w:val="auto"/>
          <w:highlight w:val="none"/>
        </w:rPr>
      </w:pPr>
      <w:r>
        <w:rPr>
          <w:rFonts w:ascii="Times New Roman" w:hAnsi="Times New Roman"/>
          <w:color w:val="auto"/>
          <w:highlight w:val="none"/>
        </w:rPr>
        <w:t>（2）交通运输噪声污染防治措施</w:t>
      </w:r>
    </w:p>
    <w:p w14:paraId="79DA3D76">
      <w:pPr>
        <w:rPr>
          <w:rFonts w:hint="default"/>
          <w:highlight w:val="none"/>
          <w:lang w:val="en-US" w:eastAsia="zh-CN"/>
        </w:rPr>
      </w:pPr>
      <w:r>
        <w:rPr>
          <w:rFonts w:ascii="Times New Roman" w:hAnsi="Times New Roman"/>
          <w:color w:val="auto"/>
          <w:highlight w:val="none"/>
        </w:rPr>
        <w:t>本项目运输过程中对道路两侧居民将产生一定的噪声影响，为减轻交通噪声对两侧居民的影响，汽车运输过程中，行驶到有村庄路段时，距村庄200m时减速慢行、禁鸣，行车速度控制在20km/h以内，以减轻交通噪声对居民的影响，待驶出居民区200m以后再恢复车速行驶，夜间禁止运输。运输时间宜选择在早8：00～晚10：00之间。</w:t>
      </w:r>
    </w:p>
    <w:p w14:paraId="76CE9DC9">
      <w:pPr>
        <w:pStyle w:val="3"/>
        <w:bidi w:val="0"/>
        <w:rPr>
          <w:rFonts w:hint="eastAsia"/>
          <w:highlight w:val="none"/>
          <w:lang w:val="en-US" w:eastAsia="zh-CN"/>
        </w:rPr>
      </w:pPr>
      <w:bookmarkStart w:id="165" w:name="_Toc522"/>
      <w:r>
        <w:rPr>
          <w:rFonts w:hint="eastAsia"/>
          <w:highlight w:val="none"/>
          <w:lang w:val="en-US" w:eastAsia="zh-CN"/>
        </w:rPr>
        <w:t>7环境影响经济损益分析</w:t>
      </w:r>
      <w:bookmarkEnd w:id="165"/>
    </w:p>
    <w:p w14:paraId="535EAEFC">
      <w:pPr>
        <w:ind w:firstLine="480"/>
        <w:rPr>
          <w:rFonts w:ascii="Times New Roman" w:hAnsi="Times New Roman"/>
          <w:highlight w:val="none"/>
        </w:rPr>
      </w:pPr>
      <w:r>
        <w:rPr>
          <w:rFonts w:ascii="Times New Roman" w:hAnsi="Times New Roman"/>
          <w:highlight w:val="none"/>
        </w:rPr>
        <w:t>环境经济损益分析主要是评价建设项目实施后，对环境造成的损失费用和采取各种环保治理措施所能收到的环保效果及其带来的经济和社会效益，衡量建设项目的环保投资在经济上的合理水平。</w:t>
      </w:r>
    </w:p>
    <w:p w14:paraId="336E8503">
      <w:pPr>
        <w:ind w:firstLine="480"/>
        <w:rPr>
          <w:rFonts w:ascii="Times New Roman" w:hAnsi="Times New Roman"/>
          <w:highlight w:val="none"/>
        </w:rPr>
      </w:pPr>
      <w:r>
        <w:rPr>
          <w:rFonts w:ascii="Times New Roman" w:hAnsi="Times New Roman"/>
          <w:highlight w:val="none"/>
        </w:rPr>
        <w:t>一个项目的开发建设，除对国民经济的发展起着促进作用外，同时也在一定程度上影响着项目现有地区环境的变化。社会影响、经济影响、环境影响是一个系统的三要素，最终以提高人类的生活质量为目的。它们之间既是互相促进，又互相制约，必须通过全面规划、综合平衡、正确地把全局利益和局部利益、长远利益和近期利益结合起来，对环境保护和经济发展进行协调，实现社会效益、经济效益、环境效益的三统一。通过对拟建项目的经济、社会和环境效益分析，为项目决策者更好地考虑环境、经济和社会效益的统一提供依据。</w:t>
      </w:r>
    </w:p>
    <w:p w14:paraId="5F2D0656">
      <w:pPr>
        <w:rPr>
          <w:rFonts w:ascii="Times New Roman" w:hAnsi="Times New Roman"/>
          <w:highlight w:val="none"/>
        </w:rPr>
      </w:pPr>
      <w:r>
        <w:rPr>
          <w:rFonts w:ascii="Times New Roman" w:hAnsi="Times New Roman"/>
          <w:highlight w:val="none"/>
        </w:rPr>
        <w:t>集中供热建设项目的环境经济损益分析涉及面广，内容繁多，包括对项目所在地区的自然环境、社会环境等多方面的分析与评述。本次环境影响经济损益分析从环境影响的正负两方面，以定性与定量相结合的方式，对建设项目的环境影响后果（包括直接和间接影响、不利和有利影响）进行货币化经济损益核算，估算建设项目环境影响的经济价值。</w:t>
      </w:r>
    </w:p>
    <w:p w14:paraId="3868F540">
      <w:pPr>
        <w:pStyle w:val="4"/>
        <w:bidi w:val="0"/>
        <w:ind w:left="0" w:leftChars="0" w:firstLine="0" w:firstLineChars="0"/>
        <w:rPr>
          <w:rFonts w:hint="eastAsia"/>
          <w:highlight w:val="none"/>
          <w:lang w:val="en-US" w:eastAsia="zh-CN"/>
        </w:rPr>
      </w:pPr>
      <w:bookmarkStart w:id="166" w:name="_Toc17224"/>
      <w:r>
        <w:rPr>
          <w:rFonts w:hint="eastAsia"/>
          <w:highlight w:val="none"/>
          <w:lang w:val="en-US" w:eastAsia="zh-CN"/>
        </w:rPr>
        <w:t>7.1经济效益分析</w:t>
      </w:r>
      <w:bookmarkEnd w:id="166"/>
    </w:p>
    <w:p w14:paraId="4298CBCD">
      <w:pPr>
        <w:bidi w:val="0"/>
        <w:rPr>
          <w:rFonts w:ascii="Times New Roman" w:hAnsi="Times New Roman"/>
          <w:highlight w:val="none"/>
        </w:rPr>
      </w:pPr>
      <w:r>
        <w:rPr>
          <w:rFonts w:ascii="Times New Roman" w:hAnsi="Times New Roman"/>
          <w:highlight w:val="none"/>
        </w:rPr>
        <w:t>工程建成后具有一定的经济效益，并具有一定的抗风险能力，从经济角度而言，该工程是可行的。该项目财务分析的各项指标均好，其内部收益率、投资回收期、投资利润率、投资利税率等都优于基准值。项目有一定的抗风险能力，项目在运营中项目获利能力强。以下从直接和间接两个方面分析项目经济效益。</w:t>
      </w:r>
    </w:p>
    <w:p w14:paraId="65591D76">
      <w:pPr>
        <w:pStyle w:val="5"/>
        <w:bidi w:val="0"/>
        <w:ind w:left="0" w:leftChars="0" w:firstLine="0" w:firstLineChars="0"/>
        <w:rPr>
          <w:rFonts w:hint="eastAsia"/>
          <w:highlight w:val="none"/>
          <w:lang w:val="en-US" w:eastAsia="zh-CN"/>
        </w:rPr>
      </w:pPr>
      <w:bookmarkStart w:id="167" w:name="_Toc6268"/>
      <w:r>
        <w:rPr>
          <w:rFonts w:hint="eastAsia"/>
          <w:highlight w:val="none"/>
          <w:lang w:val="en-US" w:eastAsia="zh-CN"/>
        </w:rPr>
        <w:t>7.1.1直接经济效益分析</w:t>
      </w:r>
      <w:bookmarkEnd w:id="167"/>
    </w:p>
    <w:p w14:paraId="53736972">
      <w:pPr>
        <w:ind w:firstLine="480"/>
        <w:rPr>
          <w:rFonts w:ascii="Times New Roman" w:hAnsi="Times New Roman"/>
          <w:highlight w:val="none"/>
        </w:rPr>
      </w:pPr>
      <w:r>
        <w:rPr>
          <w:rFonts w:ascii="Times New Roman" w:hAnsi="Times New Roman"/>
          <w:highlight w:val="none"/>
        </w:rPr>
        <w:t>本项目环境保护总投资</w:t>
      </w:r>
      <w:r>
        <w:rPr>
          <w:rFonts w:hint="eastAsia" w:ascii="Times New Roman" w:hAnsi="Times New Roman"/>
          <w:highlight w:val="none"/>
          <w:lang w:val="en-US" w:eastAsia="zh-CN"/>
        </w:rPr>
        <w:t>3620</w:t>
      </w:r>
      <w:r>
        <w:rPr>
          <w:rFonts w:ascii="Times New Roman" w:hAnsi="Times New Roman"/>
          <w:highlight w:val="none"/>
        </w:rPr>
        <w:t>万元，占总投资估的</w:t>
      </w:r>
      <w:r>
        <w:rPr>
          <w:rFonts w:hint="eastAsia" w:ascii="Times New Roman" w:hAnsi="Times New Roman"/>
          <w:highlight w:val="none"/>
          <w:lang w:val="en-US" w:eastAsia="zh-CN"/>
        </w:rPr>
        <w:t>100</w:t>
      </w:r>
      <w:r>
        <w:rPr>
          <w:rFonts w:ascii="Times New Roman" w:hAnsi="Times New Roman"/>
          <w:highlight w:val="none"/>
        </w:rPr>
        <w:t>%。</w:t>
      </w:r>
    </w:p>
    <w:p w14:paraId="5D94E7BA">
      <w:pPr>
        <w:ind w:firstLine="480"/>
        <w:rPr>
          <w:rFonts w:ascii="Times New Roman" w:hAnsi="Times New Roman"/>
          <w:highlight w:val="none"/>
        </w:rPr>
      </w:pPr>
      <w:r>
        <w:rPr>
          <w:rFonts w:ascii="Times New Roman" w:hAnsi="Times New Roman"/>
          <w:highlight w:val="none"/>
        </w:rPr>
        <w:t>拟建项目在施工和运营期间的机械噪声和锅炉烟气会对居民生活质量产生不利影响。因此，采取操作性强的、切实可行的环保措施后，每年所挽回的经济损失，亦即环保投资的直接效益是显而易见的，但目前很难用具体货币形式来衡量。只能对若不采取措施时，因工程建设而导致的生态环境、水环境、声环境和环境空气质量的变化所引起的对周围人体健康、生活质量作粗略计算或定性分析用以反馈环保投资的直接经济效益。</w:t>
      </w:r>
    </w:p>
    <w:p w14:paraId="2481AC08">
      <w:pPr>
        <w:pStyle w:val="5"/>
        <w:bidi w:val="0"/>
        <w:ind w:left="0" w:leftChars="0" w:firstLine="0" w:firstLineChars="0"/>
        <w:rPr>
          <w:rFonts w:hint="eastAsia"/>
          <w:highlight w:val="none"/>
          <w:lang w:val="en-US" w:eastAsia="zh-CN"/>
        </w:rPr>
      </w:pPr>
      <w:bookmarkStart w:id="168" w:name="_Toc14921"/>
      <w:r>
        <w:rPr>
          <w:rFonts w:hint="eastAsia"/>
          <w:highlight w:val="none"/>
          <w:lang w:val="en-US" w:eastAsia="zh-CN"/>
        </w:rPr>
        <w:t>7.1.2间接经济损益分析</w:t>
      </w:r>
      <w:bookmarkEnd w:id="168"/>
    </w:p>
    <w:p w14:paraId="6C0CEE3B">
      <w:pPr>
        <w:rPr>
          <w:rFonts w:hint="default"/>
          <w:highlight w:val="none"/>
          <w:lang w:val="en-US" w:eastAsia="zh-CN"/>
        </w:rPr>
      </w:pPr>
      <w:r>
        <w:rPr>
          <w:rFonts w:ascii="Times New Roman" w:hAnsi="Times New Roman"/>
          <w:highlight w:val="none"/>
        </w:rPr>
        <w:t>本项目投产后，炉渣的产生量为</w:t>
      </w:r>
      <w:r>
        <w:rPr>
          <w:rFonts w:hint="eastAsia" w:ascii="Times New Roman" w:hAnsi="Times New Roman"/>
          <w:highlight w:val="none"/>
          <w:lang w:val="en-US" w:eastAsia="zh-CN"/>
        </w:rPr>
        <w:t>31970.6</w:t>
      </w:r>
      <w:r>
        <w:rPr>
          <w:rFonts w:ascii="Times New Roman" w:hAnsi="Times New Roman"/>
          <w:highlight w:val="none"/>
        </w:rPr>
        <w:t>t/a，外卖综合利用，按单价10元/t计，每年可回收费用</w:t>
      </w:r>
      <w:r>
        <w:rPr>
          <w:rFonts w:hint="eastAsia" w:ascii="Times New Roman" w:hAnsi="Times New Roman"/>
          <w:highlight w:val="none"/>
          <w:lang w:val="en-US" w:eastAsia="zh-CN"/>
        </w:rPr>
        <w:t>319706</w:t>
      </w:r>
      <w:r>
        <w:rPr>
          <w:rFonts w:ascii="Times New Roman" w:hAnsi="Times New Roman"/>
          <w:highlight w:val="none"/>
        </w:rPr>
        <w:t>元。</w:t>
      </w:r>
    </w:p>
    <w:p w14:paraId="72335AD4">
      <w:pPr>
        <w:pStyle w:val="4"/>
        <w:bidi w:val="0"/>
        <w:ind w:left="0" w:leftChars="0" w:firstLine="0" w:firstLineChars="0"/>
        <w:rPr>
          <w:rFonts w:hint="eastAsia"/>
          <w:highlight w:val="none"/>
          <w:lang w:val="en-US" w:eastAsia="zh-CN"/>
        </w:rPr>
      </w:pPr>
      <w:bookmarkStart w:id="169" w:name="_Toc27673"/>
      <w:r>
        <w:rPr>
          <w:rFonts w:hint="eastAsia"/>
          <w:highlight w:val="none"/>
          <w:lang w:val="en-US" w:eastAsia="zh-CN"/>
        </w:rPr>
        <w:t>7.2社会效益分析</w:t>
      </w:r>
      <w:bookmarkEnd w:id="169"/>
    </w:p>
    <w:p w14:paraId="55BB0858">
      <w:pPr>
        <w:ind w:firstLine="480"/>
        <w:rPr>
          <w:rFonts w:ascii="Times New Roman" w:hAnsi="Times New Roman"/>
          <w:highlight w:val="none"/>
        </w:rPr>
      </w:pPr>
      <w:r>
        <w:rPr>
          <w:rFonts w:ascii="Times New Roman" w:hAnsi="Times New Roman"/>
          <w:highlight w:val="none"/>
        </w:rPr>
        <w:t>项目建成后，为</w:t>
      </w:r>
      <w:r>
        <w:rPr>
          <w:rFonts w:hint="eastAsia" w:ascii="Times New Roman" w:hAnsi="Times New Roman"/>
          <w:highlight w:val="none"/>
          <w:lang w:val="en-US" w:eastAsia="zh-CN"/>
        </w:rPr>
        <w:t>绥芬河</w:t>
      </w:r>
      <w:r>
        <w:rPr>
          <w:rFonts w:ascii="Times New Roman" w:hAnsi="Times New Roman"/>
          <w:highlight w:val="none"/>
        </w:rPr>
        <w:t>集中供热提供保障，本项目作为一项社会利民工程，对保障</w:t>
      </w:r>
      <w:r>
        <w:rPr>
          <w:rFonts w:hint="eastAsia" w:ascii="Times New Roman" w:hAnsi="Times New Roman"/>
          <w:highlight w:val="none"/>
          <w:lang w:val="en-US" w:eastAsia="zh-CN"/>
        </w:rPr>
        <w:t>绥芬河新区</w:t>
      </w:r>
      <w:r>
        <w:rPr>
          <w:rFonts w:ascii="Times New Roman" w:hAnsi="Times New Roman"/>
          <w:highlight w:val="none"/>
        </w:rPr>
        <w:t>供暖质量及促进当地社会经济发展具有重要意义。据项目特点，结合社会环境现状调查分析，定性分析项目的社会效益。</w:t>
      </w:r>
    </w:p>
    <w:p w14:paraId="45F3AD51">
      <w:pPr>
        <w:ind w:firstLine="480"/>
        <w:rPr>
          <w:rFonts w:ascii="Times New Roman" w:hAnsi="Times New Roman"/>
          <w:highlight w:val="none"/>
        </w:rPr>
      </w:pPr>
      <w:r>
        <w:rPr>
          <w:rFonts w:ascii="Times New Roman" w:hAnsi="Times New Roman"/>
          <w:highlight w:val="none"/>
        </w:rPr>
        <w:t>（1）本项目的建设避免了当地小型锅炉房的建设，有利于改善区域的环境空气质量。</w:t>
      </w:r>
    </w:p>
    <w:p w14:paraId="6C369E76">
      <w:pPr>
        <w:ind w:firstLine="480"/>
        <w:rPr>
          <w:rFonts w:ascii="Times New Roman" w:hAnsi="Times New Roman"/>
          <w:highlight w:val="none"/>
        </w:rPr>
      </w:pPr>
      <w:r>
        <w:rPr>
          <w:rFonts w:ascii="Times New Roman" w:hAnsi="Times New Roman"/>
          <w:highlight w:val="none"/>
        </w:rPr>
        <w:t>（2）分散的燃煤小锅炉房会造成环境污染以及管理不便，而集中供热则可以达到管理方便以及控制污染的目的，而且城市采暖采用集中供热是一个必然趋势。</w:t>
      </w:r>
    </w:p>
    <w:p w14:paraId="6BC3E5B7">
      <w:pPr>
        <w:ind w:firstLine="480"/>
        <w:rPr>
          <w:rFonts w:ascii="Times New Roman" w:hAnsi="Times New Roman"/>
          <w:highlight w:val="none"/>
        </w:rPr>
      </w:pPr>
      <w:r>
        <w:rPr>
          <w:rFonts w:ascii="Times New Roman" w:hAnsi="Times New Roman"/>
          <w:highlight w:val="none"/>
        </w:rPr>
        <w:t>（3）本项目程的建设对于节约能源、提高能源利用率有很大作用；还可以避免采用小锅炉供热不稳定的弊病，促进生产发展。</w:t>
      </w:r>
    </w:p>
    <w:p w14:paraId="4E04699D">
      <w:pPr>
        <w:ind w:firstLine="480"/>
        <w:rPr>
          <w:rFonts w:ascii="Times New Roman" w:hAnsi="Times New Roman"/>
          <w:highlight w:val="none"/>
        </w:rPr>
      </w:pPr>
      <w:r>
        <w:rPr>
          <w:rFonts w:ascii="Times New Roman" w:hAnsi="Times New Roman"/>
          <w:highlight w:val="none"/>
        </w:rPr>
        <w:t>（4）生产过程中产生的大量灰渣又可为建材市场和市政建设提供最基本的原材料，带动和促进城市经济发展，安置富余人员就业，减轻国家和社会负担。</w:t>
      </w:r>
    </w:p>
    <w:p w14:paraId="6187B1EB">
      <w:pPr>
        <w:ind w:firstLine="480"/>
        <w:rPr>
          <w:rFonts w:ascii="Times New Roman" w:hAnsi="Times New Roman"/>
          <w:highlight w:val="none"/>
        </w:rPr>
      </w:pPr>
      <w:r>
        <w:rPr>
          <w:rFonts w:ascii="Times New Roman" w:hAnsi="Times New Roman"/>
          <w:highlight w:val="none"/>
        </w:rPr>
        <w:t>（5）远期提供周边企业生产用汽的规划，减少周边企业建设热水锅炉，改善周边环境空气质量。</w:t>
      </w:r>
    </w:p>
    <w:p w14:paraId="377E7282">
      <w:pPr>
        <w:bidi w:val="0"/>
        <w:rPr>
          <w:rFonts w:ascii="Times New Roman" w:hAnsi="Times New Roman"/>
          <w:highlight w:val="none"/>
        </w:rPr>
      </w:pPr>
      <w:r>
        <w:rPr>
          <w:rFonts w:ascii="Times New Roman" w:hAnsi="Times New Roman"/>
          <w:highlight w:val="none"/>
        </w:rPr>
        <w:t>综上所述，本项目的建设对于节约能源，提高城市的环境污染管理，拉动哈尔滨市的经济发展与建设都将起到一定促进作用。</w:t>
      </w:r>
    </w:p>
    <w:p w14:paraId="56422313">
      <w:pPr>
        <w:pStyle w:val="4"/>
        <w:bidi w:val="0"/>
        <w:ind w:left="0" w:leftChars="0" w:firstLine="0" w:firstLineChars="0"/>
        <w:rPr>
          <w:rFonts w:hint="eastAsia"/>
          <w:highlight w:val="none"/>
          <w:lang w:val="en-US" w:eastAsia="zh-CN"/>
        </w:rPr>
      </w:pPr>
      <w:bookmarkStart w:id="170" w:name="_Toc24242"/>
      <w:r>
        <w:rPr>
          <w:rFonts w:hint="eastAsia"/>
          <w:highlight w:val="none"/>
          <w:lang w:val="en-US" w:eastAsia="zh-CN"/>
        </w:rPr>
        <w:t>7.3环境效益分析</w:t>
      </w:r>
      <w:bookmarkEnd w:id="170"/>
    </w:p>
    <w:p w14:paraId="137857A2">
      <w:pPr>
        <w:ind w:firstLine="480"/>
        <w:rPr>
          <w:rFonts w:ascii="Times New Roman" w:hAnsi="Times New Roman"/>
          <w:highlight w:val="none"/>
        </w:rPr>
      </w:pPr>
      <w:r>
        <w:rPr>
          <w:rFonts w:ascii="Times New Roman" w:hAnsi="Times New Roman"/>
          <w:highlight w:val="none"/>
        </w:rPr>
        <w:t>本项目总投资额</w:t>
      </w:r>
      <w:r>
        <w:rPr>
          <w:rFonts w:hint="eastAsia" w:ascii="Times New Roman" w:hAnsi="Times New Roman"/>
          <w:highlight w:val="none"/>
          <w:lang w:val="en-US" w:eastAsia="zh-CN"/>
        </w:rPr>
        <w:t>3620</w:t>
      </w:r>
      <w:r>
        <w:rPr>
          <w:rFonts w:ascii="Times New Roman" w:hAnsi="Times New Roman"/>
          <w:highlight w:val="none"/>
        </w:rPr>
        <w:t>万元。</w:t>
      </w:r>
    </w:p>
    <w:p w14:paraId="383A0B5B">
      <w:pPr>
        <w:ind w:firstLine="480"/>
        <w:rPr>
          <w:rFonts w:ascii="Times New Roman" w:hAnsi="Times New Roman"/>
          <w:highlight w:val="none"/>
        </w:rPr>
      </w:pPr>
      <w:r>
        <w:rPr>
          <w:rFonts w:ascii="Times New Roman" w:hAnsi="Times New Roman"/>
          <w:highlight w:val="none"/>
        </w:rPr>
        <w:t>参照《中华人民共和国环境保护税法》，本次评价对本项目环境影响经济损益进行简要分析。</w:t>
      </w:r>
    </w:p>
    <w:p w14:paraId="6A4B38F8">
      <w:pPr>
        <w:ind w:firstLine="480"/>
        <w:rPr>
          <w:rFonts w:ascii="Times New Roman" w:hAnsi="Times New Roman"/>
          <w:highlight w:val="none"/>
        </w:rPr>
      </w:pPr>
      <w:r>
        <w:rPr>
          <w:rFonts w:ascii="Times New Roman" w:hAnsi="Times New Roman"/>
          <w:highlight w:val="none"/>
        </w:rPr>
        <w:t>企业事业单位和其他生产经营者向依法设立的城镇污水处理厂、城镇生活垃圾处理场排放应税污染物的，不征收环境保护税。</w:t>
      </w:r>
    </w:p>
    <w:p w14:paraId="3534C74C">
      <w:pPr>
        <w:ind w:firstLine="480"/>
        <w:rPr>
          <w:rFonts w:ascii="Times New Roman" w:hAnsi="Times New Roman"/>
          <w:highlight w:val="none"/>
        </w:rPr>
      </w:pPr>
      <w:r>
        <w:rPr>
          <w:rFonts w:ascii="Times New Roman" w:hAnsi="Times New Roman"/>
          <w:highlight w:val="none"/>
        </w:rPr>
        <w:t>本项目不直接向水体排放生产废水和生活污水，厂界噪声达标排放，一般固体废物外售处置，均无需缴纳相应的环境保护税。</w:t>
      </w:r>
    </w:p>
    <w:p w14:paraId="75DC241F">
      <w:pPr>
        <w:ind w:firstLine="480"/>
        <w:rPr>
          <w:rFonts w:ascii="Times New Roman" w:hAnsi="Times New Roman"/>
          <w:highlight w:val="none"/>
        </w:rPr>
      </w:pPr>
      <w:r>
        <w:rPr>
          <w:rFonts w:ascii="Times New Roman" w:hAnsi="Times New Roman"/>
          <w:highlight w:val="none"/>
        </w:rPr>
        <w:t>应税大气污染物的应纳税额为污染当量数乘以具体适用税额。应税大气污染物的污染当量数，以该污染物的排放量除以该污染物的污染当量值计算。其中：每种应税大气污染物的具体污染当量值，依照该《中华人民共和国环境保护税法》所附《应税污染物和当量值表》执行；应税大气污染物的具体适用税额按照《黑龙江省人民代表大会常务委员会关于环境保护税黑龙江省应税大气污染物水污染物适用税额和同一排放口应税污染物项目数的决定》中相关规定来进行计算，即：环境保护税我省应税大气污染物适用税额为每污染当量1.2元。本项目各污染物当量税额详情见表7.3-1。</w:t>
      </w:r>
    </w:p>
    <w:p w14:paraId="7A0DC8AE">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7.3-1</w:t>
      </w:r>
      <w:r>
        <w:rPr>
          <w:rFonts w:hint="eastAsia" w:ascii="黑体" w:hAnsi="黑体" w:eastAsia="黑体" w:cs="黑体"/>
          <w:highlight w:val="none"/>
        </w:rPr>
        <w:t>本项目污染物当量税额一览表</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1"/>
        <w:gridCol w:w="1480"/>
        <w:gridCol w:w="1178"/>
        <w:gridCol w:w="1556"/>
        <w:gridCol w:w="1405"/>
        <w:gridCol w:w="1109"/>
      </w:tblGrid>
      <w:tr w14:paraId="03C8C1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 w:hRule="atLeast"/>
        </w:trPr>
        <w:tc>
          <w:tcPr>
            <w:tcW w:w="1937" w:type="pct"/>
            <w:gridSpan w:val="2"/>
            <w:shd w:val="clear" w:color="auto" w:fill="auto"/>
            <w:vAlign w:val="center"/>
          </w:tcPr>
          <w:p w14:paraId="7E3E6402">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类别</w:t>
            </w:r>
          </w:p>
        </w:tc>
        <w:tc>
          <w:tcPr>
            <w:tcW w:w="700" w:type="pct"/>
            <w:shd w:val="clear" w:color="auto" w:fill="auto"/>
            <w:vAlign w:val="center"/>
          </w:tcPr>
          <w:p w14:paraId="1DD57545">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颗粒物</w:t>
            </w:r>
          </w:p>
        </w:tc>
        <w:tc>
          <w:tcPr>
            <w:tcW w:w="922" w:type="pct"/>
            <w:shd w:val="clear" w:color="auto" w:fill="auto"/>
            <w:vAlign w:val="center"/>
          </w:tcPr>
          <w:p w14:paraId="0B429DB8">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氮氧化物</w:t>
            </w:r>
          </w:p>
        </w:tc>
        <w:tc>
          <w:tcPr>
            <w:tcW w:w="833" w:type="pct"/>
            <w:shd w:val="clear" w:color="auto" w:fill="auto"/>
            <w:vAlign w:val="center"/>
          </w:tcPr>
          <w:p w14:paraId="6AFEF8DC">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二氧化硫</w:t>
            </w:r>
          </w:p>
        </w:tc>
        <w:tc>
          <w:tcPr>
            <w:tcW w:w="606" w:type="pct"/>
            <w:shd w:val="clear" w:color="auto" w:fill="auto"/>
            <w:vAlign w:val="center"/>
          </w:tcPr>
          <w:p w14:paraId="1948F4C5">
            <w:pPr>
              <w:adjustRightInd w:val="0"/>
              <w:snapToGrid w:val="0"/>
              <w:spacing w:line="240" w:lineRule="auto"/>
              <w:ind w:firstLine="0" w:firstLineChars="0"/>
              <w:jc w:val="center"/>
              <w:rPr>
                <w:rFonts w:ascii="Times New Roman" w:hAnsi="Times New Roman" w:eastAsia="宋体" w:cs="Times New Roman"/>
                <w:sz w:val="21"/>
                <w:szCs w:val="21"/>
                <w:highlight w:val="none"/>
                <w:lang w:val="en-US" w:eastAsia="zh-CN"/>
              </w:rPr>
            </w:pPr>
            <w:r>
              <w:rPr>
                <w:rFonts w:ascii="Times New Roman" w:hAnsi="Times New Roman" w:eastAsia="宋体" w:cs="Times New Roman"/>
                <w:sz w:val="21"/>
                <w:szCs w:val="21"/>
                <w:highlight w:val="none"/>
              </w:rPr>
              <w:t>合计</w:t>
            </w:r>
          </w:p>
        </w:tc>
      </w:tr>
      <w:tr w14:paraId="6DDAB7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937" w:type="pct"/>
            <w:gridSpan w:val="2"/>
            <w:shd w:val="clear" w:color="auto" w:fill="auto"/>
            <w:vAlign w:val="center"/>
          </w:tcPr>
          <w:p w14:paraId="0D38BBA3">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污染物排放量（</w:t>
            </w:r>
            <w:r>
              <w:rPr>
                <w:rFonts w:hint="eastAsia" w:ascii="Times New Roman" w:hAnsi="Times New Roman" w:eastAsia="宋体" w:cs="Times New Roman"/>
                <w:sz w:val="21"/>
                <w:szCs w:val="21"/>
                <w:highlight w:val="none"/>
                <w:lang w:val="en-US" w:eastAsia="zh-CN"/>
              </w:rPr>
              <w:t>t</w:t>
            </w:r>
            <w:r>
              <w:rPr>
                <w:rFonts w:ascii="Times New Roman" w:hAnsi="Times New Roman" w:eastAsia="宋体" w:cs="Times New Roman"/>
                <w:sz w:val="21"/>
                <w:szCs w:val="21"/>
                <w:highlight w:val="none"/>
              </w:rPr>
              <w:t>/a）</w:t>
            </w:r>
          </w:p>
        </w:tc>
        <w:tc>
          <w:tcPr>
            <w:tcW w:w="700" w:type="pct"/>
            <w:shd w:val="clear" w:color="auto" w:fill="auto"/>
            <w:vAlign w:val="center"/>
          </w:tcPr>
          <w:p w14:paraId="6ED17CD4">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2.39</w:t>
            </w:r>
          </w:p>
        </w:tc>
        <w:tc>
          <w:tcPr>
            <w:tcW w:w="922" w:type="pct"/>
            <w:shd w:val="clear" w:color="auto" w:fill="auto"/>
            <w:vAlign w:val="center"/>
          </w:tcPr>
          <w:p w14:paraId="0ADEC397">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33.7968</w:t>
            </w:r>
          </w:p>
        </w:tc>
        <w:tc>
          <w:tcPr>
            <w:tcW w:w="833" w:type="pct"/>
            <w:shd w:val="clear" w:color="auto" w:fill="auto"/>
            <w:vAlign w:val="center"/>
          </w:tcPr>
          <w:p w14:paraId="5AE307D7">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7.352</w:t>
            </w:r>
          </w:p>
        </w:tc>
        <w:tc>
          <w:tcPr>
            <w:tcW w:w="606" w:type="pct"/>
            <w:shd w:val="clear" w:color="auto" w:fill="auto"/>
            <w:vAlign w:val="center"/>
          </w:tcPr>
          <w:p w14:paraId="6DC62874">
            <w:pPr>
              <w:adjustRightInd w:val="0"/>
              <w:snapToGrid w:val="0"/>
              <w:spacing w:line="240" w:lineRule="auto"/>
              <w:ind w:firstLine="0" w:firstLineChars="0"/>
              <w:jc w:val="center"/>
              <w:rPr>
                <w:rFonts w:ascii="Times New Roman" w:hAnsi="Times New Roman" w:eastAsia="宋体" w:cs="Times New Roman"/>
                <w:sz w:val="21"/>
                <w:szCs w:val="21"/>
                <w:highlight w:val="none"/>
                <w:lang w:val="en-US" w:eastAsia="zh-CN"/>
              </w:rPr>
            </w:pPr>
            <w:r>
              <w:rPr>
                <w:rFonts w:ascii="Times New Roman" w:hAnsi="Times New Roman" w:eastAsia="宋体" w:cs="Times New Roman"/>
                <w:sz w:val="21"/>
                <w:szCs w:val="21"/>
                <w:highlight w:val="none"/>
              </w:rPr>
              <w:t>-</w:t>
            </w:r>
          </w:p>
        </w:tc>
      </w:tr>
      <w:tr w14:paraId="4C6FB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937" w:type="pct"/>
            <w:gridSpan w:val="2"/>
            <w:shd w:val="clear" w:color="auto" w:fill="auto"/>
            <w:vAlign w:val="center"/>
          </w:tcPr>
          <w:p w14:paraId="7B67FF3C">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污染当量值（kg）</w:t>
            </w:r>
          </w:p>
        </w:tc>
        <w:tc>
          <w:tcPr>
            <w:tcW w:w="700" w:type="pct"/>
            <w:shd w:val="clear" w:color="auto" w:fill="auto"/>
            <w:vAlign w:val="center"/>
          </w:tcPr>
          <w:p w14:paraId="0471C2B9">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2.18</w:t>
            </w:r>
          </w:p>
        </w:tc>
        <w:tc>
          <w:tcPr>
            <w:tcW w:w="922" w:type="pct"/>
            <w:shd w:val="clear" w:color="auto" w:fill="auto"/>
            <w:vAlign w:val="center"/>
          </w:tcPr>
          <w:p w14:paraId="613A297A">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0.95</w:t>
            </w:r>
          </w:p>
        </w:tc>
        <w:tc>
          <w:tcPr>
            <w:tcW w:w="833" w:type="pct"/>
            <w:shd w:val="clear" w:color="auto" w:fill="auto"/>
            <w:vAlign w:val="center"/>
          </w:tcPr>
          <w:p w14:paraId="28FF2081">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0.95</w:t>
            </w:r>
          </w:p>
        </w:tc>
        <w:tc>
          <w:tcPr>
            <w:tcW w:w="606" w:type="pct"/>
            <w:shd w:val="clear" w:color="auto" w:fill="auto"/>
            <w:vAlign w:val="center"/>
          </w:tcPr>
          <w:p w14:paraId="4D90FD4D">
            <w:pPr>
              <w:adjustRightInd w:val="0"/>
              <w:snapToGrid w:val="0"/>
              <w:spacing w:line="240" w:lineRule="auto"/>
              <w:ind w:firstLine="0" w:firstLineChars="0"/>
              <w:jc w:val="center"/>
              <w:rPr>
                <w:rFonts w:ascii="Times New Roman" w:hAnsi="Times New Roman" w:eastAsia="宋体" w:cs="Times New Roman"/>
                <w:sz w:val="21"/>
                <w:szCs w:val="21"/>
                <w:highlight w:val="none"/>
                <w:lang w:val="en-US" w:eastAsia="zh-CN"/>
              </w:rPr>
            </w:pPr>
            <w:r>
              <w:rPr>
                <w:rFonts w:ascii="Times New Roman" w:hAnsi="Times New Roman" w:eastAsia="宋体" w:cs="Times New Roman"/>
                <w:sz w:val="21"/>
                <w:szCs w:val="21"/>
                <w:highlight w:val="none"/>
              </w:rPr>
              <w:t>-</w:t>
            </w:r>
          </w:p>
        </w:tc>
      </w:tr>
      <w:tr w14:paraId="3A2F1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937" w:type="pct"/>
            <w:gridSpan w:val="2"/>
            <w:shd w:val="clear" w:color="auto" w:fill="auto"/>
            <w:vAlign w:val="center"/>
          </w:tcPr>
          <w:p w14:paraId="4CF45977">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污染当量数</w:t>
            </w:r>
          </w:p>
        </w:tc>
        <w:tc>
          <w:tcPr>
            <w:tcW w:w="700" w:type="pct"/>
            <w:shd w:val="clear" w:color="auto" w:fill="auto"/>
            <w:vAlign w:val="center"/>
          </w:tcPr>
          <w:p w14:paraId="6C7F4768">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1096.33</w:t>
            </w:r>
          </w:p>
        </w:tc>
        <w:tc>
          <w:tcPr>
            <w:tcW w:w="922" w:type="pct"/>
            <w:shd w:val="clear" w:color="auto" w:fill="auto"/>
            <w:vAlign w:val="center"/>
          </w:tcPr>
          <w:p w14:paraId="6084FA59">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35575.58</w:t>
            </w:r>
          </w:p>
        </w:tc>
        <w:tc>
          <w:tcPr>
            <w:tcW w:w="833" w:type="pct"/>
            <w:shd w:val="clear" w:color="auto" w:fill="auto"/>
            <w:vAlign w:val="center"/>
          </w:tcPr>
          <w:p w14:paraId="41B5EB70">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7738.95</w:t>
            </w:r>
          </w:p>
        </w:tc>
        <w:tc>
          <w:tcPr>
            <w:tcW w:w="606" w:type="pct"/>
            <w:shd w:val="clear" w:color="auto" w:fill="auto"/>
            <w:vAlign w:val="center"/>
          </w:tcPr>
          <w:p w14:paraId="2EC1B1F2">
            <w:pPr>
              <w:adjustRightInd w:val="0"/>
              <w:snapToGrid w:val="0"/>
              <w:spacing w:line="240" w:lineRule="auto"/>
              <w:ind w:firstLine="0" w:firstLineChars="0"/>
              <w:jc w:val="center"/>
              <w:rPr>
                <w:rFonts w:hint="eastAsia" w:ascii="Times New Roman" w:hAnsi="Times New Roman" w:eastAsia="宋体" w:cs="Times New Roman"/>
                <w:sz w:val="21"/>
                <w:szCs w:val="21"/>
                <w:highlight w:val="none"/>
                <w:lang w:val="en-US" w:eastAsia="zh-CN"/>
              </w:rPr>
            </w:pPr>
            <w:r>
              <w:rPr>
                <w:rFonts w:ascii="Times New Roman" w:hAnsi="Times New Roman" w:eastAsia="宋体" w:cs="Times New Roman"/>
                <w:sz w:val="21"/>
                <w:szCs w:val="21"/>
                <w:highlight w:val="none"/>
              </w:rPr>
              <w:t>-</w:t>
            </w:r>
          </w:p>
        </w:tc>
      </w:tr>
      <w:tr w14:paraId="0CF63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60" w:type="pct"/>
            <w:vMerge w:val="restart"/>
            <w:shd w:val="clear" w:color="auto" w:fill="auto"/>
            <w:vAlign w:val="center"/>
          </w:tcPr>
          <w:p w14:paraId="280C13C4">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税额（元）</w:t>
            </w:r>
          </w:p>
        </w:tc>
        <w:tc>
          <w:tcPr>
            <w:tcW w:w="876" w:type="pct"/>
            <w:shd w:val="clear" w:color="auto" w:fill="auto"/>
            <w:vAlign w:val="center"/>
          </w:tcPr>
          <w:p w14:paraId="1A0B811B">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1.2元计</w:t>
            </w:r>
          </w:p>
        </w:tc>
        <w:tc>
          <w:tcPr>
            <w:tcW w:w="700" w:type="pct"/>
            <w:shd w:val="clear" w:color="auto" w:fill="auto"/>
            <w:vAlign w:val="center"/>
          </w:tcPr>
          <w:p w14:paraId="2D21BE2B">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1315.596</w:t>
            </w:r>
          </w:p>
        </w:tc>
        <w:tc>
          <w:tcPr>
            <w:tcW w:w="922" w:type="pct"/>
            <w:shd w:val="clear" w:color="auto" w:fill="auto"/>
            <w:vAlign w:val="center"/>
          </w:tcPr>
          <w:p w14:paraId="5768755C">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42690.696</w:t>
            </w:r>
          </w:p>
        </w:tc>
        <w:tc>
          <w:tcPr>
            <w:tcW w:w="833" w:type="pct"/>
            <w:shd w:val="clear" w:color="auto" w:fill="auto"/>
            <w:vAlign w:val="center"/>
          </w:tcPr>
          <w:p w14:paraId="619F06EF">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9286.74</w:t>
            </w:r>
          </w:p>
        </w:tc>
        <w:tc>
          <w:tcPr>
            <w:tcW w:w="606" w:type="pct"/>
            <w:shd w:val="clear" w:color="auto" w:fill="auto"/>
            <w:vAlign w:val="center"/>
          </w:tcPr>
          <w:p w14:paraId="3F5A0AC8">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53293.032</w:t>
            </w:r>
          </w:p>
        </w:tc>
      </w:tr>
      <w:tr w14:paraId="073F00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060" w:type="pct"/>
            <w:vMerge w:val="continue"/>
            <w:shd w:val="clear" w:color="auto" w:fill="auto"/>
            <w:vAlign w:val="center"/>
          </w:tcPr>
          <w:p w14:paraId="6595531A">
            <w:pPr>
              <w:adjustRightInd w:val="0"/>
              <w:snapToGrid w:val="0"/>
              <w:spacing w:line="240" w:lineRule="auto"/>
              <w:ind w:firstLine="0" w:firstLineChars="0"/>
              <w:jc w:val="center"/>
              <w:rPr>
                <w:rFonts w:ascii="Times New Roman" w:hAnsi="Times New Roman" w:eastAsia="宋体" w:cs="Times New Roman"/>
                <w:sz w:val="21"/>
                <w:szCs w:val="21"/>
                <w:highlight w:val="none"/>
              </w:rPr>
            </w:pPr>
          </w:p>
        </w:tc>
        <w:tc>
          <w:tcPr>
            <w:tcW w:w="876" w:type="pct"/>
            <w:shd w:val="clear" w:color="auto" w:fill="auto"/>
            <w:vAlign w:val="center"/>
          </w:tcPr>
          <w:p w14:paraId="7A6807AD">
            <w:pPr>
              <w:adjustRightInd w:val="0"/>
              <w:snapToGrid w:val="0"/>
              <w:spacing w:line="240" w:lineRule="auto"/>
              <w:ind w:firstLine="0" w:firstLineChars="0"/>
              <w:jc w:val="center"/>
              <w:rPr>
                <w:rFonts w:ascii="Times New Roman" w:hAnsi="Times New Roman" w:eastAsia="宋体" w:cs="Times New Roman"/>
                <w:sz w:val="21"/>
                <w:szCs w:val="21"/>
                <w:highlight w:val="none"/>
              </w:rPr>
            </w:pPr>
            <w:r>
              <w:rPr>
                <w:rFonts w:ascii="Times New Roman" w:hAnsi="Times New Roman" w:eastAsia="宋体" w:cs="Times New Roman"/>
                <w:sz w:val="21"/>
                <w:szCs w:val="21"/>
                <w:highlight w:val="none"/>
              </w:rPr>
              <w:t>12元计</w:t>
            </w:r>
          </w:p>
        </w:tc>
        <w:tc>
          <w:tcPr>
            <w:tcW w:w="700" w:type="pct"/>
            <w:shd w:val="clear" w:color="auto" w:fill="auto"/>
            <w:vAlign w:val="center"/>
          </w:tcPr>
          <w:p w14:paraId="671FB595">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13155.96</w:t>
            </w:r>
          </w:p>
        </w:tc>
        <w:tc>
          <w:tcPr>
            <w:tcW w:w="922" w:type="pct"/>
            <w:shd w:val="clear" w:color="auto" w:fill="auto"/>
            <w:vAlign w:val="center"/>
          </w:tcPr>
          <w:p w14:paraId="44B247E7">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426906.96</w:t>
            </w:r>
          </w:p>
        </w:tc>
        <w:tc>
          <w:tcPr>
            <w:tcW w:w="833" w:type="pct"/>
            <w:shd w:val="clear" w:color="auto" w:fill="auto"/>
            <w:vAlign w:val="center"/>
          </w:tcPr>
          <w:p w14:paraId="668A0B0B">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92867.4</w:t>
            </w:r>
          </w:p>
        </w:tc>
        <w:tc>
          <w:tcPr>
            <w:tcW w:w="606" w:type="pct"/>
            <w:shd w:val="clear" w:color="auto" w:fill="auto"/>
            <w:vAlign w:val="center"/>
          </w:tcPr>
          <w:p w14:paraId="7817FB10">
            <w:pPr>
              <w:adjustRightInd w:val="0"/>
              <w:snapToGrid w:val="0"/>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532930.32</w:t>
            </w:r>
          </w:p>
        </w:tc>
      </w:tr>
    </w:tbl>
    <w:p w14:paraId="73622CA0">
      <w:pPr>
        <w:bidi w:val="0"/>
        <w:rPr>
          <w:rFonts w:ascii="Times New Roman" w:hAnsi="Times New Roman"/>
          <w:highlight w:val="none"/>
        </w:rPr>
      </w:pPr>
      <w:r>
        <w:rPr>
          <w:rFonts w:ascii="Times New Roman" w:hAnsi="Times New Roman"/>
          <w:highlight w:val="none"/>
        </w:rPr>
        <w:t>由表7.3-1计算结果可知</w:t>
      </w:r>
      <w:r>
        <w:rPr>
          <w:snapToGrid w:val="0"/>
          <w:color w:val="auto"/>
          <w:kern w:val="0"/>
          <w:sz w:val="24"/>
          <w:highlight w:val="none"/>
        </w:rPr>
        <w:t>，本项目需缴纳的环境保护税最低为</w:t>
      </w:r>
      <w:r>
        <w:rPr>
          <w:rFonts w:hint="eastAsia"/>
          <w:snapToGrid w:val="0"/>
          <w:color w:val="auto"/>
          <w:kern w:val="0"/>
          <w:sz w:val="24"/>
          <w:highlight w:val="none"/>
          <w:lang w:val="en-US" w:eastAsia="zh-CN"/>
        </w:rPr>
        <w:t>53293.032</w:t>
      </w:r>
      <w:r>
        <w:rPr>
          <w:snapToGrid w:val="0"/>
          <w:color w:val="auto"/>
          <w:kern w:val="0"/>
          <w:sz w:val="24"/>
          <w:highlight w:val="none"/>
        </w:rPr>
        <w:t>元，最高为</w:t>
      </w:r>
      <w:r>
        <w:rPr>
          <w:rFonts w:hint="eastAsia"/>
          <w:snapToGrid w:val="0"/>
          <w:color w:val="auto"/>
          <w:kern w:val="0"/>
          <w:sz w:val="24"/>
          <w:highlight w:val="none"/>
          <w:lang w:val="en-US" w:eastAsia="zh-CN"/>
        </w:rPr>
        <w:t>532930.32</w:t>
      </w:r>
      <w:r>
        <w:rPr>
          <w:snapToGrid w:val="0"/>
          <w:color w:val="auto"/>
          <w:kern w:val="0"/>
          <w:sz w:val="24"/>
          <w:highlight w:val="none"/>
        </w:rPr>
        <w:t>元</w:t>
      </w:r>
      <w:r>
        <w:rPr>
          <w:snapToGrid w:val="0"/>
          <w:color w:val="auto"/>
          <w:kern w:val="0"/>
          <w:highlight w:val="none"/>
        </w:rPr>
        <w:t>。</w:t>
      </w:r>
    </w:p>
    <w:p w14:paraId="5B32738F">
      <w:pPr>
        <w:pStyle w:val="4"/>
        <w:bidi w:val="0"/>
        <w:ind w:left="0" w:leftChars="0" w:firstLine="0" w:firstLineChars="0"/>
        <w:rPr>
          <w:rFonts w:hint="eastAsia"/>
          <w:highlight w:val="none"/>
          <w:lang w:val="en-US" w:eastAsia="zh-CN"/>
        </w:rPr>
      </w:pPr>
      <w:bookmarkStart w:id="171" w:name="_Toc17853"/>
      <w:r>
        <w:rPr>
          <w:rFonts w:hint="eastAsia"/>
          <w:highlight w:val="none"/>
          <w:lang w:val="en-US" w:eastAsia="zh-CN"/>
        </w:rPr>
        <w:t>7.4小结</w:t>
      </w:r>
      <w:bookmarkEnd w:id="171"/>
    </w:p>
    <w:p w14:paraId="797B4E23">
      <w:pPr>
        <w:bidi w:val="0"/>
        <w:rPr>
          <w:rFonts w:hint="default"/>
          <w:highlight w:val="none"/>
          <w:lang w:val="en-US" w:eastAsia="zh-CN"/>
        </w:rPr>
      </w:pPr>
      <w:r>
        <w:rPr>
          <w:rFonts w:ascii="Times New Roman" w:hAnsi="Times New Roman"/>
          <w:highlight w:val="none"/>
        </w:rPr>
        <w:t>通过对本项目的经济、社会和环境效益分析可知，在落实本评价提出的各项污染防治措施的前提下，本项目的建设能够达到经济效益、社会效益和环境效益的统一，满足可持续发展的要求，既为地方经济发展做出贡献，又使污染物排放量在环境容量容许的范围内降低到最低。因此本项目的建设从环境经济损益的角度分析是可行的。</w:t>
      </w:r>
    </w:p>
    <w:p w14:paraId="65499339">
      <w:pPr>
        <w:pStyle w:val="23"/>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432272E">
      <w:pPr>
        <w:pStyle w:val="3"/>
        <w:bidi w:val="0"/>
        <w:rPr>
          <w:rFonts w:hint="eastAsia"/>
          <w:highlight w:val="none"/>
          <w:lang w:val="en-US" w:eastAsia="zh-CN"/>
        </w:rPr>
      </w:pPr>
      <w:bookmarkStart w:id="172" w:name="_Toc3917"/>
      <w:r>
        <w:rPr>
          <w:rFonts w:hint="eastAsia"/>
          <w:highlight w:val="none"/>
          <w:lang w:val="en-US" w:eastAsia="zh-CN"/>
        </w:rPr>
        <w:t>8环境管理与监测计划</w:t>
      </w:r>
      <w:bookmarkEnd w:id="172"/>
    </w:p>
    <w:p w14:paraId="628E8F1B">
      <w:pPr>
        <w:pStyle w:val="4"/>
        <w:bidi w:val="0"/>
        <w:ind w:left="0" w:leftChars="0" w:firstLine="0" w:firstLineChars="0"/>
        <w:rPr>
          <w:rFonts w:hint="eastAsia"/>
          <w:highlight w:val="none"/>
          <w:lang w:val="en-US" w:eastAsia="zh-CN"/>
        </w:rPr>
      </w:pPr>
      <w:bookmarkStart w:id="173" w:name="_Toc17657"/>
      <w:r>
        <w:rPr>
          <w:rFonts w:hint="eastAsia"/>
          <w:highlight w:val="none"/>
          <w:lang w:val="en-US" w:eastAsia="zh-CN"/>
        </w:rPr>
        <w:t>8.1环境管理计划</w:t>
      </w:r>
      <w:bookmarkEnd w:id="173"/>
    </w:p>
    <w:p w14:paraId="1CB8CA61">
      <w:pPr>
        <w:ind w:firstLine="480"/>
        <w:rPr>
          <w:rFonts w:ascii="Times New Roman" w:hAnsi="Times New Roman"/>
          <w:highlight w:val="none"/>
        </w:rPr>
      </w:pPr>
      <w:r>
        <w:rPr>
          <w:rFonts w:ascii="Times New Roman" w:hAnsi="Times New Roman"/>
          <w:highlight w:val="none"/>
        </w:rPr>
        <w:t>《中华人民共和国环境保护法》明确指出，我国环境保护的任务是保证在社会主义现代化建设中，合理利用自然资源，防止环境污染和生态破坏，为人民创造清洁适宜的生活和劳动环境，保护人民健康，促进经济发展。为尽可能削减项目运行期对环境造成的不良影响，在采取环保治理工程措施降低建设项目环境影响的同时，必须制定全面的企业环境管理计划，以确保企业环境保护的制度化和系统化，保证企业环保工作持久开展以及企业的持续发展。</w:t>
      </w:r>
    </w:p>
    <w:p w14:paraId="05F70518">
      <w:pPr>
        <w:ind w:firstLine="480"/>
        <w:rPr>
          <w:rFonts w:ascii="Times New Roman" w:hAnsi="Times New Roman"/>
          <w:highlight w:val="none"/>
        </w:rPr>
      </w:pPr>
      <w:r>
        <w:rPr>
          <w:rFonts w:ascii="Times New Roman" w:hAnsi="Times New Roman"/>
          <w:highlight w:val="none"/>
        </w:rPr>
        <w:t>实施环境管理的目的是为了使本项目投产后达到所期望的社会效益、经济效益和环境效益，实现生产目标与环境效益相统一，应通过必要的污染防治及相应的管理手段，严格控制本项目的建设对周围环境产生的不利影响，并使其影响减小到最低程度。</w:t>
      </w:r>
    </w:p>
    <w:p w14:paraId="6B494A7F">
      <w:pPr>
        <w:bidi w:val="0"/>
        <w:rPr>
          <w:rFonts w:ascii="Times New Roman" w:hAnsi="Times New Roman"/>
          <w:highlight w:val="none"/>
        </w:rPr>
      </w:pPr>
      <w:r>
        <w:rPr>
          <w:rFonts w:ascii="Times New Roman" w:hAnsi="Times New Roman"/>
          <w:highlight w:val="none"/>
        </w:rPr>
        <w:t>本项目环境管理依托现有管理系统，该公司现有完善的环境管理机构，并设专人负责环境管理，环境管理制度健全，负责本厂的日常环境监管工作。</w:t>
      </w:r>
    </w:p>
    <w:p w14:paraId="12AB5C74">
      <w:pPr>
        <w:pStyle w:val="5"/>
        <w:bidi w:val="0"/>
        <w:ind w:left="0" w:leftChars="0" w:firstLine="0" w:firstLineChars="0"/>
        <w:rPr>
          <w:rFonts w:hint="eastAsia"/>
          <w:highlight w:val="none"/>
          <w:lang w:val="en-US" w:eastAsia="zh-CN"/>
        </w:rPr>
      </w:pPr>
      <w:bookmarkStart w:id="174" w:name="_Toc395"/>
      <w:r>
        <w:rPr>
          <w:rFonts w:hint="eastAsia"/>
          <w:highlight w:val="none"/>
          <w:lang w:val="en-US" w:eastAsia="zh-CN"/>
        </w:rPr>
        <w:t>8.1.1环境管理的意义</w:t>
      </w:r>
      <w:bookmarkEnd w:id="174"/>
    </w:p>
    <w:p w14:paraId="44BA7882">
      <w:pPr>
        <w:ind w:firstLine="480"/>
        <w:rPr>
          <w:rFonts w:ascii="Times New Roman" w:hAnsi="Times New Roman"/>
          <w:highlight w:val="none"/>
        </w:rPr>
      </w:pPr>
      <w:r>
        <w:rPr>
          <w:rFonts w:ascii="Times New Roman" w:hAnsi="Times New Roman"/>
          <w:highlight w:val="none"/>
        </w:rPr>
        <w:t>供热企业所耗燃料在一次能源生产总量中占有很大比重，降低供热企业能源消耗，合理利用能源，对促进国民经济的发展有着十分重要的意义。虽然环境管理不像采用先进工艺与设备那样对降低能源消耗有明显的效果，但加强环境管理却可以做到合理利用能源和节约能源，一样可以降低能源消耗。组织良好的环境管理体系不仅能减少企业的污染排放，而且通过污染物的综合治理及回收利用，企业还能得到一定的经济效益。</w:t>
      </w:r>
    </w:p>
    <w:p w14:paraId="1322A099">
      <w:pPr>
        <w:rPr>
          <w:rFonts w:ascii="Times New Roman" w:hAnsi="Times New Roman"/>
          <w:highlight w:val="none"/>
        </w:rPr>
      </w:pPr>
      <w:r>
        <w:rPr>
          <w:rFonts w:ascii="Times New Roman" w:hAnsi="Times New Roman"/>
          <w:highlight w:val="none"/>
        </w:rPr>
        <w:t>就本项目而言，环境管理机构应根据本项目的进展情况对项目施工、安装阶段和项目投产后阶段进行不同的管理。在本项目投产后，所排放的污染物与现有厂区所排放的污染物一致，因此可纳入现有厂区的环境监测与管理体系。</w:t>
      </w:r>
    </w:p>
    <w:p w14:paraId="60C82E17">
      <w:pPr>
        <w:pStyle w:val="5"/>
        <w:bidi w:val="0"/>
        <w:ind w:left="0" w:leftChars="0" w:firstLine="0" w:firstLineChars="0"/>
        <w:rPr>
          <w:rFonts w:ascii="Times New Roman" w:hAnsi="Times New Roman"/>
          <w:highlight w:val="none"/>
        </w:rPr>
      </w:pPr>
      <w:bookmarkStart w:id="175" w:name="_Toc13567"/>
      <w:r>
        <w:rPr>
          <w:rFonts w:hint="eastAsia"/>
          <w:highlight w:val="none"/>
          <w:lang w:val="en-US" w:eastAsia="zh-CN"/>
        </w:rPr>
        <w:t>8.1.2</w:t>
      </w:r>
      <w:r>
        <w:rPr>
          <w:rFonts w:ascii="Times New Roman" w:hAnsi="Times New Roman"/>
          <w:highlight w:val="none"/>
        </w:rPr>
        <w:t>环境管理组织机构</w:t>
      </w:r>
      <w:bookmarkEnd w:id="175"/>
    </w:p>
    <w:p w14:paraId="4FEAD523">
      <w:pPr>
        <w:ind w:firstLine="480"/>
        <w:rPr>
          <w:rFonts w:ascii="Times New Roman" w:hAnsi="Times New Roman"/>
          <w:highlight w:val="none"/>
        </w:rPr>
      </w:pPr>
      <w:r>
        <w:rPr>
          <w:rFonts w:hint="eastAsia" w:ascii="Times New Roman" w:hAnsi="Times New Roman"/>
          <w:highlight w:val="none"/>
          <w:lang w:val="en-US" w:eastAsia="zh-CN"/>
        </w:rPr>
        <w:t>绥芬河市新区供热有限责任公司</w:t>
      </w:r>
      <w:r>
        <w:rPr>
          <w:rFonts w:ascii="Times New Roman" w:hAnsi="Times New Roman"/>
          <w:highlight w:val="none"/>
        </w:rPr>
        <w:t>现有较为完善的环境管理机构及专业管理人员，公司的环境管理机构配备专职环保监测人员，配置环境监测仪器，进行日常的环境监测工作。使环境管理很好的贯穿于热源厂管理体系的整个过程中，并落实到热源厂管理的各个层次，分解到热源厂科、室的各个环节，把热源厂管理与环境管理紧密的结合起来，不但要建立完善的热源厂管理体系和各种规章制度，也要建立完善的环境管理体系，使热源厂的环境管理工作真正落到实处。</w:t>
      </w:r>
    </w:p>
    <w:p w14:paraId="7481F4E4">
      <w:pPr>
        <w:pStyle w:val="5"/>
        <w:bidi w:val="0"/>
        <w:ind w:left="0" w:leftChars="0" w:firstLine="0" w:firstLineChars="0"/>
        <w:rPr>
          <w:rFonts w:hint="eastAsia"/>
          <w:highlight w:val="none"/>
          <w:lang w:val="en-US" w:eastAsia="zh-CN"/>
        </w:rPr>
      </w:pPr>
      <w:bookmarkStart w:id="176" w:name="_Toc6490"/>
      <w:r>
        <w:rPr>
          <w:rFonts w:hint="eastAsia"/>
          <w:highlight w:val="none"/>
          <w:lang w:val="en-US" w:eastAsia="zh-CN"/>
        </w:rPr>
        <w:t>8.1.3环境管理职责</w:t>
      </w:r>
      <w:bookmarkEnd w:id="176"/>
    </w:p>
    <w:p w14:paraId="65946669">
      <w:pPr>
        <w:ind w:firstLine="480"/>
        <w:rPr>
          <w:rFonts w:ascii="Times New Roman" w:hAnsi="Times New Roman"/>
          <w:highlight w:val="none"/>
        </w:rPr>
      </w:pPr>
      <w:r>
        <w:rPr>
          <w:rFonts w:ascii="Times New Roman" w:hAnsi="Times New Roman"/>
          <w:highlight w:val="none"/>
        </w:rPr>
        <w:t>（1）本项目的建设在环境管理上应严格执行防治污染与主体项目同时设计、同时施工、同时投产的“三同时”制度。在项目正式投产前，必须向负责审批的环境保护管理部门提交环境保护设施竣工验收报告，说明环境保护设施运行的情况，治理的效果，达到的标准，经环境保护主管部门验收合格后方可正式投入生产。</w:t>
      </w:r>
    </w:p>
    <w:p w14:paraId="2A680A7B">
      <w:pPr>
        <w:ind w:firstLine="480"/>
        <w:rPr>
          <w:rFonts w:ascii="Times New Roman" w:hAnsi="Times New Roman"/>
          <w:highlight w:val="none"/>
        </w:rPr>
      </w:pPr>
      <w:r>
        <w:rPr>
          <w:rFonts w:ascii="Times New Roman" w:hAnsi="Times New Roman"/>
          <w:highlight w:val="none"/>
        </w:rPr>
        <w:t>（2）将本项目环境管理内容纳入到公司的环境保护管理规章制度并监督执行，以清洁生产为主导，把环境管理贯穿到工厂经营管理整个过程并落实到工厂的各个层次，分解到生产过程的各个环节，与生产管理紧密地结合起来。</w:t>
      </w:r>
    </w:p>
    <w:p w14:paraId="7CAAC05F">
      <w:pPr>
        <w:ind w:firstLine="480"/>
        <w:rPr>
          <w:rFonts w:ascii="Times New Roman" w:hAnsi="Times New Roman"/>
          <w:highlight w:val="none"/>
        </w:rPr>
      </w:pPr>
      <w:r>
        <w:rPr>
          <w:rFonts w:ascii="Times New Roman" w:hAnsi="Times New Roman"/>
          <w:highlight w:val="none"/>
        </w:rPr>
        <w:t>（3）监督并保证本项目所排废气、废水、噪声及固体废物防治措施的落实及正常运行，治理后的各类污染物的排放必须达到本报告书所规定的国家或地方标准。委托有资质的监测部门进行定期监测本厂外排各类污染物排放浓度及排放量，编制本单位污染物排放的日报表、月报表和年报表，并及时上报给上级环境管理部门。</w:t>
      </w:r>
    </w:p>
    <w:p w14:paraId="00F3C1BA">
      <w:pPr>
        <w:ind w:firstLine="480"/>
        <w:rPr>
          <w:rFonts w:ascii="Times New Roman" w:hAnsi="Times New Roman"/>
          <w:highlight w:val="none"/>
        </w:rPr>
      </w:pPr>
      <w:r>
        <w:rPr>
          <w:rFonts w:ascii="Times New Roman" w:hAnsi="Times New Roman"/>
          <w:highlight w:val="none"/>
        </w:rPr>
        <w:t>（4）组织建立企业清洁生产审核小组，不断开展企业内部的清洁生产审核，进行全厂职工的清洁生产宣传和培训，让每位员工了解清洁生产，并贯彻落实到实际工作中，发动职工寻找清洁生产机会，提出清洁生产方案并动态地实施。</w:t>
      </w:r>
    </w:p>
    <w:p w14:paraId="378D8943">
      <w:pPr>
        <w:ind w:firstLine="480"/>
        <w:rPr>
          <w:rFonts w:ascii="Times New Roman" w:hAnsi="Times New Roman"/>
          <w:highlight w:val="none"/>
        </w:rPr>
      </w:pPr>
      <w:r>
        <w:rPr>
          <w:rFonts w:ascii="Times New Roman" w:hAnsi="Times New Roman"/>
          <w:highlight w:val="none"/>
        </w:rPr>
        <w:t>（5）加强信息系统建设，建立计算机辅助管理系统，建立全厂污染源、污染物、治理措施、治理效果、污染物排放浓度及总量、事故等数据库，与厂内生产车间、污染物处理部门、其它管理部门建立良好的信息通道，与环境保护主管部门加强沟通，公布本单位可资源化废物的产生量，以便寻找更好的综合利用途径。协调好发展生产与保护环境的关系，使生产目标与环境效益相统一，达到经济效益与环境效益相兼顾的目的。</w:t>
      </w:r>
    </w:p>
    <w:p w14:paraId="248EA58A">
      <w:pPr>
        <w:rPr>
          <w:rFonts w:ascii="Times New Roman" w:hAnsi="Times New Roman"/>
          <w:highlight w:val="none"/>
        </w:rPr>
      </w:pPr>
      <w:r>
        <w:rPr>
          <w:rFonts w:ascii="Times New Roman" w:hAnsi="Times New Roman"/>
          <w:highlight w:val="none"/>
        </w:rPr>
        <w:t>（6）向社会主动公开企业各类污染物达标排放情况。</w:t>
      </w:r>
    </w:p>
    <w:p w14:paraId="0949B32C">
      <w:pPr>
        <w:pStyle w:val="5"/>
        <w:bidi w:val="0"/>
        <w:ind w:left="0" w:leftChars="0" w:firstLine="0" w:firstLineChars="0"/>
        <w:rPr>
          <w:rFonts w:hint="eastAsia"/>
          <w:highlight w:val="none"/>
          <w:lang w:val="en-US" w:eastAsia="zh-CN"/>
        </w:rPr>
      </w:pPr>
      <w:bookmarkStart w:id="177" w:name="_Toc408"/>
      <w:r>
        <w:rPr>
          <w:rFonts w:hint="eastAsia"/>
          <w:highlight w:val="none"/>
          <w:lang w:val="en-US" w:eastAsia="zh-CN"/>
        </w:rPr>
        <w:t>8.1.4环境管理内容</w:t>
      </w:r>
      <w:bookmarkEnd w:id="177"/>
    </w:p>
    <w:p w14:paraId="1F246D3E">
      <w:pPr>
        <w:ind w:firstLine="480"/>
        <w:rPr>
          <w:rFonts w:ascii="Times New Roman" w:hAnsi="Times New Roman"/>
          <w:highlight w:val="none"/>
        </w:rPr>
      </w:pPr>
      <w:r>
        <w:rPr>
          <w:rFonts w:ascii="Times New Roman" w:hAnsi="Times New Roman"/>
          <w:highlight w:val="none"/>
        </w:rPr>
        <w:t>环境管理的内容如下：</w:t>
      </w:r>
    </w:p>
    <w:p w14:paraId="1ADE4380">
      <w:pPr>
        <w:ind w:firstLine="480"/>
        <w:rPr>
          <w:rFonts w:ascii="Times New Roman" w:hAnsi="Times New Roman"/>
          <w:highlight w:val="none"/>
        </w:rPr>
      </w:pPr>
      <w:r>
        <w:rPr>
          <w:rFonts w:ascii="Times New Roman" w:hAnsi="Times New Roman"/>
          <w:highlight w:val="none"/>
        </w:rPr>
        <w:t>（1）按环境保护行政主管部门有关规定与环保要求，搞好厂区的环境管理，实施厂、车间、工段的三级管理体制。全体职工参与，隐患自除，责任自负，避免对周边环境的影响。</w:t>
      </w:r>
    </w:p>
    <w:p w14:paraId="7089C102">
      <w:pPr>
        <w:ind w:firstLine="480"/>
        <w:rPr>
          <w:rFonts w:ascii="Times New Roman" w:hAnsi="Times New Roman"/>
          <w:highlight w:val="none"/>
        </w:rPr>
      </w:pPr>
      <w:r>
        <w:rPr>
          <w:rFonts w:ascii="Times New Roman" w:hAnsi="Times New Roman"/>
          <w:highlight w:val="none"/>
        </w:rPr>
        <w:t>（2）加大力度提高全体职工的环保意识，对重要装置在岗职工进行技术培训的同时，还应对其进行有关的环保法、环保事故发生后的应急措施等方面的培训，努力做到持证上岗，完善自身管理。</w:t>
      </w:r>
    </w:p>
    <w:p w14:paraId="157D7850">
      <w:pPr>
        <w:rPr>
          <w:rFonts w:ascii="Times New Roman" w:hAnsi="Times New Roman"/>
          <w:highlight w:val="none"/>
        </w:rPr>
      </w:pPr>
      <w:r>
        <w:rPr>
          <w:rFonts w:ascii="Times New Roman" w:hAnsi="Times New Roman"/>
          <w:highlight w:val="none"/>
        </w:rPr>
        <w:t>（3）加强环境管理，制定与环保有关的完善的规章制度，切实落到实处。根据本工程的废气、废水、废渣及噪声等产污环节，环保人员负责每日的环境保护工作的检查和管理。</w:t>
      </w:r>
    </w:p>
    <w:p w14:paraId="17A3C95D">
      <w:pPr>
        <w:pStyle w:val="5"/>
        <w:bidi w:val="0"/>
        <w:ind w:left="0" w:leftChars="0" w:firstLine="0" w:firstLineChars="0"/>
        <w:rPr>
          <w:rFonts w:hint="eastAsia"/>
          <w:highlight w:val="none"/>
          <w:lang w:val="en-US" w:eastAsia="zh-CN"/>
        </w:rPr>
      </w:pPr>
      <w:bookmarkStart w:id="178" w:name="_Toc5279"/>
      <w:r>
        <w:rPr>
          <w:rFonts w:hint="eastAsia"/>
          <w:highlight w:val="none"/>
          <w:lang w:val="en-US" w:eastAsia="zh-CN"/>
        </w:rPr>
        <w:t>8.1.5污染物排放清单</w:t>
      </w:r>
      <w:bookmarkEnd w:id="178"/>
    </w:p>
    <w:p w14:paraId="1CC9678C">
      <w:pPr>
        <w:ind w:firstLine="480"/>
        <w:rPr>
          <w:rFonts w:ascii="Times New Roman" w:hAnsi="Times New Roman"/>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Times New Roman" w:hAnsi="Times New Roman"/>
          <w:highlight w:val="none"/>
        </w:rPr>
        <w:t>本项目的建设内容是建设</w:t>
      </w:r>
      <w:r>
        <w:rPr>
          <w:rFonts w:hint="eastAsia" w:ascii="Times New Roman" w:hAnsi="Times New Roman"/>
          <w:highlight w:val="none"/>
          <w:lang w:val="en-US" w:eastAsia="zh-CN"/>
        </w:rPr>
        <w:t>建设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w:t>
      </w:r>
      <w:r>
        <w:rPr>
          <w:rFonts w:ascii="Times New Roman" w:hAnsi="Times New Roman"/>
          <w:highlight w:val="none"/>
        </w:rPr>
        <w:t>，项目运行期产生废气、废水、噪声及固废，根据项目特点，其污染物排放清单见表8.1-1。</w:t>
      </w:r>
    </w:p>
    <w:p w14:paraId="7B8A2A6A">
      <w:pPr>
        <w:ind w:firstLine="0" w:firstLineChars="0"/>
        <w:jc w:val="center"/>
        <w:rPr>
          <w:rFonts w:hint="eastAsia"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8.1-1</w:t>
      </w:r>
      <w:r>
        <w:rPr>
          <w:rFonts w:hint="eastAsia" w:ascii="黑体" w:hAnsi="黑体" w:eastAsia="黑体" w:cs="黑体"/>
          <w:highlight w:val="none"/>
        </w:rPr>
        <w:t>本项目污染物排放清单</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26"/>
        <w:gridCol w:w="1235"/>
        <w:gridCol w:w="1103"/>
        <w:gridCol w:w="675"/>
        <w:gridCol w:w="179"/>
        <w:gridCol w:w="457"/>
        <w:gridCol w:w="406"/>
        <w:gridCol w:w="919"/>
        <w:gridCol w:w="2955"/>
        <w:gridCol w:w="5819"/>
      </w:tblGrid>
      <w:tr w14:paraId="0F8569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restart"/>
            <w:noWrap w:val="0"/>
            <w:vAlign w:val="center"/>
          </w:tcPr>
          <w:p w14:paraId="0C8EFEED">
            <w:pPr>
              <w:pStyle w:val="27"/>
              <w:rPr>
                <w:rFonts w:ascii="Times New Roman" w:hAnsi="Times New Roman" w:eastAsia="宋体"/>
                <w:highlight w:val="none"/>
              </w:rPr>
            </w:pPr>
            <w:r>
              <w:rPr>
                <w:rFonts w:ascii="Times New Roman" w:hAnsi="Times New Roman" w:eastAsia="宋体"/>
                <w:highlight w:val="none"/>
              </w:rPr>
              <w:t>类别</w:t>
            </w:r>
          </w:p>
        </w:tc>
        <w:tc>
          <w:tcPr>
            <w:tcW w:w="436" w:type="pct"/>
            <w:vMerge w:val="restart"/>
            <w:noWrap w:val="0"/>
            <w:vAlign w:val="center"/>
          </w:tcPr>
          <w:p w14:paraId="04877600">
            <w:pPr>
              <w:pStyle w:val="27"/>
              <w:rPr>
                <w:rFonts w:ascii="Times New Roman" w:hAnsi="Times New Roman" w:eastAsia="宋体"/>
                <w:highlight w:val="none"/>
              </w:rPr>
            </w:pPr>
            <w:r>
              <w:rPr>
                <w:rFonts w:ascii="Times New Roman" w:hAnsi="Times New Roman" w:eastAsia="宋体"/>
                <w:highlight w:val="none"/>
              </w:rPr>
              <w:t>污染源</w:t>
            </w:r>
          </w:p>
        </w:tc>
        <w:tc>
          <w:tcPr>
            <w:tcW w:w="389" w:type="pct"/>
            <w:vMerge w:val="restart"/>
            <w:noWrap w:val="0"/>
            <w:vAlign w:val="center"/>
          </w:tcPr>
          <w:p w14:paraId="54526B9B">
            <w:pPr>
              <w:pStyle w:val="27"/>
              <w:rPr>
                <w:rFonts w:ascii="Times New Roman" w:hAnsi="Times New Roman" w:eastAsia="宋体"/>
                <w:highlight w:val="none"/>
              </w:rPr>
            </w:pPr>
            <w:r>
              <w:rPr>
                <w:rFonts w:ascii="Times New Roman" w:hAnsi="Times New Roman" w:eastAsia="宋体"/>
                <w:highlight w:val="none"/>
              </w:rPr>
              <w:t>污染物</w:t>
            </w:r>
          </w:p>
        </w:tc>
        <w:tc>
          <w:tcPr>
            <w:tcW w:w="929" w:type="pct"/>
            <w:gridSpan w:val="5"/>
            <w:noWrap w:val="0"/>
            <w:vAlign w:val="center"/>
          </w:tcPr>
          <w:p w14:paraId="2B4BE0C9">
            <w:pPr>
              <w:pStyle w:val="27"/>
              <w:rPr>
                <w:rFonts w:ascii="Times New Roman" w:hAnsi="Times New Roman" w:eastAsia="宋体"/>
                <w:highlight w:val="none"/>
              </w:rPr>
            </w:pPr>
            <w:r>
              <w:rPr>
                <w:rFonts w:ascii="Times New Roman" w:hAnsi="Times New Roman" w:eastAsia="宋体"/>
                <w:highlight w:val="none"/>
              </w:rPr>
              <w:t>排放情况</w:t>
            </w:r>
          </w:p>
        </w:tc>
        <w:tc>
          <w:tcPr>
            <w:tcW w:w="1041" w:type="pct"/>
            <w:vMerge w:val="restart"/>
            <w:noWrap w:val="0"/>
            <w:vAlign w:val="center"/>
          </w:tcPr>
          <w:p w14:paraId="387F032D">
            <w:pPr>
              <w:pStyle w:val="27"/>
              <w:rPr>
                <w:rFonts w:ascii="Times New Roman" w:hAnsi="Times New Roman" w:eastAsia="宋体"/>
                <w:highlight w:val="none"/>
              </w:rPr>
            </w:pPr>
            <w:r>
              <w:rPr>
                <w:rFonts w:ascii="Times New Roman" w:hAnsi="Times New Roman" w:eastAsia="宋体"/>
                <w:highlight w:val="none"/>
              </w:rPr>
              <w:t>环保措施</w:t>
            </w:r>
          </w:p>
        </w:tc>
        <w:tc>
          <w:tcPr>
            <w:tcW w:w="2052" w:type="pct"/>
            <w:vMerge w:val="restart"/>
            <w:noWrap w:val="0"/>
            <w:vAlign w:val="center"/>
          </w:tcPr>
          <w:p w14:paraId="24B838DC">
            <w:pPr>
              <w:pStyle w:val="27"/>
              <w:rPr>
                <w:rFonts w:ascii="Times New Roman" w:hAnsi="Times New Roman" w:eastAsia="宋体"/>
                <w:highlight w:val="none"/>
              </w:rPr>
            </w:pPr>
            <w:r>
              <w:rPr>
                <w:rFonts w:ascii="Times New Roman" w:hAnsi="Times New Roman" w:eastAsia="宋体"/>
                <w:highlight w:val="none"/>
              </w:rPr>
              <w:t>执行排放标准</w:t>
            </w:r>
          </w:p>
        </w:tc>
      </w:tr>
      <w:tr w14:paraId="053051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49" w:hRule="atLeast"/>
          <w:jc w:val="center"/>
        </w:trPr>
        <w:tc>
          <w:tcPr>
            <w:tcW w:w="150" w:type="pct"/>
            <w:vMerge w:val="continue"/>
            <w:noWrap w:val="0"/>
            <w:vAlign w:val="center"/>
          </w:tcPr>
          <w:p w14:paraId="5DE664C0">
            <w:pPr>
              <w:pStyle w:val="27"/>
              <w:rPr>
                <w:rFonts w:ascii="Times New Roman" w:hAnsi="Times New Roman" w:eastAsia="宋体"/>
                <w:highlight w:val="none"/>
              </w:rPr>
            </w:pPr>
          </w:p>
        </w:tc>
        <w:tc>
          <w:tcPr>
            <w:tcW w:w="436" w:type="pct"/>
            <w:vMerge w:val="continue"/>
            <w:noWrap w:val="0"/>
            <w:vAlign w:val="center"/>
          </w:tcPr>
          <w:p w14:paraId="40147A4E">
            <w:pPr>
              <w:pStyle w:val="27"/>
              <w:rPr>
                <w:rFonts w:ascii="Times New Roman" w:hAnsi="Times New Roman" w:eastAsia="宋体"/>
                <w:highlight w:val="none"/>
              </w:rPr>
            </w:pPr>
          </w:p>
        </w:tc>
        <w:tc>
          <w:tcPr>
            <w:tcW w:w="389" w:type="pct"/>
            <w:vMerge w:val="continue"/>
            <w:noWrap w:val="0"/>
            <w:vAlign w:val="center"/>
          </w:tcPr>
          <w:p w14:paraId="0A84A82F">
            <w:pPr>
              <w:pStyle w:val="27"/>
              <w:rPr>
                <w:rFonts w:ascii="Times New Roman" w:hAnsi="Times New Roman" w:eastAsia="宋体"/>
                <w:highlight w:val="none"/>
              </w:rPr>
            </w:pPr>
          </w:p>
        </w:tc>
        <w:tc>
          <w:tcPr>
            <w:tcW w:w="301" w:type="pct"/>
            <w:gridSpan w:val="2"/>
            <w:noWrap w:val="0"/>
            <w:vAlign w:val="center"/>
          </w:tcPr>
          <w:p w14:paraId="01F6326A">
            <w:pPr>
              <w:pStyle w:val="27"/>
              <w:rPr>
                <w:rFonts w:ascii="Times New Roman" w:hAnsi="Times New Roman" w:eastAsia="宋体"/>
                <w:highlight w:val="none"/>
              </w:rPr>
            </w:pPr>
            <w:r>
              <w:rPr>
                <w:rFonts w:ascii="Times New Roman" w:hAnsi="Times New Roman" w:eastAsia="宋体"/>
                <w:highlight w:val="none"/>
              </w:rPr>
              <w:t>去除效率%</w:t>
            </w:r>
          </w:p>
        </w:tc>
        <w:tc>
          <w:tcPr>
            <w:tcW w:w="304" w:type="pct"/>
            <w:gridSpan w:val="2"/>
            <w:noWrap w:val="0"/>
            <w:vAlign w:val="center"/>
          </w:tcPr>
          <w:p w14:paraId="1CDBBEF9">
            <w:pPr>
              <w:pStyle w:val="27"/>
              <w:rPr>
                <w:rFonts w:ascii="Times New Roman" w:hAnsi="Times New Roman" w:eastAsia="宋体"/>
                <w:highlight w:val="none"/>
              </w:rPr>
            </w:pPr>
            <w:r>
              <w:rPr>
                <w:rFonts w:ascii="Times New Roman" w:hAnsi="Times New Roman" w:eastAsia="宋体"/>
                <w:highlight w:val="none"/>
              </w:rPr>
              <w:t>排放浓度</w:t>
            </w:r>
          </w:p>
          <w:p w14:paraId="1801FA40">
            <w:pPr>
              <w:pStyle w:val="27"/>
              <w:rPr>
                <w:rFonts w:ascii="Times New Roman" w:hAnsi="Times New Roman" w:eastAsia="宋体"/>
                <w:highlight w:val="none"/>
              </w:rPr>
            </w:pPr>
            <w:r>
              <w:rPr>
                <w:rFonts w:ascii="Times New Roman" w:hAnsi="Times New Roman" w:eastAsia="宋体"/>
                <w:highlight w:val="none"/>
              </w:rPr>
              <w:t>mg/m</w:t>
            </w:r>
            <w:r>
              <w:rPr>
                <w:rFonts w:ascii="Times New Roman" w:hAnsi="Times New Roman" w:eastAsia="宋体"/>
                <w:highlight w:val="none"/>
                <w:vertAlign w:val="superscript"/>
              </w:rPr>
              <w:t>3</w:t>
            </w:r>
          </w:p>
        </w:tc>
        <w:tc>
          <w:tcPr>
            <w:tcW w:w="324" w:type="pct"/>
            <w:noWrap w:val="0"/>
            <w:vAlign w:val="center"/>
          </w:tcPr>
          <w:p w14:paraId="534FB5E4">
            <w:pPr>
              <w:pStyle w:val="27"/>
              <w:rPr>
                <w:rFonts w:ascii="Times New Roman" w:hAnsi="Times New Roman" w:eastAsia="宋体"/>
                <w:highlight w:val="none"/>
              </w:rPr>
            </w:pPr>
            <w:r>
              <w:rPr>
                <w:rFonts w:ascii="Times New Roman" w:hAnsi="Times New Roman" w:eastAsia="宋体"/>
                <w:highlight w:val="none"/>
              </w:rPr>
              <w:t>排放量</w:t>
            </w:r>
          </w:p>
          <w:p w14:paraId="11EC87A2">
            <w:pPr>
              <w:pStyle w:val="27"/>
              <w:rPr>
                <w:rFonts w:ascii="Times New Roman" w:hAnsi="Times New Roman" w:eastAsia="宋体"/>
                <w:highlight w:val="none"/>
              </w:rPr>
            </w:pPr>
            <w:r>
              <w:rPr>
                <w:rFonts w:ascii="Times New Roman" w:hAnsi="Times New Roman" w:eastAsia="宋体"/>
                <w:highlight w:val="none"/>
              </w:rPr>
              <w:t>t/a</w:t>
            </w:r>
          </w:p>
        </w:tc>
        <w:tc>
          <w:tcPr>
            <w:tcW w:w="1041" w:type="pct"/>
            <w:vMerge w:val="continue"/>
            <w:noWrap w:val="0"/>
            <w:vAlign w:val="center"/>
          </w:tcPr>
          <w:p w14:paraId="3A3191F3">
            <w:pPr>
              <w:pStyle w:val="27"/>
              <w:rPr>
                <w:rFonts w:ascii="Times New Roman" w:hAnsi="Times New Roman" w:eastAsia="宋体"/>
                <w:highlight w:val="none"/>
              </w:rPr>
            </w:pPr>
          </w:p>
        </w:tc>
        <w:tc>
          <w:tcPr>
            <w:tcW w:w="2052" w:type="pct"/>
            <w:vMerge w:val="continue"/>
            <w:noWrap w:val="0"/>
            <w:vAlign w:val="center"/>
          </w:tcPr>
          <w:p w14:paraId="4E6EC965">
            <w:pPr>
              <w:pStyle w:val="27"/>
              <w:rPr>
                <w:rFonts w:ascii="Times New Roman" w:hAnsi="Times New Roman" w:eastAsia="宋体"/>
                <w:highlight w:val="none"/>
              </w:rPr>
            </w:pPr>
          </w:p>
        </w:tc>
      </w:tr>
      <w:tr w14:paraId="6796BF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5" w:hRule="atLeast"/>
          <w:jc w:val="center"/>
        </w:trPr>
        <w:tc>
          <w:tcPr>
            <w:tcW w:w="150" w:type="pct"/>
            <w:vMerge w:val="restart"/>
            <w:noWrap w:val="0"/>
            <w:vAlign w:val="center"/>
          </w:tcPr>
          <w:p w14:paraId="346712C2">
            <w:pPr>
              <w:pStyle w:val="27"/>
              <w:rPr>
                <w:rFonts w:ascii="Times New Roman" w:hAnsi="Times New Roman" w:eastAsia="宋体"/>
                <w:highlight w:val="none"/>
              </w:rPr>
            </w:pPr>
            <w:r>
              <w:rPr>
                <w:rFonts w:ascii="Times New Roman" w:hAnsi="Times New Roman" w:eastAsia="宋体"/>
                <w:highlight w:val="none"/>
              </w:rPr>
              <w:t>废气</w:t>
            </w:r>
          </w:p>
        </w:tc>
        <w:tc>
          <w:tcPr>
            <w:tcW w:w="436" w:type="pct"/>
            <w:vMerge w:val="restart"/>
            <w:noWrap w:val="0"/>
            <w:vAlign w:val="center"/>
          </w:tcPr>
          <w:p w14:paraId="59477DE5">
            <w:pPr>
              <w:pStyle w:val="27"/>
              <w:rPr>
                <w:rFonts w:ascii="Times New Roman" w:hAnsi="Times New Roman" w:eastAsia="宋体"/>
                <w:highlight w:val="none"/>
              </w:rPr>
            </w:pPr>
            <w:r>
              <w:rPr>
                <w:rFonts w:ascii="Times New Roman" w:hAnsi="Times New Roman" w:eastAsia="宋体"/>
                <w:highlight w:val="none"/>
              </w:rPr>
              <w:t>烟囱</w:t>
            </w:r>
          </w:p>
        </w:tc>
        <w:tc>
          <w:tcPr>
            <w:tcW w:w="389" w:type="pct"/>
            <w:noWrap w:val="0"/>
            <w:vAlign w:val="center"/>
          </w:tcPr>
          <w:p w14:paraId="1808E9D1">
            <w:pPr>
              <w:pStyle w:val="27"/>
              <w:rPr>
                <w:rFonts w:ascii="Times New Roman" w:hAnsi="Times New Roman" w:eastAsia="宋体"/>
                <w:highlight w:val="none"/>
              </w:rPr>
            </w:pPr>
            <w:r>
              <w:rPr>
                <w:rFonts w:ascii="Times New Roman" w:hAnsi="Times New Roman" w:eastAsia="宋体"/>
                <w:highlight w:val="none"/>
              </w:rPr>
              <w:t>烟尘</w:t>
            </w:r>
          </w:p>
        </w:tc>
        <w:tc>
          <w:tcPr>
            <w:tcW w:w="301" w:type="pct"/>
            <w:gridSpan w:val="2"/>
            <w:noWrap w:val="0"/>
            <w:vAlign w:val="center"/>
          </w:tcPr>
          <w:p w14:paraId="2A7A590A">
            <w:pPr>
              <w:pStyle w:val="27"/>
              <w:rPr>
                <w:rFonts w:ascii="Times New Roman" w:hAnsi="Times New Roman" w:eastAsia="宋体"/>
                <w:highlight w:val="none"/>
              </w:rPr>
            </w:pPr>
            <w:r>
              <w:rPr>
                <w:rFonts w:ascii="Times New Roman" w:hAnsi="Times New Roman" w:eastAsia="宋体"/>
                <w:highlight w:val="none"/>
              </w:rPr>
              <w:t>99.96</w:t>
            </w:r>
          </w:p>
        </w:tc>
        <w:tc>
          <w:tcPr>
            <w:tcW w:w="304" w:type="pct"/>
            <w:gridSpan w:val="2"/>
            <w:noWrap w:val="0"/>
            <w:vAlign w:val="center"/>
          </w:tcPr>
          <w:p w14:paraId="64996C88">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3.23</w:t>
            </w:r>
          </w:p>
        </w:tc>
        <w:tc>
          <w:tcPr>
            <w:tcW w:w="324" w:type="pct"/>
            <w:noWrap w:val="0"/>
            <w:vAlign w:val="center"/>
          </w:tcPr>
          <w:p w14:paraId="2BE2E8BA">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2.39</w:t>
            </w:r>
          </w:p>
        </w:tc>
        <w:tc>
          <w:tcPr>
            <w:tcW w:w="1041" w:type="pct"/>
            <w:vMerge w:val="restart"/>
            <w:noWrap w:val="0"/>
            <w:vAlign w:val="center"/>
          </w:tcPr>
          <w:p w14:paraId="58A2593E">
            <w:pPr>
              <w:pStyle w:val="27"/>
              <w:rPr>
                <w:rFonts w:ascii="Times New Roman" w:hAnsi="Times New Roman" w:eastAsia="宋体"/>
                <w:highlight w:val="none"/>
              </w:rPr>
            </w:pPr>
            <w:r>
              <w:rPr>
                <w:rFonts w:ascii="Times New Roman" w:hAnsi="Times New Roman" w:eastAsia="宋体"/>
                <w:highlight w:val="none"/>
              </w:rPr>
              <w:t>采用循环流化床低氮燃烧技术以及SNCR-SCR法脱硝+石灰石/石膏脱硫工艺+布袋除尘器法对锅炉烟气进行净化处理，通过</w:t>
            </w:r>
            <w:r>
              <w:rPr>
                <w:rFonts w:hint="eastAsia" w:ascii="Times New Roman" w:hAnsi="Times New Roman" w:eastAsia="宋体"/>
                <w:highlight w:val="none"/>
                <w:lang w:val="en-US" w:eastAsia="zh-CN"/>
              </w:rPr>
              <w:t>60</w:t>
            </w:r>
            <w:r>
              <w:rPr>
                <w:rFonts w:ascii="Times New Roman" w:hAnsi="Times New Roman" w:eastAsia="宋体"/>
                <w:highlight w:val="none"/>
              </w:rPr>
              <w:t>m高烟囱排放锅炉烟气</w:t>
            </w:r>
          </w:p>
        </w:tc>
        <w:tc>
          <w:tcPr>
            <w:tcW w:w="2052" w:type="pct"/>
            <w:vMerge w:val="restart"/>
            <w:noWrap w:val="0"/>
            <w:vAlign w:val="center"/>
          </w:tcPr>
          <w:p w14:paraId="6D98577C">
            <w:pPr>
              <w:pStyle w:val="27"/>
              <w:rPr>
                <w:rFonts w:ascii="Times New Roman" w:hAnsi="Times New Roman" w:eastAsia="宋体"/>
                <w:highlight w:val="none"/>
              </w:rPr>
            </w:pPr>
            <w:r>
              <w:rPr>
                <w:rFonts w:ascii="Times New Roman" w:hAnsi="Times New Roman" w:eastAsia="宋体"/>
                <w:highlight w:val="none"/>
              </w:rPr>
              <w:t>烟尘排放浓度≤10mg/m</w:t>
            </w:r>
            <w:r>
              <w:rPr>
                <w:rFonts w:ascii="Times New Roman" w:hAnsi="Times New Roman" w:eastAsia="宋体"/>
                <w:highlight w:val="none"/>
                <w:vertAlign w:val="superscript"/>
              </w:rPr>
              <w:t>3</w:t>
            </w:r>
            <w:r>
              <w:rPr>
                <w:rFonts w:ascii="Times New Roman" w:hAnsi="Times New Roman" w:eastAsia="宋体"/>
                <w:highlight w:val="none"/>
              </w:rPr>
              <w:t>、SO</w:t>
            </w:r>
            <w:r>
              <w:rPr>
                <w:rFonts w:ascii="Times New Roman" w:hAnsi="Times New Roman" w:eastAsia="宋体"/>
                <w:highlight w:val="none"/>
                <w:vertAlign w:val="subscript"/>
              </w:rPr>
              <w:t xml:space="preserve">2 </w:t>
            </w:r>
            <w:r>
              <w:rPr>
                <w:rFonts w:ascii="Times New Roman" w:hAnsi="Times New Roman" w:eastAsia="宋体"/>
                <w:highlight w:val="none"/>
              </w:rPr>
              <w:t>排放浓度≤35mg/m</w:t>
            </w:r>
            <w:r>
              <w:rPr>
                <w:rFonts w:ascii="Times New Roman" w:hAnsi="Times New Roman" w:eastAsia="宋体"/>
                <w:highlight w:val="none"/>
                <w:vertAlign w:val="superscript"/>
              </w:rPr>
              <w:t>3</w:t>
            </w:r>
            <w:r>
              <w:rPr>
                <w:rFonts w:ascii="Times New Roman" w:hAnsi="Times New Roman" w:eastAsia="宋体"/>
                <w:highlight w:val="none"/>
              </w:rPr>
              <w:t>、NOx 排放浓≤50mg/m</w:t>
            </w:r>
            <w:r>
              <w:rPr>
                <w:rFonts w:ascii="Times New Roman" w:hAnsi="Times New Roman" w:eastAsia="宋体"/>
                <w:highlight w:val="none"/>
                <w:vertAlign w:val="superscript"/>
              </w:rPr>
              <w:t>3</w:t>
            </w:r>
          </w:p>
        </w:tc>
      </w:tr>
      <w:tr w14:paraId="600FAD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258A12D5">
            <w:pPr>
              <w:pStyle w:val="27"/>
              <w:rPr>
                <w:rFonts w:ascii="Times New Roman" w:hAnsi="Times New Roman" w:eastAsia="宋体"/>
                <w:highlight w:val="none"/>
              </w:rPr>
            </w:pPr>
          </w:p>
        </w:tc>
        <w:tc>
          <w:tcPr>
            <w:tcW w:w="436" w:type="pct"/>
            <w:vMerge w:val="continue"/>
            <w:noWrap w:val="0"/>
            <w:vAlign w:val="center"/>
          </w:tcPr>
          <w:p w14:paraId="380FD01F">
            <w:pPr>
              <w:pStyle w:val="27"/>
              <w:rPr>
                <w:rFonts w:ascii="Times New Roman" w:hAnsi="Times New Roman" w:eastAsia="宋体"/>
                <w:highlight w:val="none"/>
              </w:rPr>
            </w:pPr>
          </w:p>
        </w:tc>
        <w:tc>
          <w:tcPr>
            <w:tcW w:w="389" w:type="pct"/>
            <w:noWrap w:val="0"/>
            <w:vAlign w:val="center"/>
          </w:tcPr>
          <w:p w14:paraId="6F299EC5">
            <w:pPr>
              <w:pStyle w:val="27"/>
              <w:rPr>
                <w:rFonts w:ascii="Times New Roman" w:hAnsi="Times New Roman" w:eastAsia="宋体"/>
                <w:highlight w:val="none"/>
              </w:rPr>
            </w:pPr>
            <w:r>
              <w:rPr>
                <w:rFonts w:ascii="Times New Roman" w:hAnsi="Times New Roman" w:eastAsia="宋体"/>
                <w:highlight w:val="none"/>
              </w:rPr>
              <w:t>SO</w:t>
            </w:r>
            <w:r>
              <w:rPr>
                <w:rFonts w:ascii="Times New Roman" w:hAnsi="Times New Roman" w:eastAsia="宋体"/>
                <w:highlight w:val="none"/>
                <w:vertAlign w:val="subscript"/>
              </w:rPr>
              <w:t>2</w:t>
            </w:r>
          </w:p>
        </w:tc>
        <w:tc>
          <w:tcPr>
            <w:tcW w:w="301" w:type="pct"/>
            <w:gridSpan w:val="2"/>
            <w:noWrap w:val="0"/>
            <w:vAlign w:val="center"/>
          </w:tcPr>
          <w:p w14:paraId="64F74361">
            <w:pPr>
              <w:pStyle w:val="27"/>
              <w:rPr>
                <w:rFonts w:ascii="Times New Roman" w:hAnsi="Times New Roman" w:eastAsia="宋体"/>
                <w:highlight w:val="none"/>
              </w:rPr>
            </w:pPr>
            <w:r>
              <w:rPr>
                <w:rFonts w:ascii="Times New Roman" w:hAnsi="Times New Roman" w:eastAsia="宋体"/>
                <w:highlight w:val="none"/>
              </w:rPr>
              <w:t>97</w:t>
            </w:r>
          </w:p>
        </w:tc>
        <w:tc>
          <w:tcPr>
            <w:tcW w:w="304" w:type="pct"/>
            <w:gridSpan w:val="2"/>
            <w:noWrap w:val="0"/>
            <w:vAlign w:val="center"/>
          </w:tcPr>
          <w:p w14:paraId="2E3CABB1">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9.746</w:t>
            </w:r>
          </w:p>
        </w:tc>
        <w:tc>
          <w:tcPr>
            <w:tcW w:w="324" w:type="pct"/>
            <w:noWrap w:val="0"/>
            <w:vAlign w:val="center"/>
          </w:tcPr>
          <w:p w14:paraId="5AF727F9">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7.352</w:t>
            </w:r>
          </w:p>
        </w:tc>
        <w:tc>
          <w:tcPr>
            <w:tcW w:w="1041" w:type="pct"/>
            <w:vMerge w:val="continue"/>
            <w:noWrap w:val="0"/>
            <w:vAlign w:val="center"/>
          </w:tcPr>
          <w:p w14:paraId="69008593">
            <w:pPr>
              <w:pStyle w:val="27"/>
              <w:rPr>
                <w:rFonts w:ascii="Times New Roman" w:hAnsi="Times New Roman" w:eastAsia="宋体"/>
                <w:highlight w:val="none"/>
              </w:rPr>
            </w:pPr>
          </w:p>
        </w:tc>
        <w:tc>
          <w:tcPr>
            <w:tcW w:w="2052" w:type="pct"/>
            <w:vMerge w:val="continue"/>
            <w:noWrap w:val="0"/>
            <w:vAlign w:val="center"/>
          </w:tcPr>
          <w:p w14:paraId="6246D0E2">
            <w:pPr>
              <w:pStyle w:val="27"/>
              <w:rPr>
                <w:rFonts w:ascii="Times New Roman" w:hAnsi="Times New Roman" w:eastAsia="宋体"/>
                <w:highlight w:val="none"/>
              </w:rPr>
            </w:pPr>
          </w:p>
        </w:tc>
      </w:tr>
      <w:tr w14:paraId="468D2A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766C3F0A">
            <w:pPr>
              <w:pStyle w:val="27"/>
              <w:rPr>
                <w:rFonts w:ascii="Times New Roman" w:hAnsi="Times New Roman" w:eastAsia="宋体"/>
                <w:highlight w:val="none"/>
              </w:rPr>
            </w:pPr>
          </w:p>
        </w:tc>
        <w:tc>
          <w:tcPr>
            <w:tcW w:w="436" w:type="pct"/>
            <w:vMerge w:val="continue"/>
            <w:noWrap w:val="0"/>
            <w:vAlign w:val="center"/>
          </w:tcPr>
          <w:p w14:paraId="2E18F754">
            <w:pPr>
              <w:pStyle w:val="27"/>
              <w:rPr>
                <w:rFonts w:ascii="Times New Roman" w:hAnsi="Times New Roman" w:eastAsia="宋体"/>
                <w:highlight w:val="none"/>
              </w:rPr>
            </w:pPr>
          </w:p>
        </w:tc>
        <w:tc>
          <w:tcPr>
            <w:tcW w:w="389" w:type="pct"/>
            <w:noWrap w:val="0"/>
            <w:vAlign w:val="center"/>
          </w:tcPr>
          <w:p w14:paraId="6F023A7B">
            <w:pPr>
              <w:pStyle w:val="27"/>
              <w:rPr>
                <w:rFonts w:ascii="Times New Roman" w:hAnsi="Times New Roman" w:eastAsia="宋体"/>
                <w:highlight w:val="none"/>
              </w:rPr>
            </w:pPr>
            <w:r>
              <w:rPr>
                <w:rFonts w:ascii="Times New Roman" w:hAnsi="Times New Roman" w:eastAsia="宋体"/>
                <w:highlight w:val="none"/>
              </w:rPr>
              <w:t>NO</w:t>
            </w:r>
            <w:r>
              <w:rPr>
                <w:rFonts w:ascii="Times New Roman" w:hAnsi="Times New Roman" w:eastAsia="宋体"/>
                <w:highlight w:val="none"/>
                <w:vertAlign w:val="subscript"/>
              </w:rPr>
              <w:t>x</w:t>
            </w:r>
          </w:p>
        </w:tc>
        <w:tc>
          <w:tcPr>
            <w:tcW w:w="301" w:type="pct"/>
            <w:gridSpan w:val="2"/>
            <w:noWrap w:val="0"/>
            <w:vAlign w:val="center"/>
          </w:tcPr>
          <w:p w14:paraId="4528FA62">
            <w:pPr>
              <w:pStyle w:val="27"/>
              <w:rPr>
                <w:rFonts w:ascii="Times New Roman" w:hAnsi="Times New Roman" w:eastAsia="宋体"/>
                <w:highlight w:val="none"/>
              </w:rPr>
            </w:pPr>
            <w:r>
              <w:rPr>
                <w:rFonts w:hint="eastAsia" w:ascii="Times New Roman" w:hAnsi="Times New Roman" w:eastAsia="宋体"/>
                <w:highlight w:val="none"/>
              </w:rPr>
              <w:t>75</w:t>
            </w:r>
          </w:p>
        </w:tc>
        <w:tc>
          <w:tcPr>
            <w:tcW w:w="304" w:type="pct"/>
            <w:gridSpan w:val="2"/>
            <w:noWrap w:val="0"/>
            <w:vAlign w:val="center"/>
          </w:tcPr>
          <w:p w14:paraId="18218A02">
            <w:pPr>
              <w:pStyle w:val="27"/>
              <w:rPr>
                <w:rFonts w:ascii="Times New Roman" w:hAnsi="Times New Roman" w:eastAsia="宋体"/>
                <w:highlight w:val="none"/>
              </w:rPr>
            </w:pPr>
            <w:r>
              <w:rPr>
                <w:rFonts w:hint="eastAsia" w:ascii="Times New Roman" w:hAnsi="Times New Roman" w:eastAsia="宋体"/>
                <w:highlight w:val="none"/>
              </w:rPr>
              <w:t>45</w:t>
            </w:r>
          </w:p>
        </w:tc>
        <w:tc>
          <w:tcPr>
            <w:tcW w:w="324" w:type="pct"/>
            <w:tcBorders>
              <w:bottom w:val="single" w:color="auto" w:sz="4" w:space="0"/>
            </w:tcBorders>
            <w:noWrap w:val="0"/>
            <w:vAlign w:val="center"/>
          </w:tcPr>
          <w:p w14:paraId="1ECEFBA3">
            <w:pPr>
              <w:spacing w:line="240" w:lineRule="auto"/>
              <w:ind w:firstLine="0" w:firstLineChars="0"/>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33.7968</w:t>
            </w:r>
          </w:p>
        </w:tc>
        <w:tc>
          <w:tcPr>
            <w:tcW w:w="1041" w:type="pct"/>
            <w:vMerge w:val="continue"/>
            <w:noWrap w:val="0"/>
            <w:vAlign w:val="center"/>
          </w:tcPr>
          <w:p w14:paraId="2E879111">
            <w:pPr>
              <w:pStyle w:val="27"/>
              <w:rPr>
                <w:rFonts w:ascii="Times New Roman" w:hAnsi="Times New Roman" w:eastAsia="宋体"/>
                <w:highlight w:val="none"/>
              </w:rPr>
            </w:pPr>
          </w:p>
        </w:tc>
        <w:tc>
          <w:tcPr>
            <w:tcW w:w="2052" w:type="pct"/>
            <w:vMerge w:val="continue"/>
            <w:noWrap w:val="0"/>
            <w:vAlign w:val="center"/>
          </w:tcPr>
          <w:p w14:paraId="47B555D8">
            <w:pPr>
              <w:pStyle w:val="27"/>
              <w:rPr>
                <w:rFonts w:ascii="Times New Roman" w:hAnsi="Times New Roman" w:eastAsia="宋体"/>
                <w:highlight w:val="none"/>
              </w:rPr>
            </w:pPr>
          </w:p>
        </w:tc>
      </w:tr>
      <w:tr w14:paraId="4625F7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8" w:hRule="atLeast"/>
          <w:jc w:val="center"/>
        </w:trPr>
        <w:tc>
          <w:tcPr>
            <w:tcW w:w="150" w:type="pct"/>
            <w:vMerge w:val="continue"/>
            <w:noWrap w:val="0"/>
            <w:vAlign w:val="center"/>
          </w:tcPr>
          <w:p w14:paraId="01843933">
            <w:pPr>
              <w:pStyle w:val="27"/>
              <w:rPr>
                <w:rFonts w:ascii="Times New Roman" w:hAnsi="Times New Roman" w:eastAsia="宋体"/>
                <w:highlight w:val="none"/>
              </w:rPr>
            </w:pPr>
          </w:p>
        </w:tc>
        <w:tc>
          <w:tcPr>
            <w:tcW w:w="436" w:type="pct"/>
            <w:vMerge w:val="continue"/>
            <w:noWrap w:val="0"/>
            <w:vAlign w:val="center"/>
          </w:tcPr>
          <w:p w14:paraId="6605DAD5">
            <w:pPr>
              <w:pStyle w:val="27"/>
              <w:rPr>
                <w:rFonts w:ascii="Times New Roman" w:hAnsi="Times New Roman" w:eastAsia="宋体"/>
                <w:highlight w:val="none"/>
              </w:rPr>
            </w:pPr>
          </w:p>
        </w:tc>
        <w:tc>
          <w:tcPr>
            <w:tcW w:w="389" w:type="pct"/>
            <w:noWrap w:val="0"/>
            <w:vAlign w:val="center"/>
          </w:tcPr>
          <w:p w14:paraId="74C928A3">
            <w:pPr>
              <w:pStyle w:val="27"/>
              <w:rPr>
                <w:rFonts w:ascii="Times New Roman" w:hAnsi="Times New Roman" w:eastAsia="宋体"/>
                <w:highlight w:val="none"/>
              </w:rPr>
            </w:pPr>
            <w:r>
              <w:rPr>
                <w:rFonts w:ascii="Times New Roman" w:hAnsi="Times New Roman" w:eastAsia="宋体"/>
                <w:highlight w:val="none"/>
              </w:rPr>
              <w:t>汞及其化合物</w:t>
            </w:r>
          </w:p>
        </w:tc>
        <w:tc>
          <w:tcPr>
            <w:tcW w:w="301" w:type="pct"/>
            <w:gridSpan w:val="2"/>
            <w:tcBorders>
              <w:right w:val="single" w:color="auto" w:sz="4" w:space="0"/>
            </w:tcBorders>
            <w:noWrap w:val="0"/>
            <w:vAlign w:val="center"/>
          </w:tcPr>
          <w:p w14:paraId="3C6E8279">
            <w:pPr>
              <w:pStyle w:val="27"/>
              <w:rPr>
                <w:rFonts w:ascii="Times New Roman" w:hAnsi="Times New Roman" w:eastAsia="宋体"/>
                <w:highlight w:val="none"/>
              </w:rPr>
            </w:pPr>
            <w:r>
              <w:rPr>
                <w:rFonts w:ascii="Times New Roman" w:hAnsi="Times New Roman" w:eastAsia="宋体"/>
                <w:highlight w:val="none"/>
              </w:rPr>
              <w:t>70</w:t>
            </w:r>
          </w:p>
        </w:tc>
        <w:tc>
          <w:tcPr>
            <w:tcW w:w="304" w:type="pct"/>
            <w:gridSpan w:val="2"/>
            <w:tcBorders>
              <w:left w:val="single" w:color="auto" w:sz="4" w:space="0"/>
              <w:right w:val="single" w:color="auto" w:sz="4" w:space="0"/>
            </w:tcBorders>
            <w:noWrap w:val="0"/>
            <w:vAlign w:val="center"/>
          </w:tcPr>
          <w:p w14:paraId="7D0C8A0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0.0073</w:t>
            </w:r>
          </w:p>
        </w:tc>
        <w:tc>
          <w:tcPr>
            <w:tcW w:w="324" w:type="pct"/>
            <w:tcBorders>
              <w:top w:val="single" w:color="auto" w:sz="4" w:space="0"/>
              <w:left w:val="single" w:color="auto" w:sz="4" w:space="0"/>
            </w:tcBorders>
            <w:noWrap w:val="0"/>
            <w:vAlign w:val="center"/>
          </w:tcPr>
          <w:p w14:paraId="57BC36A3">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0.0055</w:t>
            </w:r>
          </w:p>
        </w:tc>
        <w:tc>
          <w:tcPr>
            <w:tcW w:w="1041" w:type="pct"/>
            <w:vMerge w:val="continue"/>
            <w:noWrap w:val="0"/>
            <w:vAlign w:val="center"/>
          </w:tcPr>
          <w:p w14:paraId="41F64EA9">
            <w:pPr>
              <w:pStyle w:val="27"/>
              <w:rPr>
                <w:rFonts w:ascii="Times New Roman" w:hAnsi="Times New Roman" w:eastAsia="宋体"/>
                <w:highlight w:val="none"/>
              </w:rPr>
            </w:pPr>
          </w:p>
        </w:tc>
        <w:tc>
          <w:tcPr>
            <w:tcW w:w="2052" w:type="pct"/>
            <w:vMerge w:val="restart"/>
            <w:tcBorders>
              <w:top w:val="single" w:color="auto" w:sz="4" w:space="0"/>
            </w:tcBorders>
            <w:noWrap w:val="0"/>
            <w:vAlign w:val="center"/>
          </w:tcPr>
          <w:p w14:paraId="06F0B14E">
            <w:pPr>
              <w:pStyle w:val="27"/>
              <w:rPr>
                <w:rFonts w:ascii="Times New Roman" w:hAnsi="Times New Roman" w:eastAsia="宋体"/>
                <w:highlight w:val="none"/>
              </w:rPr>
            </w:pPr>
            <w:r>
              <w:rPr>
                <w:rFonts w:hint="eastAsia" w:ascii="Times New Roman" w:hAnsi="Times New Roman"/>
                <w:color w:val="auto"/>
                <w:highlight w:val="none"/>
              </w:rPr>
              <w:t>《火电厂大气污染物排放标准》(GB13223-2011)表1中燃煤锅炉大气污染物排放标准限值：0.03mg/m</w:t>
            </w:r>
            <w:r>
              <w:rPr>
                <w:rFonts w:hint="eastAsia" w:ascii="Times New Roman" w:hAnsi="Times New Roman"/>
                <w:color w:val="auto"/>
                <w:highlight w:val="none"/>
                <w:vertAlign w:val="superscript"/>
              </w:rPr>
              <w:t>3</w:t>
            </w:r>
            <w:r>
              <w:rPr>
                <w:rFonts w:hint="eastAsia" w:ascii="Times New Roman" w:hAnsi="Times New Roman"/>
                <w:color w:val="auto"/>
                <w:highlight w:val="none"/>
              </w:rPr>
              <w:t>、1级</w:t>
            </w:r>
          </w:p>
        </w:tc>
      </w:tr>
      <w:tr w14:paraId="6E50079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8" w:hRule="atLeast"/>
          <w:jc w:val="center"/>
        </w:trPr>
        <w:tc>
          <w:tcPr>
            <w:tcW w:w="150" w:type="pct"/>
            <w:vMerge w:val="continue"/>
            <w:noWrap w:val="0"/>
            <w:vAlign w:val="center"/>
          </w:tcPr>
          <w:p w14:paraId="35BB6B4C">
            <w:pPr>
              <w:pStyle w:val="27"/>
              <w:rPr>
                <w:rFonts w:ascii="Times New Roman" w:hAnsi="Times New Roman" w:eastAsia="宋体"/>
                <w:highlight w:val="none"/>
              </w:rPr>
            </w:pPr>
          </w:p>
        </w:tc>
        <w:tc>
          <w:tcPr>
            <w:tcW w:w="436" w:type="pct"/>
            <w:vMerge w:val="continue"/>
            <w:noWrap w:val="0"/>
            <w:vAlign w:val="center"/>
          </w:tcPr>
          <w:p w14:paraId="3467FD53">
            <w:pPr>
              <w:pStyle w:val="27"/>
              <w:rPr>
                <w:rFonts w:ascii="Times New Roman" w:hAnsi="Times New Roman" w:eastAsia="宋体"/>
                <w:highlight w:val="none"/>
              </w:rPr>
            </w:pPr>
          </w:p>
        </w:tc>
        <w:tc>
          <w:tcPr>
            <w:tcW w:w="389" w:type="pct"/>
            <w:noWrap w:val="0"/>
            <w:vAlign w:val="center"/>
          </w:tcPr>
          <w:p w14:paraId="0BBB6AEE">
            <w:pPr>
              <w:pStyle w:val="27"/>
              <w:rPr>
                <w:rFonts w:ascii="Times New Roman" w:hAnsi="Times New Roman" w:eastAsia="宋体"/>
                <w:highlight w:val="none"/>
              </w:rPr>
            </w:pPr>
            <w:r>
              <w:rPr>
                <w:rFonts w:ascii="Times New Roman" w:hAnsi="Times New Roman" w:eastAsia="宋体"/>
                <w:highlight w:val="none"/>
              </w:rPr>
              <w:t>林格曼黑度</w:t>
            </w:r>
          </w:p>
        </w:tc>
        <w:tc>
          <w:tcPr>
            <w:tcW w:w="301" w:type="pct"/>
            <w:gridSpan w:val="2"/>
            <w:tcBorders>
              <w:right w:val="single" w:color="auto" w:sz="4" w:space="0"/>
            </w:tcBorders>
            <w:noWrap w:val="0"/>
            <w:vAlign w:val="center"/>
          </w:tcPr>
          <w:p w14:paraId="274766ED">
            <w:pPr>
              <w:pStyle w:val="27"/>
              <w:rPr>
                <w:rFonts w:ascii="Times New Roman" w:hAnsi="Times New Roman" w:eastAsia="宋体"/>
                <w:highlight w:val="none"/>
              </w:rPr>
            </w:pPr>
            <w:r>
              <w:rPr>
                <w:rFonts w:hint="eastAsia" w:ascii="Times New Roman" w:hAnsi="Times New Roman" w:eastAsia="宋体"/>
                <w:highlight w:val="none"/>
              </w:rPr>
              <w:t>/</w:t>
            </w:r>
          </w:p>
        </w:tc>
        <w:tc>
          <w:tcPr>
            <w:tcW w:w="304" w:type="pct"/>
            <w:gridSpan w:val="2"/>
            <w:tcBorders>
              <w:left w:val="single" w:color="auto" w:sz="4" w:space="0"/>
              <w:right w:val="single" w:color="auto" w:sz="4" w:space="0"/>
            </w:tcBorders>
            <w:noWrap w:val="0"/>
            <w:vAlign w:val="center"/>
          </w:tcPr>
          <w:p w14:paraId="763751F2">
            <w:pPr>
              <w:pStyle w:val="27"/>
              <w:rPr>
                <w:rFonts w:ascii="Times New Roman" w:hAnsi="Times New Roman" w:eastAsia="宋体"/>
                <w:highlight w:val="none"/>
              </w:rPr>
            </w:pPr>
            <w:r>
              <w:rPr>
                <w:rFonts w:hint="eastAsia" w:ascii="Times New Roman" w:hAnsi="Times New Roman" w:eastAsia="宋体"/>
                <w:highlight w:val="none"/>
              </w:rPr>
              <w:t>/</w:t>
            </w:r>
          </w:p>
        </w:tc>
        <w:tc>
          <w:tcPr>
            <w:tcW w:w="324" w:type="pct"/>
            <w:tcBorders>
              <w:top w:val="single" w:color="auto" w:sz="4" w:space="0"/>
              <w:left w:val="single" w:color="auto" w:sz="4" w:space="0"/>
            </w:tcBorders>
            <w:noWrap w:val="0"/>
            <w:vAlign w:val="center"/>
          </w:tcPr>
          <w:p w14:paraId="3474731A">
            <w:pPr>
              <w:pStyle w:val="27"/>
              <w:rPr>
                <w:rFonts w:ascii="Times New Roman" w:hAnsi="Times New Roman" w:eastAsia="宋体"/>
                <w:highlight w:val="none"/>
              </w:rPr>
            </w:pPr>
            <w:r>
              <w:rPr>
                <w:rFonts w:hint="eastAsia" w:ascii="Times New Roman" w:hAnsi="Times New Roman" w:eastAsia="宋体"/>
                <w:highlight w:val="none"/>
              </w:rPr>
              <w:t>/</w:t>
            </w:r>
          </w:p>
        </w:tc>
        <w:tc>
          <w:tcPr>
            <w:tcW w:w="1041" w:type="pct"/>
            <w:vMerge w:val="continue"/>
            <w:noWrap w:val="0"/>
            <w:vAlign w:val="center"/>
          </w:tcPr>
          <w:p w14:paraId="1F40A2EB">
            <w:pPr>
              <w:pStyle w:val="27"/>
              <w:rPr>
                <w:rFonts w:ascii="Times New Roman" w:hAnsi="Times New Roman" w:eastAsia="宋体"/>
                <w:highlight w:val="none"/>
              </w:rPr>
            </w:pPr>
          </w:p>
        </w:tc>
        <w:tc>
          <w:tcPr>
            <w:tcW w:w="2052" w:type="pct"/>
            <w:vMerge w:val="continue"/>
            <w:noWrap w:val="0"/>
            <w:vAlign w:val="center"/>
          </w:tcPr>
          <w:p w14:paraId="54EE5560">
            <w:pPr>
              <w:pStyle w:val="27"/>
              <w:rPr>
                <w:rFonts w:ascii="Times New Roman" w:hAnsi="Times New Roman" w:eastAsia="宋体"/>
                <w:highlight w:val="none"/>
              </w:rPr>
            </w:pPr>
          </w:p>
        </w:tc>
      </w:tr>
      <w:tr w14:paraId="0CD5A4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8" w:hRule="atLeast"/>
          <w:jc w:val="center"/>
        </w:trPr>
        <w:tc>
          <w:tcPr>
            <w:tcW w:w="150" w:type="pct"/>
            <w:vMerge w:val="continue"/>
            <w:noWrap w:val="0"/>
            <w:vAlign w:val="center"/>
          </w:tcPr>
          <w:p w14:paraId="791AACF8">
            <w:pPr>
              <w:pStyle w:val="27"/>
              <w:rPr>
                <w:rFonts w:ascii="Times New Roman" w:hAnsi="Times New Roman" w:eastAsia="宋体"/>
                <w:highlight w:val="none"/>
              </w:rPr>
            </w:pPr>
          </w:p>
        </w:tc>
        <w:tc>
          <w:tcPr>
            <w:tcW w:w="436" w:type="pct"/>
            <w:vMerge w:val="continue"/>
            <w:noWrap w:val="0"/>
            <w:vAlign w:val="center"/>
          </w:tcPr>
          <w:p w14:paraId="63352E32">
            <w:pPr>
              <w:pStyle w:val="27"/>
              <w:rPr>
                <w:rFonts w:ascii="Times New Roman" w:hAnsi="Times New Roman" w:eastAsia="宋体"/>
                <w:highlight w:val="none"/>
              </w:rPr>
            </w:pPr>
          </w:p>
        </w:tc>
        <w:tc>
          <w:tcPr>
            <w:tcW w:w="389" w:type="pct"/>
            <w:noWrap w:val="0"/>
            <w:vAlign w:val="center"/>
          </w:tcPr>
          <w:p w14:paraId="68B95022">
            <w:pPr>
              <w:pStyle w:val="27"/>
              <w:rPr>
                <w:rFonts w:ascii="Times New Roman" w:hAnsi="Times New Roman" w:eastAsia="宋体"/>
                <w:highlight w:val="none"/>
              </w:rPr>
            </w:pPr>
            <w:r>
              <w:rPr>
                <w:rFonts w:hint="eastAsia" w:ascii="Times New Roman" w:hAnsi="Times New Roman" w:eastAsia="宋体"/>
                <w:highlight w:val="none"/>
              </w:rPr>
              <w:t>氨</w:t>
            </w:r>
          </w:p>
        </w:tc>
        <w:tc>
          <w:tcPr>
            <w:tcW w:w="301" w:type="pct"/>
            <w:gridSpan w:val="2"/>
            <w:tcBorders>
              <w:right w:val="single" w:color="auto" w:sz="4" w:space="0"/>
            </w:tcBorders>
            <w:noWrap w:val="0"/>
            <w:vAlign w:val="center"/>
          </w:tcPr>
          <w:p w14:paraId="77E729EA">
            <w:pPr>
              <w:pStyle w:val="27"/>
              <w:rPr>
                <w:rFonts w:ascii="Times New Roman" w:hAnsi="Times New Roman" w:eastAsia="宋体"/>
                <w:highlight w:val="none"/>
              </w:rPr>
            </w:pPr>
            <w:r>
              <w:rPr>
                <w:rFonts w:hint="eastAsia" w:ascii="Times New Roman" w:hAnsi="Times New Roman" w:eastAsia="宋体"/>
                <w:highlight w:val="none"/>
              </w:rPr>
              <w:t>/</w:t>
            </w:r>
          </w:p>
        </w:tc>
        <w:tc>
          <w:tcPr>
            <w:tcW w:w="304" w:type="pct"/>
            <w:gridSpan w:val="2"/>
            <w:tcBorders>
              <w:left w:val="single" w:color="auto" w:sz="4" w:space="0"/>
              <w:right w:val="single" w:color="auto" w:sz="4" w:space="0"/>
            </w:tcBorders>
            <w:noWrap w:val="0"/>
            <w:vAlign w:val="center"/>
          </w:tcPr>
          <w:p w14:paraId="395B73F9">
            <w:pPr>
              <w:pStyle w:val="27"/>
              <w:rPr>
                <w:rFonts w:ascii="Times New Roman" w:hAnsi="Times New Roman" w:eastAsia="宋体"/>
                <w:highlight w:val="none"/>
              </w:rPr>
            </w:pPr>
            <w:r>
              <w:rPr>
                <w:rFonts w:hint="eastAsia" w:ascii="Times New Roman" w:hAnsi="Times New Roman" w:eastAsia="宋体"/>
                <w:highlight w:val="none"/>
              </w:rPr>
              <w:t>2.5</w:t>
            </w:r>
          </w:p>
        </w:tc>
        <w:tc>
          <w:tcPr>
            <w:tcW w:w="324" w:type="pct"/>
            <w:tcBorders>
              <w:top w:val="single" w:color="auto" w:sz="4" w:space="0"/>
              <w:left w:val="single" w:color="auto" w:sz="4" w:space="0"/>
            </w:tcBorders>
            <w:noWrap w:val="0"/>
            <w:vAlign w:val="center"/>
          </w:tcPr>
          <w:p w14:paraId="6FB35406">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1.88</w:t>
            </w:r>
          </w:p>
        </w:tc>
        <w:tc>
          <w:tcPr>
            <w:tcW w:w="1041" w:type="pct"/>
            <w:vMerge w:val="continue"/>
            <w:noWrap w:val="0"/>
            <w:vAlign w:val="center"/>
          </w:tcPr>
          <w:p w14:paraId="4685F6C8">
            <w:pPr>
              <w:pStyle w:val="27"/>
              <w:rPr>
                <w:rFonts w:ascii="Times New Roman" w:hAnsi="Times New Roman" w:eastAsia="宋体"/>
                <w:highlight w:val="none"/>
              </w:rPr>
            </w:pPr>
          </w:p>
        </w:tc>
        <w:tc>
          <w:tcPr>
            <w:tcW w:w="2052" w:type="pct"/>
            <w:tcBorders>
              <w:top w:val="single" w:color="auto" w:sz="4" w:space="0"/>
            </w:tcBorders>
            <w:noWrap w:val="0"/>
            <w:vAlign w:val="center"/>
          </w:tcPr>
          <w:p w14:paraId="01F1A8AE">
            <w:pPr>
              <w:pStyle w:val="27"/>
              <w:rPr>
                <w:rFonts w:ascii="Times New Roman" w:hAnsi="Times New Roman" w:eastAsia="宋体"/>
                <w:highlight w:val="none"/>
              </w:rPr>
            </w:pPr>
            <w:r>
              <w:rPr>
                <w:rFonts w:hint="eastAsia" w:ascii="Times New Roman" w:hAnsi="Times New Roman" w:eastAsia="宋体"/>
                <w:highlight w:val="none"/>
              </w:rPr>
              <w:t>有组织排放能够满足《火电厂烟气脱硝工程技术规范选择性催化还原法》（HJ562-2010）要求脱硝系统氨逃逸质量浓度宜小于2.5mg/m</w:t>
            </w:r>
            <w:r>
              <w:rPr>
                <w:rFonts w:hint="eastAsia" w:ascii="Times New Roman" w:hAnsi="Times New Roman" w:eastAsia="宋体"/>
                <w:highlight w:val="none"/>
                <w:vertAlign w:val="superscript"/>
              </w:rPr>
              <w:t>3</w:t>
            </w:r>
            <w:r>
              <w:rPr>
                <w:rFonts w:hint="eastAsia" w:ascii="Times New Roman" w:hAnsi="Times New Roman" w:eastAsia="宋体"/>
                <w:highlight w:val="none"/>
              </w:rPr>
              <w:t>的要求；氨排放浓度满足《恶臭污染物排放标准》（GB14554-93）表</w:t>
            </w:r>
            <w:r>
              <w:rPr>
                <w:rFonts w:hint="eastAsia" w:ascii="Times New Roman" w:hAnsi="Times New Roman" w:eastAsia="宋体"/>
                <w:highlight w:val="none"/>
                <w:lang w:val="en-US" w:eastAsia="zh-CN"/>
              </w:rPr>
              <w:t>1</w:t>
            </w:r>
            <w:r>
              <w:rPr>
                <w:rFonts w:hint="eastAsia" w:ascii="Times New Roman" w:hAnsi="Times New Roman" w:eastAsia="宋体"/>
                <w:highlight w:val="none"/>
              </w:rPr>
              <w:t>恶臭污染物排放标准值</w:t>
            </w:r>
          </w:p>
        </w:tc>
      </w:tr>
      <w:tr w14:paraId="4AD15A9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818" w:hRule="atLeast"/>
          <w:jc w:val="center"/>
        </w:trPr>
        <w:tc>
          <w:tcPr>
            <w:tcW w:w="150" w:type="pct"/>
            <w:vMerge w:val="continue"/>
            <w:noWrap w:val="0"/>
            <w:vAlign w:val="center"/>
          </w:tcPr>
          <w:p w14:paraId="418DFF11">
            <w:pPr>
              <w:pStyle w:val="27"/>
              <w:rPr>
                <w:rFonts w:ascii="Times New Roman" w:hAnsi="Times New Roman" w:eastAsia="宋体"/>
                <w:highlight w:val="none"/>
              </w:rPr>
            </w:pPr>
          </w:p>
        </w:tc>
        <w:tc>
          <w:tcPr>
            <w:tcW w:w="436" w:type="pct"/>
            <w:noWrap w:val="0"/>
            <w:vAlign w:val="center"/>
          </w:tcPr>
          <w:p w14:paraId="2DA552F3">
            <w:pPr>
              <w:pStyle w:val="27"/>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碎煤机室</w:t>
            </w:r>
          </w:p>
        </w:tc>
        <w:tc>
          <w:tcPr>
            <w:tcW w:w="389" w:type="pct"/>
            <w:noWrap w:val="0"/>
            <w:vAlign w:val="center"/>
          </w:tcPr>
          <w:p w14:paraId="1F05A322">
            <w:pPr>
              <w:pStyle w:val="27"/>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粉尘</w:t>
            </w:r>
          </w:p>
        </w:tc>
        <w:tc>
          <w:tcPr>
            <w:tcW w:w="301" w:type="pct"/>
            <w:gridSpan w:val="2"/>
            <w:tcBorders>
              <w:right w:val="single" w:color="auto" w:sz="4" w:space="0"/>
            </w:tcBorders>
            <w:noWrap w:val="0"/>
            <w:vAlign w:val="center"/>
          </w:tcPr>
          <w:p w14:paraId="0FE2B13F">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99.9</w:t>
            </w:r>
          </w:p>
        </w:tc>
        <w:tc>
          <w:tcPr>
            <w:tcW w:w="304" w:type="pct"/>
            <w:gridSpan w:val="2"/>
            <w:tcBorders>
              <w:left w:val="single" w:color="auto" w:sz="4" w:space="0"/>
              <w:right w:val="single" w:color="auto" w:sz="4" w:space="0"/>
            </w:tcBorders>
            <w:noWrap w:val="0"/>
            <w:vAlign w:val="center"/>
          </w:tcPr>
          <w:p w14:paraId="09AA5271">
            <w:pPr>
              <w:pStyle w:val="27"/>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4</w:t>
            </w:r>
          </w:p>
        </w:tc>
        <w:tc>
          <w:tcPr>
            <w:tcW w:w="324" w:type="pct"/>
            <w:tcBorders>
              <w:top w:val="single" w:color="auto" w:sz="4" w:space="0"/>
              <w:left w:val="single" w:color="auto" w:sz="4" w:space="0"/>
            </w:tcBorders>
            <w:noWrap w:val="0"/>
            <w:vAlign w:val="center"/>
          </w:tcPr>
          <w:p w14:paraId="19550FD5">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0.0081</w:t>
            </w:r>
          </w:p>
        </w:tc>
        <w:tc>
          <w:tcPr>
            <w:tcW w:w="1041" w:type="pct"/>
            <w:noWrap w:val="0"/>
            <w:vAlign w:val="center"/>
          </w:tcPr>
          <w:p w14:paraId="2A3DB07F">
            <w:pPr>
              <w:pStyle w:val="27"/>
              <w:rPr>
                <w:rFonts w:ascii="Times New Roman" w:hAnsi="Times New Roman" w:eastAsia="宋体"/>
                <w:highlight w:val="none"/>
              </w:rPr>
            </w:pPr>
            <w:r>
              <w:rPr>
                <w:rFonts w:ascii="Times New Roman" w:hAnsi="Times New Roman" w:eastAsia="宋体"/>
                <w:highlight w:val="none"/>
              </w:rPr>
              <w:t>密闭</w:t>
            </w:r>
            <w:r>
              <w:rPr>
                <w:rFonts w:hint="eastAsia" w:ascii="Times New Roman" w:hAnsi="Times New Roman" w:eastAsia="宋体"/>
                <w:highlight w:val="none"/>
              </w:rPr>
              <w:t>+布袋除尘器</w:t>
            </w:r>
          </w:p>
        </w:tc>
        <w:tc>
          <w:tcPr>
            <w:tcW w:w="2052" w:type="pct"/>
            <w:tcBorders>
              <w:top w:val="single" w:color="auto" w:sz="4" w:space="0"/>
            </w:tcBorders>
            <w:noWrap w:val="0"/>
            <w:vAlign w:val="center"/>
          </w:tcPr>
          <w:p w14:paraId="53735E47">
            <w:pPr>
              <w:pStyle w:val="27"/>
              <w:rPr>
                <w:rFonts w:hint="eastAsia" w:ascii="Times New Roman" w:hAnsi="Times New Roman" w:eastAsia="宋体"/>
                <w:highlight w:val="none"/>
              </w:rPr>
            </w:pPr>
            <w:r>
              <w:rPr>
                <w:rFonts w:hint="eastAsia" w:ascii="Times New Roman" w:hAnsi="Times New Roman" w:eastAsia="宋体"/>
                <w:highlight w:val="none"/>
                <w:lang w:val="en-US" w:eastAsia="zh-CN"/>
              </w:rPr>
              <w:t>满足《大气污染物综合排放标准》</w:t>
            </w:r>
            <w:r>
              <w:rPr>
                <w:rFonts w:hint="eastAsia" w:ascii="Times New Roman" w:hAnsi="Times New Roman" w:eastAsia="宋体"/>
                <w:highlight w:val="none"/>
              </w:rPr>
              <w:t>(GB16297-1996）表2中</w:t>
            </w:r>
            <w:r>
              <w:rPr>
                <w:rFonts w:hint="eastAsia" w:ascii="Times New Roman" w:hAnsi="Times New Roman" w:eastAsia="宋体"/>
                <w:highlight w:val="none"/>
                <w:lang w:val="en-US" w:eastAsia="zh-CN"/>
              </w:rPr>
              <w:t>有</w:t>
            </w:r>
            <w:r>
              <w:rPr>
                <w:rFonts w:hint="eastAsia" w:ascii="Times New Roman" w:hAnsi="Times New Roman" w:eastAsia="宋体"/>
                <w:highlight w:val="none"/>
              </w:rPr>
              <w:t>组织排放监控浓度</w:t>
            </w:r>
            <w:r>
              <w:rPr>
                <w:rFonts w:hint="eastAsia" w:ascii="Times New Roman" w:hAnsi="Times New Roman" w:eastAsia="宋体"/>
                <w:highlight w:val="none"/>
                <w:lang w:val="en-US" w:eastAsia="zh-CN"/>
              </w:rPr>
              <w:t>，</w:t>
            </w:r>
            <w:r>
              <w:rPr>
                <w:rFonts w:hint="eastAsia" w:ascii="Times New Roman" w:hAnsi="Times New Roman" w:eastAsia="宋体"/>
                <w:highlight w:val="none"/>
              </w:rPr>
              <w:t>本项目排气筒按高度对应的表列排放速率标准值严格50%执行</w:t>
            </w:r>
          </w:p>
        </w:tc>
      </w:tr>
      <w:tr w14:paraId="05C6C6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0640D75E">
            <w:pPr>
              <w:pStyle w:val="27"/>
              <w:rPr>
                <w:rFonts w:ascii="Times New Roman" w:hAnsi="Times New Roman" w:eastAsia="宋体"/>
                <w:highlight w:val="none"/>
              </w:rPr>
            </w:pPr>
          </w:p>
        </w:tc>
        <w:tc>
          <w:tcPr>
            <w:tcW w:w="436" w:type="pct"/>
            <w:noWrap w:val="0"/>
            <w:vAlign w:val="center"/>
          </w:tcPr>
          <w:p w14:paraId="5F2DB719">
            <w:pPr>
              <w:pStyle w:val="27"/>
              <w:rPr>
                <w:rFonts w:ascii="Times New Roman" w:hAnsi="Times New Roman" w:eastAsia="宋体"/>
                <w:highlight w:val="none"/>
              </w:rPr>
            </w:pPr>
            <w:r>
              <w:rPr>
                <w:rFonts w:hint="eastAsia" w:ascii="Times New Roman" w:hAnsi="Times New Roman" w:eastAsia="宋体"/>
                <w:highlight w:val="none"/>
              </w:rPr>
              <w:t>灰仓</w:t>
            </w:r>
          </w:p>
        </w:tc>
        <w:tc>
          <w:tcPr>
            <w:tcW w:w="389" w:type="pct"/>
            <w:noWrap w:val="0"/>
            <w:vAlign w:val="center"/>
          </w:tcPr>
          <w:p w14:paraId="0782A879">
            <w:pPr>
              <w:pStyle w:val="27"/>
              <w:rPr>
                <w:rFonts w:ascii="Times New Roman" w:hAnsi="Times New Roman" w:eastAsia="宋体"/>
                <w:highlight w:val="none"/>
              </w:rPr>
            </w:pPr>
            <w:r>
              <w:rPr>
                <w:rFonts w:ascii="Times New Roman" w:hAnsi="Times New Roman" w:eastAsia="宋体"/>
                <w:highlight w:val="none"/>
              </w:rPr>
              <w:t>粉尘</w:t>
            </w:r>
          </w:p>
        </w:tc>
        <w:tc>
          <w:tcPr>
            <w:tcW w:w="301" w:type="pct"/>
            <w:gridSpan w:val="2"/>
            <w:tcBorders>
              <w:right w:val="single" w:color="auto" w:sz="4" w:space="0"/>
            </w:tcBorders>
            <w:noWrap w:val="0"/>
            <w:vAlign w:val="center"/>
          </w:tcPr>
          <w:p w14:paraId="429435CE">
            <w:pPr>
              <w:pStyle w:val="27"/>
              <w:rPr>
                <w:rFonts w:ascii="Times New Roman" w:hAnsi="Times New Roman" w:eastAsia="宋体"/>
                <w:highlight w:val="none"/>
              </w:rPr>
            </w:pPr>
            <w:r>
              <w:rPr>
                <w:rFonts w:ascii="Times New Roman" w:hAnsi="Times New Roman" w:eastAsia="宋体"/>
                <w:highlight w:val="none"/>
              </w:rPr>
              <w:t>99</w:t>
            </w:r>
          </w:p>
        </w:tc>
        <w:tc>
          <w:tcPr>
            <w:tcW w:w="304" w:type="pct"/>
            <w:gridSpan w:val="2"/>
            <w:tcBorders>
              <w:left w:val="single" w:color="auto" w:sz="4" w:space="0"/>
              <w:right w:val="single" w:color="auto" w:sz="4" w:space="0"/>
            </w:tcBorders>
            <w:noWrap w:val="0"/>
            <w:vAlign w:val="center"/>
          </w:tcPr>
          <w:p w14:paraId="7B2B2438">
            <w:pPr>
              <w:pStyle w:val="27"/>
              <w:rPr>
                <w:rFonts w:ascii="Times New Roman" w:hAnsi="Times New Roman" w:eastAsia="宋体"/>
                <w:highlight w:val="none"/>
              </w:rPr>
            </w:pPr>
            <w:r>
              <w:rPr>
                <w:rFonts w:ascii="Times New Roman" w:hAnsi="Times New Roman" w:eastAsia="宋体"/>
                <w:highlight w:val="none"/>
              </w:rPr>
              <w:t>/</w:t>
            </w:r>
          </w:p>
        </w:tc>
        <w:tc>
          <w:tcPr>
            <w:tcW w:w="324" w:type="pct"/>
            <w:tcBorders>
              <w:left w:val="single" w:color="auto" w:sz="4" w:space="0"/>
              <w:right w:val="single" w:color="auto" w:sz="4" w:space="0"/>
            </w:tcBorders>
            <w:noWrap w:val="0"/>
            <w:vAlign w:val="center"/>
          </w:tcPr>
          <w:p w14:paraId="4A2B22D7">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0.0605</w:t>
            </w:r>
          </w:p>
        </w:tc>
        <w:tc>
          <w:tcPr>
            <w:tcW w:w="1041" w:type="pct"/>
            <w:tcBorders>
              <w:left w:val="single" w:color="auto" w:sz="4" w:space="0"/>
              <w:bottom w:val="single" w:color="auto" w:sz="4" w:space="0"/>
            </w:tcBorders>
            <w:noWrap w:val="0"/>
            <w:vAlign w:val="center"/>
          </w:tcPr>
          <w:p w14:paraId="73545AF9">
            <w:pPr>
              <w:pStyle w:val="27"/>
              <w:rPr>
                <w:rFonts w:ascii="Times New Roman" w:hAnsi="Times New Roman" w:eastAsia="宋体"/>
                <w:highlight w:val="none"/>
              </w:rPr>
            </w:pPr>
            <w:r>
              <w:rPr>
                <w:rFonts w:hint="eastAsia" w:ascii="Times New Roman" w:hAnsi="Times New Roman" w:eastAsia="宋体"/>
                <w:highlight w:val="none"/>
              </w:rPr>
              <w:t>密闭+脉冲布袋除尘器</w:t>
            </w:r>
          </w:p>
        </w:tc>
        <w:tc>
          <w:tcPr>
            <w:tcW w:w="2052" w:type="pct"/>
            <w:vMerge w:val="restart"/>
            <w:noWrap w:val="0"/>
            <w:vAlign w:val="center"/>
          </w:tcPr>
          <w:p w14:paraId="558218F7">
            <w:pPr>
              <w:pStyle w:val="27"/>
              <w:rPr>
                <w:rFonts w:ascii="Times New Roman" w:hAnsi="Times New Roman" w:eastAsia="宋体"/>
                <w:highlight w:val="none"/>
              </w:rPr>
            </w:pPr>
            <w:r>
              <w:rPr>
                <w:rFonts w:ascii="Times New Roman" w:hAnsi="Times New Roman" w:eastAsia="宋体"/>
                <w:kern w:val="0"/>
                <w:highlight w:val="none"/>
              </w:rPr>
              <w:t>厂界颗粒物满足《大气污染物综合排放标准》表2新污染源大气污染物排放标准无组织排放监控浓度限值1.0mg/m</w:t>
            </w:r>
            <w:r>
              <w:rPr>
                <w:rFonts w:ascii="Times New Roman" w:hAnsi="Times New Roman" w:eastAsia="宋体"/>
                <w:kern w:val="0"/>
                <w:highlight w:val="none"/>
                <w:vertAlign w:val="superscript"/>
              </w:rPr>
              <w:t>3</w:t>
            </w:r>
          </w:p>
        </w:tc>
      </w:tr>
      <w:tr w14:paraId="28DCD9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622FD52F">
            <w:pPr>
              <w:pStyle w:val="27"/>
              <w:rPr>
                <w:rFonts w:ascii="Times New Roman" w:hAnsi="Times New Roman" w:eastAsia="宋体"/>
                <w:highlight w:val="none"/>
              </w:rPr>
            </w:pPr>
          </w:p>
        </w:tc>
        <w:tc>
          <w:tcPr>
            <w:tcW w:w="436" w:type="pct"/>
            <w:noWrap w:val="0"/>
            <w:vAlign w:val="center"/>
          </w:tcPr>
          <w:p w14:paraId="67577ADE">
            <w:pPr>
              <w:pStyle w:val="27"/>
              <w:rPr>
                <w:rFonts w:hint="eastAsia" w:ascii="Times New Roman" w:hAnsi="Times New Roman" w:eastAsia="宋体"/>
                <w:highlight w:val="none"/>
              </w:rPr>
            </w:pPr>
            <w:r>
              <w:rPr>
                <w:rFonts w:hint="eastAsia" w:ascii="Times New Roman" w:hAnsi="Times New Roman" w:eastAsia="宋体"/>
                <w:highlight w:val="none"/>
              </w:rPr>
              <w:t>渣仓</w:t>
            </w:r>
          </w:p>
        </w:tc>
        <w:tc>
          <w:tcPr>
            <w:tcW w:w="389" w:type="pct"/>
            <w:noWrap w:val="0"/>
            <w:vAlign w:val="center"/>
          </w:tcPr>
          <w:p w14:paraId="410C7A15">
            <w:pPr>
              <w:pStyle w:val="27"/>
              <w:rPr>
                <w:rFonts w:ascii="Times New Roman" w:hAnsi="Times New Roman" w:eastAsia="宋体"/>
                <w:highlight w:val="none"/>
              </w:rPr>
            </w:pPr>
            <w:r>
              <w:rPr>
                <w:rFonts w:ascii="Times New Roman" w:hAnsi="Times New Roman" w:eastAsia="宋体"/>
                <w:highlight w:val="none"/>
              </w:rPr>
              <w:t>粉尘</w:t>
            </w:r>
          </w:p>
        </w:tc>
        <w:tc>
          <w:tcPr>
            <w:tcW w:w="301" w:type="pct"/>
            <w:gridSpan w:val="2"/>
            <w:tcBorders>
              <w:right w:val="single" w:color="auto" w:sz="4" w:space="0"/>
            </w:tcBorders>
            <w:noWrap w:val="0"/>
            <w:vAlign w:val="center"/>
          </w:tcPr>
          <w:p w14:paraId="12330C80">
            <w:pPr>
              <w:pStyle w:val="27"/>
              <w:rPr>
                <w:rFonts w:hint="default" w:ascii="Times New Roman" w:hAnsi="Times New Roman" w:eastAsia="宋体"/>
                <w:highlight w:val="none"/>
                <w:lang w:val="en-US" w:eastAsia="zh-CN"/>
              </w:rPr>
            </w:pPr>
            <w:r>
              <w:rPr>
                <w:rFonts w:ascii="Times New Roman" w:hAnsi="Times New Roman" w:eastAsia="宋体"/>
                <w:highlight w:val="none"/>
              </w:rPr>
              <w:t>99</w:t>
            </w:r>
            <w:r>
              <w:rPr>
                <w:rFonts w:hint="eastAsia" w:ascii="Times New Roman" w:hAnsi="Times New Roman" w:eastAsia="宋体"/>
                <w:highlight w:val="none"/>
                <w:lang w:val="en-US" w:eastAsia="zh-CN"/>
              </w:rPr>
              <w:t>.9</w:t>
            </w:r>
          </w:p>
        </w:tc>
        <w:tc>
          <w:tcPr>
            <w:tcW w:w="304" w:type="pct"/>
            <w:gridSpan w:val="2"/>
            <w:tcBorders>
              <w:left w:val="single" w:color="auto" w:sz="4" w:space="0"/>
              <w:right w:val="single" w:color="auto" w:sz="4" w:space="0"/>
            </w:tcBorders>
            <w:noWrap w:val="0"/>
            <w:vAlign w:val="center"/>
          </w:tcPr>
          <w:p w14:paraId="0DB08658">
            <w:pPr>
              <w:pStyle w:val="27"/>
              <w:rPr>
                <w:rFonts w:ascii="Times New Roman" w:hAnsi="Times New Roman" w:eastAsia="宋体"/>
                <w:highlight w:val="none"/>
              </w:rPr>
            </w:pPr>
            <w:r>
              <w:rPr>
                <w:rFonts w:hint="eastAsia" w:ascii="Times New Roman" w:hAnsi="Times New Roman" w:eastAsia="宋体"/>
                <w:highlight w:val="none"/>
              </w:rPr>
              <w:t>/</w:t>
            </w:r>
          </w:p>
        </w:tc>
        <w:tc>
          <w:tcPr>
            <w:tcW w:w="324" w:type="pct"/>
            <w:tcBorders>
              <w:left w:val="single" w:color="auto" w:sz="4" w:space="0"/>
              <w:right w:val="single" w:color="auto" w:sz="4" w:space="0"/>
            </w:tcBorders>
            <w:noWrap w:val="0"/>
            <w:vAlign w:val="center"/>
          </w:tcPr>
          <w:p w14:paraId="6D54A88F">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0.02592</w:t>
            </w:r>
          </w:p>
        </w:tc>
        <w:tc>
          <w:tcPr>
            <w:tcW w:w="1041" w:type="pct"/>
            <w:tcBorders>
              <w:top w:val="single" w:color="auto" w:sz="4" w:space="0"/>
              <w:left w:val="single" w:color="auto" w:sz="4" w:space="0"/>
              <w:bottom w:val="single" w:color="auto" w:sz="4" w:space="0"/>
            </w:tcBorders>
            <w:noWrap w:val="0"/>
            <w:vAlign w:val="center"/>
          </w:tcPr>
          <w:p w14:paraId="07E2EC9C">
            <w:pPr>
              <w:pStyle w:val="27"/>
              <w:rPr>
                <w:rFonts w:ascii="Times New Roman" w:hAnsi="Times New Roman" w:eastAsia="宋体"/>
                <w:highlight w:val="none"/>
              </w:rPr>
            </w:pPr>
            <w:r>
              <w:rPr>
                <w:rFonts w:ascii="Times New Roman" w:hAnsi="Times New Roman" w:eastAsia="宋体"/>
                <w:highlight w:val="none"/>
              </w:rPr>
              <w:t>密闭</w:t>
            </w:r>
            <w:r>
              <w:rPr>
                <w:rFonts w:hint="eastAsia" w:ascii="Times New Roman" w:hAnsi="Times New Roman" w:eastAsia="宋体"/>
                <w:highlight w:val="none"/>
              </w:rPr>
              <w:t>+</w:t>
            </w:r>
            <w:r>
              <w:rPr>
                <w:rFonts w:hint="eastAsia" w:ascii="Times New Roman" w:hAnsi="Times New Roman" w:eastAsia="宋体"/>
                <w:highlight w:val="none"/>
                <w:lang w:val="en-US" w:eastAsia="zh-CN"/>
              </w:rPr>
              <w:t>脉冲</w:t>
            </w:r>
            <w:r>
              <w:rPr>
                <w:rFonts w:hint="eastAsia" w:ascii="Times New Roman" w:hAnsi="Times New Roman" w:eastAsia="宋体"/>
                <w:highlight w:val="none"/>
              </w:rPr>
              <w:t>布袋除尘器</w:t>
            </w:r>
          </w:p>
        </w:tc>
        <w:tc>
          <w:tcPr>
            <w:tcW w:w="2052" w:type="pct"/>
            <w:vMerge w:val="continue"/>
            <w:noWrap w:val="0"/>
            <w:vAlign w:val="center"/>
          </w:tcPr>
          <w:p w14:paraId="02C41E60">
            <w:pPr>
              <w:pStyle w:val="27"/>
              <w:rPr>
                <w:rFonts w:ascii="Times New Roman" w:hAnsi="Times New Roman" w:eastAsia="宋体"/>
                <w:kern w:val="0"/>
                <w:highlight w:val="none"/>
              </w:rPr>
            </w:pPr>
          </w:p>
        </w:tc>
      </w:tr>
      <w:tr w14:paraId="18C299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100C93C8">
            <w:pPr>
              <w:pStyle w:val="27"/>
              <w:rPr>
                <w:rFonts w:ascii="Times New Roman" w:hAnsi="Times New Roman" w:eastAsia="宋体"/>
                <w:highlight w:val="none"/>
              </w:rPr>
            </w:pPr>
          </w:p>
        </w:tc>
        <w:tc>
          <w:tcPr>
            <w:tcW w:w="436" w:type="pct"/>
            <w:noWrap w:val="0"/>
            <w:vAlign w:val="center"/>
          </w:tcPr>
          <w:p w14:paraId="1DC3142E">
            <w:pPr>
              <w:pStyle w:val="27"/>
              <w:rPr>
                <w:rFonts w:hint="eastAsia" w:ascii="Times New Roman" w:hAnsi="Times New Roman" w:eastAsia="宋体"/>
                <w:highlight w:val="none"/>
              </w:rPr>
            </w:pPr>
            <w:r>
              <w:rPr>
                <w:rFonts w:hint="eastAsia" w:ascii="Times New Roman" w:hAnsi="Times New Roman" w:eastAsia="宋体"/>
                <w:highlight w:val="none"/>
              </w:rPr>
              <w:t>石灰石粉尘</w:t>
            </w:r>
          </w:p>
        </w:tc>
        <w:tc>
          <w:tcPr>
            <w:tcW w:w="389" w:type="pct"/>
            <w:noWrap w:val="0"/>
            <w:vAlign w:val="center"/>
          </w:tcPr>
          <w:p w14:paraId="36D18598">
            <w:pPr>
              <w:pStyle w:val="27"/>
              <w:rPr>
                <w:rFonts w:ascii="Times New Roman" w:hAnsi="Times New Roman" w:eastAsia="宋体"/>
                <w:highlight w:val="none"/>
              </w:rPr>
            </w:pPr>
            <w:r>
              <w:rPr>
                <w:rFonts w:ascii="Times New Roman" w:hAnsi="Times New Roman" w:eastAsia="宋体"/>
                <w:highlight w:val="none"/>
              </w:rPr>
              <w:t>粉尘</w:t>
            </w:r>
          </w:p>
        </w:tc>
        <w:tc>
          <w:tcPr>
            <w:tcW w:w="301" w:type="pct"/>
            <w:gridSpan w:val="2"/>
            <w:tcBorders>
              <w:right w:val="single" w:color="auto" w:sz="4" w:space="0"/>
            </w:tcBorders>
            <w:noWrap w:val="0"/>
            <w:vAlign w:val="center"/>
          </w:tcPr>
          <w:p w14:paraId="64CCA774">
            <w:pPr>
              <w:pStyle w:val="27"/>
              <w:rPr>
                <w:rFonts w:ascii="Times New Roman" w:hAnsi="Times New Roman" w:eastAsia="宋体"/>
                <w:highlight w:val="none"/>
              </w:rPr>
            </w:pPr>
            <w:r>
              <w:rPr>
                <w:rFonts w:ascii="Times New Roman" w:hAnsi="Times New Roman" w:eastAsia="宋体"/>
                <w:highlight w:val="none"/>
              </w:rPr>
              <w:t>99</w:t>
            </w:r>
          </w:p>
        </w:tc>
        <w:tc>
          <w:tcPr>
            <w:tcW w:w="304" w:type="pct"/>
            <w:gridSpan w:val="2"/>
            <w:tcBorders>
              <w:left w:val="single" w:color="auto" w:sz="4" w:space="0"/>
              <w:right w:val="single" w:color="auto" w:sz="4" w:space="0"/>
            </w:tcBorders>
            <w:noWrap w:val="0"/>
            <w:vAlign w:val="center"/>
          </w:tcPr>
          <w:p w14:paraId="79A614F4">
            <w:pPr>
              <w:pStyle w:val="27"/>
              <w:rPr>
                <w:rFonts w:ascii="Times New Roman" w:hAnsi="Times New Roman" w:eastAsia="宋体"/>
                <w:highlight w:val="none"/>
              </w:rPr>
            </w:pPr>
            <w:r>
              <w:rPr>
                <w:rFonts w:hint="eastAsia" w:ascii="Times New Roman" w:hAnsi="Times New Roman" w:eastAsia="宋体"/>
                <w:highlight w:val="none"/>
              </w:rPr>
              <w:t>/</w:t>
            </w:r>
          </w:p>
        </w:tc>
        <w:tc>
          <w:tcPr>
            <w:tcW w:w="324" w:type="pct"/>
            <w:tcBorders>
              <w:left w:val="single" w:color="auto" w:sz="4" w:space="0"/>
              <w:right w:val="single" w:color="auto" w:sz="4" w:space="0"/>
            </w:tcBorders>
            <w:noWrap w:val="0"/>
            <w:vAlign w:val="center"/>
          </w:tcPr>
          <w:p w14:paraId="7707DFF7">
            <w:pPr>
              <w:pStyle w:val="27"/>
              <w:rPr>
                <w:rFonts w:hint="default" w:ascii="Times New Roman" w:hAnsi="Times New Roman" w:eastAsia="宋体"/>
                <w:highlight w:val="none"/>
                <w:lang w:val="en-US" w:eastAsia="zh-CN"/>
              </w:rPr>
            </w:pPr>
            <w:r>
              <w:rPr>
                <w:rFonts w:hint="eastAsia" w:ascii="Times New Roman" w:hAnsi="Times New Roman" w:eastAsia="宋体"/>
                <w:highlight w:val="none"/>
                <w:lang w:val="en-US" w:eastAsia="zh-CN"/>
              </w:rPr>
              <w:t>0.0075</w:t>
            </w:r>
          </w:p>
        </w:tc>
        <w:tc>
          <w:tcPr>
            <w:tcW w:w="1041" w:type="pct"/>
            <w:tcBorders>
              <w:top w:val="single" w:color="auto" w:sz="4" w:space="0"/>
              <w:left w:val="single" w:color="auto" w:sz="4" w:space="0"/>
            </w:tcBorders>
            <w:noWrap w:val="0"/>
            <w:vAlign w:val="center"/>
          </w:tcPr>
          <w:p w14:paraId="6DB296EA">
            <w:pPr>
              <w:pStyle w:val="27"/>
              <w:rPr>
                <w:rFonts w:ascii="Times New Roman" w:hAnsi="Times New Roman" w:eastAsia="宋体"/>
                <w:highlight w:val="none"/>
              </w:rPr>
            </w:pPr>
            <w:r>
              <w:rPr>
                <w:rFonts w:hint="eastAsia" w:ascii="Times New Roman" w:hAnsi="Times New Roman" w:eastAsia="宋体"/>
                <w:highlight w:val="none"/>
              </w:rPr>
              <w:t>密闭+脉冲布袋除尘器</w:t>
            </w:r>
          </w:p>
        </w:tc>
        <w:tc>
          <w:tcPr>
            <w:tcW w:w="2052" w:type="pct"/>
            <w:vMerge w:val="continue"/>
            <w:noWrap w:val="0"/>
            <w:vAlign w:val="center"/>
          </w:tcPr>
          <w:p w14:paraId="36C2264D">
            <w:pPr>
              <w:pStyle w:val="27"/>
              <w:rPr>
                <w:rFonts w:ascii="Times New Roman" w:hAnsi="Times New Roman" w:eastAsia="宋体"/>
                <w:kern w:val="0"/>
                <w:highlight w:val="none"/>
              </w:rPr>
            </w:pPr>
          </w:p>
        </w:tc>
      </w:tr>
      <w:tr w14:paraId="460F50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0201E906">
            <w:pPr>
              <w:pStyle w:val="27"/>
              <w:rPr>
                <w:rFonts w:ascii="Times New Roman" w:hAnsi="Times New Roman" w:eastAsia="宋体"/>
                <w:highlight w:val="none"/>
              </w:rPr>
            </w:pPr>
          </w:p>
        </w:tc>
        <w:tc>
          <w:tcPr>
            <w:tcW w:w="436" w:type="pct"/>
            <w:noWrap w:val="0"/>
            <w:vAlign w:val="center"/>
          </w:tcPr>
          <w:p w14:paraId="32ED4DA4">
            <w:pPr>
              <w:pStyle w:val="27"/>
              <w:rPr>
                <w:rFonts w:ascii="Times New Roman" w:hAnsi="Times New Roman" w:eastAsia="宋体"/>
                <w:highlight w:val="none"/>
              </w:rPr>
            </w:pPr>
            <w:r>
              <w:rPr>
                <w:rFonts w:ascii="Times New Roman" w:hAnsi="Times New Roman" w:eastAsia="宋体"/>
                <w:highlight w:val="none"/>
              </w:rPr>
              <w:t>食堂</w:t>
            </w:r>
          </w:p>
        </w:tc>
        <w:tc>
          <w:tcPr>
            <w:tcW w:w="389" w:type="pct"/>
            <w:noWrap w:val="0"/>
            <w:vAlign w:val="center"/>
          </w:tcPr>
          <w:p w14:paraId="37D78B50">
            <w:pPr>
              <w:pStyle w:val="27"/>
              <w:rPr>
                <w:rFonts w:ascii="Times New Roman" w:hAnsi="Times New Roman" w:eastAsia="宋体"/>
                <w:highlight w:val="none"/>
              </w:rPr>
            </w:pPr>
            <w:r>
              <w:rPr>
                <w:rFonts w:ascii="Times New Roman" w:hAnsi="Times New Roman" w:eastAsia="宋体"/>
                <w:highlight w:val="none"/>
              </w:rPr>
              <w:t>油烟</w:t>
            </w:r>
          </w:p>
        </w:tc>
        <w:tc>
          <w:tcPr>
            <w:tcW w:w="301" w:type="pct"/>
            <w:gridSpan w:val="2"/>
            <w:tcBorders>
              <w:right w:val="single" w:color="auto" w:sz="4" w:space="0"/>
            </w:tcBorders>
            <w:noWrap w:val="0"/>
            <w:vAlign w:val="center"/>
          </w:tcPr>
          <w:p w14:paraId="0A4D1062">
            <w:pPr>
              <w:pStyle w:val="27"/>
              <w:rPr>
                <w:rFonts w:ascii="Times New Roman" w:hAnsi="Times New Roman" w:eastAsia="宋体"/>
                <w:highlight w:val="none"/>
              </w:rPr>
            </w:pPr>
            <w:r>
              <w:rPr>
                <w:rFonts w:ascii="Times New Roman" w:hAnsi="Times New Roman" w:eastAsia="宋体"/>
                <w:highlight w:val="none"/>
              </w:rPr>
              <w:t>75</w:t>
            </w:r>
          </w:p>
        </w:tc>
        <w:tc>
          <w:tcPr>
            <w:tcW w:w="304" w:type="pct"/>
            <w:gridSpan w:val="2"/>
            <w:tcBorders>
              <w:left w:val="single" w:color="auto" w:sz="4" w:space="0"/>
              <w:right w:val="single" w:color="auto" w:sz="4" w:space="0"/>
            </w:tcBorders>
            <w:noWrap w:val="0"/>
            <w:vAlign w:val="center"/>
          </w:tcPr>
          <w:p w14:paraId="620DEBE9">
            <w:pPr>
              <w:pStyle w:val="27"/>
              <w:rPr>
                <w:rFonts w:ascii="Times New Roman" w:hAnsi="Times New Roman" w:eastAsia="宋体"/>
                <w:highlight w:val="none"/>
              </w:rPr>
            </w:pPr>
            <w:r>
              <w:rPr>
                <w:rFonts w:ascii="Times New Roman" w:hAnsi="Times New Roman" w:eastAsia="宋体"/>
                <w:highlight w:val="none"/>
              </w:rPr>
              <w:t>0.</w:t>
            </w:r>
            <w:r>
              <w:rPr>
                <w:rFonts w:hint="eastAsia" w:ascii="Times New Roman" w:hAnsi="Times New Roman" w:eastAsia="宋体"/>
                <w:highlight w:val="none"/>
              </w:rPr>
              <w:t>824</w:t>
            </w:r>
          </w:p>
        </w:tc>
        <w:tc>
          <w:tcPr>
            <w:tcW w:w="324" w:type="pct"/>
            <w:tcBorders>
              <w:left w:val="single" w:color="auto" w:sz="4" w:space="0"/>
              <w:right w:val="single" w:color="auto" w:sz="4" w:space="0"/>
            </w:tcBorders>
            <w:noWrap w:val="0"/>
            <w:vAlign w:val="center"/>
          </w:tcPr>
          <w:p w14:paraId="4FD8B45A">
            <w:pPr>
              <w:pStyle w:val="27"/>
              <w:rPr>
                <w:rFonts w:ascii="Times New Roman" w:hAnsi="Times New Roman" w:eastAsia="宋体"/>
                <w:highlight w:val="none"/>
              </w:rPr>
            </w:pPr>
            <w:r>
              <w:rPr>
                <w:rFonts w:ascii="Times New Roman" w:hAnsi="Times New Roman" w:eastAsia="宋体"/>
                <w:highlight w:val="none"/>
              </w:rPr>
              <w:t>0.004</w:t>
            </w:r>
          </w:p>
        </w:tc>
        <w:tc>
          <w:tcPr>
            <w:tcW w:w="1041" w:type="pct"/>
            <w:tcBorders>
              <w:left w:val="single" w:color="auto" w:sz="4" w:space="0"/>
            </w:tcBorders>
            <w:noWrap w:val="0"/>
            <w:vAlign w:val="center"/>
          </w:tcPr>
          <w:p w14:paraId="19CBA3F9">
            <w:pPr>
              <w:pStyle w:val="27"/>
              <w:rPr>
                <w:rFonts w:ascii="Times New Roman" w:hAnsi="Times New Roman" w:eastAsia="宋体"/>
                <w:kern w:val="0"/>
                <w:highlight w:val="none"/>
              </w:rPr>
            </w:pPr>
            <w:r>
              <w:rPr>
                <w:rFonts w:ascii="Times New Roman" w:hAnsi="Times New Roman" w:eastAsia="宋体"/>
                <w:kern w:val="0"/>
                <w:highlight w:val="none"/>
              </w:rPr>
              <w:t>油烟净化器</w:t>
            </w:r>
          </w:p>
        </w:tc>
        <w:tc>
          <w:tcPr>
            <w:tcW w:w="2052" w:type="pct"/>
            <w:noWrap w:val="0"/>
            <w:vAlign w:val="center"/>
          </w:tcPr>
          <w:p w14:paraId="113EA769">
            <w:pPr>
              <w:pStyle w:val="27"/>
              <w:rPr>
                <w:rFonts w:ascii="Times New Roman" w:hAnsi="Times New Roman" w:eastAsia="宋体"/>
                <w:highlight w:val="none"/>
              </w:rPr>
            </w:pPr>
            <w:r>
              <w:rPr>
                <w:rFonts w:ascii="Times New Roman" w:hAnsi="Times New Roman" w:eastAsia="宋体"/>
                <w:highlight w:val="none"/>
              </w:rPr>
              <w:t>《饮食业油烟排放标准（试行）》（GB18483-2001）（中型）油烟最高允许排放浓度为2.0mg/m</w:t>
            </w:r>
            <w:r>
              <w:rPr>
                <w:rFonts w:ascii="Times New Roman" w:hAnsi="Times New Roman" w:eastAsia="宋体"/>
                <w:highlight w:val="none"/>
                <w:vertAlign w:val="superscript"/>
              </w:rPr>
              <w:t>3</w:t>
            </w:r>
            <w:r>
              <w:rPr>
                <w:rFonts w:ascii="Times New Roman" w:hAnsi="Times New Roman" w:eastAsia="宋体"/>
                <w:highlight w:val="none"/>
              </w:rPr>
              <w:t>的要求，处理效率≥75%</w:t>
            </w:r>
          </w:p>
        </w:tc>
      </w:tr>
      <w:tr w14:paraId="7EC971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restart"/>
            <w:tcBorders>
              <w:top w:val="single" w:color="auto" w:sz="4" w:space="0"/>
            </w:tcBorders>
            <w:noWrap w:val="0"/>
            <w:vAlign w:val="center"/>
          </w:tcPr>
          <w:p w14:paraId="3E9744B7">
            <w:pPr>
              <w:pStyle w:val="27"/>
              <w:rPr>
                <w:rFonts w:ascii="Times New Roman" w:hAnsi="Times New Roman" w:eastAsia="宋体"/>
                <w:highlight w:val="none"/>
              </w:rPr>
            </w:pPr>
            <w:r>
              <w:rPr>
                <w:rFonts w:ascii="Times New Roman" w:hAnsi="Times New Roman" w:eastAsia="宋体"/>
                <w:highlight w:val="none"/>
              </w:rPr>
              <w:t>废水</w:t>
            </w:r>
          </w:p>
        </w:tc>
        <w:tc>
          <w:tcPr>
            <w:tcW w:w="436" w:type="pct"/>
            <w:tcBorders>
              <w:top w:val="single" w:color="auto" w:sz="4" w:space="0"/>
            </w:tcBorders>
            <w:noWrap w:val="0"/>
            <w:vAlign w:val="center"/>
          </w:tcPr>
          <w:p w14:paraId="14ADC424">
            <w:pPr>
              <w:pStyle w:val="27"/>
              <w:rPr>
                <w:rFonts w:ascii="Times New Roman" w:hAnsi="Times New Roman" w:eastAsia="宋体"/>
                <w:highlight w:val="none"/>
              </w:rPr>
            </w:pPr>
            <w:r>
              <w:rPr>
                <w:rFonts w:ascii="Times New Roman" w:hAnsi="Times New Roman" w:eastAsia="宋体"/>
                <w:highlight w:val="none"/>
              </w:rPr>
              <w:t>锅炉及烟气净化系统</w:t>
            </w:r>
          </w:p>
        </w:tc>
        <w:tc>
          <w:tcPr>
            <w:tcW w:w="389" w:type="pct"/>
            <w:noWrap w:val="0"/>
            <w:vAlign w:val="center"/>
          </w:tcPr>
          <w:p w14:paraId="21D0A778">
            <w:pPr>
              <w:pStyle w:val="27"/>
              <w:rPr>
                <w:rFonts w:ascii="Times New Roman" w:hAnsi="Times New Roman" w:eastAsia="宋体"/>
                <w:highlight w:val="none"/>
              </w:rPr>
            </w:pPr>
            <w:r>
              <w:rPr>
                <w:rFonts w:ascii="Times New Roman" w:hAnsi="Times New Roman" w:eastAsia="宋体"/>
                <w:highlight w:val="none"/>
              </w:rPr>
              <w:t>生产废水</w:t>
            </w:r>
          </w:p>
        </w:tc>
        <w:tc>
          <w:tcPr>
            <w:tcW w:w="1971" w:type="pct"/>
            <w:gridSpan w:val="6"/>
            <w:noWrap w:val="0"/>
            <w:vAlign w:val="center"/>
          </w:tcPr>
          <w:p w14:paraId="0E32B06F">
            <w:pPr>
              <w:pStyle w:val="27"/>
              <w:rPr>
                <w:rFonts w:ascii="Times New Roman" w:hAnsi="Times New Roman" w:eastAsia="宋体"/>
                <w:highlight w:val="none"/>
              </w:rPr>
            </w:pPr>
            <w:r>
              <w:rPr>
                <w:rFonts w:ascii="Times New Roman" w:hAnsi="Times New Roman" w:eastAsia="宋体"/>
                <w:highlight w:val="none"/>
              </w:rPr>
              <w:t>全部回用，不外排。</w:t>
            </w:r>
          </w:p>
        </w:tc>
        <w:tc>
          <w:tcPr>
            <w:tcW w:w="2052" w:type="pct"/>
            <w:noWrap w:val="0"/>
            <w:vAlign w:val="center"/>
          </w:tcPr>
          <w:p w14:paraId="4C1585BC">
            <w:pPr>
              <w:pStyle w:val="27"/>
              <w:rPr>
                <w:rFonts w:ascii="Times New Roman" w:hAnsi="Times New Roman" w:eastAsia="宋体"/>
                <w:highlight w:val="none"/>
              </w:rPr>
            </w:pPr>
            <w:r>
              <w:rPr>
                <w:rFonts w:ascii="Times New Roman" w:hAnsi="Times New Roman" w:eastAsia="宋体"/>
                <w:highlight w:val="none"/>
              </w:rPr>
              <w:t>废水零排放</w:t>
            </w:r>
          </w:p>
        </w:tc>
      </w:tr>
      <w:tr w14:paraId="52F1384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745F8940">
            <w:pPr>
              <w:pStyle w:val="27"/>
              <w:rPr>
                <w:rFonts w:ascii="Times New Roman" w:hAnsi="Times New Roman" w:eastAsia="宋体"/>
                <w:highlight w:val="none"/>
              </w:rPr>
            </w:pPr>
          </w:p>
        </w:tc>
        <w:tc>
          <w:tcPr>
            <w:tcW w:w="436" w:type="pct"/>
            <w:tcBorders>
              <w:top w:val="single" w:color="auto" w:sz="4" w:space="0"/>
            </w:tcBorders>
            <w:noWrap w:val="0"/>
            <w:vAlign w:val="center"/>
          </w:tcPr>
          <w:p w14:paraId="0FFB0716">
            <w:pPr>
              <w:pStyle w:val="27"/>
              <w:rPr>
                <w:rFonts w:ascii="Times New Roman" w:hAnsi="Times New Roman" w:eastAsia="宋体"/>
                <w:highlight w:val="none"/>
              </w:rPr>
            </w:pPr>
            <w:r>
              <w:rPr>
                <w:rFonts w:ascii="Times New Roman" w:hAnsi="Times New Roman" w:eastAsia="宋体"/>
                <w:highlight w:val="none"/>
              </w:rPr>
              <w:t>办公室</w:t>
            </w:r>
          </w:p>
        </w:tc>
        <w:tc>
          <w:tcPr>
            <w:tcW w:w="389" w:type="pct"/>
            <w:noWrap w:val="0"/>
            <w:vAlign w:val="center"/>
          </w:tcPr>
          <w:p w14:paraId="6E1D9B34">
            <w:pPr>
              <w:pStyle w:val="27"/>
              <w:rPr>
                <w:rFonts w:ascii="Times New Roman" w:hAnsi="Times New Roman" w:eastAsia="宋体"/>
                <w:highlight w:val="none"/>
              </w:rPr>
            </w:pPr>
            <w:r>
              <w:rPr>
                <w:rFonts w:ascii="Times New Roman" w:hAnsi="Times New Roman" w:eastAsia="宋体"/>
                <w:highlight w:val="none"/>
              </w:rPr>
              <w:t>生活废水</w:t>
            </w:r>
          </w:p>
        </w:tc>
        <w:tc>
          <w:tcPr>
            <w:tcW w:w="1971" w:type="pct"/>
            <w:gridSpan w:val="6"/>
            <w:noWrap w:val="0"/>
            <w:vAlign w:val="center"/>
          </w:tcPr>
          <w:p w14:paraId="1660C9C0">
            <w:pPr>
              <w:pStyle w:val="27"/>
              <w:rPr>
                <w:rFonts w:hint="eastAsia" w:ascii="Times New Roman" w:hAnsi="Times New Roman" w:eastAsia="宋体"/>
                <w:highlight w:val="none"/>
              </w:rPr>
            </w:pPr>
            <w:r>
              <w:rPr>
                <w:rFonts w:hint="eastAsia" w:ascii="Times New Roman" w:hAnsi="Times New Roman" w:eastAsia="宋体"/>
                <w:highlight w:val="none"/>
              </w:rPr>
              <w:t>食堂污水经隔油池处理后与</w:t>
            </w:r>
            <w:r>
              <w:rPr>
                <w:rFonts w:ascii="Times New Roman" w:hAnsi="Times New Roman" w:eastAsia="宋体"/>
                <w:highlight w:val="none"/>
              </w:rPr>
              <w:t>生活污水一同排入市政管网</w:t>
            </w:r>
          </w:p>
        </w:tc>
        <w:tc>
          <w:tcPr>
            <w:tcW w:w="2052" w:type="pct"/>
            <w:noWrap w:val="0"/>
            <w:vAlign w:val="center"/>
          </w:tcPr>
          <w:p w14:paraId="1C3B85B7">
            <w:pPr>
              <w:pStyle w:val="27"/>
              <w:rPr>
                <w:rFonts w:ascii="Times New Roman" w:hAnsi="Times New Roman" w:eastAsia="宋体"/>
                <w:highlight w:val="none"/>
              </w:rPr>
            </w:pPr>
            <w:r>
              <w:rPr>
                <w:rFonts w:ascii="Times New Roman" w:hAnsi="Times New Roman" w:eastAsia="宋体"/>
                <w:highlight w:val="none"/>
              </w:rPr>
              <w:t>《污水综合排放标准》（GB8978-1996）三级标准</w:t>
            </w:r>
          </w:p>
        </w:tc>
      </w:tr>
      <w:tr w14:paraId="220E54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noWrap w:val="0"/>
            <w:vAlign w:val="center"/>
          </w:tcPr>
          <w:p w14:paraId="21695082">
            <w:pPr>
              <w:pStyle w:val="27"/>
              <w:rPr>
                <w:rFonts w:ascii="Times New Roman" w:hAnsi="Times New Roman" w:eastAsia="宋体"/>
                <w:highlight w:val="none"/>
              </w:rPr>
            </w:pPr>
            <w:r>
              <w:rPr>
                <w:rFonts w:ascii="Times New Roman" w:hAnsi="Times New Roman" w:eastAsia="宋体"/>
                <w:highlight w:val="none"/>
              </w:rPr>
              <w:t>噪声</w:t>
            </w:r>
          </w:p>
        </w:tc>
        <w:tc>
          <w:tcPr>
            <w:tcW w:w="436" w:type="pct"/>
            <w:noWrap w:val="0"/>
            <w:vAlign w:val="center"/>
          </w:tcPr>
          <w:p w14:paraId="6C16D8EC">
            <w:pPr>
              <w:pStyle w:val="27"/>
              <w:rPr>
                <w:rFonts w:ascii="Times New Roman" w:hAnsi="Times New Roman" w:eastAsia="宋体"/>
                <w:highlight w:val="none"/>
              </w:rPr>
            </w:pPr>
            <w:r>
              <w:rPr>
                <w:rFonts w:ascii="Times New Roman" w:hAnsi="Times New Roman" w:eastAsia="宋体"/>
                <w:highlight w:val="none"/>
              </w:rPr>
              <w:t>设备及其他</w:t>
            </w:r>
          </w:p>
        </w:tc>
        <w:tc>
          <w:tcPr>
            <w:tcW w:w="389" w:type="pct"/>
            <w:noWrap w:val="0"/>
            <w:vAlign w:val="center"/>
          </w:tcPr>
          <w:p w14:paraId="1F06EC97">
            <w:pPr>
              <w:pStyle w:val="27"/>
              <w:rPr>
                <w:rFonts w:ascii="Times New Roman" w:hAnsi="Times New Roman" w:eastAsia="宋体"/>
                <w:highlight w:val="none"/>
              </w:rPr>
            </w:pPr>
            <w:r>
              <w:rPr>
                <w:rFonts w:ascii="Times New Roman" w:hAnsi="Times New Roman" w:eastAsia="宋体"/>
                <w:highlight w:val="none"/>
              </w:rPr>
              <w:t>噪声</w:t>
            </w:r>
          </w:p>
        </w:tc>
        <w:tc>
          <w:tcPr>
            <w:tcW w:w="1971" w:type="pct"/>
            <w:gridSpan w:val="6"/>
            <w:noWrap w:val="0"/>
            <w:vAlign w:val="center"/>
          </w:tcPr>
          <w:p w14:paraId="701A64A7">
            <w:pPr>
              <w:pStyle w:val="27"/>
              <w:rPr>
                <w:rFonts w:ascii="Times New Roman" w:hAnsi="Times New Roman" w:eastAsia="宋体"/>
                <w:highlight w:val="none"/>
              </w:rPr>
            </w:pPr>
            <w:r>
              <w:rPr>
                <w:rFonts w:ascii="Times New Roman" w:hAnsi="Times New Roman" w:eastAsia="宋体"/>
                <w:highlight w:val="none"/>
              </w:rPr>
              <w:t>隔声装置，减振措施</w:t>
            </w:r>
          </w:p>
        </w:tc>
        <w:tc>
          <w:tcPr>
            <w:tcW w:w="2052" w:type="pct"/>
            <w:noWrap w:val="0"/>
            <w:vAlign w:val="center"/>
          </w:tcPr>
          <w:p w14:paraId="65F84322">
            <w:pPr>
              <w:pStyle w:val="27"/>
              <w:rPr>
                <w:rFonts w:ascii="Times New Roman" w:hAnsi="Times New Roman" w:eastAsia="宋体"/>
                <w:highlight w:val="none"/>
              </w:rPr>
            </w:pPr>
            <w:r>
              <w:rPr>
                <w:rFonts w:ascii="Times New Roman" w:hAnsi="Times New Roman" w:eastAsia="宋体"/>
                <w:highlight w:val="none"/>
              </w:rPr>
              <w:t>厂界噪声执行《工业企业厂界环境噪声排放标准》（GB12348-2008）表1中的</w:t>
            </w:r>
            <w:r>
              <w:rPr>
                <w:rFonts w:hint="eastAsia" w:ascii="Times New Roman" w:hAnsi="Times New Roman" w:eastAsia="宋体"/>
                <w:highlight w:val="none"/>
                <w:lang w:val="en-US" w:eastAsia="zh-CN"/>
              </w:rPr>
              <w:t>2</w:t>
            </w:r>
            <w:r>
              <w:rPr>
                <w:rFonts w:ascii="Times New Roman" w:hAnsi="Times New Roman" w:eastAsia="宋体"/>
                <w:highlight w:val="none"/>
              </w:rPr>
              <w:t>类</w:t>
            </w:r>
            <w:r>
              <w:rPr>
                <w:rFonts w:hint="eastAsia" w:ascii="Times New Roman" w:hAnsi="Times New Roman" w:eastAsia="宋体"/>
                <w:highlight w:val="none"/>
                <w:lang w:val="en-US" w:eastAsia="zh-CN"/>
              </w:rPr>
              <w:t>和4类</w:t>
            </w:r>
            <w:r>
              <w:rPr>
                <w:rFonts w:ascii="Times New Roman" w:hAnsi="Times New Roman" w:eastAsia="宋体"/>
                <w:highlight w:val="none"/>
              </w:rPr>
              <w:t>标准</w:t>
            </w:r>
          </w:p>
        </w:tc>
      </w:tr>
      <w:tr w14:paraId="23C0D7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50" w:type="pct"/>
            <w:vMerge w:val="restart"/>
            <w:noWrap w:val="0"/>
            <w:vAlign w:val="center"/>
          </w:tcPr>
          <w:p w14:paraId="1F7C99ED">
            <w:pPr>
              <w:pStyle w:val="27"/>
              <w:rPr>
                <w:rFonts w:ascii="Times New Roman" w:hAnsi="Times New Roman" w:eastAsia="宋体"/>
                <w:highlight w:val="none"/>
              </w:rPr>
            </w:pPr>
            <w:r>
              <w:rPr>
                <w:rFonts w:ascii="Times New Roman" w:hAnsi="Times New Roman" w:eastAsia="宋体"/>
                <w:highlight w:val="none"/>
              </w:rPr>
              <w:t>固废</w:t>
            </w:r>
          </w:p>
        </w:tc>
        <w:tc>
          <w:tcPr>
            <w:tcW w:w="436" w:type="pct"/>
            <w:noWrap w:val="0"/>
            <w:vAlign w:val="center"/>
          </w:tcPr>
          <w:p w14:paraId="2CC8BBE4">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锅炉</w:t>
            </w:r>
          </w:p>
        </w:tc>
        <w:tc>
          <w:tcPr>
            <w:tcW w:w="389" w:type="pct"/>
            <w:noWrap w:val="0"/>
            <w:vAlign w:val="center"/>
          </w:tcPr>
          <w:p w14:paraId="2B24FC1D">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炉渣</w:t>
            </w:r>
          </w:p>
        </w:tc>
        <w:tc>
          <w:tcPr>
            <w:tcW w:w="238" w:type="pct"/>
            <w:noWrap w:val="0"/>
            <w:vAlign w:val="center"/>
          </w:tcPr>
          <w:p w14:paraId="64CC1D82">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24D1F16D">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4CA5C947">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25919.71</w:t>
            </w:r>
            <w:r>
              <w:rPr>
                <w:rFonts w:ascii="Times New Roman" w:hAnsi="Times New Roman" w:eastAsia="宋体"/>
                <w:szCs w:val="21"/>
                <w:highlight w:val="none"/>
              </w:rPr>
              <w:t>t/a</w:t>
            </w:r>
          </w:p>
        </w:tc>
        <w:tc>
          <w:tcPr>
            <w:tcW w:w="1041" w:type="pct"/>
            <w:vMerge w:val="restart"/>
            <w:noWrap w:val="0"/>
            <w:vAlign w:val="center"/>
          </w:tcPr>
          <w:p w14:paraId="5C38775A">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运至采矿区回填</w:t>
            </w:r>
            <w:r>
              <w:rPr>
                <w:rFonts w:ascii="Times New Roman" w:hAnsi="Times New Roman" w:eastAsia="宋体"/>
                <w:szCs w:val="21"/>
                <w:highlight w:val="none"/>
              </w:rPr>
              <w:t>。</w:t>
            </w:r>
          </w:p>
        </w:tc>
        <w:tc>
          <w:tcPr>
            <w:tcW w:w="2052" w:type="pct"/>
            <w:noWrap w:val="0"/>
            <w:vAlign w:val="center"/>
          </w:tcPr>
          <w:p w14:paraId="30F3D4E0">
            <w:pPr>
              <w:pStyle w:val="27"/>
              <w:rPr>
                <w:rFonts w:ascii="Times New Roman" w:hAnsi="Times New Roman" w:eastAsia="宋体"/>
                <w:highlight w:val="none"/>
              </w:rPr>
            </w:pPr>
            <w:r>
              <w:rPr>
                <w:rFonts w:ascii="Times New Roman" w:hAnsi="Times New Roman" w:eastAsia="宋体"/>
                <w:highlight w:val="none"/>
              </w:rPr>
              <w:t>妥善处理</w:t>
            </w:r>
          </w:p>
        </w:tc>
      </w:tr>
      <w:tr w14:paraId="056AA4B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332AE4AA">
            <w:pPr>
              <w:pStyle w:val="27"/>
              <w:rPr>
                <w:rFonts w:ascii="Times New Roman" w:hAnsi="Times New Roman" w:eastAsia="宋体"/>
                <w:highlight w:val="none"/>
              </w:rPr>
            </w:pPr>
          </w:p>
        </w:tc>
        <w:tc>
          <w:tcPr>
            <w:tcW w:w="436" w:type="pct"/>
            <w:noWrap w:val="0"/>
            <w:vAlign w:val="center"/>
          </w:tcPr>
          <w:p w14:paraId="68992115">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锅炉</w:t>
            </w:r>
          </w:p>
        </w:tc>
        <w:tc>
          <w:tcPr>
            <w:tcW w:w="389" w:type="pct"/>
            <w:noWrap w:val="0"/>
            <w:vAlign w:val="center"/>
          </w:tcPr>
          <w:p w14:paraId="3ABD3835">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炉灰</w:t>
            </w:r>
          </w:p>
        </w:tc>
        <w:tc>
          <w:tcPr>
            <w:tcW w:w="238" w:type="pct"/>
            <w:noWrap w:val="0"/>
            <w:vAlign w:val="center"/>
          </w:tcPr>
          <w:p w14:paraId="2BC02AF2">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38702908">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132C3CF8">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6050.89</w:t>
            </w:r>
            <w:r>
              <w:rPr>
                <w:rFonts w:ascii="Times New Roman" w:hAnsi="Times New Roman" w:eastAsia="宋体"/>
                <w:szCs w:val="21"/>
                <w:highlight w:val="none"/>
              </w:rPr>
              <w:t>t/a</w:t>
            </w:r>
          </w:p>
        </w:tc>
        <w:tc>
          <w:tcPr>
            <w:tcW w:w="1041" w:type="pct"/>
            <w:vMerge w:val="continue"/>
            <w:noWrap w:val="0"/>
            <w:vAlign w:val="center"/>
          </w:tcPr>
          <w:p w14:paraId="0D2697AC">
            <w:pPr>
              <w:pStyle w:val="42"/>
              <w:spacing w:before="81" w:after="81"/>
              <w:textAlignment w:val="center"/>
              <w:rPr>
                <w:rFonts w:ascii="Times New Roman" w:hAnsi="Times New Roman" w:eastAsia="宋体"/>
                <w:szCs w:val="21"/>
                <w:highlight w:val="none"/>
              </w:rPr>
            </w:pPr>
          </w:p>
        </w:tc>
        <w:tc>
          <w:tcPr>
            <w:tcW w:w="2052" w:type="pct"/>
            <w:noWrap w:val="0"/>
            <w:vAlign w:val="center"/>
          </w:tcPr>
          <w:p w14:paraId="6AE4A3EB">
            <w:pPr>
              <w:pStyle w:val="27"/>
              <w:rPr>
                <w:rFonts w:ascii="Times New Roman" w:hAnsi="Times New Roman" w:eastAsia="宋体"/>
                <w:highlight w:val="none"/>
              </w:rPr>
            </w:pPr>
            <w:r>
              <w:rPr>
                <w:rFonts w:ascii="Times New Roman" w:hAnsi="Times New Roman" w:eastAsia="宋体"/>
                <w:highlight w:val="none"/>
              </w:rPr>
              <w:t>妥善处理</w:t>
            </w:r>
          </w:p>
        </w:tc>
      </w:tr>
      <w:tr w14:paraId="778BE7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140664E0">
            <w:pPr>
              <w:pStyle w:val="27"/>
              <w:rPr>
                <w:rFonts w:ascii="Times New Roman" w:hAnsi="Times New Roman" w:eastAsia="宋体"/>
                <w:highlight w:val="none"/>
              </w:rPr>
            </w:pPr>
          </w:p>
        </w:tc>
        <w:tc>
          <w:tcPr>
            <w:tcW w:w="436" w:type="pct"/>
            <w:noWrap w:val="0"/>
            <w:vAlign w:val="center"/>
          </w:tcPr>
          <w:p w14:paraId="7926B093">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脱硫塔</w:t>
            </w:r>
          </w:p>
        </w:tc>
        <w:tc>
          <w:tcPr>
            <w:tcW w:w="389" w:type="pct"/>
            <w:noWrap w:val="0"/>
            <w:vAlign w:val="center"/>
          </w:tcPr>
          <w:p w14:paraId="2B1F563D">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rPr>
              <w:t>脱硫石膏</w:t>
            </w:r>
          </w:p>
        </w:tc>
        <w:tc>
          <w:tcPr>
            <w:tcW w:w="238" w:type="pct"/>
            <w:noWrap w:val="0"/>
            <w:vAlign w:val="center"/>
          </w:tcPr>
          <w:p w14:paraId="10A934E1">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52EA47C1">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383DD856">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502.549</w:t>
            </w:r>
            <w:r>
              <w:rPr>
                <w:rFonts w:ascii="Times New Roman" w:hAnsi="Times New Roman" w:eastAsia="宋体"/>
                <w:szCs w:val="21"/>
                <w:highlight w:val="none"/>
              </w:rPr>
              <w:t>t/a</w:t>
            </w:r>
          </w:p>
        </w:tc>
        <w:tc>
          <w:tcPr>
            <w:tcW w:w="1041" w:type="pct"/>
            <w:vMerge w:val="continue"/>
            <w:noWrap w:val="0"/>
            <w:vAlign w:val="center"/>
          </w:tcPr>
          <w:p w14:paraId="2E1018FF">
            <w:pPr>
              <w:pStyle w:val="42"/>
              <w:spacing w:before="81" w:after="81"/>
              <w:textAlignment w:val="center"/>
              <w:rPr>
                <w:rFonts w:ascii="Times New Roman" w:hAnsi="Times New Roman" w:eastAsia="宋体"/>
                <w:szCs w:val="21"/>
                <w:highlight w:val="none"/>
              </w:rPr>
            </w:pPr>
          </w:p>
        </w:tc>
        <w:tc>
          <w:tcPr>
            <w:tcW w:w="2052" w:type="pct"/>
            <w:noWrap w:val="0"/>
            <w:vAlign w:val="center"/>
          </w:tcPr>
          <w:p w14:paraId="030FCA78">
            <w:pPr>
              <w:pStyle w:val="27"/>
              <w:rPr>
                <w:rFonts w:ascii="Times New Roman" w:hAnsi="Times New Roman" w:eastAsia="宋体"/>
                <w:highlight w:val="none"/>
              </w:rPr>
            </w:pPr>
            <w:r>
              <w:rPr>
                <w:rFonts w:ascii="Times New Roman" w:hAnsi="Times New Roman" w:eastAsia="宋体"/>
                <w:highlight w:val="none"/>
              </w:rPr>
              <w:t>妥善处理</w:t>
            </w:r>
          </w:p>
        </w:tc>
      </w:tr>
      <w:tr w14:paraId="54EA7F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182D44FE">
            <w:pPr>
              <w:pStyle w:val="27"/>
              <w:rPr>
                <w:rFonts w:ascii="Times New Roman" w:hAnsi="Times New Roman" w:eastAsia="宋体"/>
                <w:highlight w:val="none"/>
              </w:rPr>
            </w:pPr>
          </w:p>
        </w:tc>
        <w:tc>
          <w:tcPr>
            <w:tcW w:w="436" w:type="pct"/>
            <w:noWrap w:val="0"/>
            <w:vAlign w:val="center"/>
          </w:tcPr>
          <w:p w14:paraId="7E368D8A">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脱硝系统</w:t>
            </w:r>
          </w:p>
        </w:tc>
        <w:tc>
          <w:tcPr>
            <w:tcW w:w="389" w:type="pct"/>
            <w:noWrap w:val="0"/>
            <w:vAlign w:val="center"/>
          </w:tcPr>
          <w:p w14:paraId="1A5C1C83">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废催化剂</w:t>
            </w:r>
          </w:p>
        </w:tc>
        <w:tc>
          <w:tcPr>
            <w:tcW w:w="238" w:type="pct"/>
            <w:noWrap w:val="0"/>
            <w:vAlign w:val="center"/>
          </w:tcPr>
          <w:p w14:paraId="6923F3FC">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67B8234B">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5A1E28F2">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10m</w:t>
            </w:r>
            <w:r>
              <w:rPr>
                <w:rFonts w:ascii="Times New Roman" w:hAnsi="Times New Roman" w:eastAsia="宋体"/>
                <w:szCs w:val="21"/>
                <w:highlight w:val="none"/>
                <w:vertAlign w:val="superscript"/>
              </w:rPr>
              <w:t>3</w:t>
            </w:r>
            <w:r>
              <w:rPr>
                <w:rFonts w:ascii="Times New Roman" w:hAnsi="Times New Roman" w:eastAsia="宋体"/>
                <w:szCs w:val="21"/>
                <w:highlight w:val="none"/>
              </w:rPr>
              <w:t>/3a</w:t>
            </w:r>
          </w:p>
        </w:tc>
        <w:tc>
          <w:tcPr>
            <w:tcW w:w="1041" w:type="pct"/>
            <w:noWrap w:val="0"/>
            <w:vAlign w:val="center"/>
          </w:tcPr>
          <w:p w14:paraId="2DF8BA7B">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委托有资质单位处置</w:t>
            </w:r>
          </w:p>
        </w:tc>
        <w:tc>
          <w:tcPr>
            <w:tcW w:w="2052" w:type="pct"/>
            <w:noWrap w:val="0"/>
            <w:vAlign w:val="center"/>
          </w:tcPr>
          <w:p w14:paraId="464738BC">
            <w:pPr>
              <w:pStyle w:val="27"/>
              <w:rPr>
                <w:rFonts w:ascii="Times New Roman" w:hAnsi="Times New Roman" w:eastAsia="宋体"/>
                <w:highlight w:val="none"/>
              </w:rPr>
            </w:pPr>
            <w:r>
              <w:rPr>
                <w:rFonts w:ascii="Times New Roman" w:hAnsi="Times New Roman" w:eastAsia="宋体"/>
                <w:highlight w:val="none"/>
              </w:rPr>
              <w:t>妥善处理</w:t>
            </w:r>
          </w:p>
        </w:tc>
      </w:tr>
      <w:tr w14:paraId="58FEDB2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5D46EAAD">
            <w:pPr>
              <w:pStyle w:val="27"/>
              <w:rPr>
                <w:rFonts w:ascii="Times New Roman" w:hAnsi="Times New Roman" w:eastAsia="宋体"/>
                <w:highlight w:val="none"/>
              </w:rPr>
            </w:pPr>
          </w:p>
        </w:tc>
        <w:tc>
          <w:tcPr>
            <w:tcW w:w="436" w:type="pct"/>
            <w:noWrap w:val="0"/>
            <w:vAlign w:val="center"/>
          </w:tcPr>
          <w:p w14:paraId="780233AE">
            <w:pPr>
              <w:pStyle w:val="42"/>
              <w:spacing w:before="81" w:after="81"/>
              <w:textAlignment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设备</w:t>
            </w:r>
          </w:p>
        </w:tc>
        <w:tc>
          <w:tcPr>
            <w:tcW w:w="389" w:type="pct"/>
            <w:noWrap w:val="0"/>
            <w:vAlign w:val="center"/>
          </w:tcPr>
          <w:p w14:paraId="41250E36">
            <w:pPr>
              <w:pStyle w:val="42"/>
              <w:spacing w:before="81" w:after="81"/>
              <w:textAlignment w:val="center"/>
              <w:rPr>
                <w:rFonts w:hint="eastAsia"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废机油</w:t>
            </w:r>
          </w:p>
        </w:tc>
        <w:tc>
          <w:tcPr>
            <w:tcW w:w="238" w:type="pct"/>
            <w:noWrap w:val="0"/>
            <w:vAlign w:val="center"/>
          </w:tcPr>
          <w:p w14:paraId="18F93E55">
            <w:pPr>
              <w:pStyle w:val="27"/>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w:t>
            </w:r>
          </w:p>
        </w:tc>
        <w:tc>
          <w:tcPr>
            <w:tcW w:w="224" w:type="pct"/>
            <w:gridSpan w:val="2"/>
            <w:noWrap w:val="0"/>
            <w:vAlign w:val="center"/>
          </w:tcPr>
          <w:p w14:paraId="4019951C">
            <w:pPr>
              <w:pStyle w:val="27"/>
              <w:rPr>
                <w:rFonts w:hint="eastAsia" w:ascii="Times New Roman" w:hAnsi="Times New Roman" w:eastAsia="宋体"/>
                <w:highlight w:val="none"/>
                <w:lang w:val="en-US" w:eastAsia="zh-CN"/>
              </w:rPr>
            </w:pPr>
            <w:r>
              <w:rPr>
                <w:rFonts w:hint="eastAsia" w:ascii="Times New Roman" w:hAnsi="Times New Roman" w:eastAsia="宋体"/>
                <w:highlight w:val="none"/>
                <w:lang w:val="en-US" w:eastAsia="zh-CN"/>
              </w:rPr>
              <w:t>/</w:t>
            </w:r>
          </w:p>
        </w:tc>
        <w:tc>
          <w:tcPr>
            <w:tcW w:w="467" w:type="pct"/>
            <w:gridSpan w:val="2"/>
            <w:noWrap w:val="0"/>
            <w:vAlign w:val="center"/>
          </w:tcPr>
          <w:p w14:paraId="292354FC">
            <w:pPr>
              <w:pStyle w:val="42"/>
              <w:spacing w:before="81" w:after="81"/>
              <w:textAlignment w:val="center"/>
              <w:rPr>
                <w:rFonts w:hint="default" w:ascii="Times New Roman" w:hAnsi="Times New Roman" w:eastAsia="宋体"/>
                <w:szCs w:val="21"/>
                <w:highlight w:val="none"/>
                <w:lang w:val="en-US" w:eastAsia="zh-CN"/>
              </w:rPr>
            </w:pPr>
            <w:r>
              <w:rPr>
                <w:rFonts w:hint="eastAsia" w:ascii="Times New Roman" w:hAnsi="Times New Roman" w:eastAsia="宋体"/>
                <w:szCs w:val="21"/>
                <w:highlight w:val="none"/>
                <w:lang w:val="en-US" w:eastAsia="zh-CN"/>
              </w:rPr>
              <w:t>0.2t/a</w:t>
            </w:r>
          </w:p>
        </w:tc>
        <w:tc>
          <w:tcPr>
            <w:tcW w:w="1041" w:type="pct"/>
            <w:noWrap w:val="0"/>
            <w:vAlign w:val="center"/>
          </w:tcPr>
          <w:p w14:paraId="76905A93">
            <w:pPr>
              <w:pStyle w:val="42"/>
              <w:spacing w:before="81" w:after="81"/>
              <w:ind w:firstLine="0" w:firstLineChars="0"/>
              <w:textAlignment w:val="center"/>
              <w:rPr>
                <w:rFonts w:ascii="Times New Roman" w:hAnsi="Times New Roman" w:eastAsia="宋体"/>
                <w:szCs w:val="21"/>
                <w:highlight w:val="none"/>
              </w:rPr>
            </w:pPr>
            <w:r>
              <w:rPr>
                <w:rFonts w:ascii="Times New Roman" w:hAnsi="Times New Roman" w:eastAsia="宋体"/>
                <w:szCs w:val="21"/>
                <w:highlight w:val="none"/>
              </w:rPr>
              <w:t>委托有资质单位处置</w:t>
            </w:r>
          </w:p>
        </w:tc>
        <w:tc>
          <w:tcPr>
            <w:tcW w:w="2052" w:type="pct"/>
            <w:noWrap w:val="0"/>
            <w:vAlign w:val="center"/>
          </w:tcPr>
          <w:p w14:paraId="266CCA86">
            <w:pPr>
              <w:pStyle w:val="27"/>
              <w:ind w:firstLine="0" w:firstLineChars="0"/>
              <w:rPr>
                <w:rFonts w:ascii="Times New Roman" w:hAnsi="Times New Roman" w:eastAsia="宋体"/>
                <w:highlight w:val="none"/>
              </w:rPr>
            </w:pPr>
            <w:r>
              <w:rPr>
                <w:rFonts w:ascii="Times New Roman" w:hAnsi="Times New Roman" w:eastAsia="宋体"/>
                <w:highlight w:val="none"/>
              </w:rPr>
              <w:t>妥善处理</w:t>
            </w:r>
          </w:p>
        </w:tc>
      </w:tr>
      <w:tr w14:paraId="11936B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0802A69E">
            <w:pPr>
              <w:pStyle w:val="27"/>
              <w:rPr>
                <w:rFonts w:ascii="Times New Roman" w:hAnsi="Times New Roman" w:eastAsia="宋体"/>
                <w:highlight w:val="none"/>
              </w:rPr>
            </w:pPr>
          </w:p>
        </w:tc>
        <w:tc>
          <w:tcPr>
            <w:tcW w:w="436" w:type="pct"/>
            <w:noWrap w:val="0"/>
            <w:vAlign w:val="center"/>
          </w:tcPr>
          <w:p w14:paraId="3B34D7EE">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水处理</w:t>
            </w:r>
          </w:p>
        </w:tc>
        <w:tc>
          <w:tcPr>
            <w:tcW w:w="389" w:type="pct"/>
            <w:noWrap w:val="0"/>
            <w:vAlign w:val="center"/>
          </w:tcPr>
          <w:p w14:paraId="14F94B8A">
            <w:pPr>
              <w:pStyle w:val="42"/>
              <w:spacing w:before="81" w:after="81"/>
              <w:textAlignment w:val="center"/>
              <w:rPr>
                <w:rFonts w:hint="default" w:ascii="Times New Roman" w:hAnsi="Times New Roman" w:eastAsia="宋体"/>
                <w:szCs w:val="21"/>
                <w:highlight w:val="none"/>
                <w:lang w:val="en-US" w:eastAsia="zh-CN"/>
              </w:rPr>
            </w:pPr>
            <w:r>
              <w:rPr>
                <w:rFonts w:ascii="Times New Roman" w:hAnsi="Times New Roman" w:eastAsia="宋体"/>
                <w:szCs w:val="21"/>
                <w:highlight w:val="none"/>
              </w:rPr>
              <w:t>废离子交换树脂</w:t>
            </w:r>
            <w:r>
              <w:rPr>
                <w:rFonts w:hint="eastAsia" w:ascii="Times New Roman" w:hAnsi="Times New Roman" w:eastAsia="宋体"/>
                <w:szCs w:val="21"/>
                <w:highlight w:val="none"/>
                <w:lang w:val="en-US" w:eastAsia="zh-CN"/>
              </w:rPr>
              <w:t>和反渗透膜</w:t>
            </w:r>
          </w:p>
        </w:tc>
        <w:tc>
          <w:tcPr>
            <w:tcW w:w="238" w:type="pct"/>
            <w:noWrap w:val="0"/>
            <w:vAlign w:val="center"/>
          </w:tcPr>
          <w:p w14:paraId="5F011CD2">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0FD457AE">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20207945">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2t/a</w:t>
            </w:r>
          </w:p>
        </w:tc>
        <w:tc>
          <w:tcPr>
            <w:tcW w:w="1041" w:type="pct"/>
            <w:noWrap w:val="0"/>
            <w:vAlign w:val="center"/>
          </w:tcPr>
          <w:p w14:paraId="54A15060">
            <w:pPr>
              <w:pStyle w:val="42"/>
              <w:spacing w:before="81" w:after="81"/>
              <w:textAlignment w:val="center"/>
              <w:rPr>
                <w:rFonts w:hint="default" w:ascii="Times New Roman" w:hAnsi="Times New Roman" w:eastAsia="宋体"/>
                <w:szCs w:val="21"/>
                <w:highlight w:val="none"/>
                <w:lang w:val="en-US" w:eastAsia="zh-CN"/>
              </w:rPr>
            </w:pPr>
            <w:r>
              <w:rPr>
                <w:rFonts w:ascii="Times New Roman" w:hAnsi="Times New Roman" w:eastAsia="宋体"/>
                <w:szCs w:val="21"/>
                <w:highlight w:val="none"/>
              </w:rPr>
              <w:t>由</w:t>
            </w:r>
            <w:r>
              <w:rPr>
                <w:rFonts w:hint="eastAsia" w:ascii="Times New Roman" w:hAnsi="Times New Roman" w:eastAsia="宋体"/>
                <w:szCs w:val="21"/>
                <w:highlight w:val="none"/>
                <w:lang w:val="en-US" w:eastAsia="zh-CN"/>
              </w:rPr>
              <w:t>厂家回收处置</w:t>
            </w:r>
          </w:p>
        </w:tc>
        <w:tc>
          <w:tcPr>
            <w:tcW w:w="2052" w:type="pct"/>
            <w:noWrap w:val="0"/>
            <w:vAlign w:val="center"/>
          </w:tcPr>
          <w:p w14:paraId="36C558A3">
            <w:pPr>
              <w:pStyle w:val="27"/>
              <w:rPr>
                <w:rFonts w:ascii="Times New Roman" w:hAnsi="Times New Roman" w:eastAsia="宋体"/>
                <w:highlight w:val="none"/>
              </w:rPr>
            </w:pPr>
            <w:r>
              <w:rPr>
                <w:rFonts w:ascii="Times New Roman" w:hAnsi="Times New Roman" w:eastAsia="宋体"/>
                <w:highlight w:val="none"/>
              </w:rPr>
              <w:t>妥善处理</w:t>
            </w:r>
          </w:p>
        </w:tc>
      </w:tr>
      <w:tr w14:paraId="51BA14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6E376CB4">
            <w:pPr>
              <w:pStyle w:val="27"/>
              <w:rPr>
                <w:rFonts w:ascii="Times New Roman" w:hAnsi="Times New Roman" w:eastAsia="宋体"/>
                <w:highlight w:val="none"/>
              </w:rPr>
            </w:pPr>
          </w:p>
        </w:tc>
        <w:tc>
          <w:tcPr>
            <w:tcW w:w="436" w:type="pct"/>
            <w:noWrap w:val="0"/>
            <w:vAlign w:val="center"/>
          </w:tcPr>
          <w:p w14:paraId="5D560802">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办公室</w:t>
            </w:r>
          </w:p>
        </w:tc>
        <w:tc>
          <w:tcPr>
            <w:tcW w:w="389" w:type="pct"/>
            <w:noWrap w:val="0"/>
            <w:vAlign w:val="center"/>
          </w:tcPr>
          <w:p w14:paraId="6CF978AE">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生活垃圾</w:t>
            </w:r>
          </w:p>
        </w:tc>
        <w:tc>
          <w:tcPr>
            <w:tcW w:w="238" w:type="pct"/>
            <w:noWrap w:val="0"/>
            <w:vAlign w:val="center"/>
          </w:tcPr>
          <w:p w14:paraId="4DB797B4">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66B6CD74">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3D2E5309">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18.38</w:t>
            </w:r>
            <w:r>
              <w:rPr>
                <w:rFonts w:ascii="Times New Roman" w:hAnsi="Times New Roman" w:eastAsia="宋体"/>
                <w:szCs w:val="21"/>
                <w:highlight w:val="none"/>
              </w:rPr>
              <w:t>t/a</w:t>
            </w:r>
          </w:p>
        </w:tc>
        <w:tc>
          <w:tcPr>
            <w:tcW w:w="1041" w:type="pct"/>
            <w:noWrap w:val="0"/>
            <w:vAlign w:val="center"/>
          </w:tcPr>
          <w:p w14:paraId="38C60AAB">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由市政环卫部门统一处理</w:t>
            </w:r>
          </w:p>
        </w:tc>
        <w:tc>
          <w:tcPr>
            <w:tcW w:w="2052" w:type="pct"/>
            <w:noWrap w:val="0"/>
            <w:vAlign w:val="center"/>
          </w:tcPr>
          <w:p w14:paraId="010894C3">
            <w:pPr>
              <w:pStyle w:val="27"/>
              <w:rPr>
                <w:rFonts w:ascii="Times New Roman" w:hAnsi="Times New Roman" w:eastAsia="宋体"/>
                <w:highlight w:val="none"/>
              </w:rPr>
            </w:pPr>
            <w:r>
              <w:rPr>
                <w:rFonts w:ascii="Times New Roman" w:hAnsi="Times New Roman" w:eastAsia="宋体"/>
                <w:highlight w:val="none"/>
              </w:rPr>
              <w:t>妥善处理</w:t>
            </w:r>
          </w:p>
        </w:tc>
      </w:tr>
      <w:tr w14:paraId="736F24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0" w:type="pct"/>
            <w:vMerge w:val="continue"/>
            <w:noWrap w:val="0"/>
            <w:vAlign w:val="center"/>
          </w:tcPr>
          <w:p w14:paraId="606E61D8">
            <w:pPr>
              <w:pStyle w:val="27"/>
              <w:rPr>
                <w:rFonts w:ascii="Times New Roman" w:hAnsi="Times New Roman" w:eastAsia="宋体"/>
                <w:highlight w:val="none"/>
              </w:rPr>
            </w:pPr>
          </w:p>
        </w:tc>
        <w:tc>
          <w:tcPr>
            <w:tcW w:w="436" w:type="pct"/>
            <w:noWrap w:val="0"/>
            <w:vAlign w:val="center"/>
          </w:tcPr>
          <w:p w14:paraId="24FBB99A">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食堂</w:t>
            </w:r>
          </w:p>
        </w:tc>
        <w:tc>
          <w:tcPr>
            <w:tcW w:w="389" w:type="pct"/>
            <w:noWrap w:val="0"/>
            <w:vAlign w:val="center"/>
          </w:tcPr>
          <w:p w14:paraId="2ABC907B">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餐厨垃圾及废油脂</w:t>
            </w:r>
          </w:p>
        </w:tc>
        <w:tc>
          <w:tcPr>
            <w:tcW w:w="238" w:type="pct"/>
            <w:noWrap w:val="0"/>
            <w:vAlign w:val="center"/>
          </w:tcPr>
          <w:p w14:paraId="62ECCBFC">
            <w:pPr>
              <w:pStyle w:val="27"/>
              <w:rPr>
                <w:rFonts w:ascii="Times New Roman" w:hAnsi="Times New Roman" w:eastAsia="宋体"/>
                <w:highlight w:val="none"/>
              </w:rPr>
            </w:pPr>
            <w:r>
              <w:rPr>
                <w:rFonts w:ascii="Times New Roman" w:hAnsi="Times New Roman" w:eastAsia="宋体"/>
                <w:highlight w:val="none"/>
              </w:rPr>
              <w:t>/</w:t>
            </w:r>
          </w:p>
        </w:tc>
        <w:tc>
          <w:tcPr>
            <w:tcW w:w="224" w:type="pct"/>
            <w:gridSpan w:val="2"/>
            <w:noWrap w:val="0"/>
            <w:vAlign w:val="center"/>
          </w:tcPr>
          <w:p w14:paraId="1B75EE0E">
            <w:pPr>
              <w:pStyle w:val="27"/>
              <w:rPr>
                <w:rFonts w:ascii="Times New Roman" w:hAnsi="Times New Roman" w:eastAsia="宋体"/>
                <w:highlight w:val="none"/>
              </w:rPr>
            </w:pPr>
            <w:r>
              <w:rPr>
                <w:rFonts w:ascii="Times New Roman" w:hAnsi="Times New Roman" w:eastAsia="宋体"/>
                <w:highlight w:val="none"/>
              </w:rPr>
              <w:t>/</w:t>
            </w:r>
          </w:p>
        </w:tc>
        <w:tc>
          <w:tcPr>
            <w:tcW w:w="467" w:type="pct"/>
            <w:gridSpan w:val="2"/>
            <w:noWrap w:val="0"/>
            <w:vAlign w:val="center"/>
          </w:tcPr>
          <w:p w14:paraId="3F9473D1">
            <w:pPr>
              <w:pStyle w:val="42"/>
              <w:spacing w:before="81" w:after="81"/>
              <w:textAlignment w:val="center"/>
              <w:rPr>
                <w:rFonts w:ascii="Times New Roman" w:hAnsi="Times New Roman" w:eastAsia="宋体"/>
                <w:szCs w:val="21"/>
                <w:highlight w:val="none"/>
              </w:rPr>
            </w:pPr>
            <w:r>
              <w:rPr>
                <w:rFonts w:hint="eastAsia" w:ascii="Times New Roman" w:hAnsi="Times New Roman" w:eastAsia="宋体"/>
                <w:szCs w:val="21"/>
                <w:highlight w:val="none"/>
                <w:lang w:val="en-US" w:eastAsia="zh-CN"/>
              </w:rPr>
              <w:t>11.122</w:t>
            </w:r>
            <w:r>
              <w:rPr>
                <w:rFonts w:ascii="Times New Roman" w:hAnsi="Times New Roman" w:eastAsia="宋体"/>
                <w:szCs w:val="21"/>
                <w:highlight w:val="none"/>
              </w:rPr>
              <w:t>t/a</w:t>
            </w:r>
          </w:p>
        </w:tc>
        <w:tc>
          <w:tcPr>
            <w:tcW w:w="1041" w:type="pct"/>
            <w:noWrap w:val="0"/>
            <w:vAlign w:val="center"/>
          </w:tcPr>
          <w:p w14:paraId="09325026">
            <w:pPr>
              <w:pStyle w:val="42"/>
              <w:spacing w:before="81" w:after="81"/>
              <w:textAlignment w:val="center"/>
              <w:rPr>
                <w:rFonts w:ascii="Times New Roman" w:hAnsi="Times New Roman" w:eastAsia="宋体"/>
                <w:szCs w:val="21"/>
                <w:highlight w:val="none"/>
              </w:rPr>
            </w:pPr>
            <w:r>
              <w:rPr>
                <w:rFonts w:ascii="Times New Roman" w:hAnsi="Times New Roman" w:eastAsia="宋体"/>
                <w:szCs w:val="21"/>
                <w:highlight w:val="none"/>
              </w:rPr>
              <w:t>委托有资质单位处置</w:t>
            </w:r>
          </w:p>
        </w:tc>
        <w:tc>
          <w:tcPr>
            <w:tcW w:w="2052" w:type="pct"/>
            <w:noWrap w:val="0"/>
            <w:vAlign w:val="center"/>
          </w:tcPr>
          <w:p w14:paraId="0E1E962B">
            <w:pPr>
              <w:pStyle w:val="27"/>
              <w:rPr>
                <w:rFonts w:ascii="Times New Roman" w:hAnsi="Times New Roman" w:eastAsia="宋体"/>
                <w:highlight w:val="none"/>
              </w:rPr>
            </w:pPr>
            <w:r>
              <w:rPr>
                <w:rFonts w:ascii="Times New Roman" w:hAnsi="Times New Roman" w:eastAsia="宋体"/>
                <w:highlight w:val="none"/>
              </w:rPr>
              <w:t>妥善处理</w:t>
            </w:r>
          </w:p>
        </w:tc>
      </w:tr>
    </w:tbl>
    <w:p w14:paraId="134DDE55">
      <w:pPr>
        <w:pStyle w:val="23"/>
        <w:rPr>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5F6B6ED8">
      <w:pPr>
        <w:pStyle w:val="4"/>
        <w:bidi w:val="0"/>
        <w:ind w:left="0" w:leftChars="0" w:firstLine="0" w:firstLineChars="0"/>
        <w:rPr>
          <w:rFonts w:hint="eastAsia"/>
          <w:highlight w:val="none"/>
          <w:lang w:val="en-US" w:eastAsia="zh-CN"/>
        </w:rPr>
      </w:pPr>
      <w:bookmarkStart w:id="179" w:name="_Toc5428"/>
      <w:r>
        <w:rPr>
          <w:rFonts w:hint="eastAsia"/>
          <w:highlight w:val="none"/>
          <w:lang w:val="en-US" w:eastAsia="zh-CN"/>
        </w:rPr>
        <w:t>8.2污染物排放情况</w:t>
      </w:r>
      <w:bookmarkEnd w:id="179"/>
    </w:p>
    <w:p w14:paraId="6F4C5710">
      <w:pPr>
        <w:pStyle w:val="5"/>
        <w:bidi w:val="0"/>
        <w:ind w:left="0" w:leftChars="0" w:firstLine="0" w:firstLineChars="0"/>
        <w:rPr>
          <w:rFonts w:hint="eastAsia"/>
          <w:highlight w:val="none"/>
          <w:lang w:val="en-US" w:eastAsia="zh-CN"/>
        </w:rPr>
      </w:pPr>
      <w:bookmarkStart w:id="180" w:name="_Toc20394"/>
      <w:r>
        <w:rPr>
          <w:rFonts w:hint="default" w:ascii="Times New Roman" w:hAnsi="Times New Roman" w:cs="Times New Roman"/>
          <w:highlight w:val="none"/>
          <w:lang w:val="en-US" w:eastAsia="zh-CN"/>
        </w:rPr>
        <w:t>8.2.1</w:t>
      </w:r>
      <w:r>
        <w:rPr>
          <w:rFonts w:hint="eastAsia"/>
          <w:highlight w:val="none"/>
          <w:lang w:val="en-US" w:eastAsia="zh-CN"/>
        </w:rPr>
        <w:t>污染源排放管理要求</w:t>
      </w:r>
      <w:bookmarkEnd w:id="180"/>
    </w:p>
    <w:p w14:paraId="651EB62E">
      <w:pPr>
        <w:ind w:firstLine="480"/>
        <w:rPr>
          <w:rFonts w:ascii="Times New Roman" w:hAnsi="Times New Roman"/>
          <w:highlight w:val="none"/>
        </w:rPr>
      </w:pPr>
      <w:r>
        <w:rPr>
          <w:rFonts w:ascii="Times New Roman" w:hAnsi="Times New Roman"/>
          <w:highlight w:val="none"/>
        </w:rPr>
        <w:t>（1）建设期</w:t>
      </w:r>
    </w:p>
    <w:p w14:paraId="0B9AAE55">
      <w:pPr>
        <w:ind w:firstLine="480"/>
        <w:rPr>
          <w:rFonts w:ascii="Times New Roman" w:hAnsi="Times New Roman"/>
          <w:highlight w:val="none"/>
        </w:rPr>
      </w:pPr>
      <w:r>
        <w:rPr>
          <w:rFonts w:ascii="Times New Roman" w:hAnsi="Times New Roman"/>
          <w:highlight w:val="none"/>
        </w:rPr>
        <w:t>本项目的建设在环境管理上应严格执行防治污染与主体项目同时设计、同时施工、同时投产的“三同时”制度。在项目正式投产前，必须向负责审批的环境保护管理部门提交环境保护设施竣工验收报告，说明环境保护设施运行的情况，治理的效果，达到的标准，经环境保护主管部门验收合格后方可正式投入生产。</w:t>
      </w:r>
    </w:p>
    <w:p w14:paraId="19C4F2D8">
      <w:pPr>
        <w:ind w:firstLine="480"/>
        <w:rPr>
          <w:rFonts w:ascii="Times New Roman" w:hAnsi="Times New Roman"/>
          <w:highlight w:val="none"/>
        </w:rPr>
      </w:pPr>
      <w:r>
        <w:rPr>
          <w:rFonts w:ascii="Times New Roman" w:hAnsi="Times New Roman"/>
          <w:highlight w:val="none"/>
        </w:rPr>
        <w:t>（2）营运期环境管理计划</w:t>
      </w:r>
    </w:p>
    <w:p w14:paraId="29D36B2C">
      <w:pPr>
        <w:ind w:firstLine="480"/>
        <w:rPr>
          <w:rFonts w:ascii="Times New Roman" w:hAnsi="Times New Roman"/>
          <w:highlight w:val="none"/>
        </w:rPr>
      </w:pPr>
      <w:r>
        <w:rPr>
          <w:rFonts w:ascii="Times New Roman" w:hAnsi="Times New Roman"/>
          <w:highlight w:val="none"/>
        </w:rPr>
        <w:t>1）监督和强化用水管理工作，确保生产废水处理后全部回用；</w:t>
      </w:r>
    </w:p>
    <w:p w14:paraId="6AB18E63">
      <w:pPr>
        <w:ind w:firstLine="480"/>
        <w:rPr>
          <w:rFonts w:ascii="Times New Roman" w:hAnsi="Times New Roman"/>
          <w:highlight w:val="none"/>
        </w:rPr>
      </w:pPr>
      <w:r>
        <w:rPr>
          <w:rFonts w:ascii="Times New Roman" w:hAnsi="Times New Roman"/>
          <w:highlight w:val="none"/>
        </w:rPr>
        <w:t>2）确保烟气除尘、脱硫、脱硝设备正常运行，控制锅炉烟囱排放的废气量及各项污染物浓度指标严格按照环境保护行政主管部门的规定要求排放；</w:t>
      </w:r>
    </w:p>
    <w:p w14:paraId="4F30C3B9">
      <w:pPr>
        <w:ind w:firstLine="480"/>
        <w:rPr>
          <w:rFonts w:ascii="Times New Roman" w:hAnsi="Times New Roman"/>
          <w:highlight w:val="none"/>
        </w:rPr>
      </w:pPr>
      <w:r>
        <w:rPr>
          <w:rFonts w:ascii="Times New Roman" w:hAnsi="Times New Roman"/>
          <w:highlight w:val="none"/>
        </w:rPr>
        <w:t>3）确保各噪声控制设备的正常运行，保证厂界噪声直满足国家标准的要求；</w:t>
      </w:r>
    </w:p>
    <w:p w14:paraId="3E45B17D">
      <w:pPr>
        <w:rPr>
          <w:rFonts w:ascii="Times New Roman" w:hAnsi="Times New Roman"/>
          <w:highlight w:val="none"/>
        </w:rPr>
      </w:pPr>
      <w:r>
        <w:rPr>
          <w:rFonts w:ascii="Times New Roman" w:hAnsi="Times New Roman"/>
          <w:highlight w:val="none"/>
        </w:rPr>
        <w:t>4）做好灰渣及煤在运输过程中的防尘工作，定期进行监督和检查，确保防尘措施的有效性，防止扬尘产生；同时强化工程所排灰渣的回收利用力度。</w:t>
      </w:r>
    </w:p>
    <w:p w14:paraId="4E9B2015">
      <w:pPr>
        <w:pStyle w:val="5"/>
        <w:bidi w:val="0"/>
        <w:ind w:left="0" w:leftChars="0" w:firstLine="0" w:firstLineChars="0"/>
        <w:rPr>
          <w:rFonts w:hint="eastAsia"/>
          <w:highlight w:val="none"/>
          <w:lang w:val="en-US" w:eastAsia="zh-CN"/>
        </w:rPr>
      </w:pPr>
      <w:bookmarkStart w:id="181" w:name="_Toc28693"/>
      <w:r>
        <w:rPr>
          <w:rFonts w:hint="default" w:ascii="Times New Roman" w:hAnsi="Times New Roman" w:cs="Times New Roman"/>
          <w:highlight w:val="none"/>
          <w:lang w:val="en-US" w:eastAsia="zh-CN"/>
        </w:rPr>
        <w:t>8.2.2</w:t>
      </w:r>
      <w:r>
        <w:rPr>
          <w:rFonts w:hint="eastAsia"/>
          <w:highlight w:val="none"/>
          <w:lang w:val="en-US" w:eastAsia="zh-CN"/>
        </w:rPr>
        <w:t>污染物排放总量控制分析</w:t>
      </w:r>
      <w:bookmarkEnd w:id="181"/>
    </w:p>
    <w:p w14:paraId="53622599">
      <w:pPr>
        <w:ind w:firstLine="480"/>
        <w:rPr>
          <w:rFonts w:ascii="Times New Roman" w:hAnsi="Times New Roman"/>
          <w:highlight w:val="none"/>
        </w:rPr>
      </w:pPr>
      <w:r>
        <w:rPr>
          <w:rFonts w:ascii="Times New Roman" w:hAnsi="Times New Roman"/>
          <w:highlight w:val="none"/>
        </w:rPr>
        <w:t>一、总量控制原则</w:t>
      </w:r>
    </w:p>
    <w:p w14:paraId="08330168">
      <w:pPr>
        <w:ind w:firstLine="480"/>
        <w:rPr>
          <w:rFonts w:ascii="Times New Roman" w:hAnsi="Times New Roman"/>
          <w:highlight w:val="none"/>
        </w:rPr>
      </w:pPr>
      <w:r>
        <w:rPr>
          <w:rFonts w:ascii="Times New Roman" w:hAnsi="Times New Roman"/>
          <w:highlight w:val="none"/>
        </w:rPr>
        <w:t>本项目总量控制应以</w:t>
      </w:r>
      <w:r>
        <w:rPr>
          <w:rFonts w:hint="eastAsia" w:ascii="Times New Roman" w:hAnsi="Times New Roman"/>
          <w:highlight w:val="none"/>
          <w:lang w:val="en-US" w:eastAsia="zh-CN"/>
        </w:rPr>
        <w:t>绥芬河</w:t>
      </w:r>
      <w:r>
        <w:rPr>
          <w:rFonts w:ascii="Times New Roman" w:hAnsi="Times New Roman"/>
          <w:highlight w:val="none"/>
        </w:rPr>
        <w:t>市总量控制规划为目标，将本项目投产前后排放的污染物总量变化情况纳入其所在的区域中，实现区域污染物排放总量控制。</w:t>
      </w:r>
    </w:p>
    <w:p w14:paraId="386EC225">
      <w:pPr>
        <w:ind w:firstLine="480"/>
        <w:rPr>
          <w:rFonts w:ascii="Times New Roman" w:hAnsi="Times New Roman"/>
          <w:highlight w:val="none"/>
        </w:rPr>
      </w:pPr>
      <w:r>
        <w:rPr>
          <w:rFonts w:ascii="Times New Roman" w:hAnsi="Times New Roman"/>
          <w:highlight w:val="none"/>
        </w:rPr>
        <w:t>二、总量控制因子</w:t>
      </w:r>
    </w:p>
    <w:p w14:paraId="49CF1D35">
      <w:pPr>
        <w:ind w:firstLine="480"/>
        <w:rPr>
          <w:rFonts w:ascii="Times New Roman" w:hAnsi="Times New Roman"/>
          <w:highlight w:val="none"/>
        </w:rPr>
      </w:pPr>
      <w:r>
        <w:rPr>
          <w:rFonts w:ascii="Times New Roman" w:hAnsi="Times New Roman"/>
          <w:highlight w:val="none"/>
        </w:rPr>
        <w:t>根据本项目排污特征和“十</w:t>
      </w:r>
      <w:r>
        <w:rPr>
          <w:rFonts w:hint="eastAsia" w:ascii="Times New Roman" w:hAnsi="Times New Roman"/>
          <w:highlight w:val="none"/>
        </w:rPr>
        <w:t>四</w:t>
      </w:r>
      <w:r>
        <w:rPr>
          <w:rFonts w:ascii="Times New Roman" w:hAnsi="Times New Roman"/>
          <w:highlight w:val="none"/>
        </w:rPr>
        <w:t>五”总量要求，确定本项目污染物排放总量控制因子为：SO</w:t>
      </w:r>
      <w:r>
        <w:rPr>
          <w:rFonts w:ascii="Times New Roman" w:hAnsi="Times New Roman"/>
          <w:highlight w:val="none"/>
          <w:vertAlign w:val="subscript"/>
        </w:rPr>
        <w:t>2</w:t>
      </w:r>
      <w:r>
        <w:rPr>
          <w:rFonts w:ascii="Times New Roman" w:hAnsi="Times New Roman"/>
          <w:highlight w:val="none"/>
        </w:rPr>
        <w:t>、NOx、颗粒物、COD和氨氮。</w:t>
      </w:r>
    </w:p>
    <w:p w14:paraId="454783A3">
      <w:pPr>
        <w:ind w:firstLine="480"/>
        <w:rPr>
          <w:rFonts w:ascii="Times New Roman" w:hAnsi="Times New Roman"/>
          <w:highlight w:val="none"/>
        </w:rPr>
      </w:pPr>
      <w:r>
        <w:rPr>
          <w:rFonts w:ascii="Times New Roman" w:hAnsi="Times New Roman"/>
          <w:highlight w:val="none"/>
        </w:rPr>
        <w:t>三、总量控制指标</w:t>
      </w:r>
    </w:p>
    <w:p w14:paraId="533366AE">
      <w:pPr>
        <w:pStyle w:val="23"/>
        <w:ind w:firstLine="480"/>
        <w:rPr>
          <w:rFonts w:hint="eastAsia" w:ascii="Times New Roman" w:hAnsi="Times New Roman"/>
          <w:color w:val="auto"/>
          <w:highlight w:val="none"/>
        </w:rPr>
      </w:pPr>
      <w:r>
        <w:rPr>
          <w:rFonts w:ascii="Times New Roman" w:hAnsi="Times New Roman"/>
          <w:color w:val="auto"/>
          <w:highlight w:val="none"/>
        </w:rPr>
        <w:t>本工程污染物排放总量控制因子：颗粒物、SO</w:t>
      </w:r>
      <w:r>
        <w:rPr>
          <w:rFonts w:ascii="Times New Roman" w:hAnsi="Times New Roman"/>
          <w:color w:val="auto"/>
          <w:highlight w:val="none"/>
          <w:vertAlign w:val="subscript"/>
        </w:rPr>
        <w:t>2</w:t>
      </w:r>
      <w:r>
        <w:rPr>
          <w:rFonts w:ascii="Times New Roman" w:hAnsi="Times New Roman"/>
          <w:color w:val="auto"/>
          <w:highlight w:val="none"/>
        </w:rPr>
        <w:t>、NO</w:t>
      </w:r>
      <w:r>
        <w:rPr>
          <w:rFonts w:ascii="Times New Roman" w:hAnsi="Times New Roman"/>
          <w:color w:val="auto"/>
          <w:highlight w:val="none"/>
          <w:vertAlign w:val="subscript"/>
        </w:rPr>
        <w:t>X</w:t>
      </w:r>
      <w:r>
        <w:rPr>
          <w:rFonts w:ascii="Times New Roman" w:hAnsi="Times New Roman"/>
          <w:color w:val="auto"/>
          <w:highlight w:val="none"/>
        </w:rPr>
        <w:t>。</w:t>
      </w:r>
      <w:r>
        <w:rPr>
          <w:rFonts w:hint="eastAsia" w:ascii="Times New Roman" w:hAnsi="Times New Roman"/>
          <w:color w:val="auto"/>
          <w:highlight w:val="none"/>
        </w:rPr>
        <w:t>本项目新增废气污染物二氧化硫、氮氧化物、细颗粒物等</w:t>
      </w:r>
      <w:r>
        <w:rPr>
          <w:rFonts w:hint="eastAsia" w:ascii="Times New Roman" w:hAnsi="Times New Roman"/>
          <w:color w:val="auto"/>
          <w:highlight w:val="none"/>
          <w:lang w:val="en-US" w:eastAsia="zh-CN"/>
        </w:rPr>
        <w:t>核定</w:t>
      </w:r>
      <w:r>
        <w:rPr>
          <w:rFonts w:hint="eastAsia" w:ascii="Times New Roman" w:hAnsi="Times New Roman"/>
          <w:color w:val="auto"/>
          <w:highlight w:val="none"/>
        </w:rPr>
        <w:t>排放总量为：</w:t>
      </w:r>
      <w:r>
        <w:rPr>
          <w:rFonts w:hint="eastAsia" w:ascii="Times New Roman" w:hAnsi="Times New Roman"/>
          <w:highlight w:val="none"/>
          <w:lang w:val="en-US" w:eastAsia="zh-CN"/>
        </w:rPr>
        <w:t>27.658</w:t>
      </w:r>
      <w:r>
        <w:rPr>
          <w:rFonts w:ascii="Times New Roman" w:hAnsi="Times New Roman"/>
          <w:highlight w:val="none"/>
        </w:rPr>
        <w:t>t/a、</w:t>
      </w:r>
      <w:r>
        <w:rPr>
          <w:rFonts w:hint="eastAsia" w:ascii="Times New Roman" w:hAnsi="Times New Roman"/>
          <w:highlight w:val="none"/>
          <w:lang w:val="en-US" w:eastAsia="zh-CN"/>
        </w:rPr>
        <w:t>39.511</w:t>
      </w:r>
      <w:r>
        <w:rPr>
          <w:rFonts w:ascii="Times New Roman" w:hAnsi="Times New Roman"/>
          <w:highlight w:val="none"/>
        </w:rPr>
        <w:t>t/a和</w:t>
      </w:r>
      <w:r>
        <w:rPr>
          <w:rFonts w:hint="eastAsia" w:ascii="Times New Roman" w:hAnsi="Times New Roman"/>
          <w:highlight w:val="none"/>
          <w:lang w:val="en-US" w:eastAsia="zh-CN"/>
        </w:rPr>
        <w:t>7.902</w:t>
      </w:r>
      <w:r>
        <w:rPr>
          <w:rFonts w:ascii="Times New Roman" w:hAnsi="Times New Roman"/>
          <w:highlight w:val="none"/>
        </w:rPr>
        <w:t>t/a。</w:t>
      </w:r>
    </w:p>
    <w:p w14:paraId="4A94316F">
      <w:pPr>
        <w:ind w:firstLine="480"/>
        <w:rPr>
          <w:rFonts w:hint="eastAsia" w:ascii="Times New Roman" w:hAnsi="Times New Roman"/>
          <w:highlight w:val="none"/>
        </w:rPr>
      </w:pPr>
      <w:r>
        <w:rPr>
          <w:rFonts w:hint="eastAsia" w:ascii="Times New Roman" w:hAnsi="Times New Roman"/>
          <w:highlight w:val="none"/>
          <w:lang w:val="en-US" w:eastAsia="zh-CN"/>
        </w:rPr>
        <w:t>绥芬河市新区供热</w:t>
      </w:r>
      <w:r>
        <w:rPr>
          <w:rFonts w:ascii="Times New Roman" w:hAnsi="Times New Roman"/>
          <w:highlight w:val="none"/>
        </w:rPr>
        <w:t>有限</w:t>
      </w:r>
      <w:r>
        <w:rPr>
          <w:rFonts w:hint="eastAsia" w:ascii="Times New Roman" w:hAnsi="Times New Roman"/>
          <w:highlight w:val="none"/>
          <w:lang w:val="en-US" w:eastAsia="zh-CN"/>
        </w:rPr>
        <w:t>责任</w:t>
      </w:r>
      <w:r>
        <w:rPr>
          <w:rFonts w:ascii="Times New Roman" w:hAnsi="Times New Roman"/>
          <w:highlight w:val="none"/>
        </w:rPr>
        <w:t>公司已取得生态环境主管部门核发的新版排污许可证（许可证编号：91231081828141815B001C），有效期2022-0</w:t>
      </w:r>
      <w:r>
        <w:rPr>
          <w:rFonts w:hint="eastAsia" w:ascii="Times New Roman" w:hAnsi="Times New Roman"/>
          <w:highlight w:val="none"/>
          <w:lang w:val="en-US" w:eastAsia="zh-CN"/>
        </w:rPr>
        <w:t>8</w:t>
      </w:r>
      <w:r>
        <w:rPr>
          <w:rFonts w:ascii="Times New Roman" w:hAnsi="Times New Roman"/>
          <w:highlight w:val="none"/>
        </w:rPr>
        <w:t>-2</w:t>
      </w:r>
      <w:r>
        <w:rPr>
          <w:rFonts w:hint="eastAsia" w:ascii="Times New Roman" w:hAnsi="Times New Roman"/>
          <w:highlight w:val="none"/>
          <w:lang w:val="en-US" w:eastAsia="zh-CN"/>
        </w:rPr>
        <w:t>0</w:t>
      </w:r>
      <w:r>
        <w:rPr>
          <w:rFonts w:ascii="Times New Roman" w:hAnsi="Times New Roman"/>
          <w:highlight w:val="none"/>
        </w:rPr>
        <w:t>至2027-0</w:t>
      </w:r>
      <w:r>
        <w:rPr>
          <w:rFonts w:hint="eastAsia" w:ascii="Times New Roman" w:hAnsi="Times New Roman"/>
          <w:highlight w:val="none"/>
          <w:lang w:val="en-US" w:eastAsia="zh-CN"/>
        </w:rPr>
        <w:t>8</w:t>
      </w:r>
      <w:r>
        <w:rPr>
          <w:rFonts w:ascii="Times New Roman" w:hAnsi="Times New Roman"/>
          <w:highlight w:val="none"/>
        </w:rPr>
        <w:t>-</w:t>
      </w:r>
      <w:r>
        <w:rPr>
          <w:rFonts w:hint="eastAsia" w:ascii="Times New Roman" w:hAnsi="Times New Roman"/>
          <w:highlight w:val="none"/>
          <w:lang w:val="en-US" w:eastAsia="zh-CN"/>
        </w:rPr>
        <w:t>19</w:t>
      </w:r>
      <w:r>
        <w:rPr>
          <w:rFonts w:ascii="Times New Roman" w:hAnsi="Times New Roman"/>
          <w:highlight w:val="none"/>
        </w:rPr>
        <w:t>。排污许可证中的总许可量为，颗粒物：</w:t>
      </w:r>
      <w:r>
        <w:rPr>
          <w:rFonts w:hint="eastAsia" w:ascii="Times New Roman" w:hAnsi="Times New Roman"/>
          <w:highlight w:val="none"/>
          <w:lang w:val="en-US" w:eastAsia="zh-CN"/>
        </w:rPr>
        <w:t>110.5</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52.8</w:t>
      </w:r>
      <w:r>
        <w:rPr>
          <w:rFonts w:ascii="Times New Roman" w:hAnsi="Times New Roman"/>
          <w:highlight w:val="none"/>
        </w:rPr>
        <w:t>t/a和NOx：</w:t>
      </w:r>
      <w:r>
        <w:rPr>
          <w:rFonts w:hint="eastAsia" w:ascii="Times New Roman" w:hAnsi="Times New Roman"/>
          <w:highlight w:val="none"/>
          <w:lang w:val="en-US" w:eastAsia="zh-CN"/>
        </w:rPr>
        <w:t>161.7</w:t>
      </w:r>
      <w:r>
        <w:rPr>
          <w:rFonts w:ascii="Times New Roman" w:hAnsi="Times New Roman"/>
          <w:highlight w:val="none"/>
        </w:rPr>
        <w:t>t/a。</w:t>
      </w:r>
    </w:p>
    <w:p w14:paraId="5CEE7AB3">
      <w:pPr>
        <w:ind w:firstLine="480"/>
        <w:rPr>
          <w:rFonts w:ascii="Times New Roman" w:hAnsi="Times New Roman"/>
          <w:highlight w:val="none"/>
        </w:rPr>
      </w:pPr>
      <w:r>
        <w:rPr>
          <w:rFonts w:ascii="Times New Roman" w:hAnsi="Times New Roman"/>
          <w:highlight w:val="none"/>
        </w:rPr>
        <w:t>本项目污染物核定总量</w:t>
      </w:r>
      <w:r>
        <w:rPr>
          <w:rFonts w:hint="eastAsia" w:ascii="Times New Roman" w:hAnsi="Times New Roman"/>
          <w:highlight w:val="none"/>
        </w:rPr>
        <w:t>：</w:t>
      </w:r>
      <w:r>
        <w:rPr>
          <w:rFonts w:ascii="Times New Roman" w:hAnsi="Times New Roman"/>
          <w:highlight w:val="none"/>
        </w:rPr>
        <w:t>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1560850B">
      <w:pPr>
        <w:rPr>
          <w:rFonts w:ascii="Times New Roman" w:hAnsi="Times New Roman"/>
          <w:highlight w:val="none"/>
        </w:rPr>
      </w:pPr>
      <w:r>
        <w:rPr>
          <w:rFonts w:ascii="Times New Roman" w:hAnsi="Times New Roman"/>
          <w:highlight w:val="none"/>
        </w:rPr>
        <w:t>全厂核定量：颗粒物：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14A8CD9B">
      <w:pPr>
        <w:pStyle w:val="5"/>
        <w:bidi w:val="0"/>
        <w:ind w:left="0" w:leftChars="0" w:firstLine="0" w:firstLineChars="0"/>
        <w:rPr>
          <w:rFonts w:hint="eastAsia"/>
          <w:highlight w:val="none"/>
          <w:lang w:val="en-US" w:eastAsia="zh-CN"/>
        </w:rPr>
      </w:pPr>
      <w:bookmarkStart w:id="182" w:name="_Toc21020"/>
      <w:r>
        <w:rPr>
          <w:rFonts w:hint="default" w:ascii="Times New Roman" w:hAnsi="Times New Roman" w:cs="Times New Roman"/>
          <w:highlight w:val="none"/>
          <w:lang w:val="en-US" w:eastAsia="zh-CN"/>
        </w:rPr>
        <w:t>8.2.3</w:t>
      </w:r>
      <w:r>
        <w:rPr>
          <w:rFonts w:hint="eastAsia"/>
          <w:highlight w:val="none"/>
          <w:lang w:val="en-US" w:eastAsia="zh-CN"/>
        </w:rPr>
        <w:t>项目污染物排放“三本账”分析</w:t>
      </w:r>
      <w:bookmarkEnd w:id="182"/>
    </w:p>
    <w:p w14:paraId="57C9B7A0">
      <w:pPr>
        <w:ind w:firstLine="480"/>
        <w:rPr>
          <w:rFonts w:ascii="Times New Roman" w:hAnsi="Times New Roman"/>
          <w:highlight w:val="none"/>
        </w:rPr>
      </w:pPr>
      <w:r>
        <w:rPr>
          <w:rFonts w:ascii="Times New Roman" w:hAnsi="Times New Roman"/>
          <w:highlight w:val="none"/>
        </w:rPr>
        <w:t>本项目污染物排放“三本账”一览表见表8.2-</w:t>
      </w:r>
      <w:r>
        <w:rPr>
          <w:rFonts w:hint="eastAsia" w:ascii="Times New Roman" w:hAnsi="Times New Roman"/>
          <w:highlight w:val="none"/>
        </w:rPr>
        <w:t>1</w:t>
      </w:r>
      <w:r>
        <w:rPr>
          <w:rFonts w:ascii="Times New Roman" w:hAnsi="Times New Roman"/>
          <w:highlight w:val="none"/>
        </w:rPr>
        <w:t>。</w:t>
      </w:r>
    </w:p>
    <w:p w14:paraId="7D7EB5B8">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8.2-</w:t>
      </w:r>
      <w:r>
        <w:rPr>
          <w:rFonts w:hint="eastAsia" w:ascii="Times New Roman" w:hAnsi="Times New Roman"/>
          <w:highlight w:val="none"/>
        </w:rPr>
        <w:t>1</w:t>
      </w:r>
      <w:r>
        <w:rPr>
          <w:rFonts w:hint="eastAsia" w:ascii="黑体" w:hAnsi="黑体" w:eastAsia="黑体" w:cs="黑体"/>
          <w:highlight w:val="none"/>
        </w:rPr>
        <w:t>本项目污染物排放“三本账”一览表</w:t>
      </w:r>
      <w:r>
        <w:rPr>
          <w:rFonts w:ascii="Times New Roman" w:hAnsi="Times New Roman"/>
          <w:highlight w:val="none"/>
        </w:rPr>
        <w:t>（</w:t>
      </w:r>
      <w:r>
        <w:rPr>
          <w:rFonts w:hint="eastAsia" w:ascii="黑体" w:hAnsi="黑体" w:eastAsia="黑体" w:cs="黑体"/>
          <w:highlight w:val="none"/>
        </w:rPr>
        <w:t>单位</w:t>
      </w:r>
      <w:r>
        <w:rPr>
          <w:rFonts w:ascii="Times New Roman" w:hAnsi="Times New Roman"/>
          <w:highlight w:val="none"/>
        </w:rPr>
        <w:t>t/a）</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888"/>
        <w:gridCol w:w="772"/>
        <w:gridCol w:w="1009"/>
        <w:gridCol w:w="888"/>
        <w:gridCol w:w="1195"/>
        <w:gridCol w:w="899"/>
        <w:gridCol w:w="1010"/>
        <w:gridCol w:w="1159"/>
      </w:tblGrid>
      <w:tr w14:paraId="733EA7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410" w:type="pct"/>
            <w:noWrap w:val="0"/>
            <w:vAlign w:val="center"/>
          </w:tcPr>
          <w:p w14:paraId="132977A5">
            <w:pPr>
              <w:pStyle w:val="27"/>
              <w:contextualSpacing/>
              <w:rPr>
                <w:rFonts w:ascii="Times New Roman" w:hAnsi="Times New Roman"/>
                <w:highlight w:val="none"/>
              </w:rPr>
            </w:pPr>
            <w:r>
              <w:rPr>
                <w:rFonts w:ascii="Times New Roman" w:hAnsi="Times New Roman"/>
                <w:highlight w:val="none"/>
              </w:rPr>
              <w:t>污染物</w:t>
            </w:r>
          </w:p>
        </w:tc>
        <w:tc>
          <w:tcPr>
            <w:tcW w:w="521" w:type="pct"/>
            <w:noWrap w:val="0"/>
            <w:vAlign w:val="center"/>
          </w:tcPr>
          <w:p w14:paraId="1616C0C2">
            <w:pPr>
              <w:pStyle w:val="27"/>
              <w:contextualSpacing/>
              <w:rPr>
                <w:rFonts w:ascii="Times New Roman" w:hAnsi="Times New Roman"/>
                <w:highlight w:val="none"/>
              </w:rPr>
            </w:pPr>
            <w:r>
              <w:rPr>
                <w:rFonts w:ascii="Times New Roman" w:hAnsi="Times New Roman"/>
                <w:highlight w:val="none"/>
              </w:rPr>
              <w:t>现有工程实际排放量</w:t>
            </w:r>
          </w:p>
        </w:tc>
        <w:tc>
          <w:tcPr>
            <w:tcW w:w="453" w:type="pct"/>
            <w:noWrap w:val="0"/>
            <w:vAlign w:val="center"/>
          </w:tcPr>
          <w:p w14:paraId="03F40105">
            <w:pPr>
              <w:pStyle w:val="27"/>
              <w:contextualSpacing/>
              <w:rPr>
                <w:rFonts w:ascii="Times New Roman" w:hAnsi="Times New Roman"/>
                <w:highlight w:val="none"/>
              </w:rPr>
            </w:pPr>
            <w:r>
              <w:rPr>
                <w:rFonts w:ascii="Times New Roman" w:hAnsi="Times New Roman"/>
                <w:highlight w:val="none"/>
              </w:rPr>
              <w:t>现有工程许可排放量</w:t>
            </w:r>
          </w:p>
        </w:tc>
        <w:tc>
          <w:tcPr>
            <w:tcW w:w="592" w:type="pct"/>
            <w:noWrap w:val="0"/>
            <w:vAlign w:val="center"/>
          </w:tcPr>
          <w:p w14:paraId="12DCF6F6">
            <w:pPr>
              <w:pStyle w:val="27"/>
              <w:contextualSpacing/>
              <w:rPr>
                <w:rFonts w:ascii="Times New Roman" w:hAnsi="Times New Roman"/>
                <w:highlight w:val="none"/>
              </w:rPr>
            </w:pPr>
            <w:r>
              <w:rPr>
                <w:rFonts w:ascii="Times New Roman" w:hAnsi="Times New Roman"/>
                <w:highlight w:val="none"/>
              </w:rPr>
              <w:t>本工程预测排放量（拟建）</w:t>
            </w:r>
          </w:p>
        </w:tc>
        <w:tc>
          <w:tcPr>
            <w:tcW w:w="521" w:type="pct"/>
            <w:noWrap w:val="0"/>
            <w:vAlign w:val="center"/>
          </w:tcPr>
          <w:p w14:paraId="547E831A">
            <w:pPr>
              <w:pStyle w:val="27"/>
              <w:contextualSpacing/>
              <w:rPr>
                <w:rFonts w:ascii="Times New Roman" w:hAnsi="Times New Roman"/>
                <w:highlight w:val="none"/>
              </w:rPr>
            </w:pPr>
            <w:r>
              <w:rPr>
                <w:rFonts w:ascii="Times New Roman" w:hAnsi="Times New Roman"/>
                <w:highlight w:val="none"/>
              </w:rPr>
              <w:t>本工程核定排放量（拟建）</w:t>
            </w:r>
          </w:p>
        </w:tc>
        <w:tc>
          <w:tcPr>
            <w:tcW w:w="701" w:type="pct"/>
            <w:noWrap w:val="0"/>
            <w:vAlign w:val="center"/>
          </w:tcPr>
          <w:p w14:paraId="4F942B96">
            <w:pPr>
              <w:pStyle w:val="27"/>
              <w:contextualSpacing/>
              <w:rPr>
                <w:rFonts w:ascii="Times New Roman" w:hAnsi="Times New Roman"/>
                <w:highlight w:val="none"/>
              </w:rPr>
            </w:pPr>
            <w:r>
              <w:rPr>
                <w:rFonts w:ascii="Times New Roman" w:hAnsi="Times New Roman"/>
                <w:highlight w:val="none"/>
              </w:rPr>
              <w:t>“以新带老”削减量</w:t>
            </w:r>
          </w:p>
        </w:tc>
        <w:tc>
          <w:tcPr>
            <w:tcW w:w="527" w:type="pct"/>
            <w:noWrap w:val="0"/>
            <w:vAlign w:val="center"/>
          </w:tcPr>
          <w:p w14:paraId="61BA772B">
            <w:pPr>
              <w:pStyle w:val="27"/>
              <w:contextualSpacing/>
              <w:rPr>
                <w:rFonts w:ascii="Times New Roman" w:hAnsi="Times New Roman"/>
                <w:highlight w:val="none"/>
              </w:rPr>
            </w:pPr>
            <w:r>
              <w:rPr>
                <w:rFonts w:ascii="Times New Roman" w:hAnsi="Times New Roman"/>
                <w:highlight w:val="none"/>
              </w:rPr>
              <w:t>总体工程预测排放量</w:t>
            </w:r>
          </w:p>
        </w:tc>
        <w:tc>
          <w:tcPr>
            <w:tcW w:w="592" w:type="pct"/>
            <w:noWrap w:val="0"/>
            <w:vAlign w:val="center"/>
          </w:tcPr>
          <w:p w14:paraId="0C35EE85">
            <w:pPr>
              <w:pStyle w:val="27"/>
              <w:contextualSpacing/>
              <w:rPr>
                <w:rFonts w:ascii="Times New Roman" w:hAnsi="Times New Roman"/>
                <w:highlight w:val="none"/>
              </w:rPr>
            </w:pPr>
            <w:r>
              <w:rPr>
                <w:rFonts w:ascii="Times New Roman" w:hAnsi="Times New Roman"/>
                <w:highlight w:val="none"/>
              </w:rPr>
              <w:t>总体工程核定排放量</w:t>
            </w:r>
          </w:p>
        </w:tc>
        <w:tc>
          <w:tcPr>
            <w:tcW w:w="679" w:type="pct"/>
            <w:noWrap w:val="0"/>
            <w:vAlign w:val="center"/>
          </w:tcPr>
          <w:p w14:paraId="1B4E2742">
            <w:pPr>
              <w:pStyle w:val="27"/>
              <w:contextualSpacing/>
              <w:rPr>
                <w:rFonts w:ascii="Times New Roman" w:hAnsi="Times New Roman"/>
                <w:highlight w:val="none"/>
              </w:rPr>
            </w:pPr>
            <w:r>
              <w:rPr>
                <w:rFonts w:hint="eastAsia" w:ascii="Times New Roman" w:hAnsi="Times New Roman"/>
                <w:highlight w:val="none"/>
              </w:rPr>
              <w:t>区域排放增减量</w:t>
            </w:r>
          </w:p>
        </w:tc>
      </w:tr>
      <w:tr w14:paraId="26BEB6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noWrap w:val="0"/>
            <w:vAlign w:val="center"/>
          </w:tcPr>
          <w:p w14:paraId="5337024D">
            <w:pPr>
              <w:pStyle w:val="27"/>
              <w:contextualSpacing/>
              <w:rPr>
                <w:rFonts w:ascii="Times New Roman" w:hAnsi="Times New Roman"/>
                <w:highlight w:val="none"/>
              </w:rPr>
            </w:pPr>
            <w:r>
              <w:rPr>
                <w:rFonts w:ascii="Times New Roman" w:hAnsi="Times New Roman"/>
                <w:highlight w:val="none"/>
              </w:rPr>
              <w:t>烟尘</w:t>
            </w:r>
          </w:p>
        </w:tc>
        <w:tc>
          <w:tcPr>
            <w:tcW w:w="888" w:type="dxa"/>
            <w:noWrap w:val="0"/>
            <w:vAlign w:val="center"/>
          </w:tcPr>
          <w:p w14:paraId="40F6A8E1">
            <w:pPr>
              <w:pStyle w:val="27"/>
              <w:ind w:firstLine="0" w:firstLineChars="0"/>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2.39</w:t>
            </w:r>
          </w:p>
        </w:tc>
        <w:tc>
          <w:tcPr>
            <w:tcW w:w="453" w:type="pct"/>
            <w:noWrap w:val="0"/>
            <w:vAlign w:val="center"/>
          </w:tcPr>
          <w:p w14:paraId="30A078E0">
            <w:pPr>
              <w:pStyle w:val="27"/>
              <w:contextualSpacing/>
              <w:rPr>
                <w:rFonts w:hint="default"/>
                <w:highlight w:val="none"/>
                <w:lang w:val="en-US" w:eastAsia="zh-CN"/>
              </w:rPr>
            </w:pPr>
            <w:r>
              <w:rPr>
                <w:rFonts w:hint="eastAsia" w:ascii="Times New Roman" w:hAnsi="Times New Roman"/>
                <w:highlight w:val="none"/>
                <w:lang w:val="en-US" w:eastAsia="zh-CN"/>
              </w:rPr>
              <w:t>110.5</w:t>
            </w:r>
          </w:p>
        </w:tc>
        <w:tc>
          <w:tcPr>
            <w:tcW w:w="592" w:type="pct"/>
            <w:noWrap w:val="0"/>
            <w:vAlign w:val="center"/>
          </w:tcPr>
          <w:p w14:paraId="486FEE50">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2.39</w:t>
            </w:r>
          </w:p>
        </w:tc>
        <w:tc>
          <w:tcPr>
            <w:tcW w:w="521" w:type="pct"/>
            <w:noWrap w:val="0"/>
            <w:vAlign w:val="center"/>
          </w:tcPr>
          <w:p w14:paraId="6808D73D">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7.902</w:t>
            </w:r>
          </w:p>
        </w:tc>
        <w:tc>
          <w:tcPr>
            <w:tcW w:w="701" w:type="pct"/>
            <w:noWrap w:val="0"/>
            <w:vAlign w:val="center"/>
          </w:tcPr>
          <w:p w14:paraId="5C4633C2">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w:t>
            </w:r>
          </w:p>
        </w:tc>
        <w:tc>
          <w:tcPr>
            <w:tcW w:w="527" w:type="pct"/>
            <w:noWrap w:val="0"/>
            <w:vAlign w:val="center"/>
          </w:tcPr>
          <w:p w14:paraId="02474844">
            <w:pPr>
              <w:pStyle w:val="27"/>
              <w:ind w:firstLine="0" w:firstLineChars="0"/>
              <w:contextualSpacing/>
              <w:rPr>
                <w:rFonts w:ascii="Times New Roman" w:hAnsi="Times New Roman"/>
                <w:highlight w:val="none"/>
              </w:rPr>
            </w:pPr>
            <w:r>
              <w:rPr>
                <w:rFonts w:hint="eastAsia" w:ascii="Times New Roman" w:hAnsi="Times New Roman"/>
                <w:highlight w:val="none"/>
                <w:lang w:val="en-US" w:eastAsia="zh-CN"/>
              </w:rPr>
              <w:t>2.39</w:t>
            </w:r>
          </w:p>
        </w:tc>
        <w:tc>
          <w:tcPr>
            <w:tcW w:w="592" w:type="pct"/>
            <w:noWrap w:val="0"/>
            <w:vAlign w:val="center"/>
          </w:tcPr>
          <w:p w14:paraId="4A3F867A">
            <w:pPr>
              <w:pStyle w:val="27"/>
              <w:ind w:firstLine="0" w:firstLineChars="0"/>
              <w:contextualSpacing/>
              <w:rPr>
                <w:rFonts w:ascii="Times New Roman" w:hAnsi="Times New Roman"/>
                <w:highlight w:val="none"/>
              </w:rPr>
            </w:pPr>
            <w:r>
              <w:rPr>
                <w:rFonts w:hint="eastAsia" w:ascii="Times New Roman" w:hAnsi="Times New Roman"/>
                <w:highlight w:val="none"/>
                <w:lang w:val="en-US" w:eastAsia="zh-CN"/>
              </w:rPr>
              <w:t>7.902</w:t>
            </w:r>
          </w:p>
        </w:tc>
        <w:tc>
          <w:tcPr>
            <w:tcW w:w="679" w:type="pct"/>
            <w:noWrap w:val="0"/>
            <w:vAlign w:val="center"/>
          </w:tcPr>
          <w:p w14:paraId="4EAE839F">
            <w:pPr>
              <w:pStyle w:val="27"/>
              <w:ind w:firstLine="0" w:firstLineChars="0"/>
              <w:contextualSpacing/>
              <w:rPr>
                <w:rFonts w:ascii="Times New Roman" w:hAnsi="Times New Roman"/>
                <w:sz w:val="20"/>
                <w:szCs w:val="20"/>
                <w:highlight w:val="none"/>
              </w:rPr>
            </w:pPr>
            <w:r>
              <w:rPr>
                <w:rFonts w:hint="eastAsia" w:ascii="Times New Roman" w:hAnsi="Times New Roman"/>
                <w:highlight w:val="none"/>
                <w:lang w:val="en-US" w:eastAsia="zh-CN"/>
              </w:rPr>
              <w:t>0</w:t>
            </w:r>
          </w:p>
        </w:tc>
      </w:tr>
      <w:tr w14:paraId="64BEE8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noWrap w:val="0"/>
            <w:vAlign w:val="center"/>
          </w:tcPr>
          <w:p w14:paraId="410D62C8">
            <w:pPr>
              <w:pStyle w:val="27"/>
              <w:contextualSpacing/>
              <w:rPr>
                <w:rFonts w:ascii="Times New Roman" w:hAnsi="Times New Roman"/>
                <w:highlight w:val="none"/>
              </w:rPr>
            </w:pPr>
            <w:r>
              <w:rPr>
                <w:rFonts w:ascii="Times New Roman" w:hAnsi="Times New Roman"/>
                <w:highlight w:val="none"/>
              </w:rPr>
              <w:t>SO</w:t>
            </w:r>
            <w:r>
              <w:rPr>
                <w:rFonts w:ascii="Times New Roman" w:hAnsi="Times New Roman"/>
                <w:highlight w:val="none"/>
                <w:vertAlign w:val="subscript"/>
              </w:rPr>
              <w:t>2</w:t>
            </w:r>
          </w:p>
        </w:tc>
        <w:tc>
          <w:tcPr>
            <w:tcW w:w="888" w:type="dxa"/>
            <w:noWrap w:val="0"/>
            <w:vAlign w:val="center"/>
          </w:tcPr>
          <w:p w14:paraId="41BFB168">
            <w:pPr>
              <w:pStyle w:val="27"/>
              <w:ind w:firstLine="0" w:firstLineChars="0"/>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7.352</w:t>
            </w:r>
          </w:p>
        </w:tc>
        <w:tc>
          <w:tcPr>
            <w:tcW w:w="453" w:type="pct"/>
            <w:noWrap w:val="0"/>
            <w:vAlign w:val="center"/>
          </w:tcPr>
          <w:p w14:paraId="76219574">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52.8</w:t>
            </w:r>
          </w:p>
        </w:tc>
        <w:tc>
          <w:tcPr>
            <w:tcW w:w="592" w:type="pct"/>
            <w:noWrap w:val="0"/>
            <w:vAlign w:val="center"/>
          </w:tcPr>
          <w:p w14:paraId="4A97343D">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7.352</w:t>
            </w:r>
          </w:p>
        </w:tc>
        <w:tc>
          <w:tcPr>
            <w:tcW w:w="521" w:type="pct"/>
            <w:noWrap w:val="0"/>
            <w:vAlign w:val="center"/>
          </w:tcPr>
          <w:p w14:paraId="36175358">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27.658</w:t>
            </w:r>
          </w:p>
        </w:tc>
        <w:tc>
          <w:tcPr>
            <w:tcW w:w="701" w:type="pct"/>
            <w:noWrap w:val="0"/>
            <w:vAlign w:val="center"/>
          </w:tcPr>
          <w:p w14:paraId="323A588B">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w:t>
            </w:r>
          </w:p>
        </w:tc>
        <w:tc>
          <w:tcPr>
            <w:tcW w:w="527" w:type="pct"/>
            <w:noWrap w:val="0"/>
            <w:vAlign w:val="center"/>
          </w:tcPr>
          <w:p w14:paraId="77BBA951">
            <w:pPr>
              <w:pStyle w:val="27"/>
              <w:ind w:firstLine="0" w:firstLineChars="0"/>
              <w:contextualSpacing/>
              <w:rPr>
                <w:rFonts w:ascii="Times New Roman" w:hAnsi="Times New Roman"/>
                <w:highlight w:val="none"/>
              </w:rPr>
            </w:pPr>
            <w:r>
              <w:rPr>
                <w:rFonts w:hint="eastAsia" w:ascii="Times New Roman" w:hAnsi="Times New Roman"/>
                <w:highlight w:val="none"/>
                <w:lang w:val="en-US" w:eastAsia="zh-CN"/>
              </w:rPr>
              <w:t>7.352</w:t>
            </w:r>
          </w:p>
        </w:tc>
        <w:tc>
          <w:tcPr>
            <w:tcW w:w="592" w:type="pct"/>
            <w:noWrap w:val="0"/>
            <w:vAlign w:val="center"/>
          </w:tcPr>
          <w:p w14:paraId="5C697348">
            <w:pPr>
              <w:pStyle w:val="27"/>
              <w:ind w:firstLine="0" w:firstLineChars="0"/>
              <w:contextualSpacing/>
              <w:rPr>
                <w:rFonts w:ascii="Times New Roman" w:hAnsi="Times New Roman"/>
                <w:highlight w:val="none"/>
              </w:rPr>
            </w:pPr>
            <w:r>
              <w:rPr>
                <w:rFonts w:hint="eastAsia" w:ascii="Times New Roman" w:hAnsi="Times New Roman"/>
                <w:highlight w:val="none"/>
                <w:lang w:val="en-US" w:eastAsia="zh-CN"/>
              </w:rPr>
              <w:t>27.658</w:t>
            </w:r>
          </w:p>
        </w:tc>
        <w:tc>
          <w:tcPr>
            <w:tcW w:w="679" w:type="pct"/>
            <w:noWrap w:val="0"/>
            <w:vAlign w:val="center"/>
          </w:tcPr>
          <w:p w14:paraId="20AFBDD2">
            <w:pPr>
              <w:pStyle w:val="27"/>
              <w:ind w:firstLine="0" w:firstLineChars="0"/>
              <w:contextualSpacing/>
              <w:rPr>
                <w:rFonts w:ascii="Times New Roman" w:hAnsi="Times New Roman"/>
                <w:sz w:val="20"/>
                <w:szCs w:val="20"/>
                <w:highlight w:val="none"/>
              </w:rPr>
            </w:pPr>
            <w:r>
              <w:rPr>
                <w:rFonts w:hint="eastAsia" w:ascii="Times New Roman" w:hAnsi="Times New Roman"/>
                <w:highlight w:val="none"/>
                <w:lang w:val="en-US" w:eastAsia="zh-CN"/>
              </w:rPr>
              <w:t>0</w:t>
            </w:r>
          </w:p>
        </w:tc>
      </w:tr>
      <w:tr w14:paraId="0C35F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noWrap w:val="0"/>
            <w:vAlign w:val="center"/>
          </w:tcPr>
          <w:p w14:paraId="4B0F037C">
            <w:pPr>
              <w:pStyle w:val="27"/>
              <w:contextualSpacing/>
              <w:rPr>
                <w:rFonts w:ascii="Times New Roman" w:hAnsi="Times New Roman"/>
                <w:highlight w:val="none"/>
              </w:rPr>
            </w:pPr>
            <w:r>
              <w:rPr>
                <w:rFonts w:ascii="Times New Roman" w:hAnsi="Times New Roman"/>
                <w:highlight w:val="none"/>
              </w:rPr>
              <w:t>NOx</w:t>
            </w:r>
          </w:p>
        </w:tc>
        <w:tc>
          <w:tcPr>
            <w:tcW w:w="888" w:type="dxa"/>
            <w:noWrap w:val="0"/>
            <w:vAlign w:val="center"/>
          </w:tcPr>
          <w:p w14:paraId="1952198D">
            <w:pPr>
              <w:spacing w:line="240" w:lineRule="auto"/>
              <w:ind w:firstLine="0" w:firstLineChars="0"/>
              <w:contextualSpacing/>
              <w:jc w:val="center"/>
              <w:rPr>
                <w:rFonts w:hint="default" w:ascii="Times New Roman" w:hAnsi="Times New Roman" w:eastAsia="新宋体"/>
                <w:highlight w:val="none"/>
                <w:lang w:val="en-US" w:eastAsia="zh-CN"/>
              </w:rPr>
            </w:pPr>
            <w:r>
              <w:rPr>
                <w:rFonts w:hint="eastAsia" w:ascii="Times New Roman" w:hAnsi="Times New Roman" w:eastAsia="新宋体"/>
                <w:sz w:val="21"/>
                <w:szCs w:val="21"/>
                <w:highlight w:val="none"/>
                <w:lang w:val="en-US" w:eastAsia="zh-CN"/>
              </w:rPr>
              <w:t>6.87</w:t>
            </w:r>
          </w:p>
        </w:tc>
        <w:tc>
          <w:tcPr>
            <w:tcW w:w="453" w:type="pct"/>
            <w:noWrap w:val="0"/>
            <w:vAlign w:val="center"/>
          </w:tcPr>
          <w:p w14:paraId="345E0FC7">
            <w:pPr>
              <w:spacing w:line="240" w:lineRule="auto"/>
              <w:ind w:firstLine="0" w:firstLineChars="0"/>
              <w:contextualSpacing/>
              <w:jc w:val="center"/>
              <w:rPr>
                <w:rFonts w:hint="default" w:ascii="Times New Roman" w:hAnsi="Times New Roman" w:eastAsia="新宋体"/>
                <w:sz w:val="21"/>
                <w:szCs w:val="21"/>
                <w:highlight w:val="none"/>
                <w:lang w:val="en-US" w:eastAsia="zh-CN"/>
              </w:rPr>
            </w:pPr>
            <w:r>
              <w:rPr>
                <w:rFonts w:hint="eastAsia" w:ascii="Times New Roman" w:hAnsi="Times New Roman" w:eastAsia="新宋体"/>
                <w:sz w:val="21"/>
                <w:szCs w:val="21"/>
                <w:highlight w:val="none"/>
                <w:lang w:val="en-US" w:eastAsia="zh-CN"/>
              </w:rPr>
              <w:t>161.7</w:t>
            </w:r>
          </w:p>
        </w:tc>
        <w:tc>
          <w:tcPr>
            <w:tcW w:w="592" w:type="pct"/>
            <w:noWrap w:val="0"/>
            <w:vAlign w:val="center"/>
          </w:tcPr>
          <w:p w14:paraId="3463621B">
            <w:pPr>
              <w:spacing w:line="240" w:lineRule="auto"/>
              <w:ind w:firstLine="0" w:firstLineChars="0"/>
              <w:contextualSpacing/>
              <w:jc w:val="center"/>
              <w:rPr>
                <w:rFonts w:hint="default" w:ascii="Times New Roman" w:hAnsi="Times New Roman" w:eastAsia="新宋体"/>
                <w:sz w:val="21"/>
                <w:szCs w:val="21"/>
                <w:highlight w:val="none"/>
                <w:lang w:val="en-US" w:eastAsia="zh-CN"/>
              </w:rPr>
            </w:pPr>
            <w:r>
              <w:rPr>
                <w:rFonts w:hint="eastAsia" w:ascii="Times New Roman" w:hAnsi="Times New Roman" w:eastAsia="新宋体"/>
                <w:sz w:val="21"/>
                <w:szCs w:val="21"/>
                <w:highlight w:val="none"/>
                <w:lang w:val="en-US" w:eastAsia="zh-CN"/>
              </w:rPr>
              <w:t>6.87</w:t>
            </w:r>
          </w:p>
        </w:tc>
        <w:tc>
          <w:tcPr>
            <w:tcW w:w="521" w:type="pct"/>
            <w:noWrap w:val="0"/>
            <w:vAlign w:val="center"/>
          </w:tcPr>
          <w:p w14:paraId="0C86DE44">
            <w:pPr>
              <w:spacing w:line="240" w:lineRule="auto"/>
              <w:ind w:firstLine="0" w:firstLineChars="0"/>
              <w:contextualSpacing/>
              <w:jc w:val="center"/>
              <w:rPr>
                <w:rFonts w:hint="default" w:ascii="Times New Roman" w:hAnsi="Times New Roman" w:eastAsia="宋体"/>
                <w:sz w:val="21"/>
                <w:highlight w:val="none"/>
                <w:lang w:val="en-US" w:eastAsia="zh-CN"/>
              </w:rPr>
            </w:pPr>
            <w:r>
              <w:rPr>
                <w:rFonts w:hint="eastAsia" w:ascii="Times New Roman" w:hAnsi="Times New Roman"/>
                <w:sz w:val="21"/>
                <w:highlight w:val="none"/>
                <w:lang w:val="en-US" w:eastAsia="zh-CN"/>
              </w:rPr>
              <w:t>39.511</w:t>
            </w:r>
          </w:p>
        </w:tc>
        <w:tc>
          <w:tcPr>
            <w:tcW w:w="701" w:type="pct"/>
            <w:noWrap w:val="0"/>
            <w:vAlign w:val="center"/>
          </w:tcPr>
          <w:p w14:paraId="29ACC46D">
            <w:pPr>
              <w:pStyle w:val="27"/>
              <w:contextualSpacing/>
              <w:rPr>
                <w:rFonts w:hint="default" w:ascii="Times New Roman" w:hAnsi="Times New Roman" w:eastAsia="新宋体"/>
                <w:highlight w:val="none"/>
                <w:lang w:val="en-US" w:eastAsia="zh-CN"/>
              </w:rPr>
            </w:pPr>
            <w:r>
              <w:rPr>
                <w:rFonts w:hint="eastAsia" w:ascii="Times New Roman" w:hAnsi="Times New Roman"/>
                <w:highlight w:val="none"/>
                <w:lang w:val="en-US" w:eastAsia="zh-CN"/>
              </w:rPr>
              <w:t>0</w:t>
            </w:r>
          </w:p>
        </w:tc>
        <w:tc>
          <w:tcPr>
            <w:tcW w:w="527" w:type="pct"/>
            <w:noWrap w:val="0"/>
            <w:vAlign w:val="center"/>
          </w:tcPr>
          <w:p w14:paraId="5EDA069C">
            <w:pPr>
              <w:spacing w:line="240" w:lineRule="auto"/>
              <w:ind w:firstLine="0" w:firstLineChars="0"/>
              <w:contextualSpacing/>
              <w:jc w:val="center"/>
              <w:rPr>
                <w:rFonts w:hint="default" w:ascii="Times New Roman" w:hAnsi="Times New Roman"/>
                <w:highlight w:val="none"/>
                <w:lang w:val="en-US"/>
              </w:rPr>
            </w:pPr>
            <w:r>
              <w:rPr>
                <w:rFonts w:hint="eastAsia" w:ascii="Times New Roman" w:hAnsi="Times New Roman" w:eastAsia="新宋体"/>
                <w:sz w:val="21"/>
                <w:szCs w:val="21"/>
                <w:highlight w:val="none"/>
                <w:lang w:val="en-US" w:eastAsia="zh-CN"/>
              </w:rPr>
              <w:t>6.87</w:t>
            </w:r>
          </w:p>
        </w:tc>
        <w:tc>
          <w:tcPr>
            <w:tcW w:w="592" w:type="pct"/>
            <w:noWrap w:val="0"/>
            <w:vAlign w:val="center"/>
          </w:tcPr>
          <w:p w14:paraId="4354D963">
            <w:pPr>
              <w:spacing w:line="240" w:lineRule="auto"/>
              <w:ind w:firstLine="0" w:firstLineChars="0"/>
              <w:contextualSpacing/>
              <w:jc w:val="center"/>
              <w:rPr>
                <w:rFonts w:ascii="Times New Roman" w:hAnsi="Times New Roman"/>
                <w:highlight w:val="none"/>
              </w:rPr>
            </w:pPr>
            <w:r>
              <w:rPr>
                <w:rFonts w:hint="eastAsia" w:ascii="Times New Roman" w:hAnsi="Times New Roman"/>
                <w:sz w:val="21"/>
                <w:highlight w:val="none"/>
                <w:lang w:val="en-US" w:eastAsia="zh-CN"/>
              </w:rPr>
              <w:t>39.511</w:t>
            </w:r>
          </w:p>
        </w:tc>
        <w:tc>
          <w:tcPr>
            <w:tcW w:w="679" w:type="pct"/>
            <w:noWrap w:val="0"/>
            <w:vAlign w:val="center"/>
          </w:tcPr>
          <w:p w14:paraId="7E8EE149">
            <w:pPr>
              <w:pStyle w:val="27"/>
              <w:ind w:firstLine="0" w:firstLineChars="0"/>
              <w:contextualSpacing/>
              <w:rPr>
                <w:rFonts w:ascii="Times New Roman" w:hAnsi="Times New Roman"/>
                <w:sz w:val="20"/>
                <w:szCs w:val="20"/>
                <w:highlight w:val="none"/>
              </w:rPr>
            </w:pPr>
            <w:r>
              <w:rPr>
                <w:rFonts w:hint="eastAsia" w:ascii="Times New Roman" w:hAnsi="Times New Roman"/>
                <w:highlight w:val="none"/>
                <w:lang w:val="en-US" w:eastAsia="zh-CN"/>
              </w:rPr>
              <w:t>0</w:t>
            </w:r>
          </w:p>
        </w:tc>
      </w:tr>
    </w:tbl>
    <w:p w14:paraId="3F1DE79F">
      <w:pPr>
        <w:pStyle w:val="4"/>
        <w:bidi w:val="0"/>
        <w:ind w:left="0" w:leftChars="0" w:firstLine="0" w:firstLineChars="0"/>
        <w:rPr>
          <w:rFonts w:hint="eastAsia"/>
          <w:highlight w:val="none"/>
          <w:lang w:val="en-US" w:eastAsia="zh-CN"/>
        </w:rPr>
      </w:pPr>
      <w:bookmarkStart w:id="183" w:name="_Toc2588"/>
      <w:r>
        <w:rPr>
          <w:rFonts w:hint="eastAsia"/>
          <w:highlight w:val="none"/>
          <w:lang w:val="en-US" w:eastAsia="zh-CN"/>
        </w:rPr>
        <w:t>8.3环境监测计划</w:t>
      </w:r>
      <w:bookmarkEnd w:id="183"/>
    </w:p>
    <w:p w14:paraId="323C181D">
      <w:pPr>
        <w:pStyle w:val="5"/>
        <w:ind w:left="0" w:leftChars="0" w:firstLine="0" w:firstLineChars="0"/>
        <w:rPr>
          <w:rFonts w:hint="default"/>
          <w:highlight w:val="none"/>
          <w:lang w:val="en-US" w:eastAsia="zh-CN"/>
        </w:rPr>
      </w:pPr>
      <w:bookmarkStart w:id="184" w:name="_Toc4113"/>
      <w:r>
        <w:rPr>
          <w:rFonts w:hint="default" w:ascii="Times New Roman" w:hAnsi="Times New Roman" w:cs="Times New Roman"/>
          <w:highlight w:val="none"/>
          <w:lang w:val="en-US" w:eastAsia="zh-CN"/>
        </w:rPr>
        <w:t>8.3.1</w:t>
      </w:r>
      <w:r>
        <w:rPr>
          <w:rFonts w:hint="eastAsia"/>
          <w:highlight w:val="none"/>
          <w:lang w:val="en-US" w:eastAsia="zh-CN"/>
        </w:rPr>
        <w:t>环境监测意义</w:t>
      </w:r>
      <w:bookmarkEnd w:id="184"/>
    </w:p>
    <w:p w14:paraId="4CF71DB8">
      <w:pPr>
        <w:bidi w:val="0"/>
        <w:rPr>
          <w:rFonts w:ascii="Times New Roman" w:hAnsi="Times New Roman"/>
          <w:highlight w:val="none"/>
        </w:rPr>
      </w:pPr>
      <w:r>
        <w:rPr>
          <w:rFonts w:ascii="Times New Roman" w:hAnsi="Times New Roman"/>
          <w:highlight w:val="none"/>
        </w:rPr>
        <w:t>环境监测（包括污染源监测）是企业环境保护的重要组成部分，也是企业的一项规范化制度。通过环境监测，进行数据整理分析，建立监测档案，可为污染源治理，掌握污染物排放变化规律提供依据，为上级环境保护行政主管部门进行区域环境规划、管理执法提供依据。同时，环境监测也是企业实现污染物总量控制，做到清洁生产的重要保证手段之一。</w:t>
      </w:r>
    </w:p>
    <w:p w14:paraId="7AF63E91">
      <w:pPr>
        <w:pStyle w:val="5"/>
        <w:bidi w:val="0"/>
        <w:ind w:left="0" w:leftChars="0" w:firstLine="0" w:firstLineChars="0"/>
        <w:rPr>
          <w:rFonts w:hint="eastAsia"/>
          <w:highlight w:val="none"/>
          <w:lang w:val="en-US" w:eastAsia="zh-CN"/>
        </w:rPr>
      </w:pPr>
      <w:bookmarkStart w:id="185" w:name="_Toc23496"/>
      <w:r>
        <w:rPr>
          <w:rFonts w:hint="default" w:ascii="Times New Roman" w:hAnsi="Times New Roman" w:cs="Times New Roman"/>
          <w:highlight w:val="none"/>
          <w:lang w:val="en-US" w:eastAsia="zh-CN"/>
        </w:rPr>
        <w:t>8.3.2</w:t>
      </w:r>
      <w:r>
        <w:rPr>
          <w:rFonts w:hint="eastAsia"/>
          <w:highlight w:val="none"/>
          <w:lang w:val="en-US" w:eastAsia="zh-CN"/>
        </w:rPr>
        <w:t>环境监测工作</w:t>
      </w:r>
      <w:bookmarkEnd w:id="185"/>
    </w:p>
    <w:p w14:paraId="6A3C5333">
      <w:pPr>
        <w:rPr>
          <w:rFonts w:ascii="Times New Roman" w:hAnsi="Times New Roman"/>
          <w:highlight w:val="none"/>
        </w:rPr>
      </w:pPr>
      <w:r>
        <w:rPr>
          <w:rFonts w:ascii="Times New Roman" w:hAnsi="Times New Roman"/>
          <w:highlight w:val="none"/>
        </w:rPr>
        <w:t>本工程的监测工作委托当地环境监测部门进行，监测结果按次、月、季、年编制报表，并由安全环保部派专人管理并存档。</w:t>
      </w:r>
    </w:p>
    <w:p w14:paraId="7799D2BD">
      <w:pPr>
        <w:pStyle w:val="5"/>
        <w:bidi w:val="0"/>
        <w:ind w:left="0" w:leftChars="0" w:firstLine="0" w:firstLineChars="0"/>
        <w:rPr>
          <w:rFonts w:hint="eastAsia"/>
          <w:highlight w:val="none"/>
          <w:lang w:val="en-US" w:eastAsia="zh-CN"/>
        </w:rPr>
      </w:pPr>
      <w:bookmarkStart w:id="186" w:name="_Toc27023"/>
      <w:r>
        <w:rPr>
          <w:rFonts w:hint="default" w:ascii="Times New Roman" w:hAnsi="Times New Roman" w:cs="Times New Roman"/>
          <w:highlight w:val="none"/>
          <w:lang w:val="en-US" w:eastAsia="zh-CN"/>
        </w:rPr>
        <w:t>8.3.3</w:t>
      </w:r>
      <w:r>
        <w:rPr>
          <w:rFonts w:hint="eastAsia"/>
          <w:highlight w:val="none"/>
          <w:lang w:val="en-US" w:eastAsia="zh-CN"/>
        </w:rPr>
        <w:t>环境监测职责</w:t>
      </w:r>
      <w:bookmarkEnd w:id="186"/>
    </w:p>
    <w:p w14:paraId="3066A05F">
      <w:pPr>
        <w:ind w:firstLine="480"/>
        <w:rPr>
          <w:rFonts w:ascii="Times New Roman" w:hAnsi="Times New Roman"/>
          <w:highlight w:val="none"/>
        </w:rPr>
      </w:pPr>
      <w:r>
        <w:rPr>
          <w:rFonts w:ascii="Times New Roman" w:hAnsi="Times New Roman"/>
          <w:highlight w:val="none"/>
        </w:rPr>
        <w:t>（1）根据各项有关环境质量标准、污染物排放标准，制定本项目的环境监测计划工作方案，建立与完善各项检测规章制度。</w:t>
      </w:r>
    </w:p>
    <w:p w14:paraId="551D60A9">
      <w:pPr>
        <w:ind w:firstLine="480"/>
        <w:rPr>
          <w:rFonts w:ascii="Times New Roman" w:hAnsi="Times New Roman"/>
          <w:highlight w:val="none"/>
        </w:rPr>
      </w:pPr>
      <w:r>
        <w:rPr>
          <w:rFonts w:ascii="Times New Roman" w:hAnsi="Times New Roman"/>
          <w:highlight w:val="none"/>
        </w:rPr>
        <w:t>（2）按时完成监测计划和各项检测任务。</w:t>
      </w:r>
    </w:p>
    <w:p w14:paraId="1E6B9F02">
      <w:pPr>
        <w:rPr>
          <w:rFonts w:ascii="Times New Roman" w:hAnsi="Times New Roman"/>
          <w:highlight w:val="none"/>
        </w:rPr>
      </w:pPr>
      <w:r>
        <w:rPr>
          <w:rFonts w:ascii="Times New Roman" w:hAnsi="Times New Roman"/>
          <w:highlight w:val="none"/>
        </w:rPr>
        <w:t>（3）做好各项环保设备运行的例行检测工作，发现问题及时报告，以便迅速解决，保证环保设备正常运行，确保达标排放。</w:t>
      </w:r>
    </w:p>
    <w:p w14:paraId="39B0BA71">
      <w:pPr>
        <w:pStyle w:val="5"/>
        <w:bidi w:val="0"/>
        <w:ind w:left="0" w:leftChars="0" w:firstLine="0" w:firstLineChars="0"/>
        <w:rPr>
          <w:rFonts w:hint="eastAsia"/>
          <w:highlight w:val="none"/>
          <w:lang w:val="en-US" w:eastAsia="zh-CN"/>
        </w:rPr>
      </w:pPr>
      <w:bookmarkStart w:id="187" w:name="_Toc4198"/>
      <w:r>
        <w:rPr>
          <w:rFonts w:hint="default" w:ascii="Times New Roman" w:hAnsi="Times New Roman" w:cs="Times New Roman"/>
          <w:highlight w:val="none"/>
          <w:lang w:val="en-US" w:eastAsia="zh-CN"/>
        </w:rPr>
        <w:t>8.3.4</w:t>
      </w:r>
      <w:r>
        <w:rPr>
          <w:rFonts w:hint="eastAsia"/>
          <w:highlight w:val="none"/>
          <w:lang w:val="en-US" w:eastAsia="zh-CN"/>
        </w:rPr>
        <w:t>环境监理内容</w:t>
      </w:r>
      <w:bookmarkEnd w:id="187"/>
    </w:p>
    <w:p w14:paraId="6C0631E6">
      <w:pPr>
        <w:ind w:firstLine="480"/>
        <w:rPr>
          <w:rFonts w:ascii="Times New Roman" w:hAnsi="Times New Roman"/>
          <w:highlight w:val="none"/>
        </w:rPr>
      </w:pPr>
      <w:r>
        <w:rPr>
          <w:rFonts w:ascii="Times New Roman" w:hAnsi="Times New Roman"/>
          <w:highlight w:val="none"/>
        </w:rPr>
        <w:t>1、施工期监理计划</w:t>
      </w:r>
    </w:p>
    <w:p w14:paraId="3C59EBD7">
      <w:pPr>
        <w:ind w:firstLine="480"/>
        <w:rPr>
          <w:rFonts w:ascii="Times New Roman" w:hAnsi="Times New Roman"/>
          <w:highlight w:val="none"/>
        </w:rPr>
      </w:pPr>
      <w:r>
        <w:rPr>
          <w:rFonts w:ascii="Times New Roman" w:hAnsi="Times New Roman"/>
          <w:highlight w:val="none"/>
        </w:rPr>
        <w:t>施工期环境监理内容见表8.3-1。</w:t>
      </w:r>
    </w:p>
    <w:p w14:paraId="48DA752C">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 xml:space="preserve">8.3-1 </w:t>
      </w:r>
      <w:r>
        <w:rPr>
          <w:rFonts w:hint="eastAsia" w:ascii="黑体" w:hAnsi="黑体" w:eastAsia="黑体" w:cs="黑体"/>
          <w:highlight w:val="none"/>
        </w:rPr>
        <w:t>施工期环境监理内容</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15"/>
        <w:gridCol w:w="4881"/>
        <w:gridCol w:w="1198"/>
        <w:gridCol w:w="1328"/>
      </w:tblGrid>
      <w:tr w14:paraId="4315E6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0" w:hRule="atLeast"/>
          <w:tblHeader/>
          <w:jc w:val="center"/>
        </w:trPr>
        <w:tc>
          <w:tcPr>
            <w:tcW w:w="654" w:type="pct"/>
            <w:noWrap w:val="0"/>
            <w:vAlign w:val="center"/>
          </w:tcPr>
          <w:p w14:paraId="13E38BB2">
            <w:pPr>
              <w:pStyle w:val="27"/>
              <w:rPr>
                <w:rFonts w:ascii="Times New Roman" w:hAnsi="Times New Roman" w:eastAsia="宋体"/>
                <w:highlight w:val="none"/>
              </w:rPr>
            </w:pPr>
            <w:r>
              <w:rPr>
                <w:rFonts w:ascii="Times New Roman" w:hAnsi="Times New Roman" w:eastAsia="宋体"/>
                <w:highlight w:val="none"/>
              </w:rPr>
              <w:t>监理项目</w:t>
            </w:r>
          </w:p>
        </w:tc>
        <w:tc>
          <w:tcPr>
            <w:tcW w:w="2864" w:type="pct"/>
            <w:noWrap w:val="0"/>
            <w:vAlign w:val="center"/>
          </w:tcPr>
          <w:p w14:paraId="38055695">
            <w:pPr>
              <w:pStyle w:val="27"/>
              <w:rPr>
                <w:rFonts w:ascii="Times New Roman" w:hAnsi="Times New Roman" w:eastAsia="宋体"/>
                <w:highlight w:val="none"/>
              </w:rPr>
            </w:pPr>
            <w:r>
              <w:rPr>
                <w:rFonts w:ascii="Times New Roman" w:hAnsi="Times New Roman" w:eastAsia="宋体"/>
                <w:highlight w:val="none"/>
              </w:rPr>
              <w:t>技术要求</w:t>
            </w:r>
          </w:p>
        </w:tc>
        <w:tc>
          <w:tcPr>
            <w:tcW w:w="703" w:type="pct"/>
            <w:noWrap w:val="0"/>
            <w:vAlign w:val="center"/>
          </w:tcPr>
          <w:p w14:paraId="2969A1F9">
            <w:pPr>
              <w:pStyle w:val="27"/>
              <w:rPr>
                <w:rFonts w:ascii="Times New Roman" w:hAnsi="Times New Roman" w:eastAsia="宋体"/>
                <w:highlight w:val="none"/>
              </w:rPr>
            </w:pPr>
            <w:r>
              <w:rPr>
                <w:rFonts w:ascii="Times New Roman" w:hAnsi="Times New Roman" w:eastAsia="宋体"/>
                <w:highlight w:val="none"/>
              </w:rPr>
              <w:t>实施机构</w:t>
            </w:r>
          </w:p>
        </w:tc>
        <w:tc>
          <w:tcPr>
            <w:tcW w:w="780" w:type="pct"/>
            <w:noWrap w:val="0"/>
            <w:vAlign w:val="center"/>
          </w:tcPr>
          <w:p w14:paraId="002D9C95">
            <w:pPr>
              <w:pStyle w:val="27"/>
              <w:rPr>
                <w:rFonts w:ascii="Times New Roman" w:hAnsi="Times New Roman" w:eastAsia="宋体"/>
                <w:highlight w:val="none"/>
              </w:rPr>
            </w:pPr>
            <w:r>
              <w:rPr>
                <w:rFonts w:ascii="Times New Roman" w:hAnsi="Times New Roman" w:eastAsia="宋体"/>
                <w:highlight w:val="none"/>
              </w:rPr>
              <w:t>监控机构</w:t>
            </w:r>
          </w:p>
        </w:tc>
      </w:tr>
      <w:tr w14:paraId="42F73C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4" w:type="pct"/>
            <w:noWrap w:val="0"/>
            <w:vAlign w:val="center"/>
          </w:tcPr>
          <w:p w14:paraId="7015EB0B">
            <w:pPr>
              <w:pStyle w:val="27"/>
              <w:rPr>
                <w:rFonts w:ascii="Times New Roman" w:hAnsi="Times New Roman" w:eastAsia="宋体"/>
                <w:highlight w:val="none"/>
              </w:rPr>
            </w:pPr>
            <w:r>
              <w:rPr>
                <w:rFonts w:ascii="Times New Roman" w:hAnsi="Times New Roman" w:eastAsia="宋体"/>
                <w:highlight w:val="none"/>
              </w:rPr>
              <w:t>施工噪声</w:t>
            </w:r>
          </w:p>
        </w:tc>
        <w:tc>
          <w:tcPr>
            <w:tcW w:w="2864" w:type="pct"/>
            <w:noWrap w:val="0"/>
            <w:vAlign w:val="center"/>
          </w:tcPr>
          <w:p w14:paraId="459EA8E0">
            <w:pPr>
              <w:pStyle w:val="27"/>
              <w:jc w:val="left"/>
              <w:rPr>
                <w:rFonts w:ascii="Times New Roman" w:hAnsi="Times New Roman" w:eastAsia="宋体"/>
                <w:highlight w:val="none"/>
              </w:rPr>
            </w:pPr>
            <w:r>
              <w:rPr>
                <w:rFonts w:ascii="Times New Roman" w:hAnsi="Times New Roman" w:eastAsia="宋体"/>
                <w:highlight w:val="none"/>
              </w:rPr>
              <w:t>（1）尽量采样低噪声机械</w:t>
            </w:r>
          </w:p>
          <w:p w14:paraId="33C689EF">
            <w:pPr>
              <w:pStyle w:val="27"/>
              <w:jc w:val="left"/>
              <w:rPr>
                <w:rFonts w:ascii="Times New Roman" w:hAnsi="Times New Roman" w:eastAsia="宋体"/>
                <w:highlight w:val="none"/>
              </w:rPr>
            </w:pPr>
            <w:r>
              <w:rPr>
                <w:rFonts w:ascii="Times New Roman" w:hAnsi="Times New Roman" w:eastAsia="宋体"/>
                <w:highlight w:val="none"/>
              </w:rPr>
              <w:t>（2）强噪声机械夜间严禁施工</w:t>
            </w:r>
          </w:p>
        </w:tc>
        <w:tc>
          <w:tcPr>
            <w:tcW w:w="703" w:type="pct"/>
            <w:noWrap w:val="0"/>
            <w:vAlign w:val="center"/>
          </w:tcPr>
          <w:p w14:paraId="6AD25C3F">
            <w:pPr>
              <w:pStyle w:val="27"/>
              <w:rPr>
                <w:rFonts w:ascii="Times New Roman" w:hAnsi="Times New Roman" w:eastAsia="宋体"/>
                <w:highlight w:val="none"/>
              </w:rPr>
            </w:pPr>
            <w:r>
              <w:rPr>
                <w:rFonts w:ascii="Times New Roman" w:hAnsi="Times New Roman" w:eastAsia="宋体"/>
                <w:highlight w:val="none"/>
              </w:rPr>
              <w:t>承包商</w:t>
            </w:r>
          </w:p>
        </w:tc>
        <w:tc>
          <w:tcPr>
            <w:tcW w:w="780" w:type="pct"/>
            <w:noWrap w:val="0"/>
            <w:vAlign w:val="center"/>
          </w:tcPr>
          <w:p w14:paraId="1D054E11">
            <w:pPr>
              <w:pStyle w:val="27"/>
              <w:rPr>
                <w:rFonts w:ascii="Times New Roman" w:hAnsi="Times New Roman" w:eastAsia="宋体"/>
                <w:highlight w:val="none"/>
              </w:rPr>
            </w:pPr>
            <w:r>
              <w:rPr>
                <w:rFonts w:ascii="Times New Roman" w:hAnsi="Times New Roman" w:eastAsia="宋体"/>
                <w:highlight w:val="none"/>
              </w:rPr>
              <w:t>当地生态环境局</w:t>
            </w:r>
          </w:p>
        </w:tc>
      </w:tr>
      <w:tr w14:paraId="29689F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4" w:type="pct"/>
            <w:noWrap w:val="0"/>
            <w:vAlign w:val="center"/>
          </w:tcPr>
          <w:p w14:paraId="3E2DC346">
            <w:pPr>
              <w:pStyle w:val="27"/>
              <w:rPr>
                <w:rFonts w:ascii="Times New Roman" w:hAnsi="Times New Roman" w:eastAsia="宋体"/>
                <w:highlight w:val="none"/>
              </w:rPr>
            </w:pPr>
            <w:r>
              <w:rPr>
                <w:rFonts w:ascii="Times New Roman" w:hAnsi="Times New Roman" w:eastAsia="宋体"/>
                <w:highlight w:val="none"/>
              </w:rPr>
              <w:t>环境空气污染</w:t>
            </w:r>
          </w:p>
        </w:tc>
        <w:tc>
          <w:tcPr>
            <w:tcW w:w="2864" w:type="pct"/>
            <w:noWrap w:val="0"/>
            <w:vAlign w:val="center"/>
          </w:tcPr>
          <w:p w14:paraId="4B900F16">
            <w:pPr>
              <w:pStyle w:val="27"/>
              <w:jc w:val="left"/>
              <w:rPr>
                <w:rFonts w:ascii="Times New Roman" w:hAnsi="Times New Roman" w:eastAsia="宋体"/>
                <w:highlight w:val="none"/>
              </w:rPr>
            </w:pPr>
            <w:r>
              <w:rPr>
                <w:rFonts w:ascii="Times New Roman" w:hAnsi="Times New Roman" w:eastAsia="宋体"/>
                <w:highlight w:val="none"/>
              </w:rPr>
              <w:t>（1）施工的贮料场、水泥拌合站周边200m范围内不得有集中的居住区、学校等</w:t>
            </w:r>
          </w:p>
          <w:p w14:paraId="3ED604A1">
            <w:pPr>
              <w:pStyle w:val="27"/>
              <w:jc w:val="left"/>
              <w:rPr>
                <w:rFonts w:ascii="Times New Roman" w:hAnsi="Times New Roman" w:eastAsia="宋体"/>
                <w:highlight w:val="none"/>
              </w:rPr>
            </w:pPr>
            <w:r>
              <w:rPr>
                <w:rFonts w:ascii="Times New Roman" w:hAnsi="Times New Roman" w:eastAsia="宋体"/>
                <w:highlight w:val="none"/>
              </w:rPr>
              <w:t>（2）施工作业场地应采取定时洒水降尘措施</w:t>
            </w:r>
          </w:p>
          <w:p w14:paraId="305FFA61">
            <w:pPr>
              <w:pStyle w:val="27"/>
              <w:jc w:val="left"/>
              <w:rPr>
                <w:rFonts w:ascii="Times New Roman" w:hAnsi="Times New Roman" w:eastAsia="宋体"/>
                <w:highlight w:val="none"/>
              </w:rPr>
            </w:pPr>
            <w:r>
              <w:rPr>
                <w:rFonts w:ascii="Times New Roman" w:hAnsi="Times New Roman" w:eastAsia="宋体"/>
                <w:highlight w:val="none"/>
              </w:rPr>
              <w:t>（3）料场和贮料场采用遮盖或洒水以防止扬尘污染，运送建筑材料的卡车加盖棚布，减少抛洒</w:t>
            </w:r>
          </w:p>
        </w:tc>
        <w:tc>
          <w:tcPr>
            <w:tcW w:w="703" w:type="pct"/>
            <w:noWrap w:val="0"/>
            <w:vAlign w:val="center"/>
          </w:tcPr>
          <w:p w14:paraId="5AFA8A1E">
            <w:pPr>
              <w:pStyle w:val="27"/>
              <w:rPr>
                <w:rFonts w:ascii="Times New Roman" w:hAnsi="Times New Roman" w:eastAsia="宋体"/>
                <w:highlight w:val="none"/>
              </w:rPr>
            </w:pPr>
            <w:r>
              <w:rPr>
                <w:rFonts w:ascii="Times New Roman" w:hAnsi="Times New Roman" w:eastAsia="宋体"/>
                <w:highlight w:val="none"/>
              </w:rPr>
              <w:t>承包商</w:t>
            </w:r>
          </w:p>
        </w:tc>
        <w:tc>
          <w:tcPr>
            <w:tcW w:w="780" w:type="pct"/>
            <w:noWrap w:val="0"/>
            <w:vAlign w:val="center"/>
          </w:tcPr>
          <w:p w14:paraId="37B68FFB">
            <w:pPr>
              <w:pStyle w:val="27"/>
              <w:rPr>
                <w:rFonts w:ascii="Times New Roman" w:hAnsi="Times New Roman" w:eastAsia="宋体"/>
                <w:highlight w:val="none"/>
              </w:rPr>
            </w:pPr>
            <w:r>
              <w:rPr>
                <w:rFonts w:ascii="Times New Roman" w:hAnsi="Times New Roman" w:eastAsia="宋体"/>
                <w:highlight w:val="none"/>
              </w:rPr>
              <w:t>当地生态环境局</w:t>
            </w:r>
          </w:p>
        </w:tc>
      </w:tr>
      <w:tr w14:paraId="79C8FD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54" w:type="pct"/>
            <w:noWrap w:val="0"/>
            <w:vAlign w:val="center"/>
          </w:tcPr>
          <w:p w14:paraId="7572DEBF">
            <w:pPr>
              <w:pStyle w:val="27"/>
              <w:rPr>
                <w:rFonts w:ascii="Times New Roman" w:hAnsi="Times New Roman" w:eastAsia="宋体"/>
                <w:highlight w:val="none"/>
              </w:rPr>
            </w:pPr>
            <w:r>
              <w:rPr>
                <w:rFonts w:ascii="Times New Roman" w:hAnsi="Times New Roman" w:eastAsia="宋体"/>
                <w:highlight w:val="none"/>
              </w:rPr>
              <w:t>地表水污染</w:t>
            </w:r>
          </w:p>
        </w:tc>
        <w:tc>
          <w:tcPr>
            <w:tcW w:w="2864" w:type="pct"/>
            <w:noWrap w:val="0"/>
            <w:vAlign w:val="center"/>
          </w:tcPr>
          <w:p w14:paraId="61BEF33F">
            <w:pPr>
              <w:pStyle w:val="27"/>
              <w:jc w:val="left"/>
              <w:rPr>
                <w:rFonts w:ascii="Times New Roman" w:hAnsi="Times New Roman" w:eastAsia="宋体"/>
                <w:highlight w:val="none"/>
              </w:rPr>
            </w:pPr>
            <w:r>
              <w:rPr>
                <w:rFonts w:ascii="Times New Roman" w:hAnsi="Times New Roman" w:eastAsia="宋体"/>
                <w:highlight w:val="none"/>
              </w:rPr>
              <w:t>（1）施工营地及施工管理区需设置隔油池及生活垃圾集中堆放场地，以使生活污水、生活垃圾集中处理</w:t>
            </w:r>
          </w:p>
          <w:p w14:paraId="01F6B3F2">
            <w:pPr>
              <w:pStyle w:val="27"/>
              <w:jc w:val="left"/>
              <w:rPr>
                <w:rFonts w:ascii="Times New Roman" w:hAnsi="Times New Roman" w:eastAsia="宋体"/>
                <w:highlight w:val="none"/>
              </w:rPr>
            </w:pPr>
            <w:r>
              <w:rPr>
                <w:rFonts w:ascii="Times New Roman" w:hAnsi="Times New Roman" w:eastAsia="宋体"/>
                <w:highlight w:val="none"/>
              </w:rPr>
              <w:t>（2）加强施工人员环境意识教育，严禁将废油、施工垃圾抛入地表水体</w:t>
            </w:r>
          </w:p>
        </w:tc>
        <w:tc>
          <w:tcPr>
            <w:tcW w:w="703" w:type="pct"/>
            <w:noWrap w:val="0"/>
            <w:vAlign w:val="center"/>
          </w:tcPr>
          <w:p w14:paraId="66A0E932">
            <w:pPr>
              <w:pStyle w:val="27"/>
              <w:rPr>
                <w:rFonts w:ascii="Times New Roman" w:hAnsi="Times New Roman" w:eastAsia="宋体"/>
                <w:highlight w:val="none"/>
              </w:rPr>
            </w:pPr>
            <w:r>
              <w:rPr>
                <w:rFonts w:ascii="Times New Roman" w:hAnsi="Times New Roman" w:eastAsia="宋体"/>
                <w:highlight w:val="none"/>
              </w:rPr>
              <w:t>承包商</w:t>
            </w:r>
          </w:p>
        </w:tc>
        <w:tc>
          <w:tcPr>
            <w:tcW w:w="780" w:type="pct"/>
            <w:noWrap w:val="0"/>
            <w:vAlign w:val="center"/>
          </w:tcPr>
          <w:p w14:paraId="089C0638">
            <w:pPr>
              <w:pStyle w:val="27"/>
              <w:rPr>
                <w:rFonts w:ascii="Times New Roman" w:hAnsi="Times New Roman" w:eastAsia="宋体"/>
                <w:highlight w:val="none"/>
              </w:rPr>
            </w:pPr>
            <w:r>
              <w:rPr>
                <w:rFonts w:ascii="Times New Roman" w:hAnsi="Times New Roman" w:eastAsia="宋体"/>
                <w:highlight w:val="none"/>
              </w:rPr>
              <w:t>当地生态环境局</w:t>
            </w:r>
          </w:p>
        </w:tc>
      </w:tr>
    </w:tbl>
    <w:p w14:paraId="01EA47E4">
      <w:pPr>
        <w:ind w:firstLine="480"/>
        <w:rPr>
          <w:rFonts w:ascii="Times New Roman" w:hAnsi="Times New Roman"/>
          <w:highlight w:val="none"/>
        </w:rPr>
      </w:pPr>
      <w:r>
        <w:rPr>
          <w:rFonts w:ascii="Times New Roman" w:hAnsi="Times New Roman"/>
          <w:highlight w:val="none"/>
        </w:rPr>
        <w:t>2、运营期监测计划</w:t>
      </w:r>
    </w:p>
    <w:p w14:paraId="643910A8">
      <w:pPr>
        <w:ind w:firstLine="480"/>
        <w:rPr>
          <w:rFonts w:hint="eastAsia" w:ascii="Times New Roman" w:hAnsi="Times New Roman"/>
          <w:highlight w:val="none"/>
        </w:rPr>
      </w:pPr>
      <w:r>
        <w:rPr>
          <w:rFonts w:ascii="Times New Roman" w:hAnsi="Times New Roman"/>
          <w:highlight w:val="none"/>
        </w:rPr>
        <w:t>根据本企业的排污特点及《排污单位自行监测技术指南火力发电及锅炉》（HJ820-2017），确定监测内容、监测项目、监测频率，详见表8.3-2。</w:t>
      </w:r>
    </w:p>
    <w:p w14:paraId="32D8F347">
      <w:pPr>
        <w:ind w:firstLine="0" w:firstLineChars="0"/>
        <w:jc w:val="center"/>
        <w:rPr>
          <w:rFonts w:hint="eastAsia"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8.3-2</w:t>
      </w:r>
      <w:r>
        <w:rPr>
          <w:rFonts w:hint="eastAsia" w:ascii="黑体" w:hAnsi="黑体" w:eastAsia="黑体" w:cs="黑体"/>
          <w:highlight w:val="none"/>
        </w:rPr>
        <w:t>营运期环境监测计划</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25"/>
        <w:gridCol w:w="2869"/>
        <w:gridCol w:w="2253"/>
        <w:gridCol w:w="2475"/>
      </w:tblGrid>
      <w:tr w14:paraId="007EE2F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noWrap w:val="0"/>
            <w:vAlign w:val="center"/>
          </w:tcPr>
          <w:p w14:paraId="3AFDFE7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项目</w:t>
            </w:r>
          </w:p>
        </w:tc>
        <w:tc>
          <w:tcPr>
            <w:tcW w:w="1683" w:type="pct"/>
            <w:noWrap w:val="0"/>
            <w:vAlign w:val="center"/>
          </w:tcPr>
          <w:p w14:paraId="60CC5AA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监测项目</w:t>
            </w:r>
          </w:p>
        </w:tc>
        <w:tc>
          <w:tcPr>
            <w:tcW w:w="1322" w:type="pct"/>
            <w:noWrap w:val="0"/>
            <w:vAlign w:val="center"/>
          </w:tcPr>
          <w:p w14:paraId="69E05F4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监测点布设</w:t>
            </w:r>
          </w:p>
        </w:tc>
        <w:tc>
          <w:tcPr>
            <w:tcW w:w="1452" w:type="pct"/>
            <w:noWrap w:val="0"/>
            <w:vAlign w:val="center"/>
          </w:tcPr>
          <w:p w14:paraId="32EE4807">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监测周期</w:t>
            </w:r>
          </w:p>
        </w:tc>
      </w:tr>
      <w:tr w14:paraId="327E0D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vMerge w:val="restart"/>
            <w:noWrap w:val="0"/>
            <w:vAlign w:val="center"/>
          </w:tcPr>
          <w:p w14:paraId="06149E1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烟气</w:t>
            </w:r>
          </w:p>
        </w:tc>
        <w:tc>
          <w:tcPr>
            <w:tcW w:w="1683" w:type="pct"/>
            <w:noWrap w:val="0"/>
            <w:vAlign w:val="center"/>
          </w:tcPr>
          <w:p w14:paraId="0475146B">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氨、颗粒物、NOx、SO</w:t>
            </w:r>
            <w:r>
              <w:rPr>
                <w:rFonts w:ascii="Times New Roman" w:hAnsi="Times New Roman"/>
                <w:sz w:val="21"/>
                <w:highlight w:val="none"/>
                <w:vertAlign w:val="subscript"/>
              </w:rPr>
              <w:t>2</w:t>
            </w:r>
            <w:r>
              <w:rPr>
                <w:rFonts w:ascii="Times New Roman" w:hAnsi="Times New Roman"/>
                <w:sz w:val="21"/>
                <w:highlight w:val="none"/>
              </w:rPr>
              <w:t>、林格曼黑度、汞及其化合物、干烟气量、含湿量、含氧量</w:t>
            </w:r>
          </w:p>
        </w:tc>
        <w:tc>
          <w:tcPr>
            <w:tcW w:w="1322" w:type="pct"/>
            <w:noWrap w:val="0"/>
            <w:vAlign w:val="center"/>
          </w:tcPr>
          <w:p w14:paraId="5C78D67E">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烟道或烟囱</w:t>
            </w:r>
          </w:p>
        </w:tc>
        <w:tc>
          <w:tcPr>
            <w:tcW w:w="1452" w:type="pct"/>
            <w:noWrap w:val="0"/>
            <w:vAlign w:val="center"/>
          </w:tcPr>
          <w:p w14:paraId="4D9DD9C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氨、林格曼黑度、汞及其化合物1次/季度；SO</w:t>
            </w:r>
            <w:r>
              <w:rPr>
                <w:rFonts w:ascii="Times New Roman" w:hAnsi="Times New Roman"/>
                <w:sz w:val="21"/>
                <w:highlight w:val="none"/>
                <w:vertAlign w:val="subscript"/>
              </w:rPr>
              <w:t>2</w:t>
            </w:r>
            <w:r>
              <w:rPr>
                <w:rFonts w:ascii="Times New Roman" w:hAnsi="Times New Roman"/>
                <w:sz w:val="21"/>
                <w:highlight w:val="none"/>
              </w:rPr>
              <w:t>、NO</w:t>
            </w:r>
            <w:r>
              <w:rPr>
                <w:rFonts w:ascii="Times New Roman" w:hAnsi="Times New Roman"/>
                <w:sz w:val="21"/>
                <w:highlight w:val="none"/>
                <w:vertAlign w:val="subscript"/>
              </w:rPr>
              <w:t>x</w:t>
            </w:r>
            <w:r>
              <w:rPr>
                <w:rFonts w:ascii="Times New Roman" w:hAnsi="Times New Roman"/>
                <w:sz w:val="21"/>
                <w:highlight w:val="none"/>
              </w:rPr>
              <w:t>、</w:t>
            </w:r>
            <w:r>
              <w:rPr>
                <w:rFonts w:hint="eastAsia" w:ascii="Times New Roman" w:hAnsi="Times New Roman"/>
                <w:sz w:val="21"/>
                <w:highlight w:val="none"/>
                <w:lang w:val="en-US" w:eastAsia="zh-CN"/>
              </w:rPr>
              <w:t>颗粒物</w:t>
            </w:r>
            <w:r>
              <w:rPr>
                <w:rFonts w:hint="eastAsia" w:ascii="Times New Roman" w:hAnsi="Times New Roman"/>
                <w:sz w:val="21"/>
                <w:highlight w:val="none"/>
              </w:rPr>
              <w:t>烟囱</w:t>
            </w:r>
            <w:r>
              <w:rPr>
                <w:rFonts w:ascii="Times New Roman" w:hAnsi="Times New Roman"/>
                <w:sz w:val="21"/>
                <w:highlight w:val="none"/>
              </w:rPr>
              <w:t>设置烟气连续监测系统连续监测。</w:t>
            </w:r>
          </w:p>
        </w:tc>
      </w:tr>
      <w:tr w14:paraId="7368615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vMerge w:val="continue"/>
            <w:noWrap w:val="0"/>
            <w:vAlign w:val="center"/>
          </w:tcPr>
          <w:p w14:paraId="192E931A">
            <w:pPr>
              <w:spacing w:line="240" w:lineRule="auto"/>
              <w:ind w:firstLine="0" w:firstLineChars="0"/>
              <w:jc w:val="center"/>
              <w:rPr>
                <w:rFonts w:ascii="Times New Roman" w:hAnsi="Times New Roman"/>
                <w:sz w:val="21"/>
                <w:highlight w:val="none"/>
              </w:rPr>
            </w:pPr>
          </w:p>
        </w:tc>
        <w:tc>
          <w:tcPr>
            <w:tcW w:w="1683" w:type="pct"/>
            <w:noWrap w:val="0"/>
            <w:vAlign w:val="center"/>
          </w:tcPr>
          <w:p w14:paraId="76F9CED5">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除尘效率、阻力、漏风率、过剩空气系数</w:t>
            </w:r>
          </w:p>
        </w:tc>
        <w:tc>
          <w:tcPr>
            <w:tcW w:w="1322" w:type="pct"/>
            <w:noWrap w:val="0"/>
            <w:vAlign w:val="center"/>
          </w:tcPr>
          <w:p w14:paraId="42352612">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烟道预留取样口</w:t>
            </w:r>
          </w:p>
        </w:tc>
        <w:tc>
          <w:tcPr>
            <w:tcW w:w="1452" w:type="pct"/>
            <w:vMerge w:val="restart"/>
            <w:noWrap w:val="0"/>
            <w:vAlign w:val="center"/>
          </w:tcPr>
          <w:p w14:paraId="7995FBB4">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设置烟气连续监测系统，对烟道气的SO</w:t>
            </w:r>
            <w:r>
              <w:rPr>
                <w:rFonts w:ascii="Times New Roman" w:hAnsi="Times New Roman"/>
                <w:sz w:val="21"/>
                <w:highlight w:val="none"/>
                <w:vertAlign w:val="subscript"/>
              </w:rPr>
              <w:t>2</w:t>
            </w:r>
            <w:r>
              <w:rPr>
                <w:rFonts w:ascii="Times New Roman" w:hAnsi="Times New Roman"/>
                <w:sz w:val="21"/>
                <w:highlight w:val="none"/>
              </w:rPr>
              <w:t>、颗粒物、NO</w:t>
            </w:r>
            <w:r>
              <w:rPr>
                <w:rFonts w:ascii="Times New Roman" w:hAnsi="Times New Roman"/>
                <w:sz w:val="21"/>
                <w:highlight w:val="none"/>
                <w:vertAlign w:val="subscript"/>
              </w:rPr>
              <w:t>x</w:t>
            </w:r>
            <w:r>
              <w:rPr>
                <w:rFonts w:ascii="Times New Roman" w:hAnsi="Times New Roman"/>
                <w:sz w:val="21"/>
                <w:highlight w:val="none"/>
              </w:rPr>
              <w:t>、烟气量等进行连续监测；其他项目1次/季度监测。</w:t>
            </w:r>
          </w:p>
        </w:tc>
      </w:tr>
      <w:tr w14:paraId="30BD45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vMerge w:val="continue"/>
            <w:noWrap w:val="0"/>
            <w:vAlign w:val="center"/>
          </w:tcPr>
          <w:p w14:paraId="3EB234EE">
            <w:pPr>
              <w:spacing w:line="240" w:lineRule="auto"/>
              <w:ind w:firstLine="0" w:firstLineChars="0"/>
              <w:jc w:val="center"/>
              <w:rPr>
                <w:rFonts w:ascii="Times New Roman" w:hAnsi="Times New Roman"/>
                <w:sz w:val="21"/>
                <w:highlight w:val="none"/>
              </w:rPr>
            </w:pPr>
          </w:p>
        </w:tc>
        <w:tc>
          <w:tcPr>
            <w:tcW w:w="1683" w:type="pct"/>
            <w:noWrap w:val="0"/>
            <w:vAlign w:val="center"/>
          </w:tcPr>
          <w:p w14:paraId="30DECB4C">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脱硫脱硝除尘效率</w:t>
            </w:r>
          </w:p>
        </w:tc>
        <w:tc>
          <w:tcPr>
            <w:tcW w:w="1322" w:type="pct"/>
            <w:noWrap w:val="0"/>
            <w:vAlign w:val="center"/>
          </w:tcPr>
          <w:p w14:paraId="638DAA91">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烟道预留取样口</w:t>
            </w:r>
          </w:p>
        </w:tc>
        <w:tc>
          <w:tcPr>
            <w:tcW w:w="1452" w:type="pct"/>
            <w:vMerge w:val="continue"/>
            <w:noWrap w:val="0"/>
            <w:vAlign w:val="center"/>
          </w:tcPr>
          <w:p w14:paraId="37AEBAEA">
            <w:pPr>
              <w:spacing w:line="240" w:lineRule="auto"/>
              <w:ind w:firstLine="0" w:firstLineChars="0"/>
              <w:jc w:val="center"/>
              <w:rPr>
                <w:rFonts w:ascii="Times New Roman" w:hAnsi="Times New Roman"/>
                <w:sz w:val="21"/>
                <w:highlight w:val="none"/>
              </w:rPr>
            </w:pPr>
          </w:p>
        </w:tc>
      </w:tr>
      <w:tr w14:paraId="1EA13AE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noWrap w:val="0"/>
            <w:vAlign w:val="center"/>
          </w:tcPr>
          <w:p w14:paraId="314DC4EF">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环境</w:t>
            </w:r>
          </w:p>
          <w:p w14:paraId="3348190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空气</w:t>
            </w:r>
          </w:p>
        </w:tc>
        <w:tc>
          <w:tcPr>
            <w:tcW w:w="1683" w:type="pct"/>
            <w:noWrap w:val="0"/>
            <w:vAlign w:val="center"/>
          </w:tcPr>
          <w:p w14:paraId="1938D07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氨、颗粒物</w:t>
            </w:r>
          </w:p>
        </w:tc>
        <w:tc>
          <w:tcPr>
            <w:tcW w:w="1322" w:type="pct"/>
            <w:noWrap w:val="0"/>
            <w:vAlign w:val="center"/>
          </w:tcPr>
          <w:p w14:paraId="414BFD76">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厂界4个监测点</w:t>
            </w:r>
          </w:p>
        </w:tc>
        <w:tc>
          <w:tcPr>
            <w:tcW w:w="1452" w:type="pct"/>
            <w:noWrap w:val="0"/>
            <w:vAlign w:val="center"/>
          </w:tcPr>
          <w:p w14:paraId="14F6B720">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1次/季度</w:t>
            </w:r>
          </w:p>
        </w:tc>
      </w:tr>
      <w:tr w14:paraId="3D6E45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noWrap w:val="0"/>
            <w:vAlign w:val="center"/>
          </w:tcPr>
          <w:p w14:paraId="21D0CA05">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废水</w:t>
            </w:r>
          </w:p>
        </w:tc>
        <w:tc>
          <w:tcPr>
            <w:tcW w:w="1683" w:type="pct"/>
            <w:noWrap w:val="0"/>
            <w:vAlign w:val="center"/>
          </w:tcPr>
          <w:p w14:paraId="423374EA">
            <w:pPr>
              <w:spacing w:line="240" w:lineRule="auto"/>
              <w:ind w:firstLine="0" w:firstLineChars="0"/>
              <w:jc w:val="center"/>
              <w:rPr>
                <w:rFonts w:hint="eastAsia" w:ascii="Times New Roman" w:hAnsi="Times New Roman"/>
                <w:kern w:val="0"/>
                <w:sz w:val="21"/>
                <w:highlight w:val="none"/>
              </w:rPr>
            </w:pPr>
            <w:r>
              <w:rPr>
                <w:rFonts w:ascii="Times New Roman" w:hAnsi="Times New Roman"/>
                <w:kern w:val="0"/>
                <w:sz w:val="21"/>
                <w:highlight w:val="none"/>
              </w:rPr>
              <w:t>脱硫废水排放口</w:t>
            </w:r>
          </w:p>
        </w:tc>
        <w:tc>
          <w:tcPr>
            <w:tcW w:w="1322" w:type="pct"/>
            <w:noWrap w:val="0"/>
            <w:vAlign w:val="center"/>
          </w:tcPr>
          <w:p w14:paraId="3C343129">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pH、总砷、总铅、总汞、总镉、流量</w:t>
            </w:r>
          </w:p>
        </w:tc>
        <w:tc>
          <w:tcPr>
            <w:tcW w:w="1452" w:type="pct"/>
            <w:noWrap w:val="0"/>
            <w:vAlign w:val="center"/>
          </w:tcPr>
          <w:p w14:paraId="01B5697B">
            <w:pPr>
              <w:spacing w:line="240" w:lineRule="auto"/>
              <w:ind w:firstLine="0" w:firstLineChars="0"/>
              <w:jc w:val="center"/>
              <w:rPr>
                <w:rFonts w:ascii="Times New Roman" w:hAnsi="Times New Roman"/>
                <w:kern w:val="0"/>
                <w:sz w:val="21"/>
                <w:highlight w:val="none"/>
              </w:rPr>
            </w:pPr>
            <w:r>
              <w:rPr>
                <w:rFonts w:ascii="Times New Roman" w:hAnsi="Times New Roman"/>
                <w:kern w:val="0"/>
                <w:sz w:val="21"/>
                <w:highlight w:val="none"/>
              </w:rPr>
              <w:t>1次/月</w:t>
            </w:r>
          </w:p>
        </w:tc>
      </w:tr>
      <w:tr w14:paraId="0D4EBD5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543" w:type="pct"/>
            <w:noWrap w:val="0"/>
            <w:vAlign w:val="center"/>
          </w:tcPr>
          <w:p w14:paraId="7FFD48E3">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噪声</w:t>
            </w:r>
          </w:p>
        </w:tc>
        <w:tc>
          <w:tcPr>
            <w:tcW w:w="1683" w:type="pct"/>
            <w:noWrap w:val="0"/>
            <w:vAlign w:val="center"/>
          </w:tcPr>
          <w:p w14:paraId="3D5A11C7">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厂界噪声</w:t>
            </w:r>
          </w:p>
        </w:tc>
        <w:tc>
          <w:tcPr>
            <w:tcW w:w="1322" w:type="pct"/>
            <w:noWrap w:val="0"/>
            <w:vAlign w:val="center"/>
          </w:tcPr>
          <w:p w14:paraId="7E15E038">
            <w:pPr>
              <w:spacing w:line="240" w:lineRule="auto"/>
              <w:ind w:firstLine="0" w:firstLineChars="0"/>
              <w:jc w:val="center"/>
              <w:rPr>
                <w:rFonts w:ascii="Times New Roman" w:hAnsi="Times New Roman"/>
                <w:sz w:val="21"/>
                <w:highlight w:val="none"/>
              </w:rPr>
            </w:pPr>
            <w:r>
              <w:rPr>
                <w:rFonts w:ascii="Times New Roman" w:hAnsi="Times New Roman"/>
                <w:sz w:val="21"/>
                <w:highlight w:val="none"/>
              </w:rPr>
              <w:t>厂界四周</w:t>
            </w:r>
          </w:p>
        </w:tc>
        <w:tc>
          <w:tcPr>
            <w:tcW w:w="1452" w:type="pct"/>
            <w:noWrap w:val="0"/>
            <w:vAlign w:val="center"/>
          </w:tcPr>
          <w:p w14:paraId="5A2EA859">
            <w:pPr>
              <w:spacing w:line="240" w:lineRule="auto"/>
              <w:ind w:firstLine="0" w:firstLineChars="0"/>
              <w:jc w:val="center"/>
              <w:rPr>
                <w:rFonts w:hint="eastAsia" w:ascii="Times New Roman" w:hAnsi="Times New Roman" w:eastAsia="宋体"/>
                <w:sz w:val="21"/>
                <w:highlight w:val="none"/>
                <w:lang w:eastAsia="zh-CN"/>
              </w:rPr>
            </w:pPr>
            <w:r>
              <w:rPr>
                <w:rFonts w:ascii="Times New Roman" w:hAnsi="Times New Roman"/>
                <w:sz w:val="21"/>
                <w:highlight w:val="none"/>
              </w:rPr>
              <w:t>1次/</w:t>
            </w:r>
            <w:r>
              <w:rPr>
                <w:rFonts w:hint="eastAsia" w:ascii="Times New Roman" w:hAnsi="Times New Roman"/>
                <w:sz w:val="21"/>
                <w:highlight w:val="none"/>
                <w:lang w:val="en-US" w:eastAsia="zh-CN"/>
              </w:rPr>
              <w:t>月</w:t>
            </w:r>
          </w:p>
        </w:tc>
      </w:tr>
    </w:tbl>
    <w:p w14:paraId="1FF898B1">
      <w:pPr>
        <w:pStyle w:val="5"/>
        <w:bidi w:val="0"/>
        <w:ind w:left="0" w:leftChars="0" w:firstLine="0" w:firstLineChars="0"/>
        <w:rPr>
          <w:rFonts w:hint="eastAsia"/>
          <w:highlight w:val="none"/>
          <w:lang w:val="en-US" w:eastAsia="zh-CN"/>
        </w:rPr>
      </w:pPr>
      <w:bookmarkStart w:id="188" w:name="_Toc654"/>
      <w:r>
        <w:rPr>
          <w:rFonts w:hint="eastAsia"/>
          <w:highlight w:val="none"/>
          <w:lang w:val="en-US" w:eastAsia="zh-CN"/>
        </w:rPr>
        <w:t>8.3.5信息公开</w:t>
      </w:r>
      <w:bookmarkEnd w:id="188"/>
    </w:p>
    <w:p w14:paraId="1E917B7D">
      <w:pPr>
        <w:ind w:firstLine="480"/>
        <w:rPr>
          <w:rFonts w:ascii="Times New Roman" w:hAnsi="Times New Roman"/>
          <w:highlight w:val="none"/>
        </w:rPr>
      </w:pPr>
      <w:r>
        <w:rPr>
          <w:rFonts w:ascii="Times New Roman" w:hAnsi="Times New Roman"/>
          <w:highlight w:val="none"/>
        </w:rPr>
        <w:t>（1）公开内容</w:t>
      </w:r>
    </w:p>
    <w:p w14:paraId="7FDBF279">
      <w:pPr>
        <w:ind w:firstLine="480"/>
        <w:rPr>
          <w:rFonts w:ascii="Times New Roman" w:hAnsi="Times New Roman"/>
          <w:highlight w:val="none"/>
        </w:rPr>
      </w:pPr>
      <w:r>
        <w:rPr>
          <w:rFonts w:ascii="Times New Roman" w:hAnsi="Times New Roman"/>
          <w:highlight w:val="none"/>
        </w:rPr>
        <w:t>企业应将自行监测工作开展情况及监测结果向社会公众公开，公开内容应包括：</w:t>
      </w:r>
    </w:p>
    <w:p w14:paraId="1843A83B">
      <w:pPr>
        <w:ind w:firstLine="480"/>
        <w:rPr>
          <w:rFonts w:ascii="Times New Roman" w:hAnsi="Times New Roman"/>
          <w:highlight w:val="none"/>
        </w:rPr>
      </w:pPr>
      <w:r>
        <w:rPr>
          <w:rFonts w:ascii="Times New Roman" w:hAnsi="Times New Roman"/>
          <w:highlight w:val="none"/>
        </w:rPr>
        <w:t>基础信息：企业名称、法人代表、所属行业、地理位置、生产周期、联系方式、委托监测机构名称等；</w:t>
      </w:r>
    </w:p>
    <w:p w14:paraId="3225E082">
      <w:pPr>
        <w:ind w:firstLine="480"/>
        <w:rPr>
          <w:rFonts w:ascii="Times New Roman" w:hAnsi="Times New Roman"/>
          <w:highlight w:val="none"/>
        </w:rPr>
      </w:pPr>
      <w:r>
        <w:rPr>
          <w:rFonts w:ascii="Times New Roman" w:hAnsi="Times New Roman"/>
          <w:highlight w:val="none"/>
        </w:rPr>
        <w:t>1）自行监测方案；</w:t>
      </w:r>
    </w:p>
    <w:p w14:paraId="24CC8EB1">
      <w:pPr>
        <w:ind w:firstLine="480"/>
        <w:rPr>
          <w:rFonts w:ascii="Times New Roman" w:hAnsi="Times New Roman"/>
          <w:highlight w:val="none"/>
        </w:rPr>
      </w:pPr>
      <w:r>
        <w:rPr>
          <w:rFonts w:ascii="Times New Roman" w:hAnsi="Times New Roman"/>
          <w:highlight w:val="none"/>
        </w:rPr>
        <w:t>自行监测结果：全部监测点位、监测时间、污染物种类及浓度、标准限值、达标情况、超标倍数、污染物排放方式及排放去向；</w:t>
      </w:r>
    </w:p>
    <w:p w14:paraId="76A7610D">
      <w:pPr>
        <w:ind w:firstLine="480"/>
        <w:rPr>
          <w:rFonts w:ascii="Times New Roman" w:hAnsi="Times New Roman"/>
          <w:highlight w:val="none"/>
        </w:rPr>
      </w:pPr>
      <w:r>
        <w:rPr>
          <w:rFonts w:ascii="Times New Roman" w:hAnsi="Times New Roman"/>
          <w:highlight w:val="none"/>
        </w:rPr>
        <w:t>2）未开展自行监测的原因；</w:t>
      </w:r>
    </w:p>
    <w:p w14:paraId="566E054A">
      <w:pPr>
        <w:ind w:firstLine="480"/>
        <w:rPr>
          <w:rFonts w:ascii="Times New Roman" w:hAnsi="Times New Roman"/>
          <w:highlight w:val="none"/>
        </w:rPr>
      </w:pPr>
      <w:r>
        <w:rPr>
          <w:rFonts w:ascii="Times New Roman" w:hAnsi="Times New Roman"/>
          <w:highlight w:val="none"/>
        </w:rPr>
        <w:t>3）污染源监测年度报告。</w:t>
      </w:r>
    </w:p>
    <w:p w14:paraId="75DAA5B5">
      <w:pPr>
        <w:ind w:firstLine="480"/>
        <w:rPr>
          <w:rFonts w:ascii="Times New Roman" w:hAnsi="Times New Roman"/>
          <w:highlight w:val="none"/>
        </w:rPr>
      </w:pPr>
      <w:r>
        <w:rPr>
          <w:rFonts w:ascii="Times New Roman" w:hAnsi="Times New Roman"/>
          <w:highlight w:val="none"/>
        </w:rPr>
        <w:t>（2）公开方式</w:t>
      </w:r>
    </w:p>
    <w:p w14:paraId="6B3C4C5C">
      <w:pPr>
        <w:ind w:firstLine="480"/>
        <w:rPr>
          <w:rFonts w:ascii="Times New Roman" w:hAnsi="Times New Roman"/>
          <w:highlight w:val="none"/>
        </w:rPr>
      </w:pPr>
      <w:r>
        <w:rPr>
          <w:rFonts w:ascii="Times New Roman" w:hAnsi="Times New Roman"/>
          <w:highlight w:val="none"/>
        </w:rPr>
        <w:t>企业可通过对外网站、报纸、广播、电视等便于公众知晓的方式公开自行监测信息。同时，应当在市级环境保护主管部门统一组织建立的公布平台上公开自行监测信息，并至少保存 1 年。</w:t>
      </w:r>
    </w:p>
    <w:p w14:paraId="22F5FA0B">
      <w:pPr>
        <w:ind w:firstLine="480"/>
        <w:rPr>
          <w:rFonts w:ascii="Times New Roman" w:hAnsi="Times New Roman"/>
          <w:highlight w:val="none"/>
        </w:rPr>
      </w:pPr>
      <w:r>
        <w:rPr>
          <w:rFonts w:ascii="Times New Roman" w:hAnsi="Times New Roman"/>
          <w:highlight w:val="none"/>
        </w:rPr>
        <w:t>（3）公开时限</w:t>
      </w:r>
    </w:p>
    <w:p w14:paraId="20D23294">
      <w:pPr>
        <w:ind w:firstLine="480"/>
        <w:rPr>
          <w:rFonts w:ascii="Times New Roman" w:hAnsi="Times New Roman"/>
          <w:highlight w:val="none"/>
        </w:rPr>
      </w:pPr>
      <w:r>
        <w:rPr>
          <w:rFonts w:ascii="Times New Roman" w:hAnsi="Times New Roman"/>
          <w:highlight w:val="none"/>
        </w:rPr>
        <w:t>企业自行监测信息按以下要求的时限公开：</w:t>
      </w:r>
    </w:p>
    <w:p w14:paraId="4AE27A9A">
      <w:pPr>
        <w:ind w:firstLine="480"/>
        <w:rPr>
          <w:rFonts w:ascii="Times New Roman" w:hAnsi="Times New Roman"/>
          <w:highlight w:val="none"/>
        </w:rPr>
      </w:pPr>
      <w:r>
        <w:rPr>
          <w:rFonts w:ascii="Times New Roman" w:hAnsi="Times New Roman"/>
          <w:highlight w:val="none"/>
        </w:rPr>
        <w:t>1）企业基础信息应随监测数据一并公布，基础信息、自行监测方案如有调整变化时，应于变更后的五日内公布最新内容；</w:t>
      </w:r>
    </w:p>
    <w:p w14:paraId="3DCC9AEF">
      <w:pPr>
        <w:ind w:firstLine="480"/>
        <w:rPr>
          <w:rFonts w:ascii="Times New Roman" w:hAnsi="Times New Roman"/>
          <w:highlight w:val="none"/>
        </w:rPr>
      </w:pPr>
      <w:r>
        <w:rPr>
          <w:rFonts w:ascii="Times New Roman" w:hAnsi="Times New Roman"/>
          <w:highlight w:val="none"/>
        </w:rPr>
        <w:t>2）手工监测数据应于每次监测完成后的次日公布；</w:t>
      </w:r>
    </w:p>
    <w:p w14:paraId="2397E64D">
      <w:pPr>
        <w:ind w:firstLine="480"/>
        <w:rPr>
          <w:rFonts w:ascii="Times New Roman" w:hAnsi="Times New Roman"/>
          <w:highlight w:val="none"/>
        </w:rPr>
      </w:pPr>
      <w:r>
        <w:rPr>
          <w:rFonts w:ascii="Times New Roman" w:hAnsi="Times New Roman"/>
          <w:highlight w:val="none"/>
        </w:rPr>
        <w:t>3）自动监测数据应实时公布监测结果，其中废水自动监测设备为每2小时均值，废气自动监测设备为每1小时均值；</w:t>
      </w:r>
    </w:p>
    <w:p w14:paraId="0F18AC7C">
      <w:pPr>
        <w:rPr>
          <w:rFonts w:ascii="Times New Roman" w:hAnsi="Times New Roman"/>
          <w:highlight w:val="none"/>
        </w:rPr>
      </w:pPr>
      <w:r>
        <w:rPr>
          <w:rFonts w:ascii="Times New Roman" w:hAnsi="Times New Roman"/>
          <w:highlight w:val="none"/>
        </w:rPr>
        <w:t>4）每年1月底前公布上年度自行监测年度报告。</w:t>
      </w:r>
    </w:p>
    <w:p w14:paraId="3B523601">
      <w:pPr>
        <w:pStyle w:val="4"/>
        <w:bidi w:val="0"/>
        <w:ind w:left="0" w:leftChars="0" w:firstLine="0" w:firstLineChars="0"/>
        <w:rPr>
          <w:rFonts w:hint="eastAsia"/>
          <w:highlight w:val="none"/>
          <w:lang w:val="en-US" w:eastAsia="zh-CN"/>
        </w:rPr>
      </w:pPr>
      <w:bookmarkStart w:id="189" w:name="_Toc12930"/>
      <w:r>
        <w:rPr>
          <w:rFonts w:hint="eastAsia"/>
          <w:highlight w:val="none"/>
          <w:lang w:val="en-US" w:eastAsia="zh-CN"/>
        </w:rPr>
        <w:t>8.4排污口规范化管理</w:t>
      </w:r>
      <w:bookmarkEnd w:id="189"/>
    </w:p>
    <w:p w14:paraId="4ADB55FC">
      <w:pPr>
        <w:rPr>
          <w:rFonts w:ascii="Times New Roman" w:hAnsi="Times New Roman"/>
          <w:highlight w:val="none"/>
        </w:rPr>
      </w:pPr>
      <w:r>
        <w:rPr>
          <w:rFonts w:ascii="Times New Roman" w:hAnsi="Times New Roman"/>
          <w:highlight w:val="none"/>
        </w:rPr>
        <w:t>排污口是企业排放污染物进入环境的通道，强化排污口的管理是实施污染物总量控制的基础工作之一，也是区域环境管理逐步实现污染物排放科学化、定量化的重要手段。</w:t>
      </w:r>
    </w:p>
    <w:p w14:paraId="4006634A">
      <w:pPr>
        <w:pStyle w:val="5"/>
        <w:bidi w:val="0"/>
        <w:ind w:left="0" w:leftChars="0" w:firstLine="0" w:firstLineChars="0"/>
        <w:rPr>
          <w:rFonts w:hint="eastAsia"/>
          <w:highlight w:val="none"/>
          <w:lang w:val="en-US" w:eastAsia="zh-CN"/>
        </w:rPr>
      </w:pPr>
      <w:bookmarkStart w:id="190" w:name="_Toc8207"/>
      <w:r>
        <w:rPr>
          <w:rFonts w:hint="default" w:ascii="Times New Roman" w:hAnsi="Times New Roman" w:cs="Times New Roman"/>
          <w:highlight w:val="none"/>
          <w:lang w:val="en-US" w:eastAsia="zh-CN"/>
        </w:rPr>
        <w:t>8.4.1</w:t>
      </w:r>
      <w:r>
        <w:rPr>
          <w:rFonts w:hint="eastAsia"/>
          <w:highlight w:val="none"/>
          <w:lang w:val="en-US" w:eastAsia="zh-CN"/>
        </w:rPr>
        <w:t>排污口规范化管理的基本原则</w:t>
      </w:r>
      <w:bookmarkEnd w:id="190"/>
    </w:p>
    <w:p w14:paraId="0FCEF045">
      <w:pPr>
        <w:ind w:firstLine="480"/>
        <w:rPr>
          <w:rFonts w:ascii="Times New Roman" w:hAnsi="Times New Roman"/>
          <w:highlight w:val="none"/>
        </w:rPr>
      </w:pPr>
      <w:r>
        <w:rPr>
          <w:rFonts w:ascii="Times New Roman" w:hAnsi="Times New Roman"/>
          <w:highlight w:val="none"/>
        </w:rPr>
        <w:t>（1）向环境排放污染物的排污口必须规范化。</w:t>
      </w:r>
    </w:p>
    <w:p w14:paraId="31D0788C">
      <w:pPr>
        <w:rPr>
          <w:rFonts w:ascii="Times New Roman" w:hAnsi="Times New Roman"/>
          <w:highlight w:val="none"/>
        </w:rPr>
      </w:pPr>
      <w:r>
        <w:rPr>
          <w:rFonts w:ascii="Times New Roman" w:hAnsi="Times New Roman"/>
          <w:highlight w:val="none"/>
        </w:rPr>
        <w:t>（2）排污口应便于采样与计量监测，便于日常现场监督检查。</w:t>
      </w:r>
    </w:p>
    <w:p w14:paraId="237CEF7D">
      <w:pPr>
        <w:pStyle w:val="5"/>
        <w:bidi w:val="0"/>
        <w:ind w:left="0" w:leftChars="0" w:firstLine="0" w:firstLineChars="0"/>
        <w:rPr>
          <w:rFonts w:hint="eastAsia"/>
          <w:highlight w:val="none"/>
          <w:lang w:val="en-US" w:eastAsia="zh-CN"/>
        </w:rPr>
      </w:pPr>
      <w:bookmarkStart w:id="191" w:name="_Toc27928"/>
      <w:r>
        <w:rPr>
          <w:rFonts w:hint="default" w:ascii="Times New Roman" w:hAnsi="Times New Roman" w:cs="Times New Roman"/>
          <w:highlight w:val="none"/>
          <w:lang w:val="en-US" w:eastAsia="zh-CN"/>
        </w:rPr>
        <w:t>8.4.2</w:t>
      </w:r>
      <w:r>
        <w:rPr>
          <w:rFonts w:hint="eastAsia"/>
          <w:highlight w:val="none"/>
          <w:lang w:val="en-US" w:eastAsia="zh-CN"/>
        </w:rPr>
        <w:t>排污口的技术要求</w:t>
      </w:r>
      <w:bookmarkEnd w:id="191"/>
    </w:p>
    <w:p w14:paraId="17086FE4">
      <w:pPr>
        <w:ind w:firstLine="480"/>
        <w:rPr>
          <w:rFonts w:ascii="Times New Roman" w:hAnsi="Times New Roman"/>
          <w:highlight w:val="none"/>
        </w:rPr>
      </w:pPr>
      <w:r>
        <w:rPr>
          <w:rFonts w:ascii="Times New Roman" w:hAnsi="Times New Roman"/>
          <w:highlight w:val="none"/>
        </w:rPr>
        <w:t>（1）排污口的位置必须合理确定，按环监（1996）470号文件要求进行规范化管理。</w:t>
      </w:r>
    </w:p>
    <w:p w14:paraId="213B94E9">
      <w:pPr>
        <w:ind w:firstLine="480"/>
        <w:rPr>
          <w:rFonts w:ascii="Times New Roman" w:hAnsi="Times New Roman"/>
          <w:highlight w:val="none"/>
        </w:rPr>
      </w:pPr>
      <w:r>
        <w:rPr>
          <w:rFonts w:ascii="Times New Roman" w:hAnsi="Times New Roman"/>
          <w:highlight w:val="none"/>
        </w:rPr>
        <w:t>（2）排放污染物的采样点设置应按《污染源监测技术规范》要求，设置在企业污染物总排口等处。</w:t>
      </w:r>
    </w:p>
    <w:p w14:paraId="70CF6387">
      <w:pPr>
        <w:rPr>
          <w:rFonts w:ascii="Times New Roman" w:hAnsi="Times New Roman"/>
          <w:highlight w:val="none"/>
        </w:rPr>
      </w:pPr>
      <w:r>
        <w:rPr>
          <w:rFonts w:ascii="Times New Roman" w:hAnsi="Times New Roman"/>
          <w:highlight w:val="none"/>
        </w:rPr>
        <w:t>（3）设置规范的污水测量流量流速的测流段。</w:t>
      </w:r>
    </w:p>
    <w:p w14:paraId="2E5AE9C1">
      <w:pPr>
        <w:pStyle w:val="5"/>
        <w:bidi w:val="0"/>
        <w:ind w:left="0" w:leftChars="0" w:firstLine="0" w:firstLineChars="0"/>
        <w:rPr>
          <w:rFonts w:hint="eastAsia"/>
          <w:highlight w:val="none"/>
          <w:lang w:val="en-US" w:eastAsia="zh-CN"/>
        </w:rPr>
      </w:pPr>
      <w:bookmarkStart w:id="192" w:name="_Toc23328"/>
      <w:r>
        <w:rPr>
          <w:rFonts w:hint="default" w:ascii="Times New Roman" w:hAnsi="Times New Roman" w:cs="Times New Roman"/>
          <w:highlight w:val="none"/>
          <w:lang w:val="en-US" w:eastAsia="zh-CN"/>
        </w:rPr>
        <w:t>8.4.3</w:t>
      </w:r>
      <w:r>
        <w:rPr>
          <w:rFonts w:hint="eastAsia"/>
          <w:highlight w:val="none"/>
          <w:lang w:val="en-US" w:eastAsia="zh-CN"/>
        </w:rPr>
        <w:t>排污口立标管理</w:t>
      </w:r>
      <w:bookmarkEnd w:id="192"/>
    </w:p>
    <w:p w14:paraId="560F3E28">
      <w:pPr>
        <w:ind w:firstLine="480"/>
        <w:rPr>
          <w:rFonts w:ascii="Times New Roman" w:hAnsi="Times New Roman"/>
          <w:highlight w:val="none"/>
        </w:rPr>
      </w:pPr>
      <w:r>
        <w:rPr>
          <w:rFonts w:ascii="Times New Roman" w:hAnsi="Times New Roman"/>
          <w:highlight w:val="none"/>
        </w:rPr>
        <w:t>（1）企业污染物排放口的标志，应按国家《环境保护图形标志 排放口》（15562.1－1995）及《环境保护图形标志 固体废物贮存（处置）场》（15562.2－1995）的规定，设置国家环保总局统一制作的环境保护图形标志牌。示例见表8-4-1。</w:t>
      </w:r>
    </w:p>
    <w:p w14:paraId="3B3FC6F3">
      <w:pPr>
        <w:ind w:firstLine="480"/>
        <w:rPr>
          <w:rFonts w:ascii="Times New Roman" w:hAnsi="Times New Roman"/>
          <w:highlight w:val="none"/>
        </w:rPr>
      </w:pPr>
      <w:r>
        <w:rPr>
          <w:rFonts w:ascii="Times New Roman" w:hAnsi="Times New Roman"/>
          <w:highlight w:val="none"/>
        </w:rPr>
        <w:t>（2）污染物排放口的环保图形标志牌应设置在靠近采样点的醒目处，标志牌设置高度为其上缘距地面2m。</w:t>
      </w:r>
    </w:p>
    <w:p w14:paraId="336CD87A">
      <w:pPr>
        <w:pStyle w:val="5"/>
        <w:bidi w:val="0"/>
        <w:ind w:left="0" w:leftChars="0" w:firstLine="0" w:firstLineChars="0"/>
        <w:rPr>
          <w:rFonts w:hint="eastAsia"/>
          <w:highlight w:val="none"/>
          <w:lang w:val="en-US" w:eastAsia="zh-CN"/>
        </w:rPr>
      </w:pPr>
      <w:bookmarkStart w:id="193" w:name="_Toc3862"/>
      <w:r>
        <w:rPr>
          <w:rFonts w:hint="default" w:ascii="Times New Roman" w:hAnsi="Times New Roman" w:cs="Times New Roman"/>
          <w:highlight w:val="none"/>
          <w:lang w:val="en-US" w:eastAsia="zh-CN"/>
        </w:rPr>
        <w:t>8.4.4</w:t>
      </w:r>
      <w:r>
        <w:rPr>
          <w:rFonts w:hint="eastAsia"/>
          <w:highlight w:val="none"/>
          <w:lang w:val="en-US" w:eastAsia="zh-CN"/>
        </w:rPr>
        <w:t>排污口建档管理</w:t>
      </w:r>
      <w:bookmarkEnd w:id="193"/>
    </w:p>
    <w:p w14:paraId="12B5715D">
      <w:pPr>
        <w:ind w:firstLine="480"/>
        <w:rPr>
          <w:rFonts w:ascii="Times New Roman" w:hAnsi="Times New Roman"/>
          <w:highlight w:val="none"/>
        </w:rPr>
      </w:pPr>
      <w:r>
        <w:rPr>
          <w:rFonts w:ascii="Times New Roman" w:hAnsi="Times New Roman"/>
          <w:highlight w:val="none"/>
        </w:rPr>
        <w:t>（1）要求使用国家环保局统一印刷的《中华人民共和国规范化排污口标志登记证》，并按要求填写有关内容。</w:t>
      </w:r>
    </w:p>
    <w:p w14:paraId="1008CF8B">
      <w:pPr>
        <w:ind w:firstLine="480"/>
        <w:rPr>
          <w:rFonts w:ascii="Times New Roman" w:hAnsi="Times New Roman"/>
          <w:highlight w:val="none"/>
        </w:rPr>
      </w:pPr>
      <w:r>
        <w:rPr>
          <w:rFonts w:ascii="Times New Roman" w:hAnsi="Times New Roman"/>
          <w:highlight w:val="none"/>
        </w:rPr>
        <w:t>（2）根据排污口管理档案内容要求，项目建成后，应将主要污染物种类、数量、浓度、排放去向、达标情况及设施运行情况记录于档案。</w:t>
      </w:r>
    </w:p>
    <w:p w14:paraId="70ED46BF">
      <w:pPr>
        <w:ind w:firstLine="0" w:firstLineChars="0"/>
        <w:jc w:val="center"/>
        <w:rPr>
          <w:rFonts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8.4-1</w:t>
      </w:r>
      <w:r>
        <w:rPr>
          <w:rFonts w:hint="eastAsia" w:ascii="黑体" w:hAnsi="黑体" w:eastAsia="黑体" w:cs="黑体"/>
          <w:highlight w:val="none"/>
        </w:rPr>
        <w:t>排污口图形符号</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50"/>
        <w:gridCol w:w="2335"/>
        <w:gridCol w:w="2771"/>
        <w:gridCol w:w="1333"/>
        <w:gridCol w:w="1333"/>
      </w:tblGrid>
      <w:tr w14:paraId="34CD289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440" w:type="pct"/>
            <w:noWrap w:val="0"/>
            <w:vAlign w:val="center"/>
          </w:tcPr>
          <w:p w14:paraId="2D399282">
            <w:pPr>
              <w:pStyle w:val="27"/>
              <w:rPr>
                <w:rFonts w:ascii="Times New Roman" w:hAnsi="Times New Roman"/>
                <w:highlight w:val="none"/>
              </w:rPr>
            </w:pPr>
            <w:r>
              <w:rPr>
                <w:rFonts w:ascii="Times New Roman" w:hAnsi="Times New Roman"/>
                <w:highlight w:val="none"/>
              </w:rPr>
              <w:t>序号</w:t>
            </w:r>
          </w:p>
        </w:tc>
        <w:tc>
          <w:tcPr>
            <w:tcW w:w="1370" w:type="pct"/>
            <w:noWrap w:val="0"/>
            <w:vAlign w:val="center"/>
          </w:tcPr>
          <w:p w14:paraId="0D4B772F">
            <w:pPr>
              <w:pStyle w:val="27"/>
              <w:rPr>
                <w:rFonts w:ascii="Times New Roman" w:hAnsi="Times New Roman"/>
                <w:highlight w:val="none"/>
              </w:rPr>
            </w:pPr>
            <w:r>
              <w:rPr>
                <w:rFonts w:ascii="Times New Roman" w:hAnsi="Times New Roman"/>
                <w:highlight w:val="none"/>
              </w:rPr>
              <w:t>提示图形符号</w:t>
            </w:r>
          </w:p>
        </w:tc>
        <w:tc>
          <w:tcPr>
            <w:tcW w:w="1626" w:type="pct"/>
            <w:noWrap w:val="0"/>
            <w:vAlign w:val="center"/>
          </w:tcPr>
          <w:p w14:paraId="3DD042CF">
            <w:pPr>
              <w:pStyle w:val="27"/>
              <w:rPr>
                <w:rFonts w:ascii="Times New Roman" w:hAnsi="Times New Roman"/>
                <w:highlight w:val="none"/>
              </w:rPr>
            </w:pPr>
            <w:r>
              <w:rPr>
                <w:rFonts w:ascii="Times New Roman" w:hAnsi="Times New Roman"/>
                <w:highlight w:val="none"/>
              </w:rPr>
              <w:t>警告图形符号</w:t>
            </w:r>
          </w:p>
        </w:tc>
        <w:tc>
          <w:tcPr>
            <w:tcW w:w="782" w:type="pct"/>
            <w:noWrap w:val="0"/>
            <w:vAlign w:val="center"/>
          </w:tcPr>
          <w:p w14:paraId="1DB563AC">
            <w:pPr>
              <w:pStyle w:val="27"/>
              <w:rPr>
                <w:rFonts w:ascii="Times New Roman" w:hAnsi="Times New Roman"/>
                <w:highlight w:val="none"/>
              </w:rPr>
            </w:pPr>
            <w:r>
              <w:rPr>
                <w:rFonts w:ascii="Times New Roman" w:hAnsi="Times New Roman"/>
                <w:highlight w:val="none"/>
              </w:rPr>
              <w:t>名称</w:t>
            </w:r>
          </w:p>
        </w:tc>
        <w:tc>
          <w:tcPr>
            <w:tcW w:w="782" w:type="pct"/>
            <w:noWrap w:val="0"/>
            <w:vAlign w:val="center"/>
          </w:tcPr>
          <w:p w14:paraId="02003582">
            <w:pPr>
              <w:pStyle w:val="27"/>
              <w:rPr>
                <w:rFonts w:ascii="Times New Roman" w:hAnsi="Times New Roman"/>
                <w:highlight w:val="none"/>
              </w:rPr>
            </w:pPr>
            <w:r>
              <w:rPr>
                <w:rFonts w:ascii="Times New Roman" w:hAnsi="Times New Roman"/>
                <w:highlight w:val="none"/>
              </w:rPr>
              <w:t>功能</w:t>
            </w:r>
          </w:p>
        </w:tc>
      </w:tr>
      <w:tr w14:paraId="2993C3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noWrap w:val="0"/>
            <w:vAlign w:val="center"/>
          </w:tcPr>
          <w:p w14:paraId="081AF700">
            <w:pPr>
              <w:pStyle w:val="27"/>
              <w:rPr>
                <w:rFonts w:ascii="Times New Roman" w:hAnsi="Times New Roman"/>
                <w:highlight w:val="none"/>
              </w:rPr>
            </w:pPr>
            <w:r>
              <w:rPr>
                <w:rFonts w:ascii="Times New Roman" w:hAnsi="Times New Roman"/>
                <w:highlight w:val="none"/>
              </w:rPr>
              <w:t>1</w:t>
            </w:r>
          </w:p>
        </w:tc>
        <w:tc>
          <w:tcPr>
            <w:tcW w:w="1370" w:type="pct"/>
            <w:noWrap w:val="0"/>
            <w:vAlign w:val="center"/>
          </w:tcPr>
          <w:p w14:paraId="32AD4C1F">
            <w:pPr>
              <w:pStyle w:val="27"/>
              <w:rPr>
                <w:rFonts w:ascii="Times New Roman" w:hAnsi="Times New Roman"/>
                <w:highlight w:val="none"/>
              </w:rPr>
            </w:pPr>
            <w:r>
              <w:rPr>
                <w:rFonts w:ascii="Times New Roman" w:hAnsi="Times New Roman"/>
                <w:highlight w:val="none"/>
              </w:rPr>
              <w:drawing>
                <wp:inline distT="0" distB="0" distL="114300" distR="114300">
                  <wp:extent cx="817880" cy="1027430"/>
                  <wp:effectExtent l="0" t="0" r="1270" b="127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71"/>
                          <a:stretch>
                            <a:fillRect/>
                          </a:stretch>
                        </pic:blipFill>
                        <pic:spPr>
                          <a:xfrm>
                            <a:off x="0" y="0"/>
                            <a:ext cx="817880" cy="1027430"/>
                          </a:xfrm>
                          <a:prstGeom prst="rect">
                            <a:avLst/>
                          </a:prstGeom>
                          <a:noFill/>
                          <a:ln>
                            <a:noFill/>
                          </a:ln>
                        </pic:spPr>
                      </pic:pic>
                    </a:graphicData>
                  </a:graphic>
                </wp:inline>
              </w:drawing>
            </w:r>
          </w:p>
        </w:tc>
        <w:tc>
          <w:tcPr>
            <w:tcW w:w="1626" w:type="pct"/>
            <w:noWrap w:val="0"/>
            <w:vAlign w:val="center"/>
          </w:tcPr>
          <w:p w14:paraId="52C31D86">
            <w:pPr>
              <w:pStyle w:val="27"/>
              <w:rPr>
                <w:rFonts w:ascii="Times New Roman" w:hAnsi="Times New Roman"/>
                <w:highlight w:val="none"/>
              </w:rPr>
            </w:pPr>
            <w:r>
              <w:rPr>
                <w:rFonts w:ascii="Times New Roman" w:hAnsi="Times New Roman"/>
                <w:highlight w:val="none"/>
              </w:rPr>
              <w:drawing>
                <wp:inline distT="0" distB="0" distL="114300" distR="114300">
                  <wp:extent cx="885825" cy="1181100"/>
                  <wp:effectExtent l="0" t="0" r="9525" b="0"/>
                  <wp:docPr id="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pic:cNvPicPr>
                            <a:picLocks noChangeAspect="1"/>
                          </pic:cNvPicPr>
                        </pic:nvPicPr>
                        <pic:blipFill>
                          <a:blip r:embed="rId72"/>
                          <a:stretch>
                            <a:fillRect/>
                          </a:stretch>
                        </pic:blipFill>
                        <pic:spPr>
                          <a:xfrm>
                            <a:off x="0" y="0"/>
                            <a:ext cx="885825" cy="1181100"/>
                          </a:xfrm>
                          <a:prstGeom prst="rect">
                            <a:avLst/>
                          </a:prstGeom>
                          <a:noFill/>
                          <a:ln>
                            <a:noFill/>
                          </a:ln>
                        </pic:spPr>
                      </pic:pic>
                    </a:graphicData>
                  </a:graphic>
                </wp:inline>
              </w:drawing>
            </w:r>
          </w:p>
        </w:tc>
        <w:tc>
          <w:tcPr>
            <w:tcW w:w="782" w:type="pct"/>
            <w:noWrap w:val="0"/>
            <w:vAlign w:val="center"/>
          </w:tcPr>
          <w:p w14:paraId="148A25E6">
            <w:pPr>
              <w:pStyle w:val="27"/>
              <w:rPr>
                <w:rFonts w:ascii="Times New Roman" w:hAnsi="Times New Roman"/>
                <w:highlight w:val="none"/>
              </w:rPr>
            </w:pPr>
            <w:r>
              <w:rPr>
                <w:rFonts w:ascii="Times New Roman" w:hAnsi="Times New Roman"/>
                <w:highlight w:val="none"/>
              </w:rPr>
              <w:t>污水排放口</w:t>
            </w:r>
          </w:p>
        </w:tc>
        <w:tc>
          <w:tcPr>
            <w:tcW w:w="782" w:type="pct"/>
            <w:noWrap w:val="0"/>
            <w:vAlign w:val="center"/>
          </w:tcPr>
          <w:p w14:paraId="0C24FF2D">
            <w:pPr>
              <w:pStyle w:val="27"/>
              <w:rPr>
                <w:rFonts w:ascii="Times New Roman" w:hAnsi="Times New Roman"/>
                <w:highlight w:val="none"/>
              </w:rPr>
            </w:pPr>
            <w:r>
              <w:rPr>
                <w:rFonts w:ascii="Times New Roman" w:hAnsi="Times New Roman"/>
                <w:highlight w:val="none"/>
              </w:rPr>
              <w:t>表示污水向水体排放</w:t>
            </w:r>
          </w:p>
        </w:tc>
      </w:tr>
      <w:tr w14:paraId="4193B1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noWrap w:val="0"/>
            <w:vAlign w:val="center"/>
          </w:tcPr>
          <w:p w14:paraId="034E6217">
            <w:pPr>
              <w:pStyle w:val="27"/>
              <w:rPr>
                <w:rFonts w:ascii="Times New Roman" w:hAnsi="Times New Roman"/>
                <w:highlight w:val="none"/>
              </w:rPr>
            </w:pPr>
            <w:r>
              <w:rPr>
                <w:rFonts w:ascii="Times New Roman" w:hAnsi="Times New Roman"/>
                <w:highlight w:val="none"/>
              </w:rPr>
              <w:t>2</w:t>
            </w:r>
          </w:p>
        </w:tc>
        <w:tc>
          <w:tcPr>
            <w:tcW w:w="1370" w:type="pct"/>
            <w:noWrap w:val="0"/>
            <w:vAlign w:val="center"/>
          </w:tcPr>
          <w:p w14:paraId="2FA7D1B1">
            <w:pPr>
              <w:pStyle w:val="27"/>
              <w:rPr>
                <w:rFonts w:ascii="Times New Roman" w:hAnsi="Times New Roman"/>
                <w:highlight w:val="none"/>
              </w:rPr>
            </w:pPr>
            <w:r>
              <w:rPr>
                <w:rFonts w:ascii="Times New Roman" w:hAnsi="Times New Roman"/>
                <w:highlight w:val="none"/>
              </w:rPr>
              <w:drawing>
                <wp:inline distT="0" distB="0" distL="114300" distR="114300">
                  <wp:extent cx="847725" cy="1123950"/>
                  <wp:effectExtent l="0" t="0" r="9525" b="0"/>
                  <wp:docPr id="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
                          <pic:cNvPicPr>
                            <a:picLocks noChangeAspect="1"/>
                          </pic:cNvPicPr>
                        </pic:nvPicPr>
                        <pic:blipFill>
                          <a:blip r:embed="rId73"/>
                          <a:stretch>
                            <a:fillRect/>
                          </a:stretch>
                        </pic:blipFill>
                        <pic:spPr>
                          <a:xfrm>
                            <a:off x="0" y="0"/>
                            <a:ext cx="847725" cy="1123950"/>
                          </a:xfrm>
                          <a:prstGeom prst="rect">
                            <a:avLst/>
                          </a:prstGeom>
                          <a:noFill/>
                          <a:ln>
                            <a:noFill/>
                          </a:ln>
                        </pic:spPr>
                      </pic:pic>
                    </a:graphicData>
                  </a:graphic>
                </wp:inline>
              </w:drawing>
            </w:r>
          </w:p>
        </w:tc>
        <w:tc>
          <w:tcPr>
            <w:tcW w:w="1626" w:type="pct"/>
            <w:noWrap w:val="0"/>
            <w:vAlign w:val="center"/>
          </w:tcPr>
          <w:p w14:paraId="79E18960">
            <w:pPr>
              <w:pStyle w:val="27"/>
              <w:rPr>
                <w:rFonts w:ascii="Times New Roman" w:hAnsi="Times New Roman"/>
                <w:highlight w:val="none"/>
              </w:rPr>
            </w:pPr>
            <w:r>
              <w:rPr>
                <w:rFonts w:ascii="Times New Roman" w:hAnsi="Times New Roman"/>
                <w:highlight w:val="none"/>
              </w:rPr>
              <w:drawing>
                <wp:inline distT="0" distB="0" distL="114300" distR="114300">
                  <wp:extent cx="895350" cy="1133475"/>
                  <wp:effectExtent l="0" t="0" r="0" b="952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74"/>
                          <a:stretch>
                            <a:fillRect/>
                          </a:stretch>
                        </pic:blipFill>
                        <pic:spPr>
                          <a:xfrm>
                            <a:off x="0" y="0"/>
                            <a:ext cx="895350" cy="1133475"/>
                          </a:xfrm>
                          <a:prstGeom prst="rect">
                            <a:avLst/>
                          </a:prstGeom>
                          <a:noFill/>
                          <a:ln>
                            <a:noFill/>
                          </a:ln>
                        </pic:spPr>
                      </pic:pic>
                    </a:graphicData>
                  </a:graphic>
                </wp:inline>
              </w:drawing>
            </w:r>
          </w:p>
        </w:tc>
        <w:tc>
          <w:tcPr>
            <w:tcW w:w="782" w:type="pct"/>
            <w:noWrap w:val="0"/>
            <w:vAlign w:val="center"/>
          </w:tcPr>
          <w:p w14:paraId="47AA5304">
            <w:pPr>
              <w:pStyle w:val="27"/>
              <w:rPr>
                <w:rFonts w:ascii="Times New Roman" w:hAnsi="Times New Roman"/>
                <w:highlight w:val="none"/>
              </w:rPr>
            </w:pPr>
            <w:r>
              <w:rPr>
                <w:rFonts w:ascii="Times New Roman" w:hAnsi="Times New Roman"/>
                <w:highlight w:val="none"/>
              </w:rPr>
              <w:t>废气排放口</w:t>
            </w:r>
          </w:p>
        </w:tc>
        <w:tc>
          <w:tcPr>
            <w:tcW w:w="782" w:type="pct"/>
            <w:noWrap w:val="0"/>
            <w:vAlign w:val="center"/>
          </w:tcPr>
          <w:p w14:paraId="4C94C448">
            <w:pPr>
              <w:pStyle w:val="27"/>
              <w:rPr>
                <w:rFonts w:ascii="Times New Roman" w:hAnsi="Times New Roman"/>
                <w:highlight w:val="none"/>
              </w:rPr>
            </w:pPr>
            <w:r>
              <w:rPr>
                <w:rFonts w:ascii="Times New Roman" w:hAnsi="Times New Roman"/>
                <w:highlight w:val="none"/>
              </w:rPr>
              <w:t>表示废气向大气环境排放</w:t>
            </w:r>
          </w:p>
        </w:tc>
      </w:tr>
      <w:tr w14:paraId="70924C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noWrap w:val="0"/>
            <w:vAlign w:val="center"/>
          </w:tcPr>
          <w:p w14:paraId="0C89DD3D">
            <w:pPr>
              <w:pStyle w:val="27"/>
              <w:rPr>
                <w:rFonts w:ascii="Times New Roman" w:hAnsi="Times New Roman"/>
                <w:highlight w:val="none"/>
              </w:rPr>
            </w:pPr>
            <w:bookmarkStart w:id="194" w:name="_Toc157740354"/>
            <w:r>
              <w:rPr>
                <w:rFonts w:ascii="Times New Roman" w:hAnsi="Times New Roman"/>
                <w:highlight w:val="none"/>
              </w:rPr>
              <w:t>3</w:t>
            </w:r>
          </w:p>
        </w:tc>
        <w:tc>
          <w:tcPr>
            <w:tcW w:w="1370" w:type="pct"/>
            <w:noWrap w:val="0"/>
            <w:vAlign w:val="center"/>
          </w:tcPr>
          <w:p w14:paraId="5ED0600E">
            <w:pPr>
              <w:pStyle w:val="27"/>
              <w:rPr>
                <w:rFonts w:ascii="Times New Roman" w:hAnsi="Times New Roman"/>
                <w:highlight w:val="none"/>
              </w:rPr>
            </w:pPr>
            <w:r>
              <w:rPr>
                <w:rFonts w:ascii="Times New Roman" w:hAnsi="Times New Roman"/>
                <w:highlight w:val="none"/>
              </w:rPr>
              <w:drawing>
                <wp:inline distT="0" distB="0" distL="114300" distR="114300">
                  <wp:extent cx="857250" cy="1143000"/>
                  <wp:effectExtent l="0" t="0" r="0" b="0"/>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r:embed="rId75"/>
                          <a:stretch>
                            <a:fillRect/>
                          </a:stretch>
                        </pic:blipFill>
                        <pic:spPr>
                          <a:xfrm>
                            <a:off x="0" y="0"/>
                            <a:ext cx="857250" cy="1143000"/>
                          </a:xfrm>
                          <a:prstGeom prst="rect">
                            <a:avLst/>
                          </a:prstGeom>
                          <a:noFill/>
                          <a:ln>
                            <a:noFill/>
                          </a:ln>
                        </pic:spPr>
                      </pic:pic>
                    </a:graphicData>
                  </a:graphic>
                </wp:inline>
              </w:drawing>
            </w:r>
          </w:p>
        </w:tc>
        <w:tc>
          <w:tcPr>
            <w:tcW w:w="1626" w:type="pct"/>
            <w:noWrap w:val="0"/>
            <w:vAlign w:val="center"/>
          </w:tcPr>
          <w:p w14:paraId="2A7C0201">
            <w:pPr>
              <w:pStyle w:val="27"/>
              <w:rPr>
                <w:rFonts w:ascii="Times New Roman" w:hAnsi="Times New Roman"/>
                <w:highlight w:val="none"/>
              </w:rPr>
            </w:pPr>
            <w:r>
              <w:rPr>
                <w:rFonts w:ascii="Times New Roman" w:hAnsi="Times New Roman"/>
                <w:highlight w:val="none"/>
              </w:rPr>
              <w:drawing>
                <wp:inline distT="0" distB="0" distL="114300" distR="114300">
                  <wp:extent cx="876300" cy="1152525"/>
                  <wp:effectExtent l="0" t="0" r="0" b="9525"/>
                  <wp:docPr id="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pic:cNvPicPr>
                            <a:picLocks noChangeAspect="1"/>
                          </pic:cNvPicPr>
                        </pic:nvPicPr>
                        <pic:blipFill>
                          <a:blip r:embed="rId76"/>
                          <a:stretch>
                            <a:fillRect/>
                          </a:stretch>
                        </pic:blipFill>
                        <pic:spPr>
                          <a:xfrm>
                            <a:off x="0" y="0"/>
                            <a:ext cx="876300" cy="1152525"/>
                          </a:xfrm>
                          <a:prstGeom prst="rect">
                            <a:avLst/>
                          </a:prstGeom>
                          <a:noFill/>
                          <a:ln>
                            <a:noFill/>
                          </a:ln>
                        </pic:spPr>
                      </pic:pic>
                    </a:graphicData>
                  </a:graphic>
                </wp:inline>
              </w:drawing>
            </w:r>
          </w:p>
        </w:tc>
        <w:tc>
          <w:tcPr>
            <w:tcW w:w="782" w:type="pct"/>
            <w:noWrap w:val="0"/>
            <w:vAlign w:val="center"/>
          </w:tcPr>
          <w:p w14:paraId="4B5C3219">
            <w:pPr>
              <w:pStyle w:val="27"/>
              <w:rPr>
                <w:rFonts w:ascii="Times New Roman" w:hAnsi="Times New Roman"/>
                <w:highlight w:val="none"/>
              </w:rPr>
            </w:pPr>
            <w:r>
              <w:rPr>
                <w:rFonts w:ascii="Times New Roman" w:hAnsi="Times New Roman"/>
                <w:highlight w:val="none"/>
              </w:rPr>
              <w:t>噪声排放源</w:t>
            </w:r>
          </w:p>
        </w:tc>
        <w:tc>
          <w:tcPr>
            <w:tcW w:w="782" w:type="pct"/>
            <w:noWrap w:val="0"/>
            <w:vAlign w:val="center"/>
          </w:tcPr>
          <w:p w14:paraId="74FF089D">
            <w:pPr>
              <w:pStyle w:val="27"/>
              <w:rPr>
                <w:rFonts w:ascii="Times New Roman" w:hAnsi="Times New Roman"/>
                <w:highlight w:val="none"/>
              </w:rPr>
            </w:pPr>
            <w:r>
              <w:rPr>
                <w:rFonts w:ascii="Times New Roman" w:hAnsi="Times New Roman"/>
                <w:highlight w:val="none"/>
              </w:rPr>
              <w:t>表示噪声向外环境排放</w:t>
            </w:r>
          </w:p>
        </w:tc>
      </w:tr>
      <w:tr w14:paraId="4AE06E47">
        <w:tblPrEx>
          <w:tblBorders>
            <w:top w:val="single" w:color="auto" w:sz="12" w:space="0"/>
            <w:left w:val="none" w:color="auto" w:sz="0" w:space="0"/>
            <w:bottom w:val="none" w:color="auto" w:sz="0"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440" w:type="pct"/>
            <w:tcBorders>
              <w:bottom w:val="single" w:color="auto" w:sz="6" w:space="0"/>
            </w:tcBorders>
            <w:noWrap w:val="0"/>
            <w:vAlign w:val="center"/>
          </w:tcPr>
          <w:p w14:paraId="1E73557C">
            <w:pPr>
              <w:pStyle w:val="27"/>
              <w:rPr>
                <w:rFonts w:ascii="Times New Roman" w:hAnsi="Times New Roman"/>
                <w:highlight w:val="none"/>
              </w:rPr>
            </w:pPr>
            <w:r>
              <w:rPr>
                <w:rFonts w:ascii="Times New Roman" w:hAnsi="Times New Roman"/>
                <w:highlight w:val="none"/>
              </w:rPr>
              <w:t>4</w:t>
            </w:r>
          </w:p>
        </w:tc>
        <w:tc>
          <w:tcPr>
            <w:tcW w:w="1370" w:type="pct"/>
            <w:tcBorders>
              <w:bottom w:val="single" w:color="auto" w:sz="6" w:space="0"/>
            </w:tcBorders>
            <w:noWrap w:val="0"/>
            <w:vAlign w:val="center"/>
          </w:tcPr>
          <w:p w14:paraId="69BBEE71">
            <w:pPr>
              <w:pStyle w:val="27"/>
              <w:rPr>
                <w:rFonts w:ascii="Times New Roman" w:hAnsi="Times New Roman"/>
                <w:highlight w:val="none"/>
              </w:rPr>
            </w:pPr>
            <w:r>
              <w:rPr>
                <w:rFonts w:ascii="Times New Roman" w:hAnsi="Times New Roman"/>
                <w:highlight w:val="none"/>
              </w:rPr>
              <w:drawing>
                <wp:inline distT="0" distB="0" distL="114300" distR="114300">
                  <wp:extent cx="904875" cy="1104900"/>
                  <wp:effectExtent l="0" t="0" r="9525" b="0"/>
                  <wp:docPr id="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8"/>
                          <pic:cNvPicPr>
                            <a:picLocks noChangeAspect="1"/>
                          </pic:cNvPicPr>
                        </pic:nvPicPr>
                        <pic:blipFill>
                          <a:blip r:embed="rId77"/>
                          <a:stretch>
                            <a:fillRect/>
                          </a:stretch>
                        </pic:blipFill>
                        <pic:spPr>
                          <a:xfrm>
                            <a:off x="0" y="0"/>
                            <a:ext cx="904875" cy="1104900"/>
                          </a:xfrm>
                          <a:prstGeom prst="rect">
                            <a:avLst/>
                          </a:prstGeom>
                          <a:noFill/>
                          <a:ln>
                            <a:noFill/>
                          </a:ln>
                        </pic:spPr>
                      </pic:pic>
                    </a:graphicData>
                  </a:graphic>
                </wp:inline>
              </w:drawing>
            </w:r>
          </w:p>
        </w:tc>
        <w:tc>
          <w:tcPr>
            <w:tcW w:w="1626" w:type="pct"/>
            <w:tcBorders>
              <w:bottom w:val="single" w:color="auto" w:sz="6" w:space="0"/>
            </w:tcBorders>
            <w:noWrap w:val="0"/>
            <w:vAlign w:val="center"/>
          </w:tcPr>
          <w:p w14:paraId="0C6EAB3D">
            <w:pPr>
              <w:pStyle w:val="27"/>
              <w:rPr>
                <w:rFonts w:ascii="Times New Roman" w:hAnsi="Times New Roman"/>
                <w:highlight w:val="none"/>
              </w:rPr>
            </w:pPr>
            <w:r>
              <w:rPr>
                <w:rFonts w:ascii="Times New Roman" w:hAnsi="Times New Roman"/>
                <w:highlight w:val="none"/>
              </w:rPr>
              <w:drawing>
                <wp:inline distT="0" distB="0" distL="114300" distR="114300">
                  <wp:extent cx="876300" cy="1143000"/>
                  <wp:effectExtent l="0" t="0" r="0" b="0"/>
                  <wp:docPr id="4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pic:cNvPicPr>
                            <a:picLocks noChangeAspect="1"/>
                          </pic:cNvPicPr>
                        </pic:nvPicPr>
                        <pic:blipFill>
                          <a:blip r:embed="rId78"/>
                          <a:stretch>
                            <a:fillRect/>
                          </a:stretch>
                        </pic:blipFill>
                        <pic:spPr>
                          <a:xfrm>
                            <a:off x="0" y="0"/>
                            <a:ext cx="876300" cy="1143000"/>
                          </a:xfrm>
                          <a:prstGeom prst="rect">
                            <a:avLst/>
                          </a:prstGeom>
                          <a:noFill/>
                          <a:ln>
                            <a:noFill/>
                          </a:ln>
                        </pic:spPr>
                      </pic:pic>
                    </a:graphicData>
                  </a:graphic>
                </wp:inline>
              </w:drawing>
            </w:r>
          </w:p>
        </w:tc>
        <w:tc>
          <w:tcPr>
            <w:tcW w:w="782" w:type="pct"/>
            <w:tcBorders>
              <w:bottom w:val="single" w:color="auto" w:sz="6" w:space="0"/>
            </w:tcBorders>
            <w:noWrap w:val="0"/>
            <w:vAlign w:val="center"/>
          </w:tcPr>
          <w:p w14:paraId="5EACC55A">
            <w:pPr>
              <w:pStyle w:val="27"/>
              <w:rPr>
                <w:rFonts w:ascii="Times New Roman" w:hAnsi="Times New Roman"/>
                <w:highlight w:val="none"/>
              </w:rPr>
            </w:pPr>
            <w:r>
              <w:rPr>
                <w:rFonts w:ascii="Times New Roman" w:hAnsi="Times New Roman"/>
                <w:highlight w:val="none"/>
              </w:rPr>
              <w:t>一般固体废物</w:t>
            </w:r>
          </w:p>
        </w:tc>
        <w:tc>
          <w:tcPr>
            <w:tcW w:w="782" w:type="pct"/>
            <w:tcBorders>
              <w:bottom w:val="single" w:color="auto" w:sz="6" w:space="0"/>
            </w:tcBorders>
            <w:noWrap w:val="0"/>
            <w:vAlign w:val="center"/>
          </w:tcPr>
          <w:p w14:paraId="65081C21">
            <w:pPr>
              <w:pStyle w:val="27"/>
              <w:rPr>
                <w:rFonts w:ascii="Times New Roman" w:hAnsi="Times New Roman"/>
                <w:highlight w:val="none"/>
              </w:rPr>
            </w:pPr>
            <w:r>
              <w:rPr>
                <w:rFonts w:ascii="Times New Roman" w:hAnsi="Times New Roman"/>
                <w:highlight w:val="none"/>
              </w:rPr>
              <w:t>表示一般固体废物贮存、处置场</w:t>
            </w:r>
          </w:p>
        </w:tc>
      </w:tr>
      <w:tr w14:paraId="6F7752BD">
        <w:tblPrEx>
          <w:tblBorders>
            <w:top w:val="single" w:color="auto" w:sz="12" w:space="0"/>
            <w:left w:val="none" w:color="auto" w:sz="0" w:space="0"/>
            <w:bottom w:val="none" w:color="auto" w:sz="0"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96" w:hRule="atLeast"/>
          <w:jc w:val="center"/>
        </w:trPr>
        <w:tc>
          <w:tcPr>
            <w:tcW w:w="440" w:type="pct"/>
            <w:tcBorders>
              <w:top w:val="single" w:color="auto" w:sz="6" w:space="0"/>
              <w:bottom w:val="single" w:color="auto" w:sz="12" w:space="0"/>
            </w:tcBorders>
            <w:noWrap w:val="0"/>
            <w:vAlign w:val="center"/>
          </w:tcPr>
          <w:p w14:paraId="0C54EBBB">
            <w:pPr>
              <w:pStyle w:val="27"/>
              <w:rPr>
                <w:rFonts w:ascii="Times New Roman" w:hAnsi="Times New Roman"/>
                <w:highlight w:val="none"/>
              </w:rPr>
            </w:pPr>
            <w:r>
              <w:rPr>
                <w:rFonts w:ascii="Times New Roman" w:hAnsi="Times New Roman"/>
                <w:highlight w:val="none"/>
              </w:rPr>
              <w:t>5</w:t>
            </w:r>
          </w:p>
        </w:tc>
        <w:tc>
          <w:tcPr>
            <w:tcW w:w="1370" w:type="pct"/>
            <w:tcBorders>
              <w:top w:val="single" w:color="auto" w:sz="6" w:space="0"/>
              <w:bottom w:val="single" w:color="auto" w:sz="12" w:space="0"/>
            </w:tcBorders>
            <w:noWrap w:val="0"/>
            <w:vAlign w:val="center"/>
          </w:tcPr>
          <w:p w14:paraId="679FDC89">
            <w:pPr>
              <w:pStyle w:val="27"/>
              <w:rPr>
                <w:rFonts w:ascii="Times New Roman" w:hAnsi="Times New Roman"/>
                <w:highlight w:val="none"/>
              </w:rPr>
            </w:pPr>
            <w:r>
              <w:rPr>
                <w:rFonts w:ascii="Times New Roman" w:hAnsi="Times New Roman"/>
                <w:highlight w:val="none"/>
              </w:rPr>
              <w:t>/</w:t>
            </w:r>
          </w:p>
        </w:tc>
        <w:tc>
          <w:tcPr>
            <w:tcW w:w="1626" w:type="pct"/>
            <w:tcBorders>
              <w:top w:val="single" w:color="auto" w:sz="6" w:space="0"/>
              <w:bottom w:val="single" w:color="auto" w:sz="12" w:space="0"/>
            </w:tcBorders>
            <w:noWrap w:val="0"/>
            <w:vAlign w:val="center"/>
          </w:tcPr>
          <w:p w14:paraId="613B1DD3">
            <w:pPr>
              <w:pStyle w:val="27"/>
              <w:rPr>
                <w:rFonts w:ascii="Times New Roman" w:hAnsi="Times New Roman"/>
                <w:highlight w:val="none"/>
              </w:rPr>
            </w:pPr>
            <w:r>
              <w:rPr>
                <w:rFonts w:hint="default" w:ascii="Times New Roman" w:hAnsi="Times New Roman" w:cs="Times New Roman"/>
                <w:color w:val="auto"/>
                <w:highlight w:val="none"/>
              </w:rPr>
              <w:drawing>
                <wp:inline distT="0" distB="0" distL="114300" distR="114300">
                  <wp:extent cx="886460" cy="938530"/>
                  <wp:effectExtent l="0" t="0" r="8890" b="13970"/>
                  <wp:docPr id="7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6"/>
                          <pic:cNvPicPr>
                            <a:picLocks noChangeAspect="1"/>
                          </pic:cNvPicPr>
                        </pic:nvPicPr>
                        <pic:blipFill>
                          <a:blip r:embed="rId79"/>
                          <a:stretch>
                            <a:fillRect/>
                          </a:stretch>
                        </pic:blipFill>
                        <pic:spPr>
                          <a:xfrm>
                            <a:off x="0" y="0"/>
                            <a:ext cx="886460" cy="938530"/>
                          </a:xfrm>
                          <a:prstGeom prst="rect">
                            <a:avLst/>
                          </a:prstGeom>
                          <a:noFill/>
                          <a:ln>
                            <a:noFill/>
                          </a:ln>
                        </pic:spPr>
                      </pic:pic>
                    </a:graphicData>
                  </a:graphic>
                </wp:inline>
              </w:drawing>
            </w:r>
          </w:p>
        </w:tc>
        <w:tc>
          <w:tcPr>
            <w:tcW w:w="782" w:type="pct"/>
            <w:tcBorders>
              <w:top w:val="single" w:color="auto" w:sz="6" w:space="0"/>
              <w:bottom w:val="single" w:color="auto" w:sz="12" w:space="0"/>
            </w:tcBorders>
            <w:noWrap w:val="0"/>
            <w:vAlign w:val="center"/>
          </w:tcPr>
          <w:p w14:paraId="7063DD60">
            <w:pPr>
              <w:pStyle w:val="27"/>
              <w:rPr>
                <w:rFonts w:ascii="Times New Roman" w:hAnsi="Times New Roman"/>
                <w:highlight w:val="none"/>
              </w:rPr>
            </w:pPr>
            <w:r>
              <w:rPr>
                <w:rFonts w:ascii="Times New Roman" w:hAnsi="Times New Roman"/>
                <w:highlight w:val="none"/>
              </w:rPr>
              <w:t>危险废物</w:t>
            </w:r>
          </w:p>
        </w:tc>
        <w:tc>
          <w:tcPr>
            <w:tcW w:w="782" w:type="pct"/>
            <w:tcBorders>
              <w:top w:val="single" w:color="auto" w:sz="6" w:space="0"/>
              <w:bottom w:val="single" w:color="auto" w:sz="12" w:space="0"/>
            </w:tcBorders>
            <w:noWrap w:val="0"/>
            <w:vAlign w:val="center"/>
          </w:tcPr>
          <w:p w14:paraId="34D14A0E">
            <w:pPr>
              <w:pStyle w:val="27"/>
              <w:rPr>
                <w:rFonts w:ascii="Times New Roman" w:hAnsi="Times New Roman"/>
                <w:highlight w:val="none"/>
              </w:rPr>
            </w:pPr>
            <w:r>
              <w:rPr>
                <w:rFonts w:ascii="Times New Roman" w:hAnsi="Times New Roman"/>
                <w:highlight w:val="none"/>
              </w:rPr>
              <w:t>表示危险废物贮存、处置场</w:t>
            </w:r>
          </w:p>
        </w:tc>
      </w:tr>
      <w:bookmarkEnd w:id="194"/>
    </w:tbl>
    <w:p w14:paraId="0B40F5E2">
      <w:pPr>
        <w:pStyle w:val="4"/>
        <w:bidi w:val="0"/>
        <w:ind w:left="0" w:leftChars="0" w:firstLine="0" w:firstLineChars="0"/>
        <w:rPr>
          <w:rFonts w:hint="eastAsia"/>
          <w:highlight w:val="none"/>
          <w:lang w:val="en-US" w:eastAsia="zh-CN"/>
        </w:rPr>
      </w:pPr>
      <w:bookmarkStart w:id="195" w:name="_Toc16568"/>
      <w:r>
        <w:rPr>
          <w:rFonts w:hint="eastAsia"/>
          <w:highlight w:val="none"/>
          <w:lang w:val="en-US" w:eastAsia="zh-CN"/>
        </w:rPr>
        <w:t>8.5竣工环境保护验收内容</w:t>
      </w:r>
      <w:bookmarkEnd w:id="195"/>
    </w:p>
    <w:p w14:paraId="7B6C4E32">
      <w:pPr>
        <w:ind w:firstLine="480"/>
        <w:rPr>
          <w:rFonts w:ascii="Times New Roman" w:hAnsi="Times New Roman"/>
          <w:highlight w:val="none"/>
        </w:rPr>
      </w:pPr>
      <w:r>
        <w:rPr>
          <w:rFonts w:ascii="Times New Roman" w:hAnsi="Times New Roman"/>
          <w:highlight w:val="none"/>
        </w:rPr>
        <w:t>（1）验收范围</w:t>
      </w:r>
    </w:p>
    <w:p w14:paraId="71E6013D">
      <w:pPr>
        <w:ind w:firstLine="480"/>
        <w:rPr>
          <w:rFonts w:ascii="Times New Roman" w:hAnsi="Times New Roman"/>
          <w:highlight w:val="none"/>
        </w:rPr>
      </w:pPr>
      <w:r>
        <w:rPr>
          <w:rFonts w:ascii="Times New Roman" w:hAnsi="Times New Roman"/>
          <w:highlight w:val="none"/>
        </w:rPr>
        <w:t>1）与本工程有关的各项环境保护设施，包括为污染防治和保护环境所建设的配套工程、设备、装置和监测手段等。</w:t>
      </w:r>
    </w:p>
    <w:p w14:paraId="7A7B804E">
      <w:pPr>
        <w:ind w:firstLine="480"/>
        <w:rPr>
          <w:rFonts w:ascii="Times New Roman" w:hAnsi="Times New Roman"/>
          <w:highlight w:val="none"/>
        </w:rPr>
      </w:pPr>
      <w:r>
        <w:rPr>
          <w:rFonts w:ascii="Times New Roman" w:hAnsi="Times New Roman"/>
          <w:highlight w:val="none"/>
        </w:rPr>
        <w:t>2）本报告书和有关文件规定应采取的其他各项环保措施。</w:t>
      </w:r>
    </w:p>
    <w:p w14:paraId="4B574978">
      <w:pPr>
        <w:ind w:firstLine="480"/>
        <w:rPr>
          <w:rFonts w:ascii="Times New Roman" w:hAnsi="Times New Roman"/>
          <w:highlight w:val="none"/>
        </w:rPr>
      </w:pPr>
      <w:r>
        <w:rPr>
          <w:rFonts w:ascii="Times New Roman" w:hAnsi="Times New Roman"/>
          <w:highlight w:val="none"/>
        </w:rPr>
        <w:t>（2）验收清单</w:t>
      </w:r>
    </w:p>
    <w:p w14:paraId="2C4FC3D2">
      <w:pPr>
        <w:ind w:firstLine="480"/>
        <w:rPr>
          <w:rFonts w:ascii="Times New Roman" w:hAnsi="Times New Roman"/>
          <w:highlight w:val="none"/>
        </w:rPr>
      </w:pPr>
      <w:r>
        <w:rPr>
          <w:rFonts w:ascii="Times New Roman" w:hAnsi="Times New Roman"/>
          <w:highlight w:val="none"/>
        </w:rPr>
        <w:t>建设单位在工程投产后正常生产工况下，应《建设项目竣工环境保护验收暂行办法》及《关于发布〈建设项目竣工环境保护验收暂行办法〉的公告》（国环规环评〔2017〕4号），进行污染防治设施竣工环境保护验收。本工程环保设施竣工验收一览表见表8.5-1。</w:t>
      </w:r>
    </w:p>
    <w:p w14:paraId="1E5E92E3">
      <w:pPr>
        <w:ind w:firstLine="0" w:firstLineChars="0"/>
        <w:jc w:val="center"/>
        <w:rPr>
          <w:rFonts w:hint="eastAsia" w:ascii="Times New Roman" w:hAnsi="Times New Roman"/>
          <w:highlight w:val="none"/>
        </w:rPr>
      </w:pPr>
      <w:r>
        <w:rPr>
          <w:rFonts w:hint="eastAsia" w:ascii="黑体" w:hAnsi="黑体" w:eastAsia="黑体" w:cs="黑体"/>
          <w:highlight w:val="none"/>
        </w:rPr>
        <w:t>表</w:t>
      </w:r>
      <w:r>
        <w:rPr>
          <w:rFonts w:ascii="Times New Roman" w:hAnsi="Times New Roman"/>
          <w:highlight w:val="none"/>
        </w:rPr>
        <w:t>8.5-1</w:t>
      </w:r>
      <w:r>
        <w:rPr>
          <w:rFonts w:hint="eastAsia" w:ascii="黑体" w:hAnsi="黑体" w:eastAsia="黑体" w:cs="黑体"/>
          <w:highlight w:val="none"/>
        </w:rPr>
        <w:t>环保设施“三同时”竣工验收项目一览表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39"/>
        <w:gridCol w:w="1036"/>
        <w:gridCol w:w="1722"/>
        <w:gridCol w:w="1795"/>
        <w:gridCol w:w="2730"/>
      </w:tblGrid>
      <w:tr w14:paraId="544637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blHeader/>
          <w:jc w:val="center"/>
        </w:trPr>
        <w:tc>
          <w:tcPr>
            <w:tcW w:w="726" w:type="pct"/>
            <w:noWrap w:val="0"/>
            <w:vAlign w:val="center"/>
          </w:tcPr>
          <w:p w14:paraId="11768E26">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分类</w:t>
            </w:r>
          </w:p>
        </w:tc>
        <w:tc>
          <w:tcPr>
            <w:tcW w:w="607" w:type="pct"/>
            <w:noWrap w:val="0"/>
            <w:vAlign w:val="center"/>
          </w:tcPr>
          <w:p w14:paraId="33B52457">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项目</w:t>
            </w:r>
          </w:p>
        </w:tc>
        <w:tc>
          <w:tcPr>
            <w:tcW w:w="1010" w:type="pct"/>
            <w:noWrap w:val="0"/>
            <w:vAlign w:val="center"/>
          </w:tcPr>
          <w:p w14:paraId="2DB57C85">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主要设施/设备/措施</w:t>
            </w:r>
          </w:p>
        </w:tc>
        <w:tc>
          <w:tcPr>
            <w:tcW w:w="1053" w:type="pct"/>
            <w:noWrap w:val="0"/>
            <w:vAlign w:val="center"/>
          </w:tcPr>
          <w:p w14:paraId="7F164950">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处理效果</w:t>
            </w:r>
          </w:p>
        </w:tc>
        <w:tc>
          <w:tcPr>
            <w:tcW w:w="1601" w:type="pct"/>
            <w:noWrap w:val="0"/>
            <w:vAlign w:val="center"/>
          </w:tcPr>
          <w:p w14:paraId="093971B3">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验收标准</w:t>
            </w:r>
          </w:p>
        </w:tc>
      </w:tr>
      <w:tr w14:paraId="476AEC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694959B5">
            <w:pPr>
              <w:spacing w:line="240" w:lineRule="auto"/>
              <w:ind w:firstLine="0" w:firstLineChars="0"/>
              <w:jc w:val="center"/>
              <w:rPr>
                <w:rFonts w:hint="eastAsia" w:ascii="Times New Roman" w:hAnsi="Times New Roman" w:eastAsia="宋体"/>
                <w:sz w:val="21"/>
                <w:szCs w:val="21"/>
                <w:highlight w:val="none"/>
                <w:lang w:eastAsia="zh-CN"/>
              </w:rPr>
            </w:pPr>
            <w:r>
              <w:rPr>
                <w:rFonts w:ascii="Times New Roman" w:hAnsi="Times New Roman"/>
                <w:sz w:val="21"/>
                <w:szCs w:val="21"/>
                <w:highlight w:val="none"/>
              </w:rPr>
              <w:t>烟气</w:t>
            </w:r>
            <w:r>
              <w:rPr>
                <w:rFonts w:hint="eastAsia" w:ascii="Times New Roman" w:hAnsi="Times New Roman"/>
                <w:sz w:val="21"/>
                <w:szCs w:val="21"/>
                <w:highlight w:val="none"/>
                <w:lang w:eastAsia="zh-CN"/>
              </w:rPr>
              <w:t>（</w:t>
            </w:r>
            <w:r>
              <w:rPr>
                <w:rFonts w:hint="eastAsia" w:ascii="Times New Roman" w:hAnsi="Times New Roman"/>
                <w:sz w:val="21"/>
                <w:szCs w:val="21"/>
                <w:highlight w:val="none"/>
                <w:lang w:val="en-US" w:eastAsia="zh-CN"/>
              </w:rPr>
              <w:t>DA001</w:t>
            </w:r>
            <w:r>
              <w:rPr>
                <w:rFonts w:hint="eastAsia" w:ascii="Times New Roman" w:hAnsi="Times New Roman"/>
                <w:sz w:val="21"/>
                <w:szCs w:val="21"/>
                <w:highlight w:val="none"/>
                <w:lang w:eastAsia="zh-CN"/>
              </w:rPr>
              <w:t>）</w:t>
            </w:r>
          </w:p>
        </w:tc>
        <w:tc>
          <w:tcPr>
            <w:tcW w:w="607" w:type="pct"/>
            <w:noWrap w:val="0"/>
            <w:vAlign w:val="center"/>
          </w:tcPr>
          <w:p w14:paraId="1FA1360F">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烟尘</w:t>
            </w:r>
          </w:p>
        </w:tc>
        <w:tc>
          <w:tcPr>
            <w:tcW w:w="1010" w:type="pct"/>
            <w:noWrap w:val="0"/>
            <w:vAlign w:val="center"/>
          </w:tcPr>
          <w:p w14:paraId="70ACE732">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布袋除尘系统</w:t>
            </w:r>
          </w:p>
        </w:tc>
        <w:tc>
          <w:tcPr>
            <w:tcW w:w="1053" w:type="pct"/>
            <w:noWrap w:val="0"/>
            <w:vAlign w:val="center"/>
          </w:tcPr>
          <w:p w14:paraId="424CCBA3">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除尘效率≥99.96%</w:t>
            </w:r>
          </w:p>
        </w:tc>
        <w:tc>
          <w:tcPr>
            <w:tcW w:w="1601" w:type="pct"/>
            <w:vMerge w:val="restart"/>
            <w:noWrap w:val="0"/>
            <w:vAlign w:val="center"/>
          </w:tcPr>
          <w:p w14:paraId="23814AB6">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超低排放限值要求</w:t>
            </w:r>
          </w:p>
          <w:p w14:paraId="7ED5A391">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颗粒物：10mg/m</w:t>
            </w:r>
            <w:r>
              <w:rPr>
                <w:rFonts w:ascii="Times New Roman" w:hAnsi="Times New Roman"/>
                <w:sz w:val="21"/>
                <w:szCs w:val="21"/>
                <w:highlight w:val="none"/>
                <w:vertAlign w:val="superscript"/>
              </w:rPr>
              <w:t>3</w:t>
            </w:r>
          </w:p>
          <w:p w14:paraId="4E55D1F6">
            <w:pPr>
              <w:spacing w:line="240" w:lineRule="auto"/>
              <w:ind w:firstLine="0" w:firstLineChars="0"/>
              <w:jc w:val="center"/>
              <w:rPr>
                <w:rFonts w:ascii="Times New Roman" w:hAnsi="Times New Roman"/>
                <w:sz w:val="21"/>
                <w:szCs w:val="21"/>
                <w:highlight w:val="none"/>
                <w:vertAlign w:val="superscript"/>
              </w:rPr>
            </w:pPr>
            <w:r>
              <w:rPr>
                <w:rFonts w:ascii="Times New Roman" w:hAnsi="Times New Roman"/>
                <w:sz w:val="21"/>
                <w:szCs w:val="21"/>
                <w:highlight w:val="none"/>
              </w:rPr>
              <w:t>二氧化硫：35mg/m</w:t>
            </w:r>
            <w:r>
              <w:rPr>
                <w:rFonts w:ascii="Times New Roman" w:hAnsi="Times New Roman"/>
                <w:sz w:val="21"/>
                <w:szCs w:val="21"/>
                <w:highlight w:val="none"/>
                <w:vertAlign w:val="superscript"/>
              </w:rPr>
              <w:t>3</w:t>
            </w:r>
          </w:p>
          <w:p w14:paraId="2AF73D0B">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氮氧化物：50mg/m</w:t>
            </w:r>
            <w:r>
              <w:rPr>
                <w:rFonts w:ascii="Times New Roman" w:hAnsi="Times New Roman"/>
                <w:sz w:val="21"/>
                <w:szCs w:val="21"/>
                <w:highlight w:val="none"/>
                <w:vertAlign w:val="superscript"/>
              </w:rPr>
              <w:t>3</w:t>
            </w:r>
          </w:p>
        </w:tc>
      </w:tr>
      <w:tr w14:paraId="2C7DEA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736C5320">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22330704">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二氧化</w:t>
            </w:r>
            <w:r>
              <w:rPr>
                <w:rFonts w:ascii="Times New Roman" w:hAnsi="Times New Roman"/>
                <w:sz w:val="21"/>
                <w:szCs w:val="21"/>
                <w:highlight w:val="none"/>
              </w:rPr>
              <w:t>硫</w:t>
            </w:r>
          </w:p>
        </w:tc>
        <w:tc>
          <w:tcPr>
            <w:tcW w:w="1010" w:type="pct"/>
            <w:noWrap w:val="0"/>
            <w:vAlign w:val="center"/>
          </w:tcPr>
          <w:p w14:paraId="012BDEDF">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石灰石/石膏脱硫工艺</w:t>
            </w:r>
          </w:p>
        </w:tc>
        <w:tc>
          <w:tcPr>
            <w:tcW w:w="1053" w:type="pct"/>
            <w:noWrap w:val="0"/>
            <w:vAlign w:val="center"/>
          </w:tcPr>
          <w:p w14:paraId="11347141">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脱硫效率≥97%</w:t>
            </w:r>
          </w:p>
        </w:tc>
        <w:tc>
          <w:tcPr>
            <w:tcW w:w="1601" w:type="pct"/>
            <w:vMerge w:val="continue"/>
            <w:noWrap w:val="0"/>
            <w:vAlign w:val="center"/>
          </w:tcPr>
          <w:p w14:paraId="27E7EAAB">
            <w:pPr>
              <w:spacing w:line="240" w:lineRule="auto"/>
              <w:ind w:firstLine="0" w:firstLineChars="0"/>
              <w:jc w:val="center"/>
              <w:rPr>
                <w:rFonts w:ascii="Times New Roman" w:hAnsi="Times New Roman"/>
                <w:sz w:val="21"/>
                <w:szCs w:val="21"/>
                <w:highlight w:val="none"/>
              </w:rPr>
            </w:pPr>
          </w:p>
        </w:tc>
      </w:tr>
      <w:tr w14:paraId="6A3154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70F8A0E2">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16918D25">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氮氧化物</w:t>
            </w:r>
          </w:p>
        </w:tc>
        <w:tc>
          <w:tcPr>
            <w:tcW w:w="1010" w:type="pct"/>
            <w:noWrap w:val="0"/>
            <w:vAlign w:val="center"/>
          </w:tcPr>
          <w:p w14:paraId="2FC723B4">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循环流化床低氮燃烧技术以及SNCR-SCR法脱硝系统</w:t>
            </w:r>
          </w:p>
        </w:tc>
        <w:tc>
          <w:tcPr>
            <w:tcW w:w="1053" w:type="pct"/>
            <w:tcBorders>
              <w:bottom w:val="single" w:color="auto" w:sz="4" w:space="0"/>
            </w:tcBorders>
            <w:noWrap w:val="0"/>
            <w:vAlign w:val="center"/>
          </w:tcPr>
          <w:p w14:paraId="57553F72">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低氮燃烧：氮氧化物出口浓度1</w:t>
            </w:r>
            <w:r>
              <w:rPr>
                <w:rFonts w:hint="eastAsia" w:ascii="Times New Roman" w:hAnsi="Times New Roman"/>
                <w:sz w:val="21"/>
                <w:szCs w:val="21"/>
                <w:highlight w:val="none"/>
              </w:rPr>
              <w:t>80</w:t>
            </w:r>
            <w:r>
              <w:rPr>
                <w:rFonts w:ascii="Times New Roman" w:hAnsi="Times New Roman"/>
                <w:sz w:val="21"/>
                <w:szCs w:val="21"/>
                <w:highlight w:val="none"/>
              </w:rPr>
              <w:t>mg/m</w:t>
            </w:r>
            <w:r>
              <w:rPr>
                <w:rFonts w:ascii="Times New Roman" w:hAnsi="Times New Roman"/>
                <w:sz w:val="21"/>
                <w:szCs w:val="21"/>
                <w:highlight w:val="none"/>
                <w:vertAlign w:val="superscript"/>
              </w:rPr>
              <w:t>3</w:t>
            </w:r>
            <w:r>
              <w:rPr>
                <w:rFonts w:ascii="Times New Roman" w:hAnsi="Times New Roman"/>
                <w:sz w:val="21"/>
                <w:szCs w:val="21"/>
                <w:highlight w:val="none"/>
              </w:rPr>
              <w:t>以内。</w:t>
            </w:r>
          </w:p>
          <w:p w14:paraId="6A47012E">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SNCR-SCR脱硝效率≥</w:t>
            </w:r>
            <w:r>
              <w:rPr>
                <w:rFonts w:hint="eastAsia" w:ascii="Times New Roman" w:hAnsi="Times New Roman"/>
                <w:sz w:val="21"/>
                <w:szCs w:val="21"/>
                <w:highlight w:val="none"/>
              </w:rPr>
              <w:t>75</w:t>
            </w:r>
            <w:r>
              <w:rPr>
                <w:rFonts w:ascii="Times New Roman" w:hAnsi="Times New Roman"/>
                <w:sz w:val="21"/>
                <w:szCs w:val="21"/>
                <w:highlight w:val="none"/>
              </w:rPr>
              <w:t>%</w:t>
            </w:r>
          </w:p>
        </w:tc>
        <w:tc>
          <w:tcPr>
            <w:tcW w:w="1601" w:type="pct"/>
            <w:vMerge w:val="continue"/>
            <w:tcBorders>
              <w:bottom w:val="single" w:color="auto" w:sz="4" w:space="0"/>
            </w:tcBorders>
            <w:noWrap w:val="0"/>
            <w:vAlign w:val="center"/>
          </w:tcPr>
          <w:p w14:paraId="2FECCCFA">
            <w:pPr>
              <w:spacing w:line="240" w:lineRule="auto"/>
              <w:ind w:firstLine="0" w:firstLineChars="0"/>
              <w:jc w:val="center"/>
              <w:rPr>
                <w:rFonts w:ascii="Times New Roman" w:hAnsi="Times New Roman"/>
                <w:sz w:val="21"/>
                <w:szCs w:val="21"/>
                <w:highlight w:val="none"/>
              </w:rPr>
            </w:pPr>
          </w:p>
        </w:tc>
      </w:tr>
      <w:tr w14:paraId="552FC9A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2DF7F950">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6DDD7147">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汞及其化合物</w:t>
            </w:r>
          </w:p>
        </w:tc>
        <w:tc>
          <w:tcPr>
            <w:tcW w:w="1010" w:type="pct"/>
            <w:noWrap w:val="0"/>
            <w:vAlign w:val="center"/>
          </w:tcPr>
          <w:p w14:paraId="549E165A">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所有烟气治理措施综合除汞</w:t>
            </w:r>
          </w:p>
        </w:tc>
        <w:tc>
          <w:tcPr>
            <w:tcW w:w="1053" w:type="pct"/>
            <w:tcBorders>
              <w:top w:val="single" w:color="auto" w:sz="4" w:space="0"/>
            </w:tcBorders>
            <w:noWrap w:val="0"/>
            <w:vAlign w:val="center"/>
          </w:tcPr>
          <w:p w14:paraId="4F0E5A28">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综合除汞效率≥70%</w:t>
            </w:r>
          </w:p>
        </w:tc>
        <w:tc>
          <w:tcPr>
            <w:tcW w:w="1601" w:type="pct"/>
            <w:tcBorders>
              <w:top w:val="single" w:color="auto" w:sz="4" w:space="0"/>
            </w:tcBorders>
            <w:noWrap w:val="0"/>
            <w:vAlign w:val="center"/>
          </w:tcPr>
          <w:p w14:paraId="1B8841B4">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《火电厂大气污染物排放标准》(GB13223-2011)表1中燃煤锅炉大气污染物排放标准</w:t>
            </w:r>
          </w:p>
          <w:p w14:paraId="068F407D">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汞及其化合物：0.0</w:t>
            </w:r>
            <w:r>
              <w:rPr>
                <w:rFonts w:hint="eastAsia" w:ascii="Times New Roman" w:hAnsi="Times New Roman"/>
                <w:sz w:val="21"/>
                <w:szCs w:val="21"/>
                <w:highlight w:val="none"/>
                <w:lang w:val="en-US" w:eastAsia="zh-CN"/>
              </w:rPr>
              <w:t>3</w:t>
            </w:r>
            <w:r>
              <w:rPr>
                <w:rFonts w:ascii="Times New Roman" w:hAnsi="Times New Roman"/>
                <w:sz w:val="21"/>
                <w:szCs w:val="21"/>
                <w:highlight w:val="none"/>
              </w:rPr>
              <w:t xml:space="preserve"> mg/m</w:t>
            </w:r>
            <w:r>
              <w:rPr>
                <w:rFonts w:ascii="Times New Roman" w:hAnsi="Times New Roman"/>
                <w:sz w:val="21"/>
                <w:szCs w:val="21"/>
                <w:highlight w:val="none"/>
                <w:vertAlign w:val="superscript"/>
              </w:rPr>
              <w:t>3</w:t>
            </w:r>
          </w:p>
        </w:tc>
      </w:tr>
      <w:tr w14:paraId="47201A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513B968B">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2E297C72">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烟气黑度</w:t>
            </w:r>
          </w:p>
        </w:tc>
        <w:tc>
          <w:tcPr>
            <w:tcW w:w="1010" w:type="pct"/>
            <w:vMerge w:val="restart"/>
            <w:noWrap w:val="0"/>
            <w:vAlign w:val="center"/>
          </w:tcPr>
          <w:p w14:paraId="4984EC4D">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所有烟气治理措施综合</w:t>
            </w:r>
            <w:r>
              <w:rPr>
                <w:rFonts w:hint="eastAsia" w:ascii="Times New Roman" w:hAnsi="Times New Roman"/>
                <w:kern w:val="0"/>
                <w:sz w:val="21"/>
                <w:szCs w:val="21"/>
                <w:highlight w:val="none"/>
              </w:rPr>
              <w:t>处置</w:t>
            </w:r>
          </w:p>
        </w:tc>
        <w:tc>
          <w:tcPr>
            <w:tcW w:w="1053" w:type="pct"/>
            <w:vMerge w:val="restart"/>
            <w:tcBorders>
              <w:top w:val="single" w:color="auto" w:sz="4" w:space="0"/>
            </w:tcBorders>
            <w:noWrap w:val="0"/>
            <w:vAlign w:val="center"/>
          </w:tcPr>
          <w:p w14:paraId="2707AB37">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w:t>
            </w:r>
          </w:p>
        </w:tc>
        <w:tc>
          <w:tcPr>
            <w:tcW w:w="1601" w:type="pct"/>
            <w:tcBorders>
              <w:top w:val="single" w:color="auto" w:sz="4" w:space="0"/>
            </w:tcBorders>
            <w:noWrap w:val="0"/>
            <w:vAlign w:val="center"/>
          </w:tcPr>
          <w:p w14:paraId="78A084DF">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《火电厂大气污染物排放标准》(GB13223-2011)表1中燃煤锅炉大气污染物排放标准限值。</w:t>
            </w:r>
          </w:p>
        </w:tc>
      </w:tr>
      <w:tr w14:paraId="3C235C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795A8EBE">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770D97A9">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氨</w:t>
            </w:r>
          </w:p>
        </w:tc>
        <w:tc>
          <w:tcPr>
            <w:tcW w:w="1010" w:type="pct"/>
            <w:vMerge w:val="continue"/>
            <w:noWrap w:val="0"/>
            <w:vAlign w:val="center"/>
          </w:tcPr>
          <w:p w14:paraId="16D5880B">
            <w:pPr>
              <w:spacing w:line="240" w:lineRule="auto"/>
              <w:ind w:firstLine="0" w:firstLineChars="0"/>
              <w:jc w:val="center"/>
              <w:rPr>
                <w:rFonts w:ascii="Times New Roman" w:hAnsi="Times New Roman"/>
                <w:kern w:val="0"/>
                <w:sz w:val="21"/>
                <w:szCs w:val="21"/>
                <w:highlight w:val="none"/>
              </w:rPr>
            </w:pPr>
          </w:p>
        </w:tc>
        <w:tc>
          <w:tcPr>
            <w:tcW w:w="1053" w:type="pct"/>
            <w:vMerge w:val="continue"/>
            <w:noWrap w:val="0"/>
            <w:vAlign w:val="center"/>
          </w:tcPr>
          <w:p w14:paraId="6E463D88">
            <w:pPr>
              <w:spacing w:line="240" w:lineRule="auto"/>
              <w:ind w:firstLine="0" w:firstLineChars="0"/>
              <w:jc w:val="center"/>
              <w:rPr>
                <w:rFonts w:ascii="Times New Roman" w:hAnsi="Times New Roman"/>
                <w:kern w:val="0"/>
                <w:sz w:val="21"/>
                <w:szCs w:val="21"/>
                <w:highlight w:val="none"/>
              </w:rPr>
            </w:pPr>
          </w:p>
        </w:tc>
        <w:tc>
          <w:tcPr>
            <w:tcW w:w="1601" w:type="pct"/>
            <w:tcBorders>
              <w:top w:val="single" w:color="auto" w:sz="4" w:space="0"/>
            </w:tcBorders>
            <w:noWrap w:val="0"/>
            <w:vAlign w:val="center"/>
          </w:tcPr>
          <w:p w14:paraId="4B12CF0B">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满足《火电厂烟气脱硝工程技术规范选择性催化还原法》（HJ562-2010）要求；满足《恶臭污染物排放标准》（GB14554-93）表2恶臭污染物排放标准值</w:t>
            </w:r>
          </w:p>
        </w:tc>
      </w:tr>
      <w:tr w14:paraId="0CDAE18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14E87750">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6AEBAB6F">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烟气监测</w:t>
            </w:r>
          </w:p>
        </w:tc>
        <w:tc>
          <w:tcPr>
            <w:tcW w:w="1010" w:type="pct"/>
            <w:noWrap w:val="0"/>
            <w:vAlign w:val="center"/>
          </w:tcPr>
          <w:p w14:paraId="48758F21">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在线监测系统</w:t>
            </w:r>
          </w:p>
        </w:tc>
        <w:tc>
          <w:tcPr>
            <w:tcW w:w="1053" w:type="pct"/>
            <w:tcBorders>
              <w:top w:val="single" w:color="auto" w:sz="4" w:space="0"/>
            </w:tcBorders>
            <w:noWrap w:val="0"/>
            <w:vAlign w:val="center"/>
          </w:tcPr>
          <w:p w14:paraId="678AAB43">
            <w:pPr>
              <w:spacing w:line="240" w:lineRule="auto"/>
              <w:ind w:firstLine="0" w:firstLineChars="0"/>
              <w:jc w:val="center"/>
              <w:rPr>
                <w:rFonts w:ascii="Times New Roman" w:hAnsi="Times New Roman"/>
                <w:kern w:val="0"/>
                <w:sz w:val="21"/>
                <w:szCs w:val="21"/>
                <w:highlight w:val="none"/>
              </w:rPr>
            </w:pPr>
            <w:r>
              <w:rPr>
                <w:rFonts w:hint="eastAsia" w:ascii="Times New Roman" w:hAnsi="Times New Roman"/>
                <w:kern w:val="0"/>
                <w:sz w:val="21"/>
                <w:szCs w:val="21"/>
                <w:highlight w:val="none"/>
              </w:rPr>
              <w:t>/</w:t>
            </w:r>
          </w:p>
        </w:tc>
        <w:tc>
          <w:tcPr>
            <w:tcW w:w="1601" w:type="pct"/>
            <w:tcBorders>
              <w:top w:val="single" w:color="auto" w:sz="4" w:space="0"/>
            </w:tcBorders>
            <w:noWrap w:val="0"/>
            <w:vAlign w:val="center"/>
          </w:tcPr>
          <w:p w14:paraId="23FF11EA">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安装在线监测设备</w:t>
            </w:r>
          </w:p>
        </w:tc>
      </w:tr>
      <w:tr w14:paraId="0FBBD93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noWrap w:val="0"/>
            <w:vAlign w:val="center"/>
          </w:tcPr>
          <w:p w14:paraId="46C80276">
            <w:pPr>
              <w:spacing w:line="240" w:lineRule="auto"/>
              <w:ind w:firstLine="0" w:firstLineChars="0"/>
              <w:jc w:val="both"/>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碎煤机室排气筒（DA002）</w:t>
            </w:r>
          </w:p>
        </w:tc>
        <w:tc>
          <w:tcPr>
            <w:tcW w:w="607" w:type="pct"/>
            <w:noWrap w:val="0"/>
            <w:vAlign w:val="center"/>
          </w:tcPr>
          <w:p w14:paraId="3E27E42A">
            <w:pPr>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颗粒物</w:t>
            </w:r>
          </w:p>
        </w:tc>
        <w:tc>
          <w:tcPr>
            <w:tcW w:w="1010" w:type="pct"/>
            <w:noWrap w:val="0"/>
            <w:vAlign w:val="center"/>
          </w:tcPr>
          <w:p w14:paraId="10CB0279">
            <w:pPr>
              <w:spacing w:line="240" w:lineRule="auto"/>
              <w:ind w:firstLine="0" w:firstLineChars="0"/>
              <w:jc w:val="center"/>
              <w:rPr>
                <w:rFonts w:hint="eastAsia"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布袋除尘器</w:t>
            </w:r>
          </w:p>
        </w:tc>
        <w:tc>
          <w:tcPr>
            <w:tcW w:w="1053" w:type="pct"/>
            <w:tcBorders>
              <w:top w:val="single" w:color="auto" w:sz="4" w:space="0"/>
            </w:tcBorders>
            <w:noWrap w:val="0"/>
            <w:vAlign w:val="center"/>
          </w:tcPr>
          <w:p w14:paraId="3DA06D4C">
            <w:pPr>
              <w:spacing w:line="240" w:lineRule="auto"/>
              <w:ind w:firstLine="0" w:firstLineChars="0"/>
              <w:jc w:val="center"/>
              <w:rPr>
                <w:rFonts w:hint="default" w:ascii="Times New Roman" w:hAnsi="Times New Roman" w:eastAsia="宋体"/>
                <w:kern w:val="0"/>
                <w:sz w:val="21"/>
                <w:szCs w:val="21"/>
                <w:highlight w:val="none"/>
                <w:lang w:val="en-US" w:eastAsia="zh-CN"/>
              </w:rPr>
            </w:pPr>
            <w:r>
              <w:rPr>
                <w:rFonts w:hint="eastAsia" w:ascii="Times New Roman" w:hAnsi="Times New Roman"/>
                <w:kern w:val="0"/>
                <w:sz w:val="21"/>
                <w:szCs w:val="21"/>
                <w:highlight w:val="none"/>
                <w:lang w:val="en-US" w:eastAsia="zh-CN"/>
              </w:rPr>
              <w:t>99.9</w:t>
            </w:r>
          </w:p>
        </w:tc>
        <w:tc>
          <w:tcPr>
            <w:tcW w:w="1601" w:type="pct"/>
            <w:tcBorders>
              <w:top w:val="single" w:color="auto" w:sz="4" w:space="0"/>
            </w:tcBorders>
            <w:noWrap w:val="0"/>
            <w:vAlign w:val="center"/>
          </w:tcPr>
          <w:p w14:paraId="525CDACC">
            <w:pPr>
              <w:spacing w:line="240" w:lineRule="auto"/>
              <w:ind w:firstLine="0" w:firstLineChars="0"/>
              <w:jc w:val="center"/>
              <w:rPr>
                <w:rFonts w:hint="eastAsia" w:ascii="Times New Roman" w:hAnsi="Times New Roman"/>
                <w:sz w:val="21"/>
                <w:szCs w:val="21"/>
                <w:highlight w:val="none"/>
              </w:rPr>
            </w:pPr>
            <w:r>
              <w:rPr>
                <w:rFonts w:hint="eastAsia" w:ascii="Times New Roman" w:hAnsi="Times New Roman"/>
                <w:sz w:val="21"/>
                <w:szCs w:val="21"/>
                <w:highlight w:val="none"/>
                <w:lang w:val="en-US" w:eastAsia="zh-CN"/>
              </w:rPr>
              <w:t>满足《大气污染物综合排放标准》</w:t>
            </w:r>
            <w:r>
              <w:rPr>
                <w:rFonts w:hint="eastAsia" w:ascii="Times New Roman" w:hAnsi="Times New Roman"/>
                <w:sz w:val="21"/>
                <w:szCs w:val="21"/>
                <w:highlight w:val="none"/>
              </w:rPr>
              <w:t>(GB16297-1996）表2中</w:t>
            </w:r>
            <w:r>
              <w:rPr>
                <w:rFonts w:hint="eastAsia" w:ascii="Times New Roman" w:hAnsi="Times New Roman"/>
                <w:sz w:val="21"/>
                <w:szCs w:val="21"/>
                <w:highlight w:val="none"/>
                <w:lang w:val="en-US" w:eastAsia="zh-CN"/>
              </w:rPr>
              <w:t>有</w:t>
            </w:r>
            <w:r>
              <w:rPr>
                <w:rFonts w:hint="eastAsia" w:ascii="Times New Roman" w:hAnsi="Times New Roman"/>
                <w:sz w:val="21"/>
                <w:szCs w:val="21"/>
                <w:highlight w:val="none"/>
              </w:rPr>
              <w:t>组织排放监控浓度</w:t>
            </w:r>
            <w:r>
              <w:rPr>
                <w:rFonts w:hint="eastAsia" w:ascii="Times New Roman" w:hAnsi="Times New Roman"/>
                <w:sz w:val="21"/>
                <w:szCs w:val="21"/>
                <w:highlight w:val="none"/>
                <w:lang w:val="en-US" w:eastAsia="zh-CN"/>
              </w:rPr>
              <w:t>，</w:t>
            </w:r>
            <w:r>
              <w:rPr>
                <w:rFonts w:hint="eastAsia" w:ascii="Times New Roman" w:hAnsi="Times New Roman"/>
                <w:sz w:val="21"/>
                <w:szCs w:val="21"/>
                <w:highlight w:val="none"/>
              </w:rPr>
              <w:t>本项目排气筒按高度对应的表列排放速率标准值严格50%执行</w:t>
            </w:r>
          </w:p>
        </w:tc>
      </w:tr>
      <w:tr w14:paraId="0E83021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56AABCDD">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厂界</w:t>
            </w:r>
          </w:p>
        </w:tc>
        <w:tc>
          <w:tcPr>
            <w:tcW w:w="607" w:type="pct"/>
            <w:noWrap w:val="0"/>
            <w:vAlign w:val="center"/>
          </w:tcPr>
          <w:p w14:paraId="2C23E31C">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氨</w:t>
            </w:r>
          </w:p>
        </w:tc>
        <w:tc>
          <w:tcPr>
            <w:tcW w:w="1010" w:type="pct"/>
            <w:noWrap w:val="0"/>
            <w:vAlign w:val="center"/>
          </w:tcPr>
          <w:p w14:paraId="7C43A1EB">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合理控制尿素的喷淋量以及尿素分布的均匀性，同时采用控制反应区内温度及足够的停留时间</w:t>
            </w:r>
          </w:p>
        </w:tc>
        <w:tc>
          <w:tcPr>
            <w:tcW w:w="1053" w:type="pct"/>
            <w:noWrap w:val="0"/>
            <w:vAlign w:val="center"/>
          </w:tcPr>
          <w:p w14:paraId="0B7B530D">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厂界浓度满足《恶臭污染物排放标准》（GB14554-93）表1中二级浓度限值要求</w:t>
            </w:r>
          </w:p>
        </w:tc>
        <w:tc>
          <w:tcPr>
            <w:tcW w:w="1601" w:type="pct"/>
            <w:noWrap w:val="0"/>
            <w:vAlign w:val="center"/>
          </w:tcPr>
          <w:p w14:paraId="721E9792">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《恶臭污染物排放标准》（GB14554-93）表1中二级浓度限值：1.5mg/m</w:t>
            </w:r>
            <w:r>
              <w:rPr>
                <w:rFonts w:ascii="Times New Roman" w:hAnsi="Times New Roman"/>
                <w:kern w:val="0"/>
                <w:sz w:val="21"/>
                <w:szCs w:val="21"/>
                <w:highlight w:val="none"/>
                <w:vertAlign w:val="superscript"/>
              </w:rPr>
              <w:t>3</w:t>
            </w:r>
          </w:p>
        </w:tc>
      </w:tr>
      <w:tr w14:paraId="1D1FC4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425EDCA3">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0FAD8920">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颗粒物</w:t>
            </w:r>
          </w:p>
        </w:tc>
        <w:tc>
          <w:tcPr>
            <w:tcW w:w="1010" w:type="pct"/>
            <w:noWrap w:val="0"/>
            <w:vAlign w:val="center"/>
          </w:tcPr>
          <w:p w14:paraId="4219981F">
            <w:pPr>
              <w:spacing w:line="240" w:lineRule="auto"/>
              <w:ind w:firstLine="0" w:firstLineChars="0"/>
              <w:jc w:val="center"/>
              <w:rPr>
                <w:rFonts w:ascii="Times New Roman" w:hAnsi="Times New Roman"/>
                <w:sz w:val="21"/>
                <w:szCs w:val="21"/>
                <w:highlight w:val="none"/>
              </w:rPr>
            </w:pPr>
            <w:r>
              <w:rPr>
                <w:rFonts w:ascii="Times New Roman" w:hAnsi="Times New Roman"/>
                <w:kern w:val="0"/>
                <w:sz w:val="21"/>
                <w:szCs w:val="21"/>
                <w:highlight w:val="none"/>
              </w:rPr>
              <w:t>输煤、碎煤系统的各转运站等局部扬尘点均设有通风除尘系统，并在各转运点的皮带头部和尾部设有喷水降尘装置，输煤栈桥为密闭；煤场采用全封闭</w:t>
            </w:r>
            <w:r>
              <w:rPr>
                <w:rFonts w:hint="eastAsia" w:ascii="Times New Roman" w:hAnsi="Times New Roman"/>
                <w:kern w:val="0"/>
                <w:sz w:val="21"/>
                <w:szCs w:val="21"/>
                <w:highlight w:val="none"/>
              </w:rPr>
              <w:t>；灰仓、渣仓、石灰石粉尘仓顶设置脉冲布袋除尘器</w:t>
            </w:r>
          </w:p>
        </w:tc>
        <w:tc>
          <w:tcPr>
            <w:tcW w:w="1053" w:type="pct"/>
            <w:noWrap w:val="0"/>
            <w:vAlign w:val="center"/>
          </w:tcPr>
          <w:p w14:paraId="15E663FD">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厂界满足颗粒物《大气污染物综合排放标准》表2新污染源大气污染物排放标准无组织排放监控浓度限值1.0mg/m</w:t>
            </w:r>
            <w:r>
              <w:rPr>
                <w:rFonts w:ascii="Times New Roman" w:hAnsi="Times New Roman"/>
                <w:kern w:val="0"/>
                <w:sz w:val="21"/>
                <w:szCs w:val="21"/>
                <w:highlight w:val="none"/>
                <w:vertAlign w:val="superscript"/>
              </w:rPr>
              <w:t>3</w:t>
            </w:r>
          </w:p>
        </w:tc>
        <w:tc>
          <w:tcPr>
            <w:tcW w:w="1601" w:type="pct"/>
            <w:noWrap w:val="0"/>
            <w:vAlign w:val="center"/>
          </w:tcPr>
          <w:p w14:paraId="0179C858">
            <w:pPr>
              <w:spacing w:line="240" w:lineRule="auto"/>
              <w:ind w:firstLine="0" w:firstLineChars="0"/>
              <w:jc w:val="center"/>
              <w:rPr>
                <w:rFonts w:ascii="Times New Roman" w:hAnsi="Times New Roman"/>
                <w:kern w:val="0"/>
                <w:sz w:val="21"/>
                <w:szCs w:val="21"/>
                <w:highlight w:val="none"/>
              </w:rPr>
            </w:pPr>
            <w:r>
              <w:rPr>
                <w:rFonts w:ascii="Times New Roman" w:hAnsi="Times New Roman"/>
                <w:kern w:val="0"/>
                <w:sz w:val="21"/>
                <w:szCs w:val="21"/>
                <w:highlight w:val="none"/>
              </w:rPr>
              <w:t>厂界颗粒物满足《大气污染物综合排放标准》表2新污染源大气污染物排放标准无组织排放监控浓度限值1.0mg/m</w:t>
            </w:r>
            <w:r>
              <w:rPr>
                <w:rFonts w:ascii="Times New Roman" w:hAnsi="Times New Roman"/>
                <w:kern w:val="0"/>
                <w:sz w:val="21"/>
                <w:szCs w:val="21"/>
                <w:highlight w:val="none"/>
                <w:vertAlign w:val="superscript"/>
              </w:rPr>
              <w:t>3</w:t>
            </w:r>
          </w:p>
        </w:tc>
      </w:tr>
      <w:tr w14:paraId="68500E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7C73EFF3">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噪声</w:t>
            </w:r>
          </w:p>
        </w:tc>
        <w:tc>
          <w:tcPr>
            <w:tcW w:w="607" w:type="pct"/>
            <w:vMerge w:val="restart"/>
            <w:noWrap w:val="0"/>
            <w:vAlign w:val="center"/>
          </w:tcPr>
          <w:p w14:paraId="4948D383">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主要噪声设备</w:t>
            </w:r>
          </w:p>
        </w:tc>
        <w:tc>
          <w:tcPr>
            <w:tcW w:w="1010" w:type="pct"/>
            <w:vMerge w:val="restart"/>
            <w:noWrap w:val="0"/>
            <w:vAlign w:val="center"/>
          </w:tcPr>
          <w:p w14:paraId="073AC8D6">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消声装置</w:t>
            </w:r>
          </w:p>
          <w:p w14:paraId="132BDE6E">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隔声装置</w:t>
            </w:r>
          </w:p>
          <w:p w14:paraId="75D55002">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减振措施</w:t>
            </w:r>
          </w:p>
        </w:tc>
        <w:tc>
          <w:tcPr>
            <w:tcW w:w="1053" w:type="pct"/>
            <w:noWrap w:val="0"/>
            <w:vAlign w:val="center"/>
          </w:tcPr>
          <w:p w14:paraId="42421544">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厂界噪声达标</w:t>
            </w:r>
          </w:p>
        </w:tc>
        <w:tc>
          <w:tcPr>
            <w:tcW w:w="1601" w:type="pct"/>
            <w:noWrap w:val="0"/>
            <w:vAlign w:val="center"/>
          </w:tcPr>
          <w:p w14:paraId="419C3FC4">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厂界噪声执行《工业企业厂界环境噪声排放标准》（GB12348-2008）表1中的</w:t>
            </w:r>
            <w:r>
              <w:rPr>
                <w:rFonts w:hint="eastAsia" w:ascii="Times New Roman" w:hAnsi="Times New Roman"/>
                <w:sz w:val="21"/>
                <w:szCs w:val="21"/>
                <w:highlight w:val="none"/>
                <w:lang w:val="en-US" w:eastAsia="zh-CN"/>
              </w:rPr>
              <w:t>2</w:t>
            </w:r>
            <w:r>
              <w:rPr>
                <w:rFonts w:ascii="Times New Roman" w:hAnsi="Times New Roman"/>
                <w:sz w:val="21"/>
                <w:szCs w:val="21"/>
                <w:highlight w:val="none"/>
              </w:rPr>
              <w:t>标准（昼间</w:t>
            </w:r>
            <w:r>
              <w:rPr>
                <w:rFonts w:hint="eastAsia" w:ascii="Times New Roman" w:hAnsi="Times New Roman"/>
                <w:sz w:val="21"/>
                <w:szCs w:val="21"/>
                <w:highlight w:val="none"/>
                <w:lang w:val="en-US" w:eastAsia="zh-CN"/>
              </w:rPr>
              <w:t>60</w:t>
            </w:r>
            <w:r>
              <w:rPr>
                <w:rFonts w:ascii="Times New Roman" w:hAnsi="Times New Roman"/>
                <w:sz w:val="21"/>
                <w:szCs w:val="21"/>
                <w:highlight w:val="none"/>
              </w:rPr>
              <w:t>dB（A），夜间</w:t>
            </w:r>
            <w:r>
              <w:rPr>
                <w:rFonts w:hint="eastAsia" w:ascii="Times New Roman" w:hAnsi="Times New Roman"/>
                <w:sz w:val="21"/>
                <w:szCs w:val="21"/>
                <w:highlight w:val="none"/>
                <w:lang w:val="en-US" w:eastAsia="zh-CN"/>
              </w:rPr>
              <w:t>50</w:t>
            </w:r>
            <w:r>
              <w:rPr>
                <w:rFonts w:ascii="Times New Roman" w:hAnsi="Times New Roman"/>
                <w:sz w:val="21"/>
                <w:szCs w:val="21"/>
                <w:highlight w:val="none"/>
              </w:rPr>
              <w:t>dB（A））</w:t>
            </w:r>
          </w:p>
        </w:tc>
      </w:tr>
      <w:tr w14:paraId="4AEBD9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3BFFF717">
            <w:pPr>
              <w:spacing w:line="240" w:lineRule="auto"/>
              <w:ind w:firstLine="0" w:firstLineChars="0"/>
              <w:jc w:val="center"/>
              <w:rPr>
                <w:rFonts w:ascii="Times New Roman" w:hAnsi="Times New Roman"/>
                <w:sz w:val="21"/>
                <w:szCs w:val="21"/>
                <w:highlight w:val="none"/>
              </w:rPr>
            </w:pPr>
          </w:p>
        </w:tc>
        <w:tc>
          <w:tcPr>
            <w:tcW w:w="607" w:type="pct"/>
            <w:vMerge w:val="continue"/>
            <w:noWrap w:val="0"/>
            <w:vAlign w:val="center"/>
          </w:tcPr>
          <w:p w14:paraId="462ADC1E">
            <w:pPr>
              <w:spacing w:line="240" w:lineRule="auto"/>
              <w:ind w:firstLine="0" w:firstLineChars="0"/>
              <w:jc w:val="center"/>
              <w:rPr>
                <w:rFonts w:ascii="Times New Roman" w:hAnsi="Times New Roman"/>
                <w:sz w:val="21"/>
                <w:szCs w:val="21"/>
                <w:highlight w:val="none"/>
              </w:rPr>
            </w:pPr>
          </w:p>
        </w:tc>
        <w:tc>
          <w:tcPr>
            <w:tcW w:w="1010" w:type="pct"/>
            <w:vMerge w:val="continue"/>
            <w:noWrap w:val="0"/>
            <w:vAlign w:val="center"/>
          </w:tcPr>
          <w:p w14:paraId="2A2BCA48">
            <w:pPr>
              <w:spacing w:line="240" w:lineRule="auto"/>
              <w:ind w:firstLine="0" w:firstLineChars="0"/>
              <w:jc w:val="center"/>
              <w:rPr>
                <w:rFonts w:ascii="Times New Roman" w:hAnsi="Times New Roman"/>
                <w:sz w:val="21"/>
                <w:szCs w:val="21"/>
                <w:highlight w:val="none"/>
              </w:rPr>
            </w:pPr>
          </w:p>
        </w:tc>
        <w:tc>
          <w:tcPr>
            <w:tcW w:w="1053" w:type="pct"/>
            <w:noWrap w:val="0"/>
            <w:vAlign w:val="center"/>
          </w:tcPr>
          <w:p w14:paraId="6974C9B2">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敏感点声环境达标</w:t>
            </w:r>
          </w:p>
        </w:tc>
        <w:tc>
          <w:tcPr>
            <w:tcW w:w="1601" w:type="pct"/>
            <w:noWrap w:val="0"/>
            <w:vAlign w:val="center"/>
          </w:tcPr>
          <w:p w14:paraId="7AE3FD94">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《声环境质量标准》（GB3096—2008）中2类区标准，即昼间60dB(A)，夜间50dB(A)。</w:t>
            </w:r>
          </w:p>
        </w:tc>
      </w:tr>
      <w:tr w14:paraId="76432B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4E65D5E5">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固体废物</w:t>
            </w:r>
          </w:p>
        </w:tc>
        <w:tc>
          <w:tcPr>
            <w:tcW w:w="607" w:type="pct"/>
            <w:noWrap w:val="0"/>
            <w:vAlign w:val="center"/>
          </w:tcPr>
          <w:p w14:paraId="23F6F55F">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炉渣</w:t>
            </w:r>
          </w:p>
        </w:tc>
        <w:tc>
          <w:tcPr>
            <w:tcW w:w="2063" w:type="pct"/>
            <w:gridSpan w:val="2"/>
            <w:vMerge w:val="restart"/>
            <w:noWrap w:val="0"/>
            <w:vAlign w:val="center"/>
          </w:tcPr>
          <w:p w14:paraId="7577CC59">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运至采矿区回填</w:t>
            </w:r>
            <w:r>
              <w:rPr>
                <w:rFonts w:ascii="Times New Roman" w:hAnsi="Times New Roman"/>
                <w:sz w:val="21"/>
                <w:szCs w:val="21"/>
                <w:highlight w:val="none"/>
              </w:rPr>
              <w:t>。</w:t>
            </w:r>
          </w:p>
        </w:tc>
        <w:tc>
          <w:tcPr>
            <w:tcW w:w="1601" w:type="pct"/>
            <w:vMerge w:val="restart"/>
            <w:noWrap w:val="0"/>
            <w:vAlign w:val="center"/>
          </w:tcPr>
          <w:p w14:paraId="62BF468D">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处置率100%</w:t>
            </w:r>
          </w:p>
        </w:tc>
      </w:tr>
      <w:tr w14:paraId="1F7DDC2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1AED7C79">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28F0700C">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炉灰</w:t>
            </w:r>
          </w:p>
        </w:tc>
        <w:tc>
          <w:tcPr>
            <w:tcW w:w="2063" w:type="pct"/>
            <w:gridSpan w:val="2"/>
            <w:vMerge w:val="continue"/>
            <w:noWrap w:val="0"/>
            <w:vAlign w:val="center"/>
          </w:tcPr>
          <w:p w14:paraId="215BBBCD">
            <w:pPr>
              <w:spacing w:line="240" w:lineRule="auto"/>
              <w:ind w:firstLine="0" w:firstLineChars="0"/>
              <w:jc w:val="center"/>
              <w:rPr>
                <w:rFonts w:ascii="Times New Roman" w:hAnsi="Times New Roman"/>
                <w:sz w:val="21"/>
                <w:szCs w:val="21"/>
                <w:highlight w:val="none"/>
              </w:rPr>
            </w:pPr>
          </w:p>
        </w:tc>
        <w:tc>
          <w:tcPr>
            <w:tcW w:w="1601" w:type="pct"/>
            <w:vMerge w:val="continue"/>
            <w:noWrap w:val="0"/>
            <w:vAlign w:val="center"/>
          </w:tcPr>
          <w:p w14:paraId="3F8172A7">
            <w:pPr>
              <w:spacing w:line="240" w:lineRule="auto"/>
              <w:ind w:firstLine="0" w:firstLineChars="0"/>
              <w:jc w:val="center"/>
              <w:rPr>
                <w:rFonts w:ascii="Times New Roman" w:hAnsi="Times New Roman"/>
                <w:sz w:val="21"/>
                <w:szCs w:val="21"/>
                <w:highlight w:val="none"/>
              </w:rPr>
            </w:pPr>
          </w:p>
        </w:tc>
      </w:tr>
      <w:tr w14:paraId="0AE800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132EA731">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4237E40D">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脱硫石膏</w:t>
            </w:r>
          </w:p>
        </w:tc>
        <w:tc>
          <w:tcPr>
            <w:tcW w:w="2063" w:type="pct"/>
            <w:gridSpan w:val="2"/>
            <w:vMerge w:val="continue"/>
            <w:noWrap w:val="0"/>
            <w:vAlign w:val="center"/>
          </w:tcPr>
          <w:p w14:paraId="14033E28">
            <w:pPr>
              <w:spacing w:line="240" w:lineRule="auto"/>
              <w:ind w:firstLine="0" w:firstLineChars="0"/>
              <w:jc w:val="center"/>
              <w:rPr>
                <w:rFonts w:ascii="Times New Roman" w:hAnsi="Times New Roman"/>
                <w:sz w:val="21"/>
                <w:szCs w:val="21"/>
                <w:highlight w:val="none"/>
              </w:rPr>
            </w:pPr>
          </w:p>
        </w:tc>
        <w:tc>
          <w:tcPr>
            <w:tcW w:w="1601" w:type="pct"/>
            <w:vMerge w:val="continue"/>
            <w:noWrap w:val="0"/>
            <w:vAlign w:val="center"/>
          </w:tcPr>
          <w:p w14:paraId="16E9B9FC">
            <w:pPr>
              <w:spacing w:line="240" w:lineRule="auto"/>
              <w:ind w:firstLine="0" w:firstLineChars="0"/>
              <w:jc w:val="center"/>
              <w:rPr>
                <w:rFonts w:ascii="Times New Roman" w:hAnsi="Times New Roman"/>
                <w:sz w:val="21"/>
                <w:szCs w:val="21"/>
                <w:highlight w:val="none"/>
              </w:rPr>
            </w:pPr>
          </w:p>
        </w:tc>
      </w:tr>
      <w:tr w14:paraId="273036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6BA674E8">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2A8491D5">
            <w:pPr>
              <w:spacing w:line="240" w:lineRule="auto"/>
              <w:ind w:firstLine="0" w:firstLineChars="0"/>
              <w:jc w:val="center"/>
              <w:rPr>
                <w:rFonts w:hint="default" w:ascii="Times New Roman" w:hAnsi="Times New Roman" w:eastAsia="宋体"/>
                <w:sz w:val="21"/>
                <w:szCs w:val="21"/>
                <w:highlight w:val="none"/>
                <w:lang w:val="en-US" w:eastAsia="zh-CN"/>
              </w:rPr>
            </w:pPr>
            <w:r>
              <w:rPr>
                <w:rFonts w:ascii="Times New Roman" w:hAnsi="Times New Roman"/>
                <w:sz w:val="21"/>
                <w:szCs w:val="21"/>
                <w:highlight w:val="none"/>
              </w:rPr>
              <w:t>废离子交换树脂</w:t>
            </w:r>
            <w:r>
              <w:rPr>
                <w:rFonts w:hint="eastAsia" w:ascii="Times New Roman" w:hAnsi="Times New Roman"/>
                <w:sz w:val="21"/>
                <w:szCs w:val="21"/>
                <w:highlight w:val="none"/>
                <w:lang w:val="en-US" w:eastAsia="zh-CN"/>
              </w:rPr>
              <w:t>和反渗透膜</w:t>
            </w:r>
          </w:p>
        </w:tc>
        <w:tc>
          <w:tcPr>
            <w:tcW w:w="2063" w:type="pct"/>
            <w:gridSpan w:val="2"/>
            <w:noWrap w:val="0"/>
            <w:vAlign w:val="center"/>
          </w:tcPr>
          <w:p w14:paraId="3D7E30B2">
            <w:pPr>
              <w:spacing w:line="240" w:lineRule="auto"/>
              <w:ind w:firstLine="0" w:firstLineChars="0"/>
              <w:jc w:val="center"/>
              <w:rPr>
                <w:rFonts w:hint="default"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由厂家回收处置</w:t>
            </w:r>
          </w:p>
        </w:tc>
        <w:tc>
          <w:tcPr>
            <w:tcW w:w="1601" w:type="pct"/>
            <w:vMerge w:val="continue"/>
            <w:noWrap w:val="0"/>
            <w:vAlign w:val="center"/>
          </w:tcPr>
          <w:p w14:paraId="52F9B17E">
            <w:pPr>
              <w:spacing w:line="240" w:lineRule="auto"/>
              <w:ind w:firstLine="0" w:firstLineChars="0"/>
              <w:jc w:val="center"/>
              <w:rPr>
                <w:rFonts w:ascii="Times New Roman" w:hAnsi="Times New Roman"/>
                <w:sz w:val="21"/>
                <w:szCs w:val="21"/>
                <w:highlight w:val="none"/>
              </w:rPr>
            </w:pPr>
          </w:p>
        </w:tc>
      </w:tr>
      <w:tr w14:paraId="59F3ED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61628DAA">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50D5D894">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废催化剂</w:t>
            </w:r>
          </w:p>
        </w:tc>
        <w:tc>
          <w:tcPr>
            <w:tcW w:w="2063" w:type="pct"/>
            <w:gridSpan w:val="2"/>
            <w:vMerge w:val="restart"/>
            <w:noWrap w:val="0"/>
            <w:vAlign w:val="center"/>
          </w:tcPr>
          <w:p w14:paraId="678F2E85">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lang w:val="en-US" w:eastAsia="zh-CN"/>
              </w:rPr>
              <w:t>暂存</w:t>
            </w:r>
            <w:r>
              <w:rPr>
                <w:rFonts w:hint="eastAsia" w:ascii="Times New Roman" w:hAnsi="Times New Roman"/>
                <w:sz w:val="21"/>
                <w:szCs w:val="21"/>
                <w:highlight w:val="none"/>
              </w:rPr>
              <w:t>危废暂存间、</w:t>
            </w:r>
            <w:r>
              <w:rPr>
                <w:rFonts w:ascii="Times New Roman" w:hAnsi="Times New Roman"/>
                <w:sz w:val="21"/>
                <w:szCs w:val="21"/>
                <w:highlight w:val="none"/>
              </w:rPr>
              <w:t>委托有资质单位处置</w:t>
            </w:r>
          </w:p>
        </w:tc>
        <w:tc>
          <w:tcPr>
            <w:tcW w:w="1601" w:type="pct"/>
            <w:vMerge w:val="continue"/>
            <w:noWrap w:val="0"/>
            <w:vAlign w:val="center"/>
          </w:tcPr>
          <w:p w14:paraId="68C1E5E2">
            <w:pPr>
              <w:spacing w:line="240" w:lineRule="auto"/>
              <w:ind w:firstLine="0" w:firstLineChars="0"/>
              <w:jc w:val="center"/>
              <w:rPr>
                <w:rFonts w:ascii="Times New Roman" w:hAnsi="Times New Roman"/>
                <w:sz w:val="21"/>
                <w:szCs w:val="21"/>
                <w:highlight w:val="none"/>
              </w:rPr>
            </w:pPr>
          </w:p>
        </w:tc>
      </w:tr>
      <w:tr w14:paraId="16EF4D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52E167B0">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3119F4E2">
            <w:pPr>
              <w:spacing w:line="240" w:lineRule="auto"/>
              <w:ind w:firstLine="0" w:firstLineChars="0"/>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废机油</w:t>
            </w:r>
          </w:p>
        </w:tc>
        <w:tc>
          <w:tcPr>
            <w:tcW w:w="2063" w:type="pct"/>
            <w:gridSpan w:val="2"/>
            <w:vMerge w:val="continue"/>
            <w:noWrap w:val="0"/>
            <w:vAlign w:val="center"/>
          </w:tcPr>
          <w:p w14:paraId="76FFE8C9">
            <w:pPr>
              <w:spacing w:line="240" w:lineRule="auto"/>
              <w:ind w:firstLine="0" w:firstLineChars="0"/>
              <w:jc w:val="center"/>
              <w:rPr>
                <w:rFonts w:hint="eastAsia" w:ascii="Times New Roman" w:hAnsi="Times New Roman"/>
                <w:sz w:val="21"/>
                <w:szCs w:val="21"/>
                <w:highlight w:val="none"/>
                <w:lang w:val="en-US" w:eastAsia="zh-CN"/>
              </w:rPr>
            </w:pPr>
          </w:p>
        </w:tc>
        <w:tc>
          <w:tcPr>
            <w:tcW w:w="1601" w:type="pct"/>
            <w:vMerge w:val="continue"/>
            <w:noWrap w:val="0"/>
            <w:vAlign w:val="center"/>
          </w:tcPr>
          <w:p w14:paraId="747697B8">
            <w:pPr>
              <w:spacing w:line="240" w:lineRule="auto"/>
              <w:ind w:firstLine="0" w:firstLineChars="0"/>
              <w:jc w:val="center"/>
              <w:rPr>
                <w:rFonts w:ascii="Times New Roman" w:hAnsi="Times New Roman"/>
                <w:sz w:val="21"/>
                <w:szCs w:val="21"/>
                <w:highlight w:val="none"/>
              </w:rPr>
            </w:pPr>
          </w:p>
        </w:tc>
      </w:tr>
      <w:tr w14:paraId="461B3FF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79B02B04">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3DEF25B7">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生活垃圾</w:t>
            </w:r>
          </w:p>
        </w:tc>
        <w:tc>
          <w:tcPr>
            <w:tcW w:w="2063" w:type="pct"/>
            <w:gridSpan w:val="2"/>
            <w:noWrap w:val="0"/>
            <w:vAlign w:val="center"/>
          </w:tcPr>
          <w:p w14:paraId="0349FCE4">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交由环卫部门处置</w:t>
            </w:r>
          </w:p>
        </w:tc>
        <w:tc>
          <w:tcPr>
            <w:tcW w:w="1601" w:type="pct"/>
            <w:vMerge w:val="continue"/>
            <w:noWrap w:val="0"/>
            <w:vAlign w:val="center"/>
          </w:tcPr>
          <w:p w14:paraId="797307A9">
            <w:pPr>
              <w:spacing w:line="240" w:lineRule="auto"/>
              <w:ind w:firstLine="0" w:firstLineChars="0"/>
              <w:jc w:val="center"/>
              <w:rPr>
                <w:rFonts w:ascii="Times New Roman" w:hAnsi="Times New Roman"/>
                <w:sz w:val="21"/>
                <w:szCs w:val="21"/>
                <w:highlight w:val="none"/>
              </w:rPr>
            </w:pPr>
          </w:p>
        </w:tc>
      </w:tr>
      <w:tr w14:paraId="1CA4B3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170CFBD2">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1A851FC2">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餐厨垃圾及废油脂</w:t>
            </w:r>
          </w:p>
        </w:tc>
        <w:tc>
          <w:tcPr>
            <w:tcW w:w="2063" w:type="pct"/>
            <w:gridSpan w:val="2"/>
            <w:noWrap w:val="0"/>
            <w:vAlign w:val="center"/>
          </w:tcPr>
          <w:p w14:paraId="13D1D4B0">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委托有资质单位处置</w:t>
            </w:r>
          </w:p>
        </w:tc>
        <w:tc>
          <w:tcPr>
            <w:tcW w:w="1601" w:type="pct"/>
            <w:vMerge w:val="continue"/>
            <w:noWrap w:val="0"/>
            <w:vAlign w:val="center"/>
          </w:tcPr>
          <w:p w14:paraId="5B1657D2">
            <w:pPr>
              <w:spacing w:line="240" w:lineRule="auto"/>
              <w:ind w:firstLine="0" w:firstLineChars="0"/>
              <w:jc w:val="center"/>
              <w:rPr>
                <w:rFonts w:ascii="Times New Roman" w:hAnsi="Times New Roman"/>
                <w:sz w:val="21"/>
                <w:szCs w:val="21"/>
                <w:highlight w:val="none"/>
              </w:rPr>
            </w:pPr>
          </w:p>
        </w:tc>
      </w:tr>
      <w:tr w14:paraId="45A813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482425F7">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废水</w:t>
            </w:r>
          </w:p>
        </w:tc>
        <w:tc>
          <w:tcPr>
            <w:tcW w:w="607" w:type="pct"/>
            <w:noWrap w:val="0"/>
            <w:vAlign w:val="center"/>
          </w:tcPr>
          <w:p w14:paraId="0E9CBF3A">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生产废水</w:t>
            </w:r>
          </w:p>
        </w:tc>
        <w:tc>
          <w:tcPr>
            <w:tcW w:w="2063" w:type="pct"/>
            <w:gridSpan w:val="2"/>
            <w:noWrap w:val="0"/>
            <w:vAlign w:val="center"/>
          </w:tcPr>
          <w:p w14:paraId="0F2CB2A5">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脱硫废水、锅炉排污水回用于生产。</w:t>
            </w:r>
          </w:p>
        </w:tc>
        <w:tc>
          <w:tcPr>
            <w:tcW w:w="1601" w:type="pct"/>
            <w:noWrap w:val="0"/>
            <w:vAlign w:val="center"/>
          </w:tcPr>
          <w:p w14:paraId="7426F39C">
            <w:pPr>
              <w:spacing w:line="240" w:lineRule="auto"/>
              <w:ind w:firstLine="0" w:firstLineChars="0"/>
              <w:jc w:val="center"/>
              <w:rPr>
                <w:rFonts w:hint="eastAsia" w:ascii="Times New Roman" w:hAnsi="Times New Roman"/>
                <w:sz w:val="21"/>
                <w:szCs w:val="21"/>
                <w:highlight w:val="none"/>
              </w:rPr>
            </w:pPr>
            <w:r>
              <w:rPr>
                <w:rFonts w:ascii="Times New Roman" w:hAnsi="Times New Roman"/>
                <w:sz w:val="21"/>
                <w:szCs w:val="21"/>
                <w:highlight w:val="none"/>
              </w:rPr>
              <w:t>全部利用不外排</w:t>
            </w:r>
          </w:p>
        </w:tc>
      </w:tr>
      <w:tr w14:paraId="0EEF76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6A5A4929">
            <w:pPr>
              <w:spacing w:line="240" w:lineRule="auto"/>
              <w:ind w:firstLine="0" w:firstLineChars="0"/>
              <w:jc w:val="center"/>
              <w:rPr>
                <w:rFonts w:ascii="Times New Roman" w:hAnsi="Times New Roman"/>
                <w:sz w:val="21"/>
                <w:szCs w:val="21"/>
                <w:highlight w:val="none"/>
              </w:rPr>
            </w:pPr>
          </w:p>
        </w:tc>
        <w:tc>
          <w:tcPr>
            <w:tcW w:w="607" w:type="pct"/>
            <w:noWrap w:val="0"/>
            <w:vAlign w:val="center"/>
          </w:tcPr>
          <w:p w14:paraId="3841B429">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生活污水</w:t>
            </w:r>
          </w:p>
        </w:tc>
        <w:tc>
          <w:tcPr>
            <w:tcW w:w="2063" w:type="pct"/>
            <w:gridSpan w:val="2"/>
            <w:noWrap w:val="0"/>
            <w:vAlign w:val="center"/>
          </w:tcPr>
          <w:p w14:paraId="2E8388AF">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食堂废水经隔油池处理后与生活污水一同排入市政管网。</w:t>
            </w:r>
          </w:p>
        </w:tc>
        <w:tc>
          <w:tcPr>
            <w:tcW w:w="1601" w:type="pct"/>
            <w:noWrap w:val="0"/>
            <w:vAlign w:val="center"/>
          </w:tcPr>
          <w:p w14:paraId="762EF0E1">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《污水综合排放标准》GB8978-1996三级标准）</w:t>
            </w:r>
          </w:p>
        </w:tc>
      </w:tr>
      <w:tr w14:paraId="233B634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restart"/>
            <w:noWrap w:val="0"/>
            <w:vAlign w:val="center"/>
          </w:tcPr>
          <w:p w14:paraId="055941E2">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其它</w:t>
            </w:r>
          </w:p>
        </w:tc>
        <w:tc>
          <w:tcPr>
            <w:tcW w:w="1618" w:type="pct"/>
            <w:gridSpan w:val="2"/>
            <w:noWrap w:val="0"/>
            <w:vAlign w:val="center"/>
          </w:tcPr>
          <w:p w14:paraId="4F4B5E37">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规范化排放口标志</w:t>
            </w:r>
          </w:p>
        </w:tc>
        <w:tc>
          <w:tcPr>
            <w:tcW w:w="1053" w:type="pct"/>
            <w:noWrap w:val="0"/>
            <w:vAlign w:val="center"/>
          </w:tcPr>
          <w:p w14:paraId="1D354BEF">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601" w:type="pct"/>
            <w:noWrap w:val="0"/>
            <w:vAlign w:val="center"/>
          </w:tcPr>
          <w:p w14:paraId="02E6BC2D">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r w14:paraId="75DFCA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26" w:type="pct"/>
            <w:vMerge w:val="continue"/>
            <w:noWrap w:val="0"/>
            <w:vAlign w:val="center"/>
          </w:tcPr>
          <w:p w14:paraId="426BAC58">
            <w:pPr>
              <w:spacing w:line="240" w:lineRule="auto"/>
              <w:ind w:firstLine="0" w:firstLineChars="0"/>
              <w:jc w:val="center"/>
              <w:rPr>
                <w:rFonts w:ascii="Times New Roman" w:hAnsi="Times New Roman"/>
                <w:sz w:val="21"/>
                <w:szCs w:val="21"/>
                <w:highlight w:val="none"/>
              </w:rPr>
            </w:pPr>
          </w:p>
        </w:tc>
        <w:tc>
          <w:tcPr>
            <w:tcW w:w="1618" w:type="pct"/>
            <w:gridSpan w:val="2"/>
            <w:noWrap w:val="0"/>
            <w:vAlign w:val="center"/>
          </w:tcPr>
          <w:p w14:paraId="5F0DDB68">
            <w:pPr>
              <w:spacing w:line="240" w:lineRule="auto"/>
              <w:ind w:firstLine="0" w:firstLineChars="0"/>
              <w:jc w:val="center"/>
              <w:rPr>
                <w:rFonts w:ascii="Times New Roman" w:hAnsi="Times New Roman"/>
                <w:sz w:val="21"/>
                <w:szCs w:val="21"/>
                <w:highlight w:val="none"/>
              </w:rPr>
            </w:pPr>
            <w:r>
              <w:rPr>
                <w:rFonts w:hint="eastAsia" w:ascii="Times New Roman" w:hAnsi="Times New Roman"/>
                <w:sz w:val="21"/>
                <w:szCs w:val="21"/>
                <w:highlight w:val="none"/>
              </w:rPr>
              <w:t>拆除替代小锅炉</w:t>
            </w:r>
          </w:p>
        </w:tc>
        <w:tc>
          <w:tcPr>
            <w:tcW w:w="1053" w:type="pct"/>
            <w:noWrap w:val="0"/>
            <w:vAlign w:val="center"/>
          </w:tcPr>
          <w:p w14:paraId="72C6E343">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c>
          <w:tcPr>
            <w:tcW w:w="1601" w:type="pct"/>
            <w:noWrap w:val="0"/>
            <w:vAlign w:val="center"/>
          </w:tcPr>
          <w:p w14:paraId="267A330A">
            <w:pPr>
              <w:spacing w:line="240" w:lineRule="auto"/>
              <w:ind w:firstLine="0" w:firstLineChars="0"/>
              <w:jc w:val="center"/>
              <w:rPr>
                <w:rFonts w:ascii="Times New Roman" w:hAnsi="Times New Roman"/>
                <w:sz w:val="21"/>
                <w:szCs w:val="21"/>
                <w:highlight w:val="none"/>
              </w:rPr>
            </w:pPr>
            <w:r>
              <w:rPr>
                <w:rFonts w:ascii="Times New Roman" w:hAnsi="Times New Roman"/>
                <w:sz w:val="21"/>
                <w:szCs w:val="21"/>
                <w:highlight w:val="none"/>
              </w:rPr>
              <w:t>——</w:t>
            </w:r>
          </w:p>
        </w:tc>
      </w:tr>
    </w:tbl>
    <w:p w14:paraId="2D0C4C0E">
      <w:pPr>
        <w:pStyle w:val="4"/>
        <w:bidi w:val="0"/>
        <w:ind w:left="0" w:leftChars="0" w:firstLine="0" w:firstLineChars="0"/>
        <w:rPr>
          <w:rFonts w:hint="eastAsia"/>
          <w:highlight w:val="none"/>
          <w:lang w:val="en-US" w:eastAsia="zh-CN"/>
        </w:rPr>
      </w:pPr>
      <w:bookmarkStart w:id="196" w:name="_Toc11312"/>
      <w:r>
        <w:rPr>
          <w:rFonts w:hint="eastAsia"/>
          <w:highlight w:val="none"/>
          <w:lang w:val="en-US" w:eastAsia="zh-CN"/>
        </w:rPr>
        <w:t>8.6与排污许可证衔接</w:t>
      </w:r>
      <w:bookmarkEnd w:id="196"/>
    </w:p>
    <w:p w14:paraId="5F6AA8FA">
      <w:pPr>
        <w:ind w:firstLine="480"/>
        <w:rPr>
          <w:rFonts w:ascii="Times New Roman" w:hAnsi="Times New Roman"/>
          <w:highlight w:val="none"/>
        </w:rPr>
      </w:pPr>
      <w:r>
        <w:rPr>
          <w:rFonts w:ascii="Times New Roman" w:hAnsi="Times New Roman"/>
          <w:highlight w:val="none"/>
        </w:rPr>
        <w:t>根据《国务院办公厅关于印发控制污染物排放许可制实施方案的通知》〔2016〕81号，（九）分步实现排污许可全覆盖，按行业分步实现对固定污染源的全覆盖，率先对火电、造纸行业企业核发排污许可证，2017年完成《大气污染防治行动计划》和《水污染防治行动计划》重点行业及产能过剩行业企业排污许可证核发，2020年全国基本完成排污许可证核发。</w:t>
      </w:r>
    </w:p>
    <w:p w14:paraId="600FBEE8">
      <w:pPr>
        <w:ind w:firstLine="480"/>
        <w:rPr>
          <w:rFonts w:ascii="Times New Roman" w:hAnsi="Times New Roman"/>
          <w:highlight w:val="none"/>
        </w:rPr>
      </w:pPr>
      <w:r>
        <w:rPr>
          <w:rFonts w:ascii="Times New Roman" w:hAnsi="Times New Roman"/>
          <w:highlight w:val="none"/>
        </w:rPr>
        <w:t>根据《排污许可管理办法》（试行），第三条：环境保护部依法制定并公布固定污染源排污许可分类管理名录，明确纳入排污许可管理的范围和申领时限。纳入固定污染源排污许可分类管理名录的企业事业单位和其他生产经营者（以下简称排污单位）应当按照规定的时限申请并取得排污许可证；未纳入固定污染源排污许可分类管理名录的排污单位，暂不需申请排污许可证。第二十四条：在固定污染源排污许可分类管理名录规定的时限前已经建成并实际排污的排污单位，应当在名录规定时限申请排污许可证；在名录规定的时限后建成的排污单位，应当在启动生产设施或者在实际排污之前申请排污许可证。</w:t>
      </w:r>
    </w:p>
    <w:p w14:paraId="0314ADEB">
      <w:pPr>
        <w:bidi w:val="0"/>
        <w:rPr>
          <w:rFonts w:ascii="Times New Roman" w:hAnsi="Times New Roman"/>
          <w:highlight w:val="none"/>
        </w:rPr>
      </w:pPr>
      <w:r>
        <w:rPr>
          <w:rFonts w:ascii="Times New Roman" w:hAnsi="Times New Roman"/>
          <w:highlight w:val="none"/>
        </w:rPr>
        <w:t>根据《固定污染源排污许可分类管理名录》（2019年版），本项目为“二十六、电力、热力生产和供应业441（除以生活垃圾和危险废物、污泥为燃料的火力发电-含自备电厂所在企业）”，排污许可证实施时限为2017年，因此本项目应在投产前办理排污许可变更等手续。</w:t>
      </w:r>
    </w:p>
    <w:p w14:paraId="56B1AD5B">
      <w:pPr>
        <w:pStyle w:val="23"/>
        <w:rPr>
          <w:rFonts w:hint="default"/>
          <w:highlight w:val="none"/>
          <w:lang w:val="en-US" w:eastAsia="zh-CN"/>
        </w:rPr>
      </w:pPr>
    </w:p>
    <w:p w14:paraId="10F2CACA">
      <w:pPr>
        <w:pStyle w:val="23"/>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3157429">
      <w:pPr>
        <w:pStyle w:val="3"/>
        <w:bidi w:val="0"/>
        <w:rPr>
          <w:rFonts w:hint="eastAsia"/>
          <w:highlight w:val="none"/>
          <w:lang w:val="en-US" w:eastAsia="zh-CN"/>
        </w:rPr>
      </w:pPr>
      <w:bookmarkStart w:id="197" w:name="_Toc28122"/>
      <w:r>
        <w:rPr>
          <w:rFonts w:hint="eastAsia"/>
          <w:highlight w:val="none"/>
          <w:lang w:val="en-US" w:eastAsia="zh-CN"/>
        </w:rPr>
        <w:t>9环境影响评价结论</w:t>
      </w:r>
      <w:bookmarkEnd w:id="197"/>
    </w:p>
    <w:p w14:paraId="62FA424F">
      <w:pPr>
        <w:pStyle w:val="4"/>
        <w:bidi w:val="0"/>
        <w:ind w:left="0" w:leftChars="0" w:firstLine="0" w:firstLineChars="0"/>
        <w:rPr>
          <w:rFonts w:hint="eastAsia"/>
          <w:highlight w:val="none"/>
          <w:lang w:val="en-US" w:eastAsia="zh-CN"/>
        </w:rPr>
      </w:pPr>
      <w:bookmarkStart w:id="198" w:name="_Toc19736"/>
      <w:r>
        <w:rPr>
          <w:rFonts w:hint="eastAsia"/>
          <w:highlight w:val="none"/>
          <w:lang w:val="en-US" w:eastAsia="zh-CN"/>
        </w:rPr>
        <w:t>9.1项目概况</w:t>
      </w:r>
      <w:bookmarkEnd w:id="198"/>
    </w:p>
    <w:p w14:paraId="0DEF728E">
      <w:pPr>
        <w:ind w:firstLine="480"/>
        <w:rPr>
          <w:rFonts w:hint="eastAsia" w:ascii="Times New Roman" w:hAnsi="Times New Roman" w:eastAsia="宋体"/>
          <w:highlight w:val="none"/>
          <w:lang w:val="en-US" w:eastAsia="zh-CN"/>
        </w:rPr>
      </w:pPr>
      <w:r>
        <w:rPr>
          <w:rFonts w:ascii="Times New Roman" w:hAnsi="Times New Roman"/>
          <w:highlight w:val="none"/>
        </w:rPr>
        <w:t>（1）项目名称：</w:t>
      </w:r>
      <w:r>
        <w:rPr>
          <w:rFonts w:hint="eastAsia" w:ascii="Times New Roman" w:hAnsi="Times New Roman"/>
          <w:highlight w:val="none"/>
          <w:lang w:val="en-US" w:eastAsia="zh-CN"/>
        </w:rPr>
        <w:t>绥芬河市新区供热有限责任公司燃煤供热锅炉建设项目</w:t>
      </w:r>
    </w:p>
    <w:p w14:paraId="2CF79120">
      <w:pPr>
        <w:ind w:firstLine="480"/>
        <w:rPr>
          <w:rFonts w:ascii="Times New Roman" w:hAnsi="Times New Roman"/>
          <w:highlight w:val="none"/>
        </w:rPr>
      </w:pPr>
      <w:r>
        <w:rPr>
          <w:rFonts w:ascii="Times New Roman" w:hAnsi="Times New Roman"/>
          <w:highlight w:val="none"/>
        </w:rPr>
        <w:t>（2）项目承办单位：</w:t>
      </w:r>
      <w:r>
        <w:rPr>
          <w:rFonts w:hint="eastAsia" w:ascii="Times New Roman" w:hAnsi="Times New Roman"/>
          <w:highlight w:val="none"/>
          <w:lang w:val="en-US" w:eastAsia="zh-CN"/>
        </w:rPr>
        <w:t>绥芬河市新区供热有限责任公司</w:t>
      </w:r>
    </w:p>
    <w:p w14:paraId="12A997C3">
      <w:pPr>
        <w:ind w:firstLine="480"/>
        <w:rPr>
          <w:rFonts w:hint="eastAsia" w:ascii="Times New Roman" w:hAnsi="Times New Roman"/>
          <w:highlight w:val="none"/>
        </w:rPr>
      </w:pPr>
      <w:r>
        <w:rPr>
          <w:rFonts w:ascii="Times New Roman" w:hAnsi="Times New Roman"/>
          <w:highlight w:val="none"/>
        </w:rPr>
        <w:t>（3）建设地点：</w:t>
      </w:r>
      <w:r>
        <w:rPr>
          <w:rFonts w:hint="eastAsia" w:ascii="Times New Roman" w:hAnsi="Times New Roman"/>
          <w:highlight w:val="none"/>
          <w:lang w:val="en-US" w:eastAsia="zh-CN"/>
        </w:rPr>
        <w:t>黑龙江省牡丹江市绥芬河市长山路幸福街1号</w:t>
      </w:r>
    </w:p>
    <w:p w14:paraId="22DC50A6">
      <w:pPr>
        <w:ind w:firstLine="480"/>
        <w:rPr>
          <w:rFonts w:hint="eastAsia" w:ascii="Times New Roman" w:hAnsi="Times New Roman" w:eastAsia="宋体"/>
          <w:highlight w:val="none"/>
          <w:lang w:val="en-US" w:eastAsia="zh-CN"/>
        </w:rPr>
      </w:pPr>
      <w:r>
        <w:rPr>
          <w:rFonts w:ascii="Times New Roman" w:hAnsi="Times New Roman"/>
          <w:highlight w:val="none"/>
        </w:rPr>
        <w:t>（4）建设性质：</w:t>
      </w:r>
      <w:r>
        <w:rPr>
          <w:rFonts w:hint="eastAsia" w:ascii="Times New Roman" w:hAnsi="Times New Roman"/>
          <w:highlight w:val="none"/>
          <w:lang w:val="en-US" w:eastAsia="zh-CN"/>
        </w:rPr>
        <w:t>新建（重新报批）</w:t>
      </w:r>
    </w:p>
    <w:p w14:paraId="78ACDF32">
      <w:pPr>
        <w:ind w:firstLine="480"/>
        <w:rPr>
          <w:rFonts w:ascii="Times New Roman" w:hAnsi="Times New Roman"/>
          <w:highlight w:val="none"/>
        </w:rPr>
      </w:pPr>
      <w:r>
        <w:rPr>
          <w:rFonts w:ascii="Times New Roman" w:hAnsi="Times New Roman"/>
          <w:highlight w:val="none"/>
        </w:rPr>
        <w:t>（5）建设规模：</w:t>
      </w:r>
      <w:r>
        <w:rPr>
          <w:rFonts w:ascii="Times New Roman" w:hAnsi="Times New Roman"/>
          <w:iCs/>
          <w:highlight w:val="none"/>
        </w:rPr>
        <w:t>建设</w:t>
      </w:r>
      <w:r>
        <w:rPr>
          <w:rFonts w:hint="eastAsia"/>
          <w:highlight w:val="none"/>
          <w:lang w:val="en-US" w:eastAsia="zh-CN"/>
        </w:rPr>
        <w:t>116MW+</w:t>
      </w:r>
      <w:r>
        <w:rPr>
          <w:rFonts w:hint="default"/>
          <w:highlight w:val="none"/>
          <w:lang w:val="en-US" w:eastAsia="zh-CN"/>
        </w:rPr>
        <w:t>58</w:t>
      </w:r>
      <w:r>
        <w:rPr>
          <w:rFonts w:hint="eastAsia"/>
          <w:highlight w:val="none"/>
          <w:lang w:val="en-US" w:eastAsia="zh-CN"/>
        </w:rPr>
        <w:t>MW热水锅炉和1台35t/h蒸汽锅炉共三台，</w:t>
      </w:r>
      <w:r>
        <w:rPr>
          <w:rFonts w:ascii="Times New Roman" w:hAnsi="Times New Roman"/>
          <w:highlight w:val="none"/>
        </w:rPr>
        <w:t>并配套建设相关措施。</w:t>
      </w:r>
    </w:p>
    <w:p w14:paraId="1D3DA3F5">
      <w:pPr>
        <w:ind w:firstLine="480"/>
        <w:rPr>
          <w:rFonts w:ascii="Times New Roman" w:hAnsi="Times New Roman"/>
          <w:highlight w:val="none"/>
        </w:rPr>
      </w:pPr>
      <w:r>
        <w:rPr>
          <w:rFonts w:ascii="Times New Roman" w:hAnsi="Times New Roman"/>
          <w:highlight w:val="none"/>
        </w:rPr>
        <w:t>（6）总投资：</w:t>
      </w:r>
      <w:r>
        <w:rPr>
          <w:rFonts w:hint="eastAsia" w:ascii="Times New Roman" w:hAnsi="Times New Roman"/>
          <w:highlight w:val="none"/>
          <w:lang w:val="en-US" w:eastAsia="zh-CN"/>
        </w:rPr>
        <w:t>3620</w:t>
      </w:r>
      <w:r>
        <w:rPr>
          <w:rFonts w:ascii="Times New Roman" w:hAnsi="Times New Roman"/>
          <w:highlight w:val="none"/>
        </w:rPr>
        <w:t>万元</w:t>
      </w:r>
    </w:p>
    <w:p w14:paraId="7F6D7D67">
      <w:pPr>
        <w:ind w:firstLine="480"/>
        <w:rPr>
          <w:rFonts w:ascii="Times New Roman" w:hAnsi="Times New Roman"/>
          <w:highlight w:val="none"/>
        </w:rPr>
      </w:pPr>
      <w:r>
        <w:rPr>
          <w:rFonts w:ascii="Times New Roman" w:hAnsi="Times New Roman"/>
          <w:highlight w:val="none"/>
        </w:rPr>
        <w:t>（7）劳动定员：本项目员工</w:t>
      </w:r>
      <w:r>
        <w:rPr>
          <w:rFonts w:hint="eastAsia" w:ascii="Times New Roman" w:hAnsi="Times New Roman"/>
          <w:highlight w:val="none"/>
          <w:lang w:val="en-US" w:eastAsia="zh-CN"/>
        </w:rPr>
        <w:t>175</w:t>
      </w:r>
      <w:r>
        <w:rPr>
          <w:rFonts w:ascii="Times New Roman" w:hAnsi="Times New Roman"/>
          <w:highlight w:val="none"/>
        </w:rPr>
        <w:t>人</w:t>
      </w:r>
    </w:p>
    <w:p w14:paraId="0B072F21">
      <w:pPr>
        <w:bidi w:val="0"/>
        <w:rPr>
          <w:rFonts w:ascii="Times New Roman" w:hAnsi="Times New Roman"/>
          <w:highlight w:val="none"/>
        </w:rPr>
      </w:pPr>
      <w:r>
        <w:rPr>
          <w:rFonts w:ascii="Times New Roman" w:hAnsi="Times New Roman"/>
          <w:highlight w:val="none"/>
        </w:rPr>
        <w:t>（8）运行</w:t>
      </w:r>
      <w:r>
        <w:rPr>
          <w:rFonts w:hint="eastAsia" w:ascii="Times New Roman" w:hAnsi="Times New Roman"/>
          <w:highlight w:val="none"/>
        </w:rPr>
        <w:t>方案及</w:t>
      </w:r>
      <w:r>
        <w:rPr>
          <w:rFonts w:ascii="Times New Roman" w:hAnsi="Times New Roman"/>
          <w:highlight w:val="none"/>
        </w:rPr>
        <w:t>时数：本项目</w:t>
      </w:r>
      <w:r>
        <w:rPr>
          <w:rFonts w:hint="eastAsia" w:ascii="Times New Roman" w:hAnsi="Times New Roman"/>
          <w:highlight w:val="none"/>
        </w:rPr>
        <w:t>锅炉仅采暖期运行，非采暖期不运行，仅用于供热；年</w:t>
      </w:r>
      <w:r>
        <w:rPr>
          <w:rFonts w:ascii="Times New Roman" w:hAnsi="Times New Roman"/>
          <w:highlight w:val="none"/>
        </w:rPr>
        <w:t>运行时间为</w:t>
      </w:r>
      <w:r>
        <w:rPr>
          <w:rFonts w:hint="eastAsia" w:ascii="Times New Roman" w:hAnsi="Times New Roman"/>
          <w:highlight w:val="none"/>
          <w:lang w:val="en-US" w:eastAsia="zh-CN"/>
        </w:rPr>
        <w:t>210</w:t>
      </w:r>
      <w:r>
        <w:rPr>
          <w:rFonts w:ascii="Times New Roman" w:hAnsi="Times New Roman"/>
          <w:highlight w:val="none"/>
        </w:rPr>
        <w:t>天，按满负荷运行折算锅炉工况小时数为</w:t>
      </w:r>
      <w:r>
        <w:rPr>
          <w:rFonts w:hint="eastAsia" w:ascii="Times New Roman" w:hAnsi="Times New Roman"/>
          <w:highlight w:val="none"/>
          <w:lang w:val="en-US" w:eastAsia="zh-CN"/>
        </w:rPr>
        <w:t>5040</w:t>
      </w:r>
      <w:r>
        <w:rPr>
          <w:rFonts w:ascii="Times New Roman" w:hAnsi="Times New Roman"/>
          <w:highlight w:val="none"/>
        </w:rPr>
        <w:t>小时。</w:t>
      </w:r>
    </w:p>
    <w:p w14:paraId="733108C4">
      <w:pPr>
        <w:pStyle w:val="4"/>
        <w:bidi w:val="0"/>
        <w:ind w:left="0" w:leftChars="0" w:firstLine="0" w:firstLineChars="0"/>
        <w:rPr>
          <w:rFonts w:hint="eastAsia"/>
          <w:highlight w:val="none"/>
          <w:lang w:val="en-US" w:eastAsia="zh-CN"/>
        </w:rPr>
      </w:pPr>
      <w:bookmarkStart w:id="199" w:name="_Toc29020"/>
      <w:r>
        <w:rPr>
          <w:rFonts w:hint="eastAsia"/>
          <w:highlight w:val="none"/>
          <w:lang w:val="en-US" w:eastAsia="zh-CN"/>
        </w:rPr>
        <w:t>9.2产业政策符合性分析</w:t>
      </w:r>
      <w:bookmarkEnd w:id="199"/>
    </w:p>
    <w:p w14:paraId="10DBE45C">
      <w:pPr>
        <w:bidi w:val="0"/>
        <w:rPr>
          <w:rFonts w:ascii="Times New Roman" w:hAnsi="Times New Roman"/>
          <w:highlight w:val="none"/>
        </w:rPr>
      </w:pPr>
      <w:r>
        <w:rPr>
          <w:rFonts w:ascii="Times New Roman" w:hAnsi="Times New Roman"/>
          <w:highlight w:val="none"/>
        </w:rPr>
        <w:t>本项目属于《产业结构调整指导目录（20</w:t>
      </w:r>
      <w:r>
        <w:rPr>
          <w:rFonts w:hint="eastAsia" w:ascii="Times New Roman" w:hAnsi="Times New Roman"/>
          <w:highlight w:val="none"/>
          <w:lang w:val="en-US" w:eastAsia="zh-CN"/>
        </w:rPr>
        <w:t>24</w:t>
      </w:r>
      <w:r>
        <w:rPr>
          <w:rFonts w:ascii="Times New Roman" w:hAnsi="Times New Roman"/>
          <w:highlight w:val="none"/>
        </w:rPr>
        <w:t>年本）》中鼓励类第二十二部分“城镇基础设施”第</w:t>
      </w:r>
      <w:r>
        <w:rPr>
          <w:rFonts w:hint="eastAsia" w:ascii="Times New Roman" w:hAnsi="Times New Roman"/>
          <w:highlight w:val="none"/>
          <w:lang w:val="en-US" w:eastAsia="zh-CN"/>
        </w:rPr>
        <w:t>2</w:t>
      </w:r>
      <w:r>
        <w:rPr>
          <w:rFonts w:ascii="Times New Roman" w:hAnsi="Times New Roman"/>
          <w:highlight w:val="none"/>
        </w:rPr>
        <w:t>条为“城镇集中供热建设和改造工程</w:t>
      </w:r>
      <w:r>
        <w:rPr>
          <w:rFonts w:hint="eastAsia" w:ascii="Times New Roman" w:hAnsi="Times New Roman"/>
          <w:highlight w:val="none"/>
          <w:lang w:eastAsia="zh-CN"/>
        </w:rPr>
        <w:t>（</w:t>
      </w:r>
      <w:r>
        <w:rPr>
          <w:rFonts w:ascii="宋体" w:hAnsi="宋体" w:eastAsia="宋体" w:cs="宋体"/>
          <w:sz w:val="24"/>
          <w:szCs w:val="24"/>
          <w:highlight w:val="none"/>
        </w:rPr>
        <w:t>包括长距离集中供热管网应用工程</w:t>
      </w:r>
      <w:r>
        <w:rPr>
          <w:rFonts w:hint="eastAsia" w:ascii="Times New Roman" w:hAnsi="Times New Roman"/>
          <w:highlight w:val="none"/>
          <w:lang w:eastAsia="zh-CN"/>
        </w:rPr>
        <w:t>）</w:t>
      </w:r>
      <w:r>
        <w:rPr>
          <w:rFonts w:ascii="Times New Roman" w:hAnsi="Times New Roman"/>
          <w:highlight w:val="none"/>
        </w:rPr>
        <w:t>”中的“城镇集中供热建设工程”。因此，本项目属于鼓励类建设项目。从产业政策符合性角度分析，项目建设可行。</w:t>
      </w:r>
    </w:p>
    <w:p w14:paraId="0DF042CF">
      <w:pPr>
        <w:pStyle w:val="7"/>
        <w:rPr>
          <w:rFonts w:ascii="Times New Roman" w:hAnsi="Times New Roman"/>
          <w:highlight w:val="none"/>
        </w:rPr>
      </w:pPr>
      <w:r>
        <w:rPr>
          <w:rFonts w:ascii="Times New Roman" w:hAnsi="Times New Roman"/>
          <w:highlight w:val="none"/>
        </w:rPr>
        <w:t>本项目符合《黑龙江省大气污染防治行动计划实施细则》、符合《商品煤质量管理暂行办法》、符合《</w:t>
      </w:r>
      <w:r>
        <w:rPr>
          <w:rFonts w:hint="eastAsia" w:ascii="Times New Roman" w:hAnsi="Times New Roman"/>
          <w:highlight w:val="none"/>
          <w:lang w:val="en-US" w:eastAsia="zh-CN"/>
        </w:rPr>
        <w:t>牡丹江市“十四五”生态环境保护规划</w:t>
      </w:r>
      <w:r>
        <w:rPr>
          <w:rFonts w:ascii="Times New Roman" w:hAnsi="Times New Roman"/>
          <w:highlight w:val="none"/>
        </w:rPr>
        <w:t>》，项目建设可行。</w:t>
      </w:r>
    </w:p>
    <w:p w14:paraId="5288FEC8">
      <w:pPr>
        <w:pStyle w:val="4"/>
        <w:bidi w:val="0"/>
        <w:ind w:left="0" w:leftChars="0" w:firstLine="0" w:firstLineChars="0"/>
        <w:rPr>
          <w:rFonts w:hint="eastAsia"/>
          <w:highlight w:val="none"/>
          <w:lang w:val="en-US" w:eastAsia="zh-CN"/>
        </w:rPr>
      </w:pPr>
      <w:bookmarkStart w:id="200" w:name="_Toc29323"/>
      <w:r>
        <w:rPr>
          <w:rFonts w:hint="eastAsia"/>
          <w:highlight w:val="none"/>
          <w:lang w:val="en-US" w:eastAsia="zh-CN"/>
        </w:rPr>
        <w:t>9.3选址合理性分析</w:t>
      </w:r>
      <w:bookmarkEnd w:id="200"/>
    </w:p>
    <w:p w14:paraId="59566F32">
      <w:pPr>
        <w:ind w:firstLine="480"/>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绥芬河市新区供热有限公司位于黑龙江省牡丹江市绥芬河市长山路幸福街1号，</w:t>
      </w:r>
      <w:r>
        <w:rPr>
          <w:rFonts w:hint="default" w:ascii="Times New Roman" w:hAnsi="Times New Roman" w:eastAsia="宋体" w:cs="Times New Roman"/>
          <w:highlight w:val="none"/>
        </w:rPr>
        <w:t>本项目总占地面积为</w:t>
      </w:r>
      <w:r>
        <w:rPr>
          <w:rFonts w:hint="default" w:ascii="Times New Roman" w:hAnsi="Times New Roman" w:eastAsia="宋体" w:cs="Times New Roman"/>
          <w:highlight w:val="none"/>
          <w:lang w:val="en-US" w:eastAsia="zh-CN"/>
        </w:rPr>
        <w:t>1.3万平方米</w:t>
      </w:r>
      <w:r>
        <w:rPr>
          <w:rFonts w:hint="eastAsia" w:ascii="Times New Roman" w:hAnsi="Times New Roman" w:eastAsia="宋体" w:cs="Times New Roman"/>
          <w:highlight w:val="none"/>
          <w:lang w:val="en-US" w:eastAsia="zh-CN"/>
        </w:rPr>
        <w:t>，用地性质为公用设施用地。</w:t>
      </w:r>
    </w:p>
    <w:p w14:paraId="7071B9E4">
      <w:pPr>
        <w:ind w:firstLine="480"/>
        <w:rPr>
          <w:rFonts w:ascii="Times New Roman" w:hAnsi="Times New Roman" w:eastAsia="宋体" w:cs="Times New Roman"/>
          <w:highlight w:val="none"/>
        </w:rPr>
      </w:pPr>
      <w:r>
        <w:rPr>
          <w:rFonts w:ascii="Times New Roman" w:hAnsi="Times New Roman" w:eastAsia="宋体" w:cs="Times New Roman"/>
          <w:highlight w:val="none"/>
        </w:rPr>
        <w:t>经调查，厂址区域内未发现有地下矿藏，也未发现有文物古迹，厂址附近没有影响建厂的军事设施以及通讯设备等，厂址不涉及自然保护区、水源地等环境敏感区。</w:t>
      </w:r>
    </w:p>
    <w:p w14:paraId="10BB5DF8">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本项目仅在供暖期运行，根据</w:t>
      </w:r>
      <w:r>
        <w:rPr>
          <w:rFonts w:hint="eastAsia" w:ascii="Times New Roman" w:hAnsi="Times New Roman" w:eastAsia="宋体" w:cs="Times New Roman"/>
          <w:highlight w:val="none"/>
          <w:lang w:val="en-US" w:eastAsia="zh-CN"/>
        </w:rPr>
        <w:t>绥芬河</w:t>
      </w:r>
      <w:r>
        <w:rPr>
          <w:rFonts w:ascii="Times New Roman" w:hAnsi="Times New Roman" w:eastAsia="宋体" w:cs="Times New Roman"/>
          <w:highlight w:val="none"/>
        </w:rPr>
        <w:t>市的风向频率变化情况可以看出，本项目选址位于</w:t>
      </w:r>
      <w:r>
        <w:rPr>
          <w:rFonts w:hint="eastAsia" w:ascii="Times New Roman" w:hAnsi="Times New Roman" w:eastAsia="宋体" w:cs="Times New Roman"/>
          <w:highlight w:val="none"/>
          <w:lang w:val="en-US" w:eastAsia="zh-CN"/>
        </w:rPr>
        <w:t>绥芬河市</w:t>
      </w:r>
      <w:r>
        <w:rPr>
          <w:rFonts w:hint="eastAsia" w:ascii="Times New Roman" w:hAnsi="Times New Roman" w:eastAsia="宋体" w:cs="Times New Roman"/>
          <w:highlight w:val="none"/>
        </w:rPr>
        <w:t>供暖期</w:t>
      </w:r>
      <w:r>
        <w:rPr>
          <w:rFonts w:ascii="Times New Roman" w:hAnsi="Times New Roman" w:eastAsia="宋体" w:cs="Times New Roman"/>
          <w:highlight w:val="none"/>
        </w:rPr>
        <w:t>主导风向的下风向。</w:t>
      </w:r>
    </w:p>
    <w:p w14:paraId="3EF50AA3">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根据《</w:t>
      </w:r>
      <w:r>
        <w:rPr>
          <w:rFonts w:hint="eastAsia" w:ascii="Times New Roman" w:hAnsi="Times New Roman" w:eastAsia="宋体" w:cs="Times New Roman"/>
          <w:highlight w:val="none"/>
          <w:lang w:val="en-US" w:eastAsia="zh-CN"/>
        </w:rPr>
        <w:t>黑龙江省生态环境质量状况</w:t>
      </w:r>
      <w:r>
        <w:rPr>
          <w:rFonts w:hint="eastAsia" w:ascii="Times New Roman" w:hAnsi="Times New Roman" w:eastAsia="宋体" w:cs="Times New Roman"/>
          <w:highlight w:val="none"/>
        </w:rPr>
        <w:t>》（</w:t>
      </w:r>
      <w:r>
        <w:rPr>
          <w:rFonts w:hint="eastAsia" w:ascii="Times New Roman" w:hAnsi="Times New Roman" w:eastAsia="宋体" w:cs="Times New Roman"/>
          <w:highlight w:val="none"/>
          <w:lang w:val="en-US" w:eastAsia="zh-CN"/>
        </w:rPr>
        <w:t>2024</w:t>
      </w:r>
      <w:r>
        <w:rPr>
          <w:rFonts w:hint="eastAsia" w:ascii="Times New Roman" w:hAnsi="Times New Roman" w:eastAsia="宋体" w:cs="Times New Roman"/>
          <w:highlight w:val="none"/>
        </w:rPr>
        <w:t>）可知</w:t>
      </w:r>
      <w:r>
        <w:rPr>
          <w:rFonts w:hint="eastAsia" w:ascii="Times New Roman" w:hAnsi="Times New Roman" w:cs="Times New Roman"/>
          <w:highlight w:val="none"/>
          <w:lang w:eastAsia="zh-CN"/>
        </w:rPr>
        <w:t>，</w:t>
      </w:r>
      <w:r>
        <w:rPr>
          <w:rFonts w:ascii="Times New Roman" w:hAnsi="Times New Roman" w:eastAsia="宋体" w:cs="Times New Roman"/>
          <w:highlight w:val="none"/>
        </w:rPr>
        <w:t>本项目所在区域属于城市环境空气质量达标区</w:t>
      </w:r>
      <w:r>
        <w:rPr>
          <w:rFonts w:hint="eastAsia" w:ascii="Times New Roman" w:hAnsi="Times New Roman" w:cs="Times New Roman"/>
          <w:highlight w:val="none"/>
          <w:lang w:eastAsia="zh-CN"/>
        </w:rPr>
        <w:t>。</w:t>
      </w:r>
      <w:r>
        <w:rPr>
          <w:rFonts w:ascii="Times New Roman" w:hAnsi="Times New Roman" w:eastAsia="宋体" w:cs="Times New Roman"/>
          <w:highlight w:val="none"/>
        </w:rPr>
        <w:t>本项目</w:t>
      </w:r>
      <w:r>
        <w:rPr>
          <w:rFonts w:hint="eastAsia" w:ascii="Times New Roman" w:hAnsi="Times New Roman" w:cs="Times New Roman"/>
          <w:highlight w:val="none"/>
          <w:lang w:val="en-US" w:eastAsia="zh-CN"/>
        </w:rPr>
        <w:t>运营期间</w:t>
      </w:r>
      <w:r>
        <w:rPr>
          <w:rFonts w:hint="default" w:ascii="Times New Roman" w:hAnsi="Times New Roman" w:eastAsia="宋体" w:cs="Times New Roman"/>
          <w:highlight w:val="none"/>
          <w:lang w:val="en-US" w:eastAsia="zh-CN"/>
        </w:rPr>
        <w:t>三台锅炉在供暖期间交替使用</w:t>
      </w:r>
      <w:r>
        <w:rPr>
          <w:rFonts w:hint="default" w:ascii="Times New Roman" w:hAnsi="Times New Roman" w:eastAsia="宋体" w:cs="Times New Roman"/>
          <w:highlight w:val="none"/>
        </w:rPr>
        <w:t>，</w:t>
      </w:r>
      <w:r>
        <w:rPr>
          <w:rFonts w:hint="default" w:ascii="Times New Roman" w:hAnsi="Times New Roman" w:eastAsia="宋体" w:cs="Times New Roman"/>
          <w:highlight w:val="none"/>
          <w:lang w:val="en-US" w:eastAsia="zh-CN"/>
        </w:rPr>
        <w:t>锅炉烟气</w:t>
      </w:r>
      <w:r>
        <w:rPr>
          <w:rFonts w:hint="eastAsia" w:ascii="Times New Roman" w:hAnsi="Times New Roman" w:cs="Times New Roman"/>
          <w:highlight w:val="none"/>
          <w:lang w:val="en-US" w:eastAsia="zh-CN"/>
        </w:rPr>
        <w:t>均</w:t>
      </w:r>
      <w:r>
        <w:rPr>
          <w:rFonts w:hint="default" w:ascii="Times New Roman" w:hAnsi="Times New Roman" w:eastAsia="宋体" w:cs="Times New Roman"/>
          <w:highlight w:val="none"/>
        </w:rPr>
        <w:t>采用低氮燃烧+SNCR-SCR脱硝+布袋除尘器+石灰石-石膏法脱硫的烟气净化技术，供热能力为</w:t>
      </w:r>
      <w:r>
        <w:rPr>
          <w:rFonts w:hint="default" w:ascii="Times New Roman" w:hAnsi="Times New Roman" w:eastAsia="宋体" w:cs="Times New Roman"/>
          <w:highlight w:val="none"/>
          <w:lang w:val="en-US" w:eastAsia="zh-CN"/>
        </w:rPr>
        <w:t>210</w:t>
      </w:r>
      <w:r>
        <w:rPr>
          <w:rFonts w:hint="default" w:ascii="Times New Roman" w:hAnsi="Times New Roman" w:eastAsia="宋体" w:cs="Times New Roman"/>
          <w:highlight w:val="none"/>
        </w:rPr>
        <w:t>万m</w:t>
      </w:r>
      <w:r>
        <w:rPr>
          <w:rFonts w:hint="default" w:ascii="Times New Roman" w:hAnsi="Times New Roman" w:eastAsia="宋体" w:cs="Times New Roman"/>
          <w:highlight w:val="none"/>
          <w:vertAlign w:val="superscript"/>
        </w:rPr>
        <w:t>2</w:t>
      </w:r>
      <w:r>
        <w:rPr>
          <w:rFonts w:ascii="Times New Roman" w:hAnsi="Times New Roman" w:eastAsia="宋体" w:cs="Times New Roman"/>
          <w:highlight w:val="none"/>
        </w:rPr>
        <w:t>。经过环境空气影响预测分析，本项目建成投产后正常排放下各污染物短期浓度贡献值的最大浓度占标率均小于100%，污染物年均浓度贡献值的最大浓度占标率≤30%，污染物PM</w:t>
      </w:r>
      <w:r>
        <w:rPr>
          <w:rFonts w:ascii="Times New Roman" w:hAnsi="Times New Roman" w:eastAsia="宋体" w:cs="Times New Roman"/>
          <w:highlight w:val="none"/>
          <w:vertAlign w:val="subscript"/>
        </w:rPr>
        <w:t>10</w:t>
      </w:r>
      <w:r>
        <w:rPr>
          <w:rFonts w:ascii="Times New Roman" w:hAnsi="Times New Roman" w:eastAsia="宋体" w:cs="Times New Roman"/>
          <w:highlight w:val="none"/>
        </w:rPr>
        <w:t>、SO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和NO</w:t>
      </w:r>
      <w:r>
        <w:rPr>
          <w:rFonts w:ascii="Times New Roman" w:hAnsi="Times New Roman" w:eastAsia="宋体" w:cs="Times New Roman"/>
          <w:highlight w:val="none"/>
          <w:vertAlign w:val="subscript"/>
        </w:rPr>
        <w:t>2</w:t>
      </w:r>
      <w:r>
        <w:rPr>
          <w:rFonts w:ascii="Times New Roman" w:hAnsi="Times New Roman" w:eastAsia="宋体" w:cs="Times New Roman"/>
          <w:highlight w:val="none"/>
        </w:rPr>
        <w:t>经叠加后保证率日平均质量浓度和年平均质量浓度均符合《环境空气质量标准》(GB3095-2012)中二级标准；本项目运营后排放的大气污染物不会突破项目所在地区的环境空气质量底线。</w:t>
      </w:r>
    </w:p>
    <w:p w14:paraId="5FAB9432">
      <w:pPr>
        <w:ind w:firstLine="480"/>
        <w:rPr>
          <w:rFonts w:ascii="Times New Roman" w:hAnsi="Times New Roman" w:eastAsia="宋体" w:cs="Times New Roman"/>
          <w:highlight w:val="none"/>
        </w:rPr>
      </w:pPr>
      <w:r>
        <w:rPr>
          <w:rFonts w:ascii="Times New Roman" w:hAnsi="Times New Roman" w:eastAsia="宋体" w:cs="Times New Roman"/>
          <w:highlight w:val="none"/>
        </w:rPr>
        <w:t>本项目在平面布置设计过程中，尽量将高噪声设备远离居民区，生产设备尽量布置在封闭厂房内，同时生产设备采取严格的隔声减振措施，本项目建成后对周围居民噪声影响较小。</w:t>
      </w:r>
    </w:p>
    <w:p w14:paraId="3D78BA09">
      <w:pPr>
        <w:ind w:firstLine="480"/>
        <w:rPr>
          <w:rFonts w:ascii="Times New Roman" w:hAnsi="Times New Roman" w:eastAsia="宋体" w:cs="Times New Roman"/>
          <w:highlight w:val="none"/>
        </w:rPr>
      </w:pPr>
      <w:r>
        <w:rPr>
          <w:rFonts w:hint="eastAsia" w:ascii="Times New Roman" w:hAnsi="Times New Roman" w:eastAsia="宋体" w:cs="Times New Roman"/>
          <w:highlight w:val="none"/>
        </w:rPr>
        <w:t>本项目建设地点及规模符合《</w:t>
      </w:r>
      <w:r>
        <w:rPr>
          <w:rFonts w:hint="eastAsia" w:ascii="Times New Roman" w:hAnsi="Times New Roman" w:eastAsia="宋体" w:cs="Times New Roman"/>
          <w:highlight w:val="none"/>
          <w:lang w:val="en-US" w:eastAsia="zh-CN"/>
        </w:rPr>
        <w:t>绥芬河市集中供热规划</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lang w:val="en-US" w:eastAsia="zh-CN"/>
        </w:rPr>
        <w:t>2016-2030</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以及《</w:t>
      </w:r>
      <w:r>
        <w:rPr>
          <w:rFonts w:hint="eastAsia" w:ascii="Times New Roman" w:hAnsi="Times New Roman" w:eastAsia="宋体" w:cs="Times New Roman"/>
          <w:highlight w:val="none"/>
          <w:lang w:val="en-US" w:eastAsia="zh-CN"/>
        </w:rPr>
        <w:t>牡丹江市“十四五”生态环境保护规划</w:t>
      </w:r>
      <w:r>
        <w:rPr>
          <w:rFonts w:hint="eastAsia" w:ascii="Times New Roman" w:hAnsi="Times New Roman" w:eastAsia="宋体" w:cs="Times New Roman"/>
          <w:highlight w:val="none"/>
        </w:rPr>
        <w:t>》（2021-</w:t>
      </w:r>
      <w:r>
        <w:rPr>
          <w:rFonts w:hint="eastAsia" w:ascii="Times New Roman" w:hAnsi="Times New Roman" w:eastAsia="宋体" w:cs="Times New Roman"/>
          <w:highlight w:val="none"/>
          <w:lang w:val="en-US" w:eastAsia="zh-CN"/>
        </w:rPr>
        <w:t>2025</w:t>
      </w:r>
      <w:r>
        <w:rPr>
          <w:rFonts w:hint="eastAsia" w:ascii="Times New Roman" w:hAnsi="Times New Roman" w:eastAsia="宋体" w:cs="Times New Roman"/>
          <w:highlight w:val="none"/>
        </w:rPr>
        <w:t>》的相关要求。</w:t>
      </w:r>
    </w:p>
    <w:p w14:paraId="0FAB3A68">
      <w:pPr>
        <w:bidi w:val="0"/>
        <w:rPr>
          <w:rFonts w:ascii="Times New Roman" w:hAnsi="Times New Roman" w:eastAsia="宋体" w:cs="Times New Roman"/>
          <w:highlight w:val="none"/>
        </w:rPr>
      </w:pPr>
      <w:r>
        <w:rPr>
          <w:rFonts w:ascii="Times New Roman" w:hAnsi="Times New Roman" w:eastAsia="宋体" w:cs="Times New Roman"/>
          <w:highlight w:val="none"/>
        </w:rPr>
        <w:t>综合分析，本项目选址从环境角度分析时可接受的，选址是合理的。</w:t>
      </w:r>
    </w:p>
    <w:p w14:paraId="7FFBB94C">
      <w:pPr>
        <w:pStyle w:val="4"/>
        <w:bidi w:val="0"/>
        <w:ind w:left="0" w:leftChars="0" w:firstLine="0" w:firstLineChars="0"/>
        <w:rPr>
          <w:rFonts w:hint="eastAsia"/>
          <w:highlight w:val="none"/>
          <w:lang w:val="en-US" w:eastAsia="zh-CN"/>
        </w:rPr>
      </w:pPr>
      <w:bookmarkStart w:id="201" w:name="_Toc18746"/>
      <w:r>
        <w:rPr>
          <w:rFonts w:hint="eastAsia"/>
          <w:highlight w:val="none"/>
          <w:lang w:val="en-US" w:eastAsia="zh-CN"/>
        </w:rPr>
        <w:t>9.4环境质量现状评价结论</w:t>
      </w:r>
      <w:bookmarkEnd w:id="201"/>
    </w:p>
    <w:p w14:paraId="1ABB37F3">
      <w:pPr>
        <w:pStyle w:val="5"/>
        <w:ind w:left="0" w:leftChars="0" w:firstLine="0" w:firstLineChars="0"/>
        <w:rPr>
          <w:rFonts w:hint="eastAsia"/>
          <w:highlight w:val="none"/>
          <w:lang w:val="en-US" w:eastAsia="zh-CN"/>
        </w:rPr>
      </w:pPr>
      <w:bookmarkStart w:id="202" w:name="_Toc2532"/>
      <w:r>
        <w:rPr>
          <w:rFonts w:hint="eastAsia"/>
          <w:highlight w:val="none"/>
          <w:lang w:val="en-US" w:eastAsia="zh-CN"/>
        </w:rPr>
        <w:t>9.4.1环境空气质量现状评价结论</w:t>
      </w:r>
      <w:bookmarkEnd w:id="202"/>
    </w:p>
    <w:p w14:paraId="725DD601">
      <w:pPr>
        <w:ind w:firstLine="480"/>
        <w:rPr>
          <w:rFonts w:ascii="Times New Roman" w:hAnsi="Times New Roman"/>
          <w:highlight w:val="none"/>
        </w:rPr>
      </w:pPr>
      <w:r>
        <w:rPr>
          <w:rFonts w:ascii="Times New Roman" w:hAnsi="Times New Roman"/>
          <w:highlight w:val="none"/>
        </w:rPr>
        <w:t>根据评价区环境空气现状数据分析可知，市区PM</w:t>
      </w:r>
      <w:r>
        <w:rPr>
          <w:rFonts w:ascii="Times New Roman" w:hAnsi="Times New Roman"/>
          <w:highlight w:val="none"/>
          <w:vertAlign w:val="subscript"/>
        </w:rPr>
        <w:t>2.5</w:t>
      </w:r>
      <w:r>
        <w:rPr>
          <w:rFonts w:ascii="Times New Roman" w:hAnsi="Times New Roman"/>
          <w:highlight w:val="none"/>
        </w:rPr>
        <w:t>年均值和24小时平均第95百分位浓度超过《环境空气质量标准》（GB3095-2012）及其修改单二级标准限值要求，PM</w:t>
      </w:r>
      <w:r>
        <w:rPr>
          <w:rFonts w:ascii="Times New Roman" w:hAnsi="Times New Roman"/>
          <w:highlight w:val="none"/>
          <w:vertAlign w:val="subscript"/>
        </w:rPr>
        <w:t>10</w:t>
      </w:r>
      <w:r>
        <w:rPr>
          <w:rFonts w:ascii="Times New Roman" w:hAnsi="Times New Roman"/>
          <w:highlight w:val="none"/>
        </w:rPr>
        <w:t>、NO</w:t>
      </w:r>
      <w:r>
        <w:rPr>
          <w:rFonts w:ascii="Times New Roman" w:hAnsi="Times New Roman"/>
          <w:highlight w:val="none"/>
          <w:vertAlign w:val="subscript"/>
        </w:rPr>
        <w:t>2</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、CO、O</w:t>
      </w:r>
      <w:r>
        <w:rPr>
          <w:rFonts w:ascii="Times New Roman" w:hAnsi="Times New Roman"/>
          <w:highlight w:val="none"/>
          <w:vertAlign w:val="subscript"/>
        </w:rPr>
        <w:t>3</w:t>
      </w:r>
      <w:r>
        <w:rPr>
          <w:rFonts w:ascii="Times New Roman" w:hAnsi="Times New Roman"/>
          <w:highlight w:val="none"/>
        </w:rPr>
        <w:t>浓度均能达到《环境空气质量标准》（GB3095-2012）及其修改单二级标准。本项目所在区域为不达标区。</w:t>
      </w:r>
    </w:p>
    <w:p w14:paraId="5CFFD750">
      <w:pPr>
        <w:ind w:firstLine="480"/>
        <w:rPr>
          <w:rFonts w:ascii="Times New Roman" w:hAnsi="Times New Roman"/>
          <w:highlight w:val="none"/>
        </w:rPr>
      </w:pPr>
      <w:r>
        <w:rPr>
          <w:rFonts w:ascii="Times New Roman" w:hAnsi="Times New Roman"/>
          <w:highlight w:val="none"/>
        </w:rPr>
        <w:t>补充监测点位的TSP、NOx满足《环境空气质量标准》（GB3095-2012）及其修改单中表2二级标准要求，Hg日均值满足《环境空气质量标准》（GB3095-2012）附录A标准要求，NH</w:t>
      </w:r>
      <w:r>
        <w:rPr>
          <w:rFonts w:ascii="Times New Roman" w:hAnsi="Times New Roman"/>
          <w:highlight w:val="none"/>
          <w:vertAlign w:val="subscript"/>
        </w:rPr>
        <w:t>3</w:t>
      </w:r>
      <w:r>
        <w:rPr>
          <w:rFonts w:ascii="Times New Roman" w:hAnsi="Times New Roman"/>
          <w:highlight w:val="none"/>
        </w:rPr>
        <w:t>满足《环境影响评价技术导则—大气环境》（HJ2.2-2018）附录D要求。</w:t>
      </w:r>
    </w:p>
    <w:p w14:paraId="74D388BB">
      <w:pPr>
        <w:pStyle w:val="5"/>
        <w:bidi w:val="0"/>
        <w:ind w:left="0" w:leftChars="0" w:firstLine="0" w:firstLineChars="0"/>
        <w:rPr>
          <w:rFonts w:hint="eastAsia"/>
          <w:highlight w:val="none"/>
          <w:lang w:val="en-US" w:eastAsia="zh-CN"/>
        </w:rPr>
      </w:pPr>
      <w:bookmarkStart w:id="203" w:name="_Toc16244"/>
      <w:r>
        <w:rPr>
          <w:rFonts w:hint="eastAsia"/>
          <w:highlight w:val="none"/>
          <w:lang w:val="en-US" w:eastAsia="zh-CN"/>
        </w:rPr>
        <w:t>9.4.2地表水环境质量现状评价结论</w:t>
      </w:r>
      <w:bookmarkEnd w:id="203"/>
    </w:p>
    <w:p w14:paraId="7DB345E3">
      <w:pPr>
        <w:bidi w:val="0"/>
        <w:rPr>
          <w:rFonts w:hint="default" w:ascii="Times New Roman" w:hAnsi="Times New Roman" w:eastAsia="宋体" w:cs="Times New Roman"/>
          <w:color w:val="auto"/>
          <w:spacing w:val="0"/>
          <w:sz w:val="24"/>
          <w:highlight w:val="none"/>
          <w:lang w:val="en-US" w:eastAsia="zh-CN"/>
        </w:rPr>
      </w:pPr>
      <w:r>
        <w:rPr>
          <w:rFonts w:hint="default" w:ascii="Times New Roman" w:hAnsi="Times New Roman" w:eastAsia="宋体" w:cs="Times New Roman"/>
          <w:color w:val="auto"/>
          <w:spacing w:val="0"/>
          <w:sz w:val="24"/>
          <w:highlight w:val="none"/>
          <w:lang w:val="en-US" w:eastAsia="zh-CN"/>
        </w:rPr>
        <w:t>根据《牡丹江市环境质量公报202</w:t>
      </w:r>
      <w:r>
        <w:rPr>
          <w:rFonts w:hint="eastAsia" w:ascii="Times New Roman" w:hAnsi="Times New Roman" w:eastAsia="宋体" w:cs="Times New Roman"/>
          <w:color w:val="auto"/>
          <w:spacing w:val="0"/>
          <w:sz w:val="24"/>
          <w:highlight w:val="none"/>
          <w:lang w:val="en-US" w:eastAsia="zh-CN"/>
        </w:rPr>
        <w:t>4</w:t>
      </w:r>
      <w:r>
        <w:rPr>
          <w:rFonts w:hint="default" w:ascii="Times New Roman" w:hAnsi="Times New Roman" w:eastAsia="宋体" w:cs="Times New Roman"/>
          <w:color w:val="auto"/>
          <w:spacing w:val="0"/>
          <w:sz w:val="24"/>
          <w:highlight w:val="none"/>
          <w:lang w:val="en-US" w:eastAsia="zh-CN"/>
        </w:rPr>
        <w:t>年度》，202</w:t>
      </w:r>
      <w:r>
        <w:rPr>
          <w:rFonts w:hint="eastAsia" w:ascii="Times New Roman" w:hAnsi="Times New Roman" w:eastAsia="宋体" w:cs="Times New Roman"/>
          <w:color w:val="auto"/>
          <w:spacing w:val="0"/>
          <w:sz w:val="24"/>
          <w:highlight w:val="none"/>
          <w:lang w:val="en-US" w:eastAsia="zh-CN"/>
        </w:rPr>
        <w:t>4</w:t>
      </w:r>
      <w:r>
        <w:rPr>
          <w:rFonts w:hint="default" w:ascii="Times New Roman" w:hAnsi="Times New Roman" w:eastAsia="宋体" w:cs="Times New Roman"/>
          <w:color w:val="auto"/>
          <w:spacing w:val="0"/>
          <w:sz w:val="24"/>
          <w:highlight w:val="none"/>
          <w:lang w:val="en-US" w:eastAsia="zh-CN"/>
        </w:rPr>
        <w:t>年水污染防治考核断面优于Ⅲ类水质比例为</w:t>
      </w:r>
      <w:r>
        <w:rPr>
          <w:rFonts w:hint="eastAsia" w:ascii="Times New Roman" w:hAnsi="Times New Roman" w:eastAsia="宋体" w:cs="Times New Roman"/>
          <w:color w:val="auto"/>
          <w:spacing w:val="0"/>
          <w:sz w:val="24"/>
          <w:highlight w:val="none"/>
          <w:lang w:val="en-US" w:eastAsia="zh-CN"/>
        </w:rPr>
        <w:t>91.7</w:t>
      </w:r>
      <w:r>
        <w:rPr>
          <w:rFonts w:hint="default" w:ascii="Times New Roman" w:hAnsi="Times New Roman" w:eastAsia="宋体" w:cs="Times New Roman"/>
          <w:color w:val="auto"/>
          <w:spacing w:val="0"/>
          <w:sz w:val="24"/>
          <w:highlight w:val="none"/>
          <w:lang w:val="en-US" w:eastAsia="zh-CN"/>
        </w:rPr>
        <w:t>%。</w:t>
      </w:r>
      <w:r>
        <w:rPr>
          <w:rFonts w:hint="eastAsia" w:ascii="Times New Roman" w:hAnsi="Times New Roman" w:eastAsia="宋体" w:cs="Times New Roman"/>
          <w:color w:val="auto"/>
          <w:spacing w:val="0"/>
          <w:sz w:val="24"/>
          <w:highlight w:val="none"/>
          <w:lang w:val="en-US" w:eastAsia="zh-CN"/>
        </w:rPr>
        <w:t>2024年西水源和铁路水源两处饮用水水源地水质均符合集中式饮用水水源地水质要求。与去年同期相比，水源地水质无变化。</w:t>
      </w:r>
    </w:p>
    <w:p w14:paraId="44824AB4">
      <w:pPr>
        <w:rPr>
          <w:rFonts w:hint="default" w:ascii="Times New Roman" w:hAnsi="Times New Roman" w:cs="Times New Roman"/>
          <w:color w:val="auto"/>
          <w:sz w:val="24"/>
          <w:highlight w:val="none"/>
          <w:lang w:eastAsia="zh-CN"/>
        </w:rPr>
      </w:pPr>
      <w:r>
        <w:rPr>
          <w:rFonts w:hint="default" w:ascii="Times New Roman" w:hAnsi="Times New Roman" w:eastAsia="宋体" w:cs="Times New Roman"/>
          <w:color w:val="auto"/>
          <w:spacing w:val="0"/>
          <w:sz w:val="24"/>
          <w:highlight w:val="none"/>
          <w:lang w:val="en-US" w:eastAsia="zh-CN"/>
        </w:rPr>
        <w:t>本项目所在区域</w:t>
      </w:r>
      <w:r>
        <w:rPr>
          <w:rFonts w:hint="default" w:ascii="Times New Roman" w:hAnsi="Times New Roman" w:cs="Times New Roman"/>
          <w:color w:val="auto"/>
          <w:spacing w:val="0"/>
          <w:sz w:val="24"/>
          <w:highlight w:val="none"/>
          <w:lang w:val="en-US" w:eastAsia="zh-CN"/>
        </w:rPr>
        <w:t>水系为绥芬河，所在河流</w:t>
      </w:r>
      <w:r>
        <w:rPr>
          <w:rFonts w:hint="default" w:ascii="Times New Roman" w:hAnsi="Times New Roman" w:eastAsia="宋体" w:cs="Times New Roman"/>
          <w:color w:val="auto"/>
          <w:spacing w:val="0"/>
          <w:sz w:val="24"/>
          <w:highlight w:val="none"/>
          <w:lang w:val="en-US" w:eastAsia="zh-CN"/>
        </w:rPr>
        <w:t>为</w:t>
      </w:r>
      <w:r>
        <w:rPr>
          <w:rFonts w:hint="eastAsia" w:cs="Times New Roman"/>
          <w:color w:val="auto"/>
          <w:spacing w:val="0"/>
          <w:sz w:val="24"/>
          <w:highlight w:val="none"/>
          <w:lang w:val="en-US" w:eastAsia="zh-CN"/>
        </w:rPr>
        <w:t>北大河、</w:t>
      </w:r>
      <w:r>
        <w:rPr>
          <w:rFonts w:hint="default" w:ascii="Times New Roman" w:hAnsi="Times New Roman" w:cs="Times New Roman"/>
          <w:color w:val="auto"/>
          <w:spacing w:val="0"/>
          <w:sz w:val="24"/>
          <w:highlight w:val="none"/>
          <w:lang w:val="en-US" w:eastAsia="zh-CN"/>
        </w:rPr>
        <w:t>寒葱河和小绥芬</w:t>
      </w:r>
      <w:r>
        <w:rPr>
          <w:rFonts w:hint="default" w:ascii="Times New Roman" w:hAnsi="Times New Roman" w:eastAsia="宋体" w:cs="Times New Roman"/>
          <w:color w:val="auto"/>
          <w:spacing w:val="0"/>
          <w:sz w:val="24"/>
          <w:highlight w:val="none"/>
          <w:lang w:val="en-US" w:eastAsia="zh-CN"/>
        </w:rPr>
        <w:t>河，</w:t>
      </w:r>
      <w:r>
        <w:rPr>
          <w:rFonts w:hint="default" w:ascii="Times New Roman" w:hAnsi="Times New Roman" w:cs="Times New Roman"/>
          <w:color w:val="auto"/>
          <w:spacing w:val="0"/>
          <w:sz w:val="24"/>
          <w:highlight w:val="none"/>
          <w:lang w:val="en-US" w:eastAsia="zh-CN"/>
        </w:rPr>
        <w:t>本项目参照小绥芬河水体功能类别，项目</w:t>
      </w:r>
      <w:r>
        <w:rPr>
          <w:rFonts w:hint="default" w:ascii="Times New Roman" w:hAnsi="Times New Roman" w:eastAsia="宋体" w:cs="Times New Roman"/>
          <w:color w:val="auto"/>
          <w:sz w:val="24"/>
          <w:highlight w:val="none"/>
          <w:lang w:val="en-US" w:eastAsia="zh-CN"/>
        </w:rPr>
        <w:t>位于</w:t>
      </w:r>
      <w:r>
        <w:rPr>
          <w:rFonts w:hint="default" w:ascii="Times New Roman" w:hAnsi="Times New Roman" w:cs="Times New Roman"/>
          <w:color w:val="auto"/>
          <w:sz w:val="24"/>
          <w:highlight w:val="none"/>
          <w:lang w:val="en-US" w:eastAsia="zh-CN"/>
        </w:rPr>
        <w:t>小绥芬河（老莱营村-大、小绥芬河汇合口</w:t>
      </w:r>
      <w:r>
        <w:rPr>
          <w:rFonts w:hint="default" w:ascii="Times New Roman" w:hAnsi="Times New Roman" w:eastAsia="宋体" w:cs="Times New Roman"/>
          <w:color w:val="auto"/>
          <w:sz w:val="24"/>
          <w:highlight w:val="none"/>
          <w:lang w:val="en-US" w:eastAsia="zh-CN"/>
        </w:rPr>
        <w:t>断面</w:t>
      </w:r>
      <w:r>
        <w:rPr>
          <w:rFonts w:hint="default" w:ascii="Times New Roman" w:hAnsi="Times New Roman"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根据《全国重要江河湖泊水功能区划（2011～2030年）》</w:t>
      </w:r>
      <w:r>
        <w:rPr>
          <w:rFonts w:hint="default" w:ascii="Times New Roman" w:hAnsi="Times New Roman" w:cs="Times New Roman"/>
          <w:color w:val="auto"/>
          <w:kern w:val="0"/>
          <w:sz w:val="24"/>
          <w:szCs w:val="24"/>
          <w:highlight w:val="none"/>
          <w:lang w:val="en-US" w:eastAsia="zh-CN" w:bidi="ar"/>
        </w:rPr>
        <w:t>，水质类别为</w:t>
      </w:r>
      <w:r>
        <w:rPr>
          <w:rFonts w:hint="default" w:ascii="Times New Roman" w:hAnsi="Times New Roman" w:eastAsia="宋体" w:cs="Times New Roman"/>
          <w:color w:val="auto"/>
          <w:sz w:val="24"/>
          <w:highlight w:val="none"/>
        </w:rPr>
        <w:t>Ⅲ</w:t>
      </w:r>
      <w:r>
        <w:rPr>
          <w:rFonts w:hint="default" w:ascii="Times New Roman" w:hAnsi="Times New Roman" w:cs="Times New Roman"/>
          <w:color w:val="auto"/>
          <w:kern w:val="0"/>
          <w:sz w:val="24"/>
          <w:szCs w:val="24"/>
          <w:highlight w:val="none"/>
          <w:lang w:val="en-US" w:eastAsia="zh-CN" w:bidi="ar"/>
        </w:rPr>
        <w:t>类，</w:t>
      </w:r>
      <w:r>
        <w:rPr>
          <w:rFonts w:hint="default" w:ascii="Times New Roman" w:hAnsi="Times New Roman" w:eastAsia="宋体" w:cs="Times New Roman"/>
          <w:color w:val="auto"/>
          <w:sz w:val="24"/>
          <w:highlight w:val="none"/>
          <w:lang w:val="en-US" w:eastAsia="zh-CN"/>
        </w:rPr>
        <w:t>执行</w:t>
      </w:r>
      <w:r>
        <w:rPr>
          <w:rFonts w:hint="default" w:ascii="Times New Roman" w:hAnsi="Times New Roman" w:eastAsia="宋体" w:cs="Times New Roman"/>
          <w:color w:val="auto"/>
          <w:sz w:val="24"/>
          <w:highlight w:val="none"/>
        </w:rPr>
        <w:t>《地表水环境质量标准》（GB3838-2002）中Ⅲ类水体标准</w:t>
      </w:r>
      <w:r>
        <w:rPr>
          <w:rFonts w:hint="default" w:ascii="Times New Roman" w:hAnsi="Times New Roman" w:cs="Times New Roman"/>
          <w:color w:val="auto"/>
          <w:sz w:val="24"/>
          <w:highlight w:val="none"/>
          <w:lang w:eastAsia="zh-CN"/>
        </w:rPr>
        <w:t>。</w:t>
      </w:r>
    </w:p>
    <w:p w14:paraId="565AD9A4">
      <w:pPr>
        <w:pStyle w:val="5"/>
        <w:bidi w:val="0"/>
        <w:ind w:left="0" w:leftChars="0" w:firstLine="0" w:firstLineChars="0"/>
        <w:rPr>
          <w:rFonts w:hint="eastAsia"/>
          <w:highlight w:val="none"/>
          <w:lang w:val="en-US" w:eastAsia="zh-CN"/>
        </w:rPr>
      </w:pPr>
      <w:bookmarkStart w:id="204" w:name="_Toc9991"/>
      <w:r>
        <w:rPr>
          <w:rFonts w:hint="eastAsia"/>
          <w:highlight w:val="none"/>
          <w:lang w:val="en-US" w:eastAsia="zh-CN"/>
        </w:rPr>
        <w:t>9.4.3声环境质量现状评价结论</w:t>
      </w:r>
      <w:bookmarkEnd w:id="204"/>
    </w:p>
    <w:p w14:paraId="26A8FA81">
      <w:pPr>
        <w:snapToGrid w:val="0"/>
        <w:spacing w:line="480" w:lineRule="exact"/>
        <w:ind w:firstLine="480"/>
        <w:rPr>
          <w:rFonts w:ascii="Times New Roman" w:hAnsi="Times New Roman"/>
          <w:highlight w:val="none"/>
        </w:rPr>
      </w:pPr>
      <w:r>
        <w:rPr>
          <w:rFonts w:ascii="Times New Roman" w:hAnsi="Times New Roman"/>
          <w:highlight w:val="none"/>
        </w:rPr>
        <w:t>本项目厂址区域噪声昼间</w:t>
      </w:r>
      <w:r>
        <w:rPr>
          <w:rFonts w:hint="eastAsia" w:ascii="Times New Roman" w:hAnsi="Times New Roman"/>
          <w:highlight w:val="none"/>
          <w:lang w:val="en-US" w:eastAsia="zh-CN"/>
        </w:rPr>
        <w:t>55</w:t>
      </w:r>
      <w:r>
        <w:rPr>
          <w:rFonts w:hint="eastAsia" w:ascii="Times New Roman" w:hAnsi="Times New Roman"/>
          <w:highlight w:val="none"/>
        </w:rPr>
        <w:t>~</w:t>
      </w:r>
      <w:r>
        <w:rPr>
          <w:rFonts w:hint="eastAsia" w:ascii="Times New Roman" w:hAnsi="Times New Roman"/>
          <w:highlight w:val="none"/>
          <w:lang w:val="en-US" w:eastAsia="zh-CN"/>
        </w:rPr>
        <w:t>68</w:t>
      </w:r>
      <w:r>
        <w:rPr>
          <w:rFonts w:ascii="Times New Roman" w:hAnsi="Times New Roman"/>
          <w:highlight w:val="none"/>
        </w:rPr>
        <w:t>dB(A）之间，夜间在</w:t>
      </w:r>
      <w:r>
        <w:rPr>
          <w:rFonts w:hint="eastAsia" w:ascii="Times New Roman" w:hAnsi="Times New Roman"/>
          <w:highlight w:val="none"/>
          <w:lang w:val="en-US" w:eastAsia="zh-CN"/>
        </w:rPr>
        <w:t>43</w:t>
      </w:r>
      <w:r>
        <w:rPr>
          <w:rFonts w:ascii="Times New Roman" w:hAnsi="Times New Roman"/>
          <w:highlight w:val="none"/>
        </w:rPr>
        <w:t>~</w:t>
      </w:r>
      <w:r>
        <w:rPr>
          <w:rFonts w:hint="eastAsia" w:ascii="Times New Roman" w:hAnsi="Times New Roman"/>
          <w:highlight w:val="none"/>
          <w:lang w:val="en-US" w:eastAsia="zh-CN"/>
        </w:rPr>
        <w:t>53</w:t>
      </w:r>
      <w:r>
        <w:rPr>
          <w:rFonts w:ascii="Times New Roman" w:hAnsi="Times New Roman"/>
          <w:highlight w:val="none"/>
        </w:rPr>
        <w:t>dB(A）之间，昼间、夜间噪声满足《声环境质量标准》（GB3096—2008）中</w:t>
      </w:r>
      <w:r>
        <w:rPr>
          <w:rFonts w:hint="eastAsia" w:ascii="Times New Roman" w:hAnsi="Times New Roman"/>
          <w:highlight w:val="none"/>
          <w:lang w:val="en-US" w:eastAsia="zh-CN"/>
        </w:rPr>
        <w:t>2</w:t>
      </w:r>
      <w:r>
        <w:rPr>
          <w:rFonts w:ascii="Times New Roman" w:hAnsi="Times New Roman"/>
          <w:highlight w:val="none"/>
        </w:rPr>
        <w:t>类区</w:t>
      </w:r>
      <w:r>
        <w:rPr>
          <w:rFonts w:hint="eastAsia" w:ascii="Times New Roman" w:hAnsi="Times New Roman"/>
          <w:highlight w:val="none"/>
          <w:lang w:val="en-US" w:eastAsia="zh-CN"/>
        </w:rPr>
        <w:t>和4a类</w:t>
      </w:r>
      <w:r>
        <w:rPr>
          <w:rFonts w:ascii="Times New Roman" w:hAnsi="Times New Roman"/>
          <w:highlight w:val="none"/>
        </w:rPr>
        <w:t>标准限值要求。</w:t>
      </w:r>
      <w:r>
        <w:rPr>
          <w:rFonts w:hint="eastAsia" w:ascii="Times New Roman" w:hAnsi="Times New Roman"/>
          <w:highlight w:val="none"/>
        </w:rPr>
        <w:t>周边</w:t>
      </w:r>
      <w:r>
        <w:rPr>
          <w:rFonts w:hint="eastAsia" w:ascii="Times New Roman" w:hAnsi="Times New Roman"/>
          <w:highlight w:val="none"/>
          <w:lang w:val="en-US" w:eastAsia="zh-CN"/>
        </w:rPr>
        <w:t>敏感点</w:t>
      </w:r>
      <w:r>
        <w:rPr>
          <w:rFonts w:ascii="Times New Roman" w:hAnsi="Times New Roman"/>
          <w:highlight w:val="none"/>
        </w:rPr>
        <w:t>昼间</w:t>
      </w:r>
      <w:r>
        <w:rPr>
          <w:rFonts w:hint="eastAsia" w:ascii="Times New Roman" w:hAnsi="Times New Roman"/>
          <w:highlight w:val="none"/>
          <w:lang w:val="en-US" w:eastAsia="zh-CN"/>
        </w:rPr>
        <w:t>49</w:t>
      </w:r>
      <w:r>
        <w:rPr>
          <w:rFonts w:ascii="Times New Roman" w:hAnsi="Times New Roman"/>
          <w:highlight w:val="none"/>
        </w:rPr>
        <w:t>~</w:t>
      </w:r>
      <w:r>
        <w:rPr>
          <w:rFonts w:hint="eastAsia" w:ascii="Times New Roman" w:hAnsi="Times New Roman"/>
          <w:highlight w:val="none"/>
          <w:lang w:val="en-US" w:eastAsia="zh-CN"/>
        </w:rPr>
        <w:t>56</w:t>
      </w:r>
      <w:r>
        <w:rPr>
          <w:rFonts w:ascii="Times New Roman" w:hAnsi="Times New Roman"/>
          <w:highlight w:val="none"/>
        </w:rPr>
        <w:t>dB(A）之间，夜间在</w:t>
      </w:r>
      <w:r>
        <w:rPr>
          <w:rFonts w:hint="eastAsia" w:ascii="Times New Roman" w:hAnsi="Times New Roman"/>
          <w:highlight w:val="none"/>
          <w:lang w:val="en-US" w:eastAsia="zh-CN"/>
        </w:rPr>
        <w:t>41</w:t>
      </w:r>
      <w:r>
        <w:rPr>
          <w:rFonts w:ascii="Times New Roman" w:hAnsi="Times New Roman"/>
          <w:highlight w:val="none"/>
        </w:rPr>
        <w:t>~</w:t>
      </w:r>
      <w:r>
        <w:rPr>
          <w:rFonts w:hint="eastAsia" w:ascii="Times New Roman" w:hAnsi="Times New Roman"/>
          <w:highlight w:val="none"/>
          <w:lang w:val="en-US" w:eastAsia="zh-CN"/>
        </w:rPr>
        <w:t>44</w:t>
      </w:r>
      <w:r>
        <w:rPr>
          <w:rFonts w:ascii="Times New Roman" w:hAnsi="Times New Roman"/>
          <w:highlight w:val="none"/>
        </w:rPr>
        <w:t>dB(A）之间，昼间、夜间噪声满足《声环境质量标准》（GB3096—2008）中2类区标准限值要求。</w:t>
      </w:r>
    </w:p>
    <w:p w14:paraId="1FB53A8C">
      <w:pPr>
        <w:pStyle w:val="5"/>
        <w:bidi w:val="0"/>
        <w:ind w:left="0" w:leftChars="0" w:firstLine="0" w:firstLineChars="0"/>
        <w:rPr>
          <w:rFonts w:hint="eastAsia"/>
          <w:highlight w:val="none"/>
          <w:lang w:val="en-US" w:eastAsia="zh-CN"/>
        </w:rPr>
      </w:pPr>
      <w:bookmarkStart w:id="205" w:name="_Toc19127"/>
      <w:r>
        <w:rPr>
          <w:rFonts w:hint="eastAsia"/>
          <w:highlight w:val="none"/>
          <w:lang w:val="en-US" w:eastAsia="zh-CN"/>
        </w:rPr>
        <w:t>9.4.4土壤环境质量现状评价结论</w:t>
      </w:r>
      <w:bookmarkEnd w:id="205"/>
    </w:p>
    <w:p w14:paraId="5342B12C">
      <w:pPr>
        <w:rPr>
          <w:rFonts w:ascii="Times New Roman" w:hAnsi="Times New Roman"/>
          <w:highlight w:val="none"/>
        </w:rPr>
      </w:pPr>
      <w:r>
        <w:rPr>
          <w:rFonts w:ascii="Times New Roman" w:hAnsi="Times New Roman"/>
          <w:highlight w:val="none"/>
        </w:rPr>
        <w:t>由监测结果表明，本次土壤现状监测因子标准指数均小于1，各监测点位各项指标均达到《土壤环境质量 建设用地土壤污染风险管控标准（试行）》（GB36600-2018）第二类用地筛选值中的标准限值，项目所在地土壤环境质量现状较好。</w:t>
      </w:r>
    </w:p>
    <w:p w14:paraId="308BB24B">
      <w:pPr>
        <w:pStyle w:val="4"/>
        <w:bidi w:val="0"/>
        <w:ind w:left="0" w:leftChars="0" w:firstLine="0" w:firstLineChars="0"/>
        <w:rPr>
          <w:rFonts w:hint="eastAsia"/>
          <w:highlight w:val="none"/>
          <w:lang w:val="en-US" w:eastAsia="zh-CN"/>
        </w:rPr>
      </w:pPr>
      <w:bookmarkStart w:id="206" w:name="_Toc14050"/>
      <w:r>
        <w:rPr>
          <w:rFonts w:hint="eastAsia"/>
          <w:highlight w:val="none"/>
          <w:lang w:val="en-US" w:eastAsia="zh-CN"/>
        </w:rPr>
        <w:t>9.5污染物排放、影响及采取的污染防治措施</w:t>
      </w:r>
      <w:bookmarkEnd w:id="206"/>
    </w:p>
    <w:p w14:paraId="225F4D3D">
      <w:pPr>
        <w:pStyle w:val="5"/>
        <w:bidi w:val="0"/>
        <w:ind w:left="0" w:leftChars="0" w:firstLine="0" w:firstLineChars="0"/>
        <w:rPr>
          <w:rFonts w:hint="eastAsia"/>
          <w:highlight w:val="none"/>
          <w:lang w:val="en-US" w:eastAsia="zh-CN"/>
        </w:rPr>
      </w:pPr>
      <w:bookmarkStart w:id="207" w:name="_Toc31069"/>
      <w:r>
        <w:rPr>
          <w:rFonts w:hint="eastAsia"/>
          <w:highlight w:val="none"/>
          <w:lang w:val="en-US" w:eastAsia="zh-CN"/>
        </w:rPr>
        <w:t>9.5.1废气</w:t>
      </w:r>
      <w:bookmarkEnd w:id="207"/>
    </w:p>
    <w:p w14:paraId="6CADA75C">
      <w:pPr>
        <w:ind w:firstLine="480"/>
        <w:rPr>
          <w:rFonts w:ascii="Times New Roman" w:hAnsi="Times New Roman"/>
          <w:highlight w:val="none"/>
        </w:rPr>
      </w:pPr>
      <w:r>
        <w:rPr>
          <w:rFonts w:ascii="Times New Roman" w:hAnsi="Times New Roman"/>
          <w:highlight w:val="none"/>
        </w:rPr>
        <w:t>一、污染物排放</w:t>
      </w:r>
    </w:p>
    <w:p w14:paraId="6AA2BDB3">
      <w:pPr>
        <w:ind w:firstLine="480"/>
        <w:rPr>
          <w:rFonts w:hint="eastAsia" w:ascii="Times New Roman" w:hAnsi="Times New Roman"/>
          <w:highlight w:val="none"/>
        </w:rPr>
      </w:pPr>
      <w:r>
        <w:rPr>
          <w:rFonts w:ascii="Times New Roman" w:hAnsi="Times New Roman"/>
          <w:highlight w:val="none"/>
        </w:rPr>
        <w:t>本工程环境空气主要污染源为燃煤锅炉烟囱，主要污染物为</w:t>
      </w:r>
      <w:r>
        <w:rPr>
          <w:rFonts w:hint="eastAsia" w:ascii="Times New Roman" w:hAnsi="Times New Roman"/>
          <w:highlight w:val="none"/>
        </w:rPr>
        <w:t>烟尘</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、NOx、汞及其化合物、氨及林格曼黑度。</w:t>
      </w:r>
    </w:p>
    <w:p w14:paraId="123146D8">
      <w:pPr>
        <w:ind w:firstLine="480"/>
        <w:rPr>
          <w:rFonts w:ascii="Times New Roman" w:hAnsi="Times New Roman"/>
          <w:highlight w:val="none"/>
        </w:rPr>
      </w:pPr>
      <w:r>
        <w:rPr>
          <w:rFonts w:ascii="Times New Roman" w:hAnsi="Times New Roman"/>
          <w:highlight w:val="none"/>
        </w:rPr>
        <w:t>本工程排放的锅炉烟气采用低氮燃烧技术以及SNCR-SCR法脱硝+石灰石/石膏法脱硫工艺+布袋除尘器处理后由</w:t>
      </w:r>
      <w:r>
        <w:rPr>
          <w:rFonts w:hint="eastAsia" w:ascii="Times New Roman" w:hAnsi="Times New Roman"/>
          <w:highlight w:val="none"/>
          <w:lang w:val="en-US" w:eastAsia="zh-CN"/>
        </w:rPr>
        <w:t>60</w:t>
      </w:r>
      <w:r>
        <w:rPr>
          <w:rFonts w:ascii="Times New Roman" w:hAnsi="Times New Roman"/>
          <w:highlight w:val="none"/>
        </w:rPr>
        <w:t>m高、出口直径4m的烟囱排入大气。</w:t>
      </w:r>
    </w:p>
    <w:p w14:paraId="19F30204">
      <w:pPr>
        <w:ind w:firstLine="480"/>
        <w:rPr>
          <w:rFonts w:ascii="Times New Roman" w:hAnsi="Times New Roman"/>
          <w:highlight w:val="none"/>
        </w:rPr>
      </w:pPr>
      <w:r>
        <w:rPr>
          <w:rFonts w:ascii="Times New Roman" w:hAnsi="Times New Roman"/>
          <w:highlight w:val="none"/>
        </w:rPr>
        <w:t>二、影响分析结论</w:t>
      </w:r>
    </w:p>
    <w:p w14:paraId="34C666DF">
      <w:pPr>
        <w:ind w:firstLine="480"/>
        <w:rPr>
          <w:rFonts w:ascii="Times New Roman" w:hAnsi="Times New Roman"/>
          <w:highlight w:val="none"/>
        </w:rPr>
      </w:pPr>
      <w:r>
        <w:rPr>
          <w:rFonts w:ascii="Times New Roman" w:hAnsi="Times New Roman"/>
          <w:highlight w:val="none"/>
        </w:rPr>
        <w:t>（1）新增污染源正常排放下最大落地浓度点及敏感点PM</w:t>
      </w:r>
      <w:r>
        <w:rPr>
          <w:rFonts w:ascii="Times New Roman" w:hAnsi="Times New Roman"/>
          <w:highlight w:val="none"/>
          <w:vertAlign w:val="subscript"/>
        </w:rPr>
        <w:t>10</w:t>
      </w:r>
      <w:r>
        <w:rPr>
          <w:rFonts w:ascii="Times New Roman" w:hAnsi="Times New Roman"/>
          <w:highlight w:val="none"/>
        </w:rPr>
        <w:t>、PM</w:t>
      </w:r>
      <w:r>
        <w:rPr>
          <w:rFonts w:ascii="Times New Roman" w:hAnsi="Times New Roman"/>
          <w:highlight w:val="none"/>
          <w:vertAlign w:val="subscript"/>
        </w:rPr>
        <w:t>2.5</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2</w:t>
      </w:r>
      <w:r>
        <w:rPr>
          <w:rFonts w:ascii="Times New Roman" w:hAnsi="Times New Roman"/>
          <w:highlight w:val="none"/>
        </w:rPr>
        <w:t>、氨气短期浓度贡献值的最大落地浓度占标均≤100%。</w:t>
      </w:r>
    </w:p>
    <w:p w14:paraId="1B881A52">
      <w:pPr>
        <w:ind w:firstLine="480"/>
        <w:rPr>
          <w:rFonts w:ascii="Times New Roman" w:hAnsi="Times New Roman"/>
          <w:highlight w:val="none"/>
        </w:rPr>
      </w:pPr>
      <w:r>
        <w:rPr>
          <w:rFonts w:ascii="Times New Roman" w:hAnsi="Times New Roman"/>
          <w:highlight w:val="none"/>
        </w:rPr>
        <w:t>（2）新增污染源正常排放下最大落地浓度点及敏感点PM</w:t>
      </w:r>
      <w:r>
        <w:rPr>
          <w:rFonts w:ascii="Times New Roman" w:hAnsi="Times New Roman"/>
          <w:highlight w:val="none"/>
          <w:vertAlign w:val="subscript"/>
        </w:rPr>
        <w:t>10</w:t>
      </w:r>
      <w:r>
        <w:rPr>
          <w:rFonts w:ascii="Times New Roman" w:hAnsi="Times New Roman"/>
          <w:highlight w:val="none"/>
        </w:rPr>
        <w:t>、PM</w:t>
      </w:r>
      <w:r>
        <w:rPr>
          <w:rFonts w:ascii="Times New Roman" w:hAnsi="Times New Roman"/>
          <w:highlight w:val="none"/>
          <w:vertAlign w:val="subscript"/>
        </w:rPr>
        <w:t>2.5</w:t>
      </w:r>
      <w:r>
        <w:rPr>
          <w:rFonts w:ascii="Times New Roman" w:hAnsi="Times New Roman"/>
          <w:highlight w:val="none"/>
        </w:rPr>
        <w:t>、SO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2</w:t>
      </w:r>
      <w:r>
        <w:rPr>
          <w:rFonts w:ascii="Times New Roman" w:hAnsi="Times New Roman"/>
          <w:highlight w:val="none"/>
        </w:rPr>
        <w:t>、Hg年浓度贡献值的最大落地浓度占标均≤30%。</w:t>
      </w:r>
    </w:p>
    <w:p w14:paraId="01253ABF">
      <w:pPr>
        <w:ind w:firstLine="480"/>
        <w:rPr>
          <w:rFonts w:ascii="Times New Roman" w:hAnsi="Times New Roman"/>
          <w:highlight w:val="none"/>
        </w:rPr>
      </w:pPr>
      <w:r>
        <w:rPr>
          <w:rFonts w:ascii="Times New Roman" w:hAnsi="Times New Roman"/>
          <w:highlight w:val="none"/>
        </w:rPr>
        <w:t>（3）项目环境影响符合区域环境功能区划。</w:t>
      </w:r>
    </w:p>
    <w:p w14:paraId="39155507">
      <w:pPr>
        <w:ind w:firstLine="480"/>
        <w:rPr>
          <w:rFonts w:ascii="Times New Roman" w:hAnsi="Times New Roman"/>
          <w:highlight w:val="none"/>
        </w:rPr>
      </w:pPr>
      <w:r>
        <w:rPr>
          <w:rFonts w:ascii="Times New Roman" w:hAnsi="Times New Roman"/>
          <w:highlight w:val="none"/>
        </w:rPr>
        <w:t>（4）叠加现状浓度、区域削减浓度的环境影响后，最大落地浓度点及敏感点SO</w:t>
      </w:r>
      <w:r>
        <w:rPr>
          <w:rFonts w:ascii="Times New Roman" w:hAnsi="Times New Roman"/>
          <w:highlight w:val="none"/>
          <w:vertAlign w:val="subscript"/>
        </w:rPr>
        <w:t>2</w:t>
      </w:r>
      <w:r>
        <w:rPr>
          <w:rFonts w:ascii="Times New Roman" w:hAnsi="Times New Roman"/>
          <w:highlight w:val="none"/>
        </w:rPr>
        <w:t>、NO</w:t>
      </w:r>
      <w:r>
        <w:rPr>
          <w:rFonts w:ascii="Times New Roman" w:hAnsi="Times New Roman"/>
          <w:highlight w:val="none"/>
          <w:vertAlign w:val="subscript"/>
        </w:rPr>
        <w:t>2</w:t>
      </w:r>
      <w:r>
        <w:rPr>
          <w:rFonts w:ascii="Times New Roman" w:hAnsi="Times New Roman"/>
          <w:highlight w:val="none"/>
        </w:rPr>
        <w:t>、PM</w:t>
      </w:r>
      <w:r>
        <w:rPr>
          <w:rFonts w:ascii="Times New Roman" w:hAnsi="Times New Roman"/>
          <w:highlight w:val="none"/>
          <w:vertAlign w:val="subscript"/>
        </w:rPr>
        <w:t>10</w:t>
      </w:r>
      <w:r>
        <w:rPr>
          <w:rFonts w:ascii="Times New Roman" w:hAnsi="Times New Roman"/>
          <w:highlight w:val="none"/>
        </w:rPr>
        <w:t>保证率日平均质量浓度和年平均质量浓度均符合《环境空气质量标准》（GB3095-2012）。</w:t>
      </w:r>
    </w:p>
    <w:p w14:paraId="4AF7E27B">
      <w:pPr>
        <w:ind w:firstLine="480"/>
        <w:rPr>
          <w:rFonts w:ascii="Times New Roman" w:hAnsi="Times New Roman"/>
          <w:highlight w:val="none"/>
        </w:rPr>
      </w:pPr>
      <w:r>
        <w:rPr>
          <w:rFonts w:ascii="Times New Roman" w:hAnsi="Times New Roman"/>
          <w:highlight w:val="none"/>
        </w:rPr>
        <w:t>（5）评价区环境空气污染因子PM</w:t>
      </w:r>
      <w:r>
        <w:rPr>
          <w:rFonts w:ascii="Times New Roman" w:hAnsi="Times New Roman"/>
          <w:highlight w:val="none"/>
          <w:vertAlign w:val="subscript"/>
        </w:rPr>
        <w:t>2.5</w:t>
      </w:r>
      <w:r>
        <w:rPr>
          <w:rFonts w:ascii="Times New Roman" w:hAnsi="Times New Roman"/>
          <w:highlight w:val="none"/>
        </w:rPr>
        <w:t>环境质量现状超标，整体预测范围的年平均浓度变化率k≤-20%，可使得区域环境空气质量中PM</w:t>
      </w:r>
      <w:r>
        <w:rPr>
          <w:rFonts w:ascii="Times New Roman" w:hAnsi="Times New Roman"/>
          <w:highlight w:val="none"/>
          <w:vertAlign w:val="subscript"/>
        </w:rPr>
        <w:t>2.5</w:t>
      </w:r>
      <w:r>
        <w:rPr>
          <w:rFonts w:ascii="Times New Roman" w:hAnsi="Times New Roman"/>
          <w:highlight w:val="none"/>
        </w:rPr>
        <w:t>得到整体改善。</w:t>
      </w:r>
    </w:p>
    <w:p w14:paraId="3BD45254">
      <w:pPr>
        <w:ind w:firstLine="480"/>
        <w:rPr>
          <w:rFonts w:ascii="Times New Roman" w:hAnsi="Times New Roman"/>
          <w:highlight w:val="none"/>
        </w:rPr>
      </w:pPr>
      <w:r>
        <w:rPr>
          <w:rFonts w:ascii="Times New Roman" w:hAnsi="Times New Roman"/>
          <w:highlight w:val="none"/>
        </w:rPr>
        <w:t>（6）根据EIApro2018大气软件的环境防护区域预测模式的计算结果，项目各污染物小时贡献浓度、日均贡献浓度均无超标点，无需设置大气环境防护距离。</w:t>
      </w:r>
    </w:p>
    <w:p w14:paraId="5EDE105A">
      <w:pPr>
        <w:ind w:firstLine="480"/>
        <w:rPr>
          <w:rFonts w:ascii="Times New Roman" w:hAnsi="Times New Roman"/>
          <w:highlight w:val="none"/>
        </w:rPr>
      </w:pPr>
      <w:r>
        <w:rPr>
          <w:rFonts w:ascii="Times New Roman" w:hAnsi="Times New Roman"/>
          <w:highlight w:val="none"/>
        </w:rPr>
        <w:t>（7）在除尘器布袋破损、脱硫塔设备故障及脱硝系统不能投运的非正常工况下，区域最大浓度点及各敏感目标贡献浓度占标率均小于100%，可以达到《环境空气质量标准》（GB3095-2012）中限值要求，不会对环境空气产生影响，但企业也应时刻关注环保设施的运行状况，避免非正常工况的发生。</w:t>
      </w:r>
    </w:p>
    <w:p w14:paraId="2F6174D1">
      <w:pPr>
        <w:ind w:firstLine="480"/>
        <w:rPr>
          <w:rFonts w:ascii="Times New Roman" w:hAnsi="Times New Roman"/>
          <w:highlight w:val="none"/>
        </w:rPr>
      </w:pPr>
      <w:r>
        <w:rPr>
          <w:rFonts w:ascii="Times New Roman" w:hAnsi="Times New Roman"/>
          <w:highlight w:val="none"/>
        </w:rPr>
        <w:t>综上所述，本项目建成后，大气环境影响可接受，项目大气污染物排放方案可行。因此，从环境空气角度分析，本工程的建设是可行的。</w:t>
      </w:r>
    </w:p>
    <w:p w14:paraId="5FD53E92">
      <w:pPr>
        <w:ind w:firstLine="480"/>
        <w:rPr>
          <w:rFonts w:ascii="Times New Roman" w:hAnsi="Times New Roman"/>
          <w:highlight w:val="none"/>
        </w:rPr>
      </w:pPr>
      <w:r>
        <w:rPr>
          <w:rFonts w:ascii="Times New Roman" w:hAnsi="Times New Roman"/>
          <w:highlight w:val="none"/>
        </w:rPr>
        <w:t>三、污染防治措施</w:t>
      </w:r>
    </w:p>
    <w:p w14:paraId="13DCCFD4">
      <w:pPr>
        <w:ind w:firstLine="480"/>
        <w:rPr>
          <w:rFonts w:ascii="Times New Roman" w:hAnsi="Times New Roman"/>
          <w:highlight w:val="none"/>
        </w:rPr>
      </w:pPr>
      <w:r>
        <w:rPr>
          <w:rFonts w:ascii="Times New Roman" w:hAnsi="Times New Roman"/>
          <w:highlight w:val="none"/>
        </w:rPr>
        <w:t>本工程排放的锅炉烟气采用布袋除尘器、石灰石/石膏法脱硫工艺、循环流化床低氮燃烧技术以及SNCR-SCR法脱硝系统处理后由</w:t>
      </w:r>
      <w:r>
        <w:rPr>
          <w:rFonts w:hint="eastAsia" w:ascii="Times New Roman" w:hAnsi="Times New Roman"/>
          <w:highlight w:val="none"/>
          <w:lang w:val="en-US" w:eastAsia="zh-CN"/>
        </w:rPr>
        <w:t>60</w:t>
      </w:r>
      <w:r>
        <w:rPr>
          <w:rFonts w:ascii="Times New Roman" w:hAnsi="Times New Roman"/>
          <w:highlight w:val="none"/>
        </w:rPr>
        <w:t>m高、出口直径</w:t>
      </w:r>
      <w:r>
        <w:rPr>
          <w:rFonts w:hint="eastAsia" w:ascii="Times New Roman" w:hAnsi="Times New Roman"/>
          <w:highlight w:val="none"/>
          <w:lang w:val="en-US" w:eastAsia="zh-CN"/>
        </w:rPr>
        <w:t>4</w:t>
      </w:r>
      <w:r>
        <w:rPr>
          <w:rFonts w:ascii="Times New Roman" w:hAnsi="Times New Roman"/>
          <w:highlight w:val="none"/>
        </w:rPr>
        <w:t>m的烟囱排入大气。采用上述处理措施后，本工程烟囱排放的锅炉大气污染物颗粒物、SO</w:t>
      </w:r>
      <w:r>
        <w:rPr>
          <w:rFonts w:ascii="Times New Roman" w:hAnsi="Times New Roman"/>
          <w:highlight w:val="none"/>
          <w:vertAlign w:val="subscript"/>
        </w:rPr>
        <w:t>2</w:t>
      </w:r>
      <w:r>
        <w:rPr>
          <w:rFonts w:ascii="Times New Roman" w:hAnsi="Times New Roman"/>
          <w:highlight w:val="none"/>
        </w:rPr>
        <w:t>、NOx满足超低排放要求；汞及其化合物</w:t>
      </w:r>
      <w:r>
        <w:rPr>
          <w:rFonts w:hint="eastAsia" w:ascii="Times New Roman" w:hAnsi="Times New Roman"/>
          <w:highlight w:val="none"/>
          <w:lang w:eastAsia="zh-CN"/>
        </w:rPr>
        <w:t>、</w:t>
      </w:r>
      <w:r>
        <w:rPr>
          <w:rFonts w:hint="eastAsia" w:ascii="Times New Roman" w:hAnsi="Times New Roman"/>
          <w:highlight w:val="none"/>
          <w:lang w:val="en-US" w:eastAsia="zh-CN"/>
        </w:rPr>
        <w:t>烟气黑度</w:t>
      </w:r>
      <w:r>
        <w:rPr>
          <w:rFonts w:ascii="Times New Roman" w:hAnsi="Times New Roman"/>
          <w:highlight w:val="none"/>
        </w:rPr>
        <w:t>排放浓度均满足</w:t>
      </w:r>
      <w:r>
        <w:rPr>
          <w:rFonts w:hint="eastAsia" w:ascii="Times New Roman" w:hAnsi="Times New Roman"/>
          <w:color w:val="auto"/>
          <w:highlight w:val="none"/>
        </w:rPr>
        <w:t>《火电厂大气污染物排放标准》(GB13223-2011)表1中燃煤锅炉大气污染物排放标准限值</w:t>
      </w:r>
      <w:r>
        <w:rPr>
          <w:rFonts w:ascii="Times New Roman" w:hAnsi="Times New Roman"/>
          <w:highlight w:val="none"/>
        </w:rPr>
        <w:t>要求。</w:t>
      </w:r>
    </w:p>
    <w:p w14:paraId="0CCE16A0">
      <w:pPr>
        <w:ind w:firstLine="480"/>
        <w:rPr>
          <w:rFonts w:hint="eastAsia" w:ascii="Times New Roman" w:hAnsi="Times New Roman"/>
          <w:highlight w:val="none"/>
        </w:rPr>
      </w:pPr>
      <w:r>
        <w:rPr>
          <w:rFonts w:ascii="Times New Roman" w:hAnsi="Times New Roman"/>
          <w:highlight w:val="none"/>
        </w:rPr>
        <w:t>输煤系统采用全封闭结构，项目设置石灰石粉仓及中转的灰仓和渣仓，不设置永久灰渣场，灰仓</w:t>
      </w:r>
      <w:r>
        <w:rPr>
          <w:rFonts w:hint="eastAsia" w:ascii="Times New Roman" w:hAnsi="Times New Roman"/>
          <w:highlight w:val="none"/>
          <w:lang w:eastAsia="zh-CN"/>
        </w:rPr>
        <w:t>、</w:t>
      </w:r>
      <w:r>
        <w:rPr>
          <w:rFonts w:hint="eastAsia" w:ascii="Times New Roman" w:hAnsi="Times New Roman"/>
          <w:highlight w:val="none"/>
          <w:lang w:val="en-US" w:eastAsia="zh-CN"/>
        </w:rPr>
        <w:t>渣仓、</w:t>
      </w:r>
      <w:r>
        <w:rPr>
          <w:rFonts w:ascii="Times New Roman" w:hAnsi="Times New Roman"/>
          <w:highlight w:val="none"/>
        </w:rPr>
        <w:t>石灰石粉仓的仓顶分别设置脉冲除尘器回收粉尘</w:t>
      </w:r>
      <w:r>
        <w:rPr>
          <w:rFonts w:hint="eastAsia" w:ascii="Times New Roman" w:hAnsi="Times New Roman"/>
          <w:highlight w:val="none"/>
          <w:lang w:eastAsia="zh-CN"/>
        </w:rPr>
        <w:t>，</w:t>
      </w:r>
      <w:r>
        <w:rPr>
          <w:rFonts w:hint="eastAsia" w:ascii="Times New Roman" w:hAnsi="Times New Roman"/>
          <w:highlight w:val="none"/>
          <w:lang w:val="en-US" w:eastAsia="zh-CN"/>
        </w:rPr>
        <w:t>储煤厂</w:t>
      </w:r>
      <w:r>
        <w:rPr>
          <w:rFonts w:hint="eastAsia" w:cs="Times New Roman"/>
          <w:highlight w:val="none"/>
        </w:rPr>
        <w:t>采用挡煤墙（</w:t>
      </w:r>
      <w:r>
        <w:rPr>
          <w:rFonts w:hint="eastAsia" w:cs="Times New Roman"/>
          <w:highlight w:val="none"/>
          <w:lang w:val="en-US" w:eastAsia="zh-CN"/>
        </w:rPr>
        <w:t>2</w:t>
      </w:r>
      <w:r>
        <w:rPr>
          <w:rFonts w:hint="eastAsia" w:cs="Times New Roman"/>
          <w:highlight w:val="none"/>
        </w:rPr>
        <w:t>m高维护砖墙+</w:t>
      </w:r>
      <w:r>
        <w:rPr>
          <w:rFonts w:hint="eastAsia" w:cs="Times New Roman"/>
          <w:highlight w:val="none"/>
          <w:lang w:val="en-US" w:eastAsia="zh-CN"/>
        </w:rPr>
        <w:t>7</w:t>
      </w:r>
      <w:r>
        <w:rPr>
          <w:rFonts w:hint="eastAsia" w:cs="Times New Roman"/>
          <w:highlight w:val="none"/>
        </w:rPr>
        <w:t>m高防风抑尘网）+</w:t>
      </w:r>
      <w:r>
        <w:rPr>
          <w:rFonts w:hint="eastAsia" w:cs="Times New Roman"/>
          <w:highlight w:val="none"/>
          <w:lang w:val="en-US" w:eastAsia="zh-CN"/>
        </w:rPr>
        <w:t>苫布苫盖半</w:t>
      </w:r>
      <w:r>
        <w:rPr>
          <w:rFonts w:hint="eastAsia" w:cs="Times New Roman"/>
          <w:highlight w:val="none"/>
        </w:rPr>
        <w:t>封闭形式</w:t>
      </w:r>
      <w:r>
        <w:rPr>
          <w:rFonts w:hint="eastAsia" w:cs="Times New Roman"/>
          <w:highlight w:val="none"/>
          <w:lang w:val="en-US" w:eastAsia="zh-CN"/>
        </w:rPr>
        <w:t>+定期洒水降尘，</w:t>
      </w:r>
      <w:r>
        <w:rPr>
          <w:rFonts w:hint="eastAsia" w:ascii="Times New Roman" w:hAnsi="Times New Roman"/>
          <w:highlight w:val="none"/>
          <w:lang w:val="en-US" w:eastAsia="zh-CN"/>
        </w:rPr>
        <w:t>碎煤机室仓顶分别设置布袋除尘器回收粉尘</w:t>
      </w:r>
      <w:r>
        <w:rPr>
          <w:rFonts w:ascii="Times New Roman" w:hAnsi="Times New Roman"/>
          <w:highlight w:val="none"/>
        </w:rPr>
        <w:t>，</w:t>
      </w:r>
      <w:r>
        <w:rPr>
          <w:rFonts w:hint="eastAsia" w:ascii="Times New Roman" w:hAnsi="Times New Roman"/>
          <w:highlight w:val="none"/>
          <w:lang w:val="en-US" w:eastAsia="zh-CN"/>
        </w:rPr>
        <w:t>有组织排放颗粒物满足《大气污染物综合排放标准》</w:t>
      </w:r>
      <w:r>
        <w:rPr>
          <w:rFonts w:ascii="Times New Roman" w:hAnsi="Times New Roman"/>
          <w:highlight w:val="none"/>
        </w:rPr>
        <w:t>(GB16297-1996）表2中</w:t>
      </w:r>
      <w:r>
        <w:rPr>
          <w:rFonts w:hint="eastAsia" w:ascii="Times New Roman" w:hAnsi="Times New Roman"/>
          <w:highlight w:val="none"/>
          <w:lang w:val="en-US" w:eastAsia="zh-CN"/>
        </w:rPr>
        <w:t>有</w:t>
      </w:r>
      <w:r>
        <w:rPr>
          <w:rFonts w:ascii="Times New Roman" w:hAnsi="Times New Roman"/>
          <w:highlight w:val="none"/>
        </w:rPr>
        <w:t>组织排放监控浓度</w:t>
      </w:r>
      <w:r>
        <w:rPr>
          <w:rFonts w:hint="eastAsia" w:ascii="Times New Roman" w:hAnsi="Times New Roman"/>
          <w:highlight w:val="none"/>
          <w:lang w:val="en-US" w:eastAsia="zh-CN"/>
        </w:rPr>
        <w:t>，</w:t>
      </w:r>
      <w:r>
        <w:rPr>
          <w:rFonts w:hint="eastAsia" w:ascii="Times New Roman" w:hAnsi="Times New Roman"/>
          <w:highlight w:val="none"/>
        </w:rPr>
        <w:t>本项目排气筒按高度对应的表列排放速率标准值严格50%执行</w:t>
      </w:r>
      <w:r>
        <w:rPr>
          <w:rFonts w:hint="eastAsia" w:ascii="Times New Roman" w:hAnsi="Times New Roman"/>
          <w:highlight w:val="none"/>
          <w:lang w:eastAsia="zh-CN"/>
        </w:rPr>
        <w:t>，</w:t>
      </w:r>
      <w:r>
        <w:rPr>
          <w:rFonts w:ascii="Times New Roman" w:hAnsi="Times New Roman"/>
          <w:highlight w:val="none"/>
        </w:rPr>
        <w:t>无组织排放</w:t>
      </w:r>
      <w:r>
        <w:rPr>
          <w:rFonts w:hint="eastAsia" w:ascii="Times New Roman" w:hAnsi="Times New Roman"/>
          <w:highlight w:val="none"/>
        </w:rPr>
        <w:t>颗粒物</w:t>
      </w:r>
      <w:r>
        <w:rPr>
          <w:rFonts w:ascii="Times New Roman" w:hAnsi="Times New Roman"/>
          <w:highlight w:val="none"/>
        </w:rPr>
        <w:t>厂界处满足《大气污染物综合排放标准》(GB16297-1996）表2中无组织排放监控浓度限值。</w:t>
      </w:r>
    </w:p>
    <w:p w14:paraId="5BDCF7D3">
      <w:pPr>
        <w:rPr>
          <w:rFonts w:hint="eastAsia" w:ascii="Times New Roman" w:hAnsi="Times New Roman"/>
          <w:highlight w:val="none"/>
        </w:rPr>
      </w:pPr>
      <w:r>
        <w:rPr>
          <w:rFonts w:hint="eastAsia" w:ascii="Times New Roman" w:hAnsi="Times New Roman"/>
          <w:highlight w:val="none"/>
        </w:rPr>
        <w:t>脱硝系统采取控制尿素溶液喷淋量、控制温度及停留时间等措施控制氨逃逸，项目整体氨逃逸控制浓度为2.5mg/m</w:t>
      </w:r>
      <w:r>
        <w:rPr>
          <w:rFonts w:hint="eastAsia" w:ascii="Times New Roman" w:hAnsi="Times New Roman"/>
          <w:highlight w:val="none"/>
          <w:vertAlign w:val="superscript"/>
        </w:rPr>
        <w:t>3</w:t>
      </w:r>
      <w:r>
        <w:rPr>
          <w:rFonts w:hint="eastAsia" w:ascii="Times New Roman" w:hAnsi="Times New Roman"/>
          <w:highlight w:val="none"/>
        </w:rPr>
        <w:t>，厂界氨气等恶臭污染物排放符合《恶臭污染物排放标准》（GB14554-93）表1中的二级标准要求。</w:t>
      </w:r>
    </w:p>
    <w:p w14:paraId="216ABE80">
      <w:pPr>
        <w:pStyle w:val="5"/>
        <w:bidi w:val="0"/>
        <w:ind w:left="0" w:leftChars="0" w:firstLine="0" w:firstLineChars="0"/>
        <w:rPr>
          <w:rFonts w:hint="eastAsia"/>
          <w:highlight w:val="none"/>
          <w:lang w:val="en-US" w:eastAsia="zh-CN"/>
        </w:rPr>
      </w:pPr>
      <w:bookmarkStart w:id="208" w:name="_Toc14053"/>
      <w:r>
        <w:rPr>
          <w:rFonts w:hint="eastAsia"/>
          <w:highlight w:val="none"/>
          <w:lang w:val="en-US" w:eastAsia="zh-CN"/>
        </w:rPr>
        <w:t>9.5.2废水</w:t>
      </w:r>
      <w:bookmarkEnd w:id="208"/>
    </w:p>
    <w:p w14:paraId="1EE377BA">
      <w:pPr>
        <w:rPr>
          <w:rFonts w:ascii="Times New Roman" w:hAnsi="Times New Roman"/>
          <w:highlight w:val="none"/>
        </w:rPr>
      </w:pPr>
      <w:r>
        <w:rPr>
          <w:rFonts w:ascii="Times New Roman" w:hAnsi="Times New Roman"/>
          <w:highlight w:val="none"/>
        </w:rPr>
        <w:t>本项目生产废水主要为锅炉排污水、脱硫废水。由于工业废水的水质不同，处理方法也不同，所有废水处理采取就近、分散、分项处理，尽可能最大限度重复利用，做到生产废水不外排。生活污水排入市政管网。废水处理措施如下：</w:t>
      </w:r>
    </w:p>
    <w:p w14:paraId="53B83CB6">
      <w:pPr>
        <w:ind w:firstLine="480"/>
        <w:rPr>
          <w:rFonts w:ascii="Times New Roman" w:hAnsi="Times New Roman"/>
          <w:highlight w:val="none"/>
        </w:rPr>
      </w:pPr>
      <w:r>
        <w:rPr>
          <w:rFonts w:ascii="Times New Roman" w:hAnsi="Times New Roman"/>
          <w:highlight w:val="none"/>
        </w:rPr>
        <w:t>厂区内排水系统采用分流制：雨水排水系统。生产废水主要有锅炉排污水、脱硫废水等，锅炉排污水、脱硫废水回用于生产，不外排。本项目不设置化学实验室，无实验室废液。</w:t>
      </w:r>
    </w:p>
    <w:p w14:paraId="3C2F6FFE">
      <w:pPr>
        <w:rPr>
          <w:rFonts w:hint="eastAsia" w:ascii="Times New Roman" w:hAnsi="Times New Roman"/>
          <w:szCs w:val="24"/>
          <w:highlight w:val="none"/>
          <w:lang w:val="en-US" w:eastAsia="zh-CN"/>
        </w:rPr>
      </w:pPr>
      <w:r>
        <w:rPr>
          <w:rFonts w:ascii="Times New Roman" w:hAnsi="Times New Roman"/>
          <w:szCs w:val="24"/>
          <w:highlight w:val="none"/>
        </w:rPr>
        <w:t>锅炉排污水回用于</w:t>
      </w:r>
      <w:r>
        <w:rPr>
          <w:rFonts w:hint="eastAsia" w:ascii="Times New Roman" w:hAnsi="Times New Roman"/>
          <w:szCs w:val="24"/>
          <w:highlight w:val="none"/>
        </w:rPr>
        <w:t>用于冷渣器冷却水系统补水（</w:t>
      </w:r>
      <w:r>
        <w:rPr>
          <w:rFonts w:hint="eastAsia" w:ascii="Times New Roman" w:hAnsi="Times New Roman"/>
          <w:szCs w:val="24"/>
          <w:highlight w:val="none"/>
          <w:lang w:val="en-US" w:eastAsia="zh-CN"/>
        </w:rPr>
        <w:t>6m³/h，30240</w:t>
      </w:r>
      <w:r>
        <w:rPr>
          <w:rFonts w:hint="eastAsia" w:ascii="Times New Roman" w:hAnsi="Times New Roman"/>
          <w:highlight w:val="none"/>
          <w:lang w:val="en-US" w:eastAsia="zh-CN"/>
        </w:rPr>
        <w:t>t/a</w:t>
      </w:r>
      <w:r>
        <w:rPr>
          <w:rFonts w:hint="eastAsia" w:ascii="Times New Roman" w:hAnsi="Times New Roman"/>
          <w:szCs w:val="24"/>
          <w:highlight w:val="none"/>
        </w:rPr>
        <w:t>）</w:t>
      </w:r>
      <w:r>
        <w:rPr>
          <w:rFonts w:ascii="Times New Roman" w:hAnsi="Times New Roman"/>
          <w:szCs w:val="24"/>
          <w:highlight w:val="none"/>
        </w:rPr>
        <w:t>。脱硫废水采用回流水池→一体化污水处理装置→高效旋流分离器→生物净化装置→多介质净化装置→多功能处理剂→净水箱处理工艺，回用于灰渣加湿</w:t>
      </w:r>
      <w:r>
        <w:rPr>
          <w:rFonts w:hint="eastAsia" w:ascii="Times New Roman" w:hAnsi="Times New Roman"/>
          <w:szCs w:val="24"/>
          <w:highlight w:val="none"/>
        </w:rPr>
        <w:t>（</w:t>
      </w:r>
      <w:r>
        <w:rPr>
          <w:rFonts w:hint="eastAsia" w:ascii="Times New Roman" w:hAnsi="Times New Roman"/>
          <w:szCs w:val="24"/>
          <w:highlight w:val="none"/>
          <w:lang w:val="en-US" w:eastAsia="zh-CN"/>
        </w:rPr>
        <w:t>2</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10080t/a</w:t>
      </w:r>
      <w:r>
        <w:rPr>
          <w:rFonts w:hint="eastAsia" w:ascii="Times New Roman" w:hAnsi="Times New Roman"/>
          <w:szCs w:val="24"/>
          <w:highlight w:val="none"/>
        </w:rPr>
        <w:t>）、煤场洒水降尘（</w:t>
      </w:r>
      <w:r>
        <w:rPr>
          <w:rFonts w:hint="eastAsia" w:ascii="Times New Roman" w:hAnsi="Times New Roman"/>
          <w:szCs w:val="24"/>
          <w:highlight w:val="none"/>
          <w:lang w:val="en-US" w:eastAsia="zh-CN"/>
        </w:rPr>
        <w:t>3</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15069.75t/a</w:t>
      </w:r>
      <w:r>
        <w:rPr>
          <w:rFonts w:hint="eastAsia" w:ascii="Times New Roman" w:hAnsi="Times New Roman"/>
          <w:szCs w:val="24"/>
          <w:highlight w:val="none"/>
        </w:rPr>
        <w:t>）。生活污水（</w:t>
      </w:r>
      <w:r>
        <w:rPr>
          <w:rFonts w:hint="eastAsia" w:ascii="Times New Roman" w:hAnsi="Times New Roman"/>
          <w:szCs w:val="24"/>
          <w:highlight w:val="none"/>
          <w:lang w:val="en-US" w:eastAsia="zh-CN"/>
        </w:rPr>
        <w:t>0.464</w:t>
      </w:r>
      <w:r>
        <w:rPr>
          <w:rFonts w:hint="eastAsia" w:ascii="Times New Roman" w:hAnsi="Times New Roman"/>
          <w:szCs w:val="24"/>
          <w:highlight w:val="none"/>
        </w:rPr>
        <w:t>m</w:t>
      </w:r>
      <w:r>
        <w:rPr>
          <w:rFonts w:hint="eastAsia" w:ascii="Times New Roman" w:hAnsi="Times New Roman"/>
          <w:szCs w:val="24"/>
          <w:highlight w:val="none"/>
          <w:vertAlign w:val="superscript"/>
        </w:rPr>
        <w:t>3</w:t>
      </w:r>
      <w:r>
        <w:rPr>
          <w:rFonts w:hint="eastAsia" w:ascii="Times New Roman" w:hAnsi="Times New Roman"/>
          <w:szCs w:val="24"/>
          <w:highlight w:val="none"/>
        </w:rPr>
        <w:t>/h</w:t>
      </w:r>
      <w:r>
        <w:rPr>
          <w:rFonts w:hint="eastAsia" w:ascii="Times New Roman" w:hAnsi="Times New Roman"/>
          <w:szCs w:val="24"/>
          <w:highlight w:val="none"/>
          <w:lang w:eastAsia="zh-CN"/>
        </w:rPr>
        <w:t>，</w:t>
      </w:r>
      <w:r>
        <w:rPr>
          <w:rFonts w:hint="eastAsia" w:ascii="Times New Roman" w:hAnsi="Times New Roman"/>
          <w:szCs w:val="24"/>
          <w:highlight w:val="none"/>
          <w:lang w:val="en-US" w:eastAsia="zh-CN"/>
        </w:rPr>
        <w:t>2352t/a</w:t>
      </w:r>
      <w:r>
        <w:rPr>
          <w:rFonts w:hint="eastAsia" w:ascii="Times New Roman" w:hAnsi="Times New Roman"/>
          <w:szCs w:val="24"/>
          <w:highlight w:val="none"/>
        </w:rPr>
        <w:t>）排入化粪池处理后排入市政管网（食堂废水经隔油池处理后与生活污水一同排入化粪池），</w:t>
      </w:r>
      <w:r>
        <w:rPr>
          <w:rFonts w:hint="eastAsia" w:ascii="Times New Roman" w:hAnsi="Times New Roman"/>
          <w:szCs w:val="24"/>
          <w:highlight w:val="none"/>
          <w:lang w:val="en-US" w:eastAsia="zh-CN"/>
        </w:rPr>
        <w:t>经污水管网排入绥芬河中环污水处理有限公司（</w:t>
      </w:r>
      <w:r>
        <w:rPr>
          <w:rFonts w:hint="eastAsia"/>
          <w:highlight w:val="none"/>
          <w:lang w:val="en-US" w:eastAsia="zh-CN"/>
        </w:rPr>
        <w:t>排污许可证 编号：</w:t>
      </w:r>
      <w:r>
        <w:rPr>
          <w:rFonts w:hint="eastAsia" w:ascii="Times New Roman" w:hAnsi="Times New Roman" w:eastAsia="宋体" w:cs="Times New Roman"/>
          <w:szCs w:val="24"/>
          <w:highlight w:val="none"/>
          <w:lang w:val="en-US" w:eastAsia="zh-CN"/>
        </w:rPr>
        <w:t>91231081692616585X001Z</w:t>
      </w:r>
      <w:r>
        <w:rPr>
          <w:rFonts w:hint="eastAsia"/>
          <w:highlight w:val="none"/>
          <w:lang w:val="en-US" w:eastAsia="zh-CN"/>
        </w:rPr>
        <w:t>）</w:t>
      </w:r>
      <w:r>
        <w:rPr>
          <w:rFonts w:hint="eastAsia" w:ascii="Times New Roman" w:hAnsi="Times New Roman"/>
          <w:szCs w:val="24"/>
          <w:highlight w:val="none"/>
          <w:lang w:val="en-US" w:eastAsia="zh-CN"/>
        </w:rPr>
        <w:t>，处理达到《城镇污水处理厂污染物排放标准》(GB18918—2002)一级B标准后最终汇入小绥芬河。</w:t>
      </w:r>
    </w:p>
    <w:p w14:paraId="20804B8E">
      <w:pPr>
        <w:pStyle w:val="23"/>
        <w:rPr>
          <w:rFonts w:ascii="Times New Roman" w:hAnsi="Times New Roman"/>
          <w:highlight w:val="none"/>
        </w:rPr>
      </w:pPr>
      <w:r>
        <w:rPr>
          <w:rFonts w:ascii="Times New Roman" w:hAnsi="Times New Roman"/>
          <w:highlight w:val="none"/>
        </w:rPr>
        <w:t>根据以上分析，本项目投产运行后，对地表水环境的影响较小。</w:t>
      </w:r>
    </w:p>
    <w:p w14:paraId="392AC95E">
      <w:pPr>
        <w:pStyle w:val="5"/>
        <w:bidi w:val="0"/>
        <w:ind w:left="0" w:leftChars="0" w:firstLine="0" w:firstLineChars="0"/>
        <w:rPr>
          <w:rFonts w:hint="eastAsia"/>
          <w:highlight w:val="none"/>
          <w:lang w:val="en-US" w:eastAsia="zh-CN"/>
        </w:rPr>
      </w:pPr>
      <w:bookmarkStart w:id="209" w:name="_Toc24985"/>
      <w:r>
        <w:rPr>
          <w:rFonts w:hint="eastAsia"/>
          <w:highlight w:val="none"/>
          <w:lang w:val="en-US" w:eastAsia="zh-CN"/>
        </w:rPr>
        <w:t>9.5.3噪声</w:t>
      </w:r>
      <w:bookmarkEnd w:id="209"/>
    </w:p>
    <w:p w14:paraId="3F1F9170">
      <w:pPr>
        <w:ind w:firstLine="480"/>
        <w:rPr>
          <w:rFonts w:ascii="Times New Roman" w:hAnsi="Times New Roman"/>
          <w:highlight w:val="none"/>
        </w:rPr>
      </w:pPr>
      <w:r>
        <w:rPr>
          <w:rFonts w:ascii="Times New Roman" w:hAnsi="Times New Roman"/>
          <w:highlight w:val="none"/>
        </w:rPr>
        <w:t>一、污染物排放</w:t>
      </w:r>
    </w:p>
    <w:p w14:paraId="6C00307E">
      <w:pPr>
        <w:ind w:firstLine="480"/>
        <w:rPr>
          <w:rFonts w:ascii="Times New Roman" w:hAnsi="Times New Roman"/>
          <w:highlight w:val="none"/>
        </w:rPr>
      </w:pPr>
      <w:r>
        <w:rPr>
          <w:rFonts w:ascii="Times New Roman" w:hAnsi="Times New Roman"/>
          <w:highlight w:val="none"/>
        </w:rPr>
        <w:t>本工程热源厂的主要噪声源为碎煤机、空压机、风机等机械噪声。噪声源强在85～95dB（A）之间。</w:t>
      </w:r>
    </w:p>
    <w:p w14:paraId="3074F321">
      <w:pPr>
        <w:ind w:firstLine="480"/>
        <w:rPr>
          <w:rFonts w:ascii="Times New Roman" w:hAnsi="Times New Roman"/>
          <w:highlight w:val="none"/>
        </w:rPr>
      </w:pPr>
      <w:r>
        <w:rPr>
          <w:rFonts w:ascii="Times New Roman" w:hAnsi="Times New Roman"/>
          <w:highlight w:val="none"/>
        </w:rPr>
        <w:t>二、影响分析结论</w:t>
      </w:r>
    </w:p>
    <w:p w14:paraId="3E1A53C0">
      <w:pPr>
        <w:ind w:firstLine="480"/>
        <w:rPr>
          <w:rFonts w:hint="eastAsia" w:ascii="Times New Roman" w:hAnsi="Times New Roman"/>
          <w:highlight w:val="none"/>
        </w:rPr>
      </w:pPr>
      <w:r>
        <w:rPr>
          <w:rFonts w:ascii="Times New Roman" w:hAnsi="Times New Roman"/>
          <w:highlight w:val="none"/>
        </w:rPr>
        <w:t>项目运行期，在厂界昼间、夜间预测值满足《工业企业厂界环境噪声排放标准》（GB12348-2008）表1中</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标准要求。因此，从声环境影响的角度分析，本工程的建设是可行的。</w:t>
      </w:r>
      <w:r>
        <w:rPr>
          <w:rFonts w:hint="eastAsia" w:ascii="Times New Roman" w:hAnsi="Times New Roman"/>
          <w:highlight w:val="none"/>
        </w:rPr>
        <w:t>周围</w:t>
      </w:r>
      <w:r>
        <w:rPr>
          <w:rFonts w:hint="eastAsia" w:ascii="Times New Roman" w:hAnsi="Times New Roman"/>
          <w:highlight w:val="none"/>
          <w:lang w:val="en-US" w:eastAsia="zh-CN"/>
        </w:rPr>
        <w:t>敏感点</w:t>
      </w:r>
      <w:r>
        <w:rPr>
          <w:rFonts w:hint="eastAsia" w:ascii="Times New Roman" w:hAnsi="Times New Roman"/>
          <w:highlight w:val="none"/>
        </w:rPr>
        <w:t>声环境昼间、夜间噪声满足《声环境质量标准》（GB3096—2008）中2类区标准限值要求。</w:t>
      </w:r>
    </w:p>
    <w:p w14:paraId="34A940CF">
      <w:pPr>
        <w:ind w:firstLine="480"/>
        <w:rPr>
          <w:rFonts w:ascii="Times New Roman" w:hAnsi="Times New Roman"/>
          <w:highlight w:val="none"/>
        </w:rPr>
      </w:pPr>
      <w:r>
        <w:rPr>
          <w:rFonts w:hint="eastAsia" w:ascii="Times New Roman" w:hAnsi="Times New Roman"/>
          <w:highlight w:val="none"/>
        </w:rPr>
        <w:t>本项目运输车辆对市区道路两侧的交通噪声贡献值符合《声环境质量标准》（GB3096-2008）标准限值。</w:t>
      </w:r>
    </w:p>
    <w:p w14:paraId="201E6BA8">
      <w:pPr>
        <w:ind w:firstLine="480"/>
        <w:rPr>
          <w:rFonts w:ascii="Times New Roman" w:hAnsi="Times New Roman"/>
          <w:highlight w:val="none"/>
        </w:rPr>
      </w:pPr>
      <w:r>
        <w:rPr>
          <w:rFonts w:ascii="Times New Roman" w:hAnsi="Times New Roman"/>
          <w:highlight w:val="none"/>
        </w:rPr>
        <w:t>三、污染防治措施</w:t>
      </w:r>
    </w:p>
    <w:p w14:paraId="0CC47130">
      <w:pPr>
        <w:ind w:firstLine="480"/>
        <w:rPr>
          <w:rFonts w:ascii="Times New Roman" w:hAnsi="Times New Roman"/>
          <w:highlight w:val="none"/>
        </w:rPr>
      </w:pPr>
      <w:r>
        <w:rPr>
          <w:rFonts w:ascii="Times New Roman" w:hAnsi="Times New Roman"/>
          <w:highlight w:val="none"/>
        </w:rPr>
        <w:t>本工程主要噪声源为锅炉引风、送风机及各类泵等。按噪声产生的机理来看，设备噪声以机械噪声与空气动力噪声为主，通常一种发声设备同时存在几种噪声形式。因此针对不同设备，不同噪声形式，本工程采取不同的控制措施，一方面从工程的控制角度入手，另一方面从管理角度入手，有效的减少厂区内噪声对环境的污染。</w:t>
      </w:r>
      <w:r>
        <w:rPr>
          <w:rFonts w:hint="eastAsia" w:ascii="Times New Roman" w:hAnsi="Times New Roman"/>
          <w:highlight w:val="none"/>
        </w:rPr>
        <w:t>本项目夜间不安排运输，当白天运输车经过居民区时，运输车辆应采取限制车速、禁鸣等措施，可有效降低运输车辆噪声对道路两侧居民的影响。</w:t>
      </w:r>
    </w:p>
    <w:p w14:paraId="357BA552">
      <w:pPr>
        <w:rPr>
          <w:rFonts w:hint="eastAsia" w:ascii="Times New Roman" w:hAnsi="Times New Roman"/>
          <w:highlight w:val="none"/>
        </w:rPr>
      </w:pPr>
      <w:r>
        <w:rPr>
          <w:rFonts w:ascii="Times New Roman" w:hAnsi="Times New Roman"/>
          <w:highlight w:val="none"/>
        </w:rPr>
        <w:t>采取了防治措施之后，本工程昼夜间厂界噪声均满足《工业企业厂界环境噪声排放标准》</w:t>
      </w:r>
      <w:r>
        <w:rPr>
          <w:rFonts w:hint="eastAsia" w:ascii="Times New Roman" w:hAnsi="Times New Roman"/>
          <w:highlight w:val="none"/>
          <w:lang w:val="en-US" w:eastAsia="zh-CN"/>
        </w:rPr>
        <w:t>标准中</w:t>
      </w:r>
      <w:r>
        <w:rPr>
          <w:rFonts w:ascii="Times New Roman" w:hAnsi="Times New Roman"/>
          <w:highlight w:val="none"/>
        </w:rPr>
        <w:t>表1中的</w:t>
      </w:r>
      <w:r>
        <w:rPr>
          <w:rFonts w:hint="eastAsia" w:ascii="Times New Roman" w:hAnsi="Times New Roman"/>
          <w:highlight w:val="none"/>
          <w:lang w:val="en-US" w:eastAsia="zh-CN"/>
        </w:rPr>
        <w:t>2</w:t>
      </w:r>
      <w:r>
        <w:rPr>
          <w:rFonts w:ascii="Times New Roman" w:hAnsi="Times New Roman"/>
          <w:highlight w:val="none"/>
        </w:rPr>
        <w:t>类</w:t>
      </w:r>
      <w:r>
        <w:rPr>
          <w:rFonts w:hint="eastAsia" w:ascii="Times New Roman" w:hAnsi="Times New Roman"/>
          <w:highlight w:val="none"/>
          <w:lang w:val="en-US" w:eastAsia="zh-CN"/>
        </w:rPr>
        <w:t>和4类</w:t>
      </w:r>
      <w:r>
        <w:rPr>
          <w:rFonts w:ascii="Times New Roman" w:hAnsi="Times New Roman"/>
          <w:highlight w:val="none"/>
        </w:rPr>
        <w:t>标准</w:t>
      </w:r>
      <w:r>
        <w:rPr>
          <w:rFonts w:hint="eastAsia" w:ascii="Times New Roman" w:hAnsi="Times New Roman"/>
          <w:highlight w:val="none"/>
          <w:lang w:val="en-US" w:eastAsia="zh-CN"/>
        </w:rPr>
        <w:t>限值</w:t>
      </w:r>
      <w:r>
        <w:rPr>
          <w:rFonts w:ascii="Times New Roman" w:hAnsi="Times New Roman"/>
          <w:highlight w:val="none"/>
        </w:rPr>
        <w:t>。</w:t>
      </w:r>
      <w:r>
        <w:rPr>
          <w:rFonts w:hint="eastAsia" w:ascii="Times New Roman" w:hAnsi="Times New Roman"/>
          <w:highlight w:val="none"/>
        </w:rPr>
        <w:t>运输噪声影响相对较小，可以接受。</w:t>
      </w:r>
    </w:p>
    <w:p w14:paraId="50C684E8">
      <w:pPr>
        <w:pStyle w:val="5"/>
        <w:bidi w:val="0"/>
        <w:ind w:left="0" w:leftChars="0" w:firstLine="0" w:firstLineChars="0"/>
        <w:rPr>
          <w:rFonts w:hint="eastAsia"/>
          <w:highlight w:val="none"/>
          <w:lang w:val="en-US" w:eastAsia="zh-CN"/>
        </w:rPr>
      </w:pPr>
      <w:bookmarkStart w:id="210" w:name="_Toc8457"/>
      <w:r>
        <w:rPr>
          <w:rFonts w:hint="eastAsia"/>
          <w:highlight w:val="none"/>
          <w:lang w:val="en-US" w:eastAsia="zh-CN"/>
        </w:rPr>
        <w:t>9.5.4固体废物</w:t>
      </w:r>
      <w:bookmarkEnd w:id="210"/>
    </w:p>
    <w:p w14:paraId="0EC5E606">
      <w:pPr>
        <w:ind w:firstLine="480"/>
        <w:rPr>
          <w:rFonts w:ascii="Times New Roman" w:hAnsi="Times New Roman"/>
          <w:highlight w:val="none"/>
        </w:rPr>
      </w:pPr>
      <w:r>
        <w:rPr>
          <w:rFonts w:ascii="Times New Roman" w:hAnsi="Times New Roman"/>
          <w:highlight w:val="none"/>
        </w:rPr>
        <w:t>本工程锅炉灰渣、</w:t>
      </w:r>
      <w:r>
        <w:rPr>
          <w:rFonts w:hint="eastAsia" w:ascii="Times New Roman" w:hAnsi="Times New Roman"/>
          <w:highlight w:val="none"/>
        </w:rPr>
        <w:t>脱硫石膏</w:t>
      </w:r>
      <w:r>
        <w:rPr>
          <w:rFonts w:hint="eastAsia" w:ascii="Times New Roman" w:hAnsi="Times New Roman"/>
          <w:highlight w:val="none"/>
          <w:lang w:val="en-US" w:eastAsia="zh-CN"/>
        </w:rPr>
        <w:t>运至采矿区回填</w:t>
      </w:r>
      <w:r>
        <w:rPr>
          <w:rFonts w:ascii="Times New Roman" w:hAnsi="Times New Roman"/>
          <w:highlight w:val="none"/>
        </w:rPr>
        <w:t>；运行期间产生的废离子交换树脂</w:t>
      </w:r>
      <w:r>
        <w:rPr>
          <w:rFonts w:hint="eastAsia" w:ascii="Times New Roman" w:hAnsi="Times New Roman"/>
          <w:highlight w:val="none"/>
          <w:lang w:val="en-US" w:eastAsia="zh-CN"/>
        </w:rPr>
        <w:t>和反渗透膜</w:t>
      </w:r>
      <w:r>
        <w:rPr>
          <w:rFonts w:ascii="Times New Roman" w:hAnsi="Times New Roman"/>
          <w:highlight w:val="none"/>
        </w:rPr>
        <w:t>由</w:t>
      </w:r>
      <w:r>
        <w:rPr>
          <w:rFonts w:hint="eastAsia" w:ascii="Times New Roman" w:hAnsi="Times New Roman"/>
          <w:highlight w:val="none"/>
          <w:lang w:val="en-US" w:eastAsia="zh-CN"/>
        </w:rPr>
        <w:t>厂家回收处置</w:t>
      </w:r>
      <w:r>
        <w:rPr>
          <w:rFonts w:ascii="Times New Roman" w:hAnsi="Times New Roman"/>
          <w:highlight w:val="none"/>
        </w:rPr>
        <w:t>处理；生活垃圾由市政部门统一处置；废催化剂交由有资质单位处置；餐厨垃圾及废油脂交由有资质单位处置。</w:t>
      </w:r>
    </w:p>
    <w:p w14:paraId="0AD10679">
      <w:pPr>
        <w:rPr>
          <w:rFonts w:ascii="Times New Roman" w:hAnsi="Times New Roman"/>
          <w:highlight w:val="none"/>
        </w:rPr>
      </w:pPr>
      <w:r>
        <w:rPr>
          <w:rFonts w:ascii="Times New Roman" w:hAnsi="Times New Roman"/>
          <w:highlight w:val="none"/>
        </w:rPr>
        <w:t>本项目运行期间产生的固体废物处置得当，综合利用率达100%，对外环境几乎没有影响。</w:t>
      </w:r>
    </w:p>
    <w:p w14:paraId="362975EB">
      <w:pPr>
        <w:pStyle w:val="4"/>
        <w:bidi w:val="0"/>
        <w:ind w:left="0" w:leftChars="0" w:firstLine="0" w:firstLineChars="0"/>
        <w:rPr>
          <w:rFonts w:hint="eastAsia"/>
          <w:highlight w:val="none"/>
          <w:lang w:val="en-US" w:eastAsia="zh-CN"/>
        </w:rPr>
      </w:pPr>
      <w:bookmarkStart w:id="211" w:name="_Toc10177"/>
      <w:r>
        <w:rPr>
          <w:rFonts w:hint="eastAsia"/>
          <w:highlight w:val="none"/>
          <w:lang w:val="en-US" w:eastAsia="zh-CN"/>
        </w:rPr>
        <w:t>9.6环境风险评价结论</w:t>
      </w:r>
      <w:bookmarkEnd w:id="211"/>
    </w:p>
    <w:p w14:paraId="3C965C5A">
      <w:pPr>
        <w:ind w:firstLine="480"/>
        <w:rPr>
          <w:rFonts w:ascii="Times New Roman" w:hAnsi="Times New Roman"/>
          <w:highlight w:val="none"/>
        </w:rPr>
      </w:pPr>
      <w:r>
        <w:rPr>
          <w:rFonts w:ascii="Times New Roman" w:hAnsi="Times New Roman"/>
          <w:highlight w:val="none"/>
        </w:rPr>
        <w:t>风险评价结果表明，在落实各项环保措施和本评价所列出的各项环境风险防范措施、有效的应急预案，加强风险管理的条件下，本项目的环境风险可防控。</w:t>
      </w:r>
    </w:p>
    <w:p w14:paraId="7218371F">
      <w:pPr>
        <w:pStyle w:val="4"/>
        <w:bidi w:val="0"/>
        <w:ind w:left="0" w:leftChars="0" w:firstLine="0" w:firstLineChars="0"/>
        <w:rPr>
          <w:rFonts w:hint="eastAsia"/>
          <w:highlight w:val="none"/>
          <w:lang w:val="en-US" w:eastAsia="zh-CN"/>
        </w:rPr>
      </w:pPr>
      <w:bookmarkStart w:id="212" w:name="_Toc31089"/>
      <w:r>
        <w:rPr>
          <w:rFonts w:hint="eastAsia"/>
          <w:highlight w:val="none"/>
          <w:lang w:val="en-US" w:eastAsia="zh-CN"/>
        </w:rPr>
        <w:t>9.7总量控制</w:t>
      </w:r>
      <w:bookmarkEnd w:id="212"/>
    </w:p>
    <w:p w14:paraId="3338A93A">
      <w:pPr>
        <w:ind w:firstLine="480"/>
        <w:rPr>
          <w:rFonts w:ascii="Times New Roman" w:hAnsi="Times New Roman"/>
          <w:highlight w:val="none"/>
        </w:rPr>
      </w:pPr>
      <w:r>
        <w:rPr>
          <w:rFonts w:ascii="Times New Roman" w:hAnsi="Times New Roman"/>
          <w:highlight w:val="none"/>
        </w:rPr>
        <w:t>本项目污染物核定总量</w:t>
      </w:r>
      <w:r>
        <w:rPr>
          <w:rFonts w:hint="eastAsia" w:ascii="Times New Roman" w:hAnsi="Times New Roman"/>
          <w:highlight w:val="none"/>
        </w:rPr>
        <w:t>：</w:t>
      </w:r>
      <w:r>
        <w:rPr>
          <w:rFonts w:ascii="Times New Roman" w:hAnsi="Times New Roman"/>
          <w:highlight w:val="none"/>
        </w:rPr>
        <w:t>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313FFB16">
      <w:pPr>
        <w:rPr>
          <w:rFonts w:ascii="Times New Roman" w:hAnsi="Times New Roman"/>
          <w:highlight w:val="none"/>
        </w:rPr>
      </w:pPr>
      <w:r>
        <w:rPr>
          <w:rFonts w:ascii="Times New Roman" w:hAnsi="Times New Roman"/>
          <w:highlight w:val="none"/>
        </w:rPr>
        <w:t>全厂核定量：颗粒物：</w:t>
      </w:r>
      <w:r>
        <w:rPr>
          <w:rFonts w:hint="eastAsia" w:ascii="Times New Roman" w:hAnsi="Times New Roman"/>
          <w:highlight w:val="none"/>
          <w:lang w:val="en-US" w:eastAsia="zh-CN"/>
        </w:rPr>
        <w:t>7.902</w:t>
      </w:r>
      <w:r>
        <w:rPr>
          <w:rFonts w:ascii="Times New Roman" w:hAnsi="Times New Roman"/>
          <w:highlight w:val="none"/>
        </w:rPr>
        <w:t>t/a、SO</w:t>
      </w:r>
      <w:r>
        <w:rPr>
          <w:rFonts w:ascii="Times New Roman" w:hAnsi="Times New Roman"/>
          <w:highlight w:val="none"/>
          <w:vertAlign w:val="subscript"/>
        </w:rPr>
        <w:t>2</w:t>
      </w:r>
      <w:r>
        <w:rPr>
          <w:rFonts w:ascii="Times New Roman" w:hAnsi="Times New Roman"/>
          <w:highlight w:val="none"/>
        </w:rPr>
        <w:t>：</w:t>
      </w:r>
      <w:r>
        <w:rPr>
          <w:rFonts w:hint="eastAsia" w:ascii="Times New Roman" w:hAnsi="Times New Roman"/>
          <w:highlight w:val="none"/>
          <w:lang w:val="en-US" w:eastAsia="zh-CN"/>
        </w:rPr>
        <w:t>27.658</w:t>
      </w:r>
      <w:r>
        <w:rPr>
          <w:rFonts w:ascii="Times New Roman" w:hAnsi="Times New Roman"/>
          <w:highlight w:val="none"/>
        </w:rPr>
        <w:t>t/a和NOx：</w:t>
      </w:r>
      <w:r>
        <w:rPr>
          <w:rFonts w:hint="eastAsia" w:ascii="Times New Roman" w:hAnsi="Times New Roman"/>
          <w:highlight w:val="none"/>
          <w:lang w:val="en-US" w:eastAsia="zh-CN"/>
        </w:rPr>
        <w:t>39.511</w:t>
      </w:r>
      <w:r>
        <w:rPr>
          <w:rFonts w:ascii="Times New Roman" w:hAnsi="Times New Roman"/>
          <w:highlight w:val="none"/>
        </w:rPr>
        <w:t>t/a。</w:t>
      </w:r>
    </w:p>
    <w:p w14:paraId="1C34C3C1">
      <w:pPr>
        <w:pStyle w:val="4"/>
        <w:bidi w:val="0"/>
        <w:ind w:left="0" w:leftChars="0" w:firstLine="0" w:firstLineChars="0"/>
        <w:rPr>
          <w:rFonts w:hint="eastAsia"/>
          <w:highlight w:val="none"/>
          <w:lang w:val="en-US" w:eastAsia="zh-CN"/>
        </w:rPr>
      </w:pPr>
      <w:bookmarkStart w:id="213" w:name="_Toc29709"/>
      <w:r>
        <w:rPr>
          <w:rFonts w:hint="eastAsia"/>
          <w:highlight w:val="none"/>
          <w:lang w:val="en-US" w:eastAsia="zh-CN"/>
        </w:rPr>
        <w:t>9.8公众参与意见采纳情况说明</w:t>
      </w:r>
      <w:bookmarkEnd w:id="213"/>
    </w:p>
    <w:p w14:paraId="27010F52">
      <w:pPr>
        <w:rPr>
          <w:rFonts w:hint="default"/>
          <w:highlight w:val="none"/>
          <w:lang w:val="en-US" w:eastAsia="zh-CN"/>
        </w:rPr>
      </w:pPr>
      <w:r>
        <w:rPr>
          <w:rFonts w:hint="eastAsia" w:ascii="Times New Roman" w:hAnsi="Times New Roman"/>
          <w:color w:val="auto"/>
          <w:highlight w:val="none"/>
        </w:rPr>
        <w:t>在公示期间，</w:t>
      </w:r>
      <w:r>
        <w:rPr>
          <w:rFonts w:hint="eastAsia"/>
          <w:color w:val="auto"/>
          <w:highlight w:val="none"/>
        </w:rPr>
        <w:t>截止目前，绥芬河市新区供热有限责任公司及环评单位</w:t>
      </w:r>
      <w:r>
        <w:rPr>
          <w:rFonts w:hint="eastAsia"/>
          <w:color w:val="auto"/>
          <w:highlight w:val="none"/>
          <w:lang w:val="en-US" w:eastAsia="zh-CN"/>
        </w:rPr>
        <w:t>未</w:t>
      </w:r>
      <w:r>
        <w:rPr>
          <w:rFonts w:hint="eastAsia"/>
          <w:color w:val="auto"/>
          <w:highlight w:val="none"/>
        </w:rPr>
        <w:t>收到其他公众提出的意见。</w:t>
      </w:r>
    </w:p>
    <w:p w14:paraId="22959B16">
      <w:pPr>
        <w:pStyle w:val="4"/>
        <w:bidi w:val="0"/>
        <w:ind w:left="0" w:leftChars="0" w:firstLine="0" w:firstLineChars="0"/>
        <w:rPr>
          <w:rFonts w:hint="eastAsia"/>
          <w:highlight w:val="none"/>
          <w:lang w:val="en-US" w:eastAsia="zh-CN"/>
        </w:rPr>
      </w:pPr>
      <w:bookmarkStart w:id="214" w:name="_Toc4514"/>
      <w:r>
        <w:rPr>
          <w:rFonts w:hint="eastAsia"/>
          <w:highlight w:val="none"/>
          <w:lang w:val="en-US" w:eastAsia="zh-CN"/>
        </w:rPr>
        <w:t>9.9综合评价结论</w:t>
      </w:r>
      <w:bookmarkEnd w:id="214"/>
    </w:p>
    <w:p w14:paraId="7E276A54">
      <w:pPr>
        <w:ind w:firstLine="480"/>
        <w:rPr>
          <w:rFonts w:ascii="Times New Roman" w:hAnsi="Times New Roman"/>
          <w:color w:val="auto"/>
          <w:highlight w:val="none"/>
        </w:rPr>
      </w:pPr>
      <w:r>
        <w:rPr>
          <w:rFonts w:ascii="Times New Roman" w:hAnsi="Times New Roman"/>
          <w:color w:val="auto"/>
          <w:highlight w:val="none"/>
        </w:rPr>
        <w:t>本项目建设符合《产业结构调整指导目录（2</w:t>
      </w:r>
      <w:r>
        <w:rPr>
          <w:rFonts w:hint="eastAsia" w:ascii="Times New Roman" w:hAnsi="Times New Roman"/>
          <w:color w:val="auto"/>
          <w:highlight w:val="none"/>
          <w:lang w:val="en-US" w:eastAsia="zh-CN"/>
        </w:rPr>
        <w:t>024</w:t>
      </w:r>
      <w:r>
        <w:rPr>
          <w:rFonts w:ascii="Times New Roman" w:hAnsi="Times New Roman"/>
          <w:color w:val="auto"/>
          <w:highlight w:val="none"/>
        </w:rPr>
        <w:t>年本）》的相关要求，选址符合地区供热规划的要求，其建设将对改善区域环境空气质量起到重要作用。</w:t>
      </w:r>
    </w:p>
    <w:p w14:paraId="4D7356BB">
      <w:pPr>
        <w:rPr>
          <w:rFonts w:hint="default"/>
          <w:highlight w:val="none"/>
          <w:lang w:val="en-US" w:eastAsia="zh-CN"/>
        </w:rPr>
      </w:pPr>
      <w:r>
        <w:rPr>
          <w:rFonts w:ascii="Times New Roman" w:hAnsi="Times New Roman"/>
          <w:color w:val="auto"/>
          <w:highlight w:val="none"/>
        </w:rPr>
        <w:t>本项目通过综合环境空气影响评价、声环境影响评价、地表水及固体废物环境影响分析，结合环境经济损益分析结论，在确保报告书提出的污染防治措施全面实施并正常运行的前提下，通过加强环境管理及环境监测，杜绝事故排放，本工程的建设可被周围环境所接受。因此，该项目的建设从环境保护的角度分析是可行的。</w:t>
      </w:r>
    </w:p>
    <w:p w14:paraId="08D9723E">
      <w:pPr>
        <w:pStyle w:val="7"/>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D4C41BD">
      <w:pPr>
        <w:pStyle w:val="4"/>
        <w:spacing w:before="0" w:after="0" w:line="240" w:lineRule="auto"/>
        <w:jc w:val="center"/>
        <w:rPr>
          <w:color w:val="auto"/>
          <w:highlight w:val="none"/>
        </w:rPr>
      </w:pPr>
      <w:bookmarkStart w:id="215" w:name="_Toc29669"/>
      <w:bookmarkStart w:id="216" w:name="_Toc15187"/>
      <w:r>
        <w:rPr>
          <w:color w:val="auto"/>
          <w:highlight w:val="none"/>
        </w:rPr>
        <w:t>大气环境影响评价自查表</w:t>
      </w:r>
      <w:bookmarkEnd w:id="215"/>
      <w:bookmarkEnd w:id="216"/>
    </w:p>
    <w:tbl>
      <w:tblPr>
        <w:tblStyle w:val="1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8"/>
        <w:gridCol w:w="1622"/>
        <w:gridCol w:w="997"/>
        <w:gridCol w:w="645"/>
        <w:gridCol w:w="92"/>
        <w:gridCol w:w="176"/>
        <w:gridCol w:w="446"/>
        <w:gridCol w:w="290"/>
        <w:gridCol w:w="434"/>
        <w:gridCol w:w="263"/>
        <w:gridCol w:w="245"/>
        <w:gridCol w:w="304"/>
        <w:gridCol w:w="608"/>
        <w:gridCol w:w="280"/>
        <w:gridCol w:w="119"/>
        <w:gridCol w:w="200"/>
        <w:gridCol w:w="137"/>
        <w:gridCol w:w="298"/>
        <w:gridCol w:w="622"/>
      </w:tblGrid>
      <w:tr w14:paraId="5EE983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 w:hRule="atLeast"/>
          <w:jc w:val="center"/>
        </w:trPr>
        <w:tc>
          <w:tcPr>
            <w:tcW w:w="1438" w:type="pct"/>
            <w:gridSpan w:val="2"/>
            <w:tcBorders>
              <w:top w:val="single" w:color="auto" w:sz="4" w:space="0"/>
              <w:left w:val="single" w:color="auto" w:sz="4" w:space="0"/>
              <w:bottom w:val="single" w:color="auto" w:sz="4" w:space="0"/>
              <w:right w:val="single" w:color="auto" w:sz="4" w:space="0"/>
            </w:tcBorders>
            <w:noWrap w:val="0"/>
            <w:vAlign w:val="center"/>
          </w:tcPr>
          <w:p w14:paraId="38AE0984">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工作内容</w:t>
            </w:r>
          </w:p>
        </w:tc>
        <w:tc>
          <w:tcPr>
            <w:tcW w:w="3562" w:type="pct"/>
            <w:gridSpan w:val="17"/>
            <w:tcBorders>
              <w:top w:val="single" w:color="auto" w:sz="4" w:space="0"/>
              <w:left w:val="single" w:color="auto" w:sz="4" w:space="0"/>
              <w:bottom w:val="single" w:color="auto" w:sz="4" w:space="0"/>
              <w:right w:val="single" w:color="auto" w:sz="4" w:space="0"/>
            </w:tcBorders>
            <w:noWrap w:val="0"/>
            <w:vAlign w:val="center"/>
          </w:tcPr>
          <w:p w14:paraId="0E6C5AA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自查项目</w:t>
            </w:r>
          </w:p>
        </w:tc>
      </w:tr>
      <w:tr w14:paraId="564DBC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450C167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评价等级与范围</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58049898">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评价等级</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0FA118F2">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一级</w:t>
            </w:r>
            <w:r>
              <w:rPr>
                <w:rFonts w:ascii="Times New Roman" w:hAnsi="Times New Roman" w:eastAsia="新宋体"/>
                <w:color w:val="auto"/>
                <w:sz w:val="18"/>
                <w:szCs w:val="18"/>
                <w:highlight w:val="none"/>
              </w:rPr>
              <w:sym w:font="Wingdings" w:char="00FE"/>
            </w:r>
          </w:p>
        </w:tc>
        <w:tc>
          <w:tcPr>
            <w:tcW w:w="1434" w:type="pct"/>
            <w:gridSpan w:val="8"/>
            <w:tcBorders>
              <w:top w:val="single" w:color="auto" w:sz="4" w:space="0"/>
              <w:left w:val="single" w:color="auto" w:sz="4" w:space="0"/>
              <w:bottom w:val="single" w:color="auto" w:sz="4" w:space="0"/>
              <w:right w:val="single" w:color="auto" w:sz="4" w:space="0"/>
            </w:tcBorders>
            <w:noWrap w:val="0"/>
            <w:vAlign w:val="center"/>
          </w:tcPr>
          <w:p w14:paraId="34E9D2B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二级</w:t>
            </w:r>
            <w:r>
              <w:rPr>
                <w:rFonts w:ascii="Times New Roman" w:hAnsi="Times New Roman" w:eastAsia="新宋体"/>
                <w:color w:val="auto"/>
                <w:sz w:val="18"/>
                <w:szCs w:val="18"/>
                <w:highlight w:val="none"/>
              </w:rPr>
              <w:sym w:font="Wingdings" w:char="00A8"/>
            </w:r>
          </w:p>
        </w:tc>
        <w:tc>
          <w:tcPr>
            <w:tcW w:w="794" w:type="pct"/>
            <w:gridSpan w:val="4"/>
            <w:tcBorders>
              <w:top w:val="single" w:color="auto" w:sz="4" w:space="0"/>
              <w:left w:val="single" w:color="auto" w:sz="4" w:space="0"/>
              <w:bottom w:val="single" w:color="auto" w:sz="4" w:space="0"/>
              <w:right w:val="single" w:color="auto" w:sz="4" w:space="0"/>
            </w:tcBorders>
            <w:noWrap w:val="0"/>
            <w:vAlign w:val="center"/>
          </w:tcPr>
          <w:p w14:paraId="57AFE6E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三级</w:t>
            </w:r>
            <w:r>
              <w:rPr>
                <w:rFonts w:ascii="Times New Roman" w:hAnsi="Times New Roman" w:eastAsia="新宋体"/>
                <w:color w:val="auto"/>
                <w:sz w:val="18"/>
                <w:szCs w:val="18"/>
                <w:highlight w:val="none"/>
              </w:rPr>
              <w:sym w:font="Wingdings" w:char="00A8"/>
            </w:r>
          </w:p>
        </w:tc>
      </w:tr>
      <w:tr w14:paraId="49471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644D28E0">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7FBFD8C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评价范围</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26842427">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边长=50km</w:t>
            </w:r>
            <w:r>
              <w:rPr>
                <w:rFonts w:ascii="Times New Roman" w:hAnsi="Times New Roman" w:eastAsia="新宋体"/>
                <w:color w:val="auto"/>
                <w:sz w:val="18"/>
                <w:szCs w:val="18"/>
                <w:highlight w:val="none"/>
              </w:rPr>
              <w:sym w:font="Wingdings" w:char="00A8"/>
            </w:r>
          </w:p>
        </w:tc>
        <w:tc>
          <w:tcPr>
            <w:tcW w:w="1434" w:type="pct"/>
            <w:gridSpan w:val="8"/>
            <w:tcBorders>
              <w:top w:val="single" w:color="auto" w:sz="4" w:space="0"/>
              <w:left w:val="single" w:color="auto" w:sz="4" w:space="0"/>
              <w:bottom w:val="single" w:color="auto" w:sz="4" w:space="0"/>
              <w:right w:val="single" w:color="auto" w:sz="4" w:space="0"/>
            </w:tcBorders>
            <w:noWrap w:val="0"/>
            <w:vAlign w:val="center"/>
          </w:tcPr>
          <w:p w14:paraId="788F825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边长5~50km</w:t>
            </w:r>
            <w:r>
              <w:rPr>
                <w:rFonts w:ascii="Times New Roman" w:hAnsi="Times New Roman" w:eastAsia="新宋体"/>
                <w:color w:val="auto"/>
                <w:sz w:val="18"/>
                <w:szCs w:val="18"/>
                <w:highlight w:val="none"/>
              </w:rPr>
              <w:sym w:font="Wingdings" w:char="00A8"/>
            </w:r>
          </w:p>
        </w:tc>
        <w:tc>
          <w:tcPr>
            <w:tcW w:w="794" w:type="pct"/>
            <w:gridSpan w:val="4"/>
            <w:tcBorders>
              <w:top w:val="single" w:color="auto" w:sz="4" w:space="0"/>
              <w:left w:val="single" w:color="auto" w:sz="4" w:space="0"/>
              <w:bottom w:val="single" w:color="auto" w:sz="4" w:space="0"/>
              <w:right w:val="single" w:color="auto" w:sz="4" w:space="0"/>
            </w:tcBorders>
            <w:noWrap w:val="0"/>
            <w:vAlign w:val="center"/>
          </w:tcPr>
          <w:p w14:paraId="6A6A0F50">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边长=5km</w:t>
            </w:r>
            <w:r>
              <w:rPr>
                <w:rFonts w:ascii="Times New Roman" w:hAnsi="Times New Roman" w:eastAsia="新宋体"/>
                <w:color w:val="auto"/>
                <w:sz w:val="18"/>
                <w:szCs w:val="18"/>
                <w:highlight w:val="none"/>
              </w:rPr>
              <w:sym w:font="Wingdings" w:char="00FE"/>
            </w:r>
          </w:p>
        </w:tc>
      </w:tr>
      <w:tr w14:paraId="750E0C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19121CF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评价因子</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0C360B24">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SO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+NO</w:t>
            </w:r>
            <w:r>
              <w:rPr>
                <w:rFonts w:ascii="Times New Roman" w:hAnsi="Times New Roman" w:eastAsia="新宋体"/>
                <w:color w:val="auto"/>
                <w:sz w:val="18"/>
                <w:szCs w:val="18"/>
                <w:highlight w:val="none"/>
                <w:vertAlign w:val="subscript"/>
              </w:rPr>
              <w:t>X</w:t>
            </w:r>
            <w:r>
              <w:rPr>
                <w:rFonts w:ascii="Times New Roman" w:hAnsi="Times New Roman" w:eastAsia="新宋体"/>
                <w:color w:val="auto"/>
                <w:sz w:val="18"/>
                <w:szCs w:val="18"/>
                <w:highlight w:val="none"/>
              </w:rPr>
              <w:t>排放量</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2CCB4317">
            <w:pPr>
              <w:spacing w:line="240" w:lineRule="auto"/>
              <w:ind w:firstLine="0" w:firstLineChars="0"/>
              <w:jc w:val="center"/>
              <w:rPr>
                <w:rFonts w:ascii="Times New Roman" w:hAnsi="Times New Roman" w:eastAsia="新宋体"/>
                <w:color w:val="auto"/>
                <w:sz w:val="18"/>
                <w:szCs w:val="18"/>
                <w:highlight w:val="none"/>
              </w:rPr>
            </w:pP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2000t/a</w:t>
            </w:r>
            <w:r>
              <w:rPr>
                <w:rFonts w:ascii="Times New Roman" w:hAnsi="Times New Roman" w:eastAsia="新宋体"/>
                <w:color w:val="auto"/>
                <w:sz w:val="18"/>
                <w:szCs w:val="18"/>
                <w:highlight w:val="none"/>
              </w:rPr>
              <w:sym w:font="Wingdings" w:char="00A8"/>
            </w:r>
          </w:p>
        </w:tc>
        <w:tc>
          <w:tcPr>
            <w:tcW w:w="1434" w:type="pct"/>
            <w:gridSpan w:val="8"/>
            <w:tcBorders>
              <w:top w:val="single" w:color="auto" w:sz="4" w:space="0"/>
              <w:left w:val="single" w:color="auto" w:sz="4" w:space="0"/>
              <w:bottom w:val="single" w:color="auto" w:sz="4" w:space="0"/>
              <w:right w:val="single" w:color="auto" w:sz="4" w:space="0"/>
            </w:tcBorders>
            <w:noWrap w:val="0"/>
            <w:vAlign w:val="center"/>
          </w:tcPr>
          <w:p w14:paraId="671903A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500～2000t/a</w:t>
            </w:r>
            <w:r>
              <w:rPr>
                <w:rFonts w:ascii="Times New Roman" w:hAnsi="Times New Roman" w:eastAsia="新宋体"/>
                <w:color w:val="auto"/>
                <w:sz w:val="18"/>
                <w:szCs w:val="18"/>
                <w:highlight w:val="none"/>
              </w:rPr>
              <w:sym w:font="Wingdings" w:char="00A8"/>
            </w:r>
          </w:p>
        </w:tc>
        <w:tc>
          <w:tcPr>
            <w:tcW w:w="794" w:type="pct"/>
            <w:gridSpan w:val="4"/>
            <w:tcBorders>
              <w:top w:val="single" w:color="auto" w:sz="4" w:space="0"/>
              <w:left w:val="single" w:color="auto" w:sz="4" w:space="0"/>
              <w:bottom w:val="single" w:color="auto" w:sz="4" w:space="0"/>
              <w:right w:val="single" w:color="auto" w:sz="4" w:space="0"/>
            </w:tcBorders>
            <w:noWrap w:val="0"/>
            <w:vAlign w:val="center"/>
          </w:tcPr>
          <w:p w14:paraId="60E9644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&lt;500t/a</w:t>
            </w:r>
            <w:r>
              <w:rPr>
                <w:rFonts w:ascii="Times New Roman" w:hAnsi="Times New Roman" w:eastAsia="新宋体"/>
                <w:color w:val="auto"/>
                <w:sz w:val="18"/>
                <w:szCs w:val="18"/>
                <w:highlight w:val="none"/>
              </w:rPr>
              <w:sym w:font="Wingdings" w:char="00FE"/>
            </w:r>
          </w:p>
        </w:tc>
      </w:tr>
      <w:tr w14:paraId="2FFAFD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76080418">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7C3A679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评价因子</w:t>
            </w:r>
          </w:p>
        </w:tc>
        <w:tc>
          <w:tcPr>
            <w:tcW w:w="2210" w:type="pct"/>
            <w:gridSpan w:val="10"/>
            <w:tcBorders>
              <w:top w:val="single" w:color="auto" w:sz="4" w:space="0"/>
              <w:left w:val="single" w:color="auto" w:sz="4" w:space="0"/>
              <w:bottom w:val="single" w:color="auto" w:sz="4" w:space="0"/>
              <w:right w:val="single" w:color="auto" w:sz="4" w:space="0"/>
            </w:tcBorders>
            <w:noWrap w:val="0"/>
            <w:vAlign w:val="center"/>
          </w:tcPr>
          <w:p w14:paraId="1FF3232F">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基本污染物(PM</w:t>
            </w:r>
            <w:r>
              <w:rPr>
                <w:rFonts w:ascii="Times New Roman" w:hAnsi="Times New Roman" w:eastAsia="新宋体"/>
                <w:color w:val="auto"/>
                <w:sz w:val="18"/>
                <w:szCs w:val="18"/>
                <w:highlight w:val="none"/>
                <w:vertAlign w:val="subscript"/>
              </w:rPr>
              <w:t>10</w:t>
            </w:r>
            <w:r>
              <w:rPr>
                <w:rFonts w:ascii="Times New Roman" w:hAnsi="Times New Roman" w:eastAsia="新宋体"/>
                <w:color w:val="auto"/>
                <w:sz w:val="18"/>
                <w:szCs w:val="18"/>
                <w:highlight w:val="none"/>
              </w:rPr>
              <w:t>、PM</w:t>
            </w:r>
            <w:r>
              <w:rPr>
                <w:rFonts w:ascii="Times New Roman" w:hAnsi="Times New Roman" w:eastAsia="新宋体"/>
                <w:color w:val="auto"/>
                <w:sz w:val="18"/>
                <w:szCs w:val="18"/>
                <w:highlight w:val="none"/>
                <w:vertAlign w:val="subscript"/>
              </w:rPr>
              <w:t>2.5</w:t>
            </w:r>
            <w:r>
              <w:rPr>
                <w:rFonts w:ascii="Times New Roman" w:hAnsi="Times New Roman" w:eastAsia="新宋体"/>
                <w:color w:val="auto"/>
                <w:sz w:val="18"/>
                <w:szCs w:val="18"/>
                <w:highlight w:val="none"/>
              </w:rPr>
              <w:t>、SO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、NO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、CO、O</w:t>
            </w:r>
            <w:r>
              <w:rPr>
                <w:rFonts w:ascii="Times New Roman" w:hAnsi="Times New Roman" w:eastAsia="新宋体"/>
                <w:color w:val="auto"/>
                <w:sz w:val="18"/>
                <w:szCs w:val="18"/>
                <w:highlight w:val="none"/>
                <w:vertAlign w:val="subscript"/>
              </w:rPr>
              <w:t>3</w:t>
            </w:r>
            <w:r>
              <w:rPr>
                <w:rFonts w:ascii="Times New Roman" w:hAnsi="Times New Roman" w:eastAsia="新宋体"/>
                <w:color w:val="auto"/>
                <w:sz w:val="18"/>
                <w:szCs w:val="18"/>
                <w:highlight w:val="none"/>
              </w:rPr>
              <w:t>)</w:t>
            </w:r>
          </w:p>
          <w:p w14:paraId="4492F7F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其他污染物（TSP、氨、汞、非甲烷总烃）</w:t>
            </w:r>
          </w:p>
        </w:tc>
        <w:tc>
          <w:tcPr>
            <w:tcW w:w="1352" w:type="pct"/>
            <w:gridSpan w:val="7"/>
            <w:tcBorders>
              <w:top w:val="single" w:color="auto" w:sz="4" w:space="0"/>
              <w:left w:val="single" w:color="auto" w:sz="4" w:space="0"/>
              <w:bottom w:val="single" w:color="auto" w:sz="4" w:space="0"/>
              <w:right w:val="single" w:color="auto" w:sz="4" w:space="0"/>
            </w:tcBorders>
            <w:noWrap w:val="0"/>
            <w:vAlign w:val="center"/>
          </w:tcPr>
          <w:p w14:paraId="243F801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包括二次PM2.5</w:t>
            </w:r>
            <w:r>
              <w:rPr>
                <w:rFonts w:ascii="Times New Roman" w:hAnsi="Times New Roman" w:eastAsia="新宋体"/>
                <w:color w:val="auto"/>
                <w:sz w:val="18"/>
                <w:szCs w:val="18"/>
                <w:highlight w:val="none"/>
              </w:rPr>
              <w:sym w:font="Wingdings" w:char="00A8"/>
            </w:r>
          </w:p>
          <w:p w14:paraId="3A10965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不包括二次PM2.5</w:t>
            </w:r>
            <w:r>
              <w:rPr>
                <w:rFonts w:ascii="Times New Roman" w:hAnsi="Times New Roman" w:eastAsia="新宋体"/>
                <w:color w:val="auto"/>
                <w:sz w:val="18"/>
                <w:szCs w:val="18"/>
                <w:highlight w:val="none"/>
              </w:rPr>
              <w:sym w:font="Wingdings" w:char="00FE"/>
            </w:r>
          </w:p>
        </w:tc>
      </w:tr>
      <w:tr w14:paraId="05330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tcBorders>
              <w:top w:val="single" w:color="auto" w:sz="4" w:space="0"/>
              <w:left w:val="single" w:color="auto" w:sz="4" w:space="0"/>
              <w:bottom w:val="single" w:color="auto" w:sz="4" w:space="0"/>
              <w:right w:val="single" w:color="auto" w:sz="4" w:space="0"/>
            </w:tcBorders>
            <w:noWrap w:val="0"/>
            <w:vAlign w:val="center"/>
          </w:tcPr>
          <w:p w14:paraId="1AFA2CB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评价标准</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57B0942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评价标准</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598BD17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国家标准</w:t>
            </w:r>
            <w:r>
              <w:rPr>
                <w:rFonts w:ascii="Times New Roman" w:hAnsi="Times New Roman" w:eastAsia="新宋体"/>
                <w:color w:val="auto"/>
                <w:sz w:val="18"/>
                <w:szCs w:val="18"/>
                <w:highlight w:val="none"/>
              </w:rPr>
              <w:sym w:font="Wingdings" w:char="00FE"/>
            </w:r>
          </w:p>
        </w:tc>
        <w:tc>
          <w:tcPr>
            <w:tcW w:w="876" w:type="pct"/>
            <w:gridSpan w:val="5"/>
            <w:tcBorders>
              <w:top w:val="single" w:color="auto" w:sz="4" w:space="0"/>
              <w:left w:val="single" w:color="auto" w:sz="4" w:space="0"/>
              <w:bottom w:val="single" w:color="auto" w:sz="4" w:space="0"/>
              <w:right w:val="single" w:color="auto" w:sz="4" w:space="0"/>
            </w:tcBorders>
            <w:noWrap w:val="0"/>
            <w:vAlign w:val="center"/>
          </w:tcPr>
          <w:p w14:paraId="60D8EB8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地方标准</w:t>
            </w:r>
            <w:r>
              <w:rPr>
                <w:rFonts w:ascii="Times New Roman" w:hAnsi="Times New Roman" w:eastAsia="新宋体"/>
                <w:color w:val="auto"/>
                <w:sz w:val="18"/>
                <w:szCs w:val="18"/>
                <w:highlight w:val="none"/>
              </w:rPr>
              <w:sym w:font="Wingdings" w:char="00A8"/>
            </w:r>
          </w:p>
        </w:tc>
        <w:tc>
          <w:tcPr>
            <w:tcW w:w="696" w:type="pct"/>
            <w:gridSpan w:val="4"/>
            <w:tcBorders>
              <w:top w:val="single" w:color="auto" w:sz="4" w:space="0"/>
              <w:left w:val="single" w:color="auto" w:sz="4" w:space="0"/>
              <w:bottom w:val="single" w:color="auto" w:sz="4" w:space="0"/>
              <w:right w:val="single" w:color="auto" w:sz="4" w:space="0"/>
            </w:tcBorders>
            <w:noWrap w:val="0"/>
            <w:vAlign w:val="center"/>
          </w:tcPr>
          <w:p w14:paraId="4E7E4AD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附录D</w:t>
            </w:r>
            <w:r>
              <w:rPr>
                <w:rFonts w:ascii="Times New Roman" w:hAnsi="Times New Roman" w:eastAsia="新宋体"/>
                <w:color w:val="auto"/>
                <w:sz w:val="18"/>
                <w:szCs w:val="18"/>
                <w:highlight w:val="none"/>
              </w:rPr>
              <w:sym w:font="Wingdings" w:char="00FE"/>
            </w:r>
          </w:p>
        </w:tc>
        <w:tc>
          <w:tcPr>
            <w:tcW w:w="656" w:type="pct"/>
            <w:gridSpan w:val="3"/>
            <w:tcBorders>
              <w:top w:val="single" w:color="auto" w:sz="4" w:space="0"/>
              <w:left w:val="single" w:color="auto" w:sz="4" w:space="0"/>
              <w:bottom w:val="single" w:color="auto" w:sz="4" w:space="0"/>
              <w:right w:val="single" w:color="auto" w:sz="4" w:space="0"/>
            </w:tcBorders>
            <w:noWrap w:val="0"/>
            <w:vAlign w:val="center"/>
          </w:tcPr>
          <w:p w14:paraId="7691ACE2">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其他标准</w:t>
            </w:r>
            <w:r>
              <w:rPr>
                <w:rFonts w:ascii="Times New Roman" w:hAnsi="Times New Roman" w:eastAsia="新宋体"/>
                <w:color w:val="auto"/>
                <w:sz w:val="18"/>
                <w:szCs w:val="18"/>
                <w:highlight w:val="none"/>
              </w:rPr>
              <w:sym w:font="Wingdings" w:char="00A8"/>
            </w:r>
          </w:p>
        </w:tc>
      </w:tr>
      <w:tr w14:paraId="14A15D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562646FE">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现状评价</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3A5E1AF0">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环境功能区</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2431826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一类区</w:t>
            </w:r>
            <w:r>
              <w:rPr>
                <w:rFonts w:ascii="Times New Roman" w:hAnsi="Times New Roman" w:eastAsia="新宋体"/>
                <w:color w:val="auto"/>
                <w:sz w:val="18"/>
                <w:szCs w:val="18"/>
                <w:highlight w:val="none"/>
              </w:rPr>
              <w:sym w:font="Wingdings" w:char="00A8"/>
            </w:r>
          </w:p>
        </w:tc>
        <w:tc>
          <w:tcPr>
            <w:tcW w:w="876" w:type="pct"/>
            <w:gridSpan w:val="5"/>
            <w:tcBorders>
              <w:top w:val="single" w:color="auto" w:sz="4" w:space="0"/>
              <w:left w:val="single" w:color="auto" w:sz="4" w:space="0"/>
              <w:bottom w:val="single" w:color="auto" w:sz="4" w:space="0"/>
              <w:right w:val="single" w:color="auto" w:sz="4" w:space="0"/>
            </w:tcBorders>
            <w:noWrap w:val="0"/>
            <w:vAlign w:val="center"/>
          </w:tcPr>
          <w:p w14:paraId="18F361A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二类区</w:t>
            </w:r>
            <w:r>
              <w:rPr>
                <w:rFonts w:ascii="Times New Roman" w:hAnsi="Times New Roman" w:eastAsia="新宋体"/>
                <w:color w:val="auto"/>
                <w:sz w:val="18"/>
                <w:szCs w:val="18"/>
                <w:highlight w:val="none"/>
              </w:rPr>
              <w:sym w:font="Wingdings" w:char="00FE"/>
            </w:r>
          </w:p>
        </w:tc>
        <w:tc>
          <w:tcPr>
            <w:tcW w:w="1352" w:type="pct"/>
            <w:gridSpan w:val="7"/>
            <w:tcBorders>
              <w:top w:val="single" w:color="auto" w:sz="4" w:space="0"/>
              <w:left w:val="single" w:color="auto" w:sz="4" w:space="0"/>
              <w:bottom w:val="single" w:color="auto" w:sz="4" w:space="0"/>
              <w:right w:val="single" w:color="auto" w:sz="4" w:space="0"/>
            </w:tcBorders>
            <w:noWrap w:val="0"/>
            <w:vAlign w:val="center"/>
          </w:tcPr>
          <w:p w14:paraId="069D7E32">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一类区和二类区</w:t>
            </w:r>
            <w:r>
              <w:rPr>
                <w:rFonts w:ascii="Times New Roman" w:hAnsi="Times New Roman" w:eastAsia="新宋体"/>
                <w:color w:val="auto"/>
                <w:sz w:val="18"/>
                <w:szCs w:val="18"/>
                <w:highlight w:val="none"/>
              </w:rPr>
              <w:sym w:font="Wingdings" w:char="00A8"/>
            </w:r>
          </w:p>
        </w:tc>
      </w:tr>
      <w:tr w14:paraId="754A5C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2B4781E1">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451CC84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评价基准年</w:t>
            </w:r>
          </w:p>
        </w:tc>
        <w:tc>
          <w:tcPr>
            <w:tcW w:w="3562" w:type="pct"/>
            <w:gridSpan w:val="17"/>
            <w:tcBorders>
              <w:top w:val="single" w:color="auto" w:sz="4" w:space="0"/>
              <w:left w:val="single" w:color="auto" w:sz="4" w:space="0"/>
              <w:bottom w:val="single" w:color="auto" w:sz="4" w:space="0"/>
              <w:right w:val="single" w:color="auto" w:sz="4" w:space="0"/>
            </w:tcBorders>
            <w:noWrap w:val="0"/>
            <w:vAlign w:val="center"/>
          </w:tcPr>
          <w:p w14:paraId="3D812AD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（202</w:t>
            </w:r>
            <w:r>
              <w:rPr>
                <w:rFonts w:hint="eastAsia" w:ascii="Times New Roman" w:hAnsi="Times New Roman" w:eastAsia="新宋体"/>
                <w:color w:val="auto"/>
                <w:sz w:val="18"/>
                <w:szCs w:val="18"/>
                <w:highlight w:val="none"/>
                <w:lang w:val="en-US" w:eastAsia="zh-CN"/>
              </w:rPr>
              <w:t>4</w:t>
            </w:r>
            <w:r>
              <w:rPr>
                <w:rFonts w:ascii="Times New Roman" w:hAnsi="Times New Roman" w:eastAsia="新宋体"/>
                <w:color w:val="auto"/>
                <w:sz w:val="18"/>
                <w:szCs w:val="18"/>
                <w:highlight w:val="none"/>
              </w:rPr>
              <w:t>）年</w:t>
            </w:r>
          </w:p>
        </w:tc>
      </w:tr>
      <w:tr w14:paraId="5CE27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1838EF13">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4B170F3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环境空气质量现状调查数据来源</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29DB3FD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长期例行监测数据</w:t>
            </w:r>
            <w:r>
              <w:rPr>
                <w:rFonts w:ascii="Times New Roman" w:hAnsi="Times New Roman" w:eastAsia="新宋体"/>
                <w:color w:val="auto"/>
                <w:sz w:val="18"/>
                <w:szCs w:val="18"/>
                <w:highlight w:val="none"/>
              </w:rPr>
              <w:sym w:font="Wingdings" w:char="00FE"/>
            </w:r>
          </w:p>
        </w:tc>
        <w:tc>
          <w:tcPr>
            <w:tcW w:w="1368" w:type="pct"/>
            <w:gridSpan w:val="7"/>
            <w:tcBorders>
              <w:top w:val="single" w:color="auto" w:sz="4" w:space="0"/>
              <w:left w:val="single" w:color="auto" w:sz="4" w:space="0"/>
              <w:bottom w:val="single" w:color="auto" w:sz="4" w:space="0"/>
              <w:right w:val="single" w:color="auto" w:sz="4" w:space="0"/>
            </w:tcBorders>
            <w:noWrap w:val="0"/>
            <w:vAlign w:val="center"/>
          </w:tcPr>
          <w:p w14:paraId="52566DE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主管部门发布的数据</w:t>
            </w:r>
            <w:r>
              <w:rPr>
                <w:rFonts w:ascii="Times New Roman" w:hAnsi="Times New Roman" w:eastAsia="新宋体"/>
                <w:color w:val="auto"/>
                <w:sz w:val="18"/>
                <w:szCs w:val="18"/>
                <w:highlight w:val="none"/>
              </w:rPr>
              <w:sym w:font="Wingdings" w:char="00FE"/>
            </w:r>
          </w:p>
        </w:tc>
        <w:tc>
          <w:tcPr>
            <w:tcW w:w="860" w:type="pct"/>
            <w:gridSpan w:val="5"/>
            <w:tcBorders>
              <w:top w:val="single" w:color="auto" w:sz="4" w:space="0"/>
              <w:left w:val="single" w:color="auto" w:sz="4" w:space="0"/>
              <w:bottom w:val="single" w:color="auto" w:sz="4" w:space="0"/>
              <w:right w:val="single" w:color="auto" w:sz="4" w:space="0"/>
            </w:tcBorders>
            <w:noWrap w:val="0"/>
            <w:vAlign w:val="center"/>
          </w:tcPr>
          <w:p w14:paraId="01C72C1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现状补充监测</w:t>
            </w:r>
            <w:r>
              <w:rPr>
                <w:rFonts w:ascii="Times New Roman" w:hAnsi="Times New Roman" w:eastAsia="新宋体"/>
                <w:color w:val="auto"/>
                <w:sz w:val="18"/>
                <w:szCs w:val="18"/>
                <w:highlight w:val="none"/>
              </w:rPr>
              <w:sym w:font="Wingdings" w:char="00FE"/>
            </w:r>
          </w:p>
        </w:tc>
      </w:tr>
      <w:tr w14:paraId="2969F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3A38F688">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4B85C8C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现状评价</w:t>
            </w:r>
          </w:p>
        </w:tc>
        <w:tc>
          <w:tcPr>
            <w:tcW w:w="2210" w:type="pct"/>
            <w:gridSpan w:val="10"/>
            <w:tcBorders>
              <w:top w:val="single" w:color="auto" w:sz="4" w:space="0"/>
              <w:left w:val="single" w:color="auto" w:sz="4" w:space="0"/>
              <w:bottom w:val="single" w:color="auto" w:sz="4" w:space="0"/>
              <w:right w:val="single" w:color="auto" w:sz="4" w:space="0"/>
            </w:tcBorders>
            <w:noWrap w:val="0"/>
            <w:vAlign w:val="center"/>
          </w:tcPr>
          <w:p w14:paraId="694EF8DE">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达标区</w:t>
            </w:r>
            <w:r>
              <w:rPr>
                <w:rFonts w:ascii="Times New Roman" w:hAnsi="Times New Roman" w:eastAsia="新宋体"/>
                <w:color w:val="auto"/>
                <w:sz w:val="18"/>
                <w:szCs w:val="18"/>
                <w:highlight w:val="none"/>
              </w:rPr>
              <w:sym w:font="Wingdings" w:char="00FE"/>
            </w:r>
          </w:p>
        </w:tc>
        <w:tc>
          <w:tcPr>
            <w:tcW w:w="1352" w:type="pct"/>
            <w:gridSpan w:val="7"/>
            <w:tcBorders>
              <w:top w:val="single" w:color="auto" w:sz="4" w:space="0"/>
              <w:left w:val="single" w:color="auto" w:sz="4" w:space="0"/>
              <w:bottom w:val="single" w:color="auto" w:sz="4" w:space="0"/>
              <w:right w:val="single" w:color="auto" w:sz="4" w:space="0"/>
            </w:tcBorders>
            <w:noWrap w:val="0"/>
            <w:vAlign w:val="center"/>
          </w:tcPr>
          <w:p w14:paraId="5B3392A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不达标区</w:t>
            </w:r>
            <w:r>
              <w:rPr>
                <w:rFonts w:ascii="Times New Roman" w:hAnsi="Times New Roman" w:eastAsia="新宋体"/>
                <w:color w:val="auto"/>
                <w:sz w:val="18"/>
                <w:szCs w:val="18"/>
                <w:highlight w:val="none"/>
              </w:rPr>
              <w:sym w:font="Wingdings" w:char="00A8"/>
            </w:r>
          </w:p>
        </w:tc>
      </w:tr>
      <w:tr w14:paraId="502A5F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tcBorders>
              <w:top w:val="single" w:color="auto" w:sz="4" w:space="0"/>
              <w:left w:val="single" w:color="auto" w:sz="4" w:space="0"/>
              <w:bottom w:val="single" w:color="auto" w:sz="4" w:space="0"/>
              <w:right w:val="single" w:color="auto" w:sz="4" w:space="0"/>
            </w:tcBorders>
            <w:noWrap w:val="0"/>
            <w:vAlign w:val="center"/>
          </w:tcPr>
          <w:p w14:paraId="506E506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污染源</w:t>
            </w:r>
          </w:p>
          <w:p w14:paraId="7E5FE35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调查</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2293947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调查内容</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633A1E8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本项目正常排放源√</w:t>
            </w:r>
          </w:p>
          <w:p w14:paraId="3343D45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本项目非正常排放源√</w:t>
            </w:r>
          </w:p>
          <w:p w14:paraId="47BF1FA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现有污染源</w:t>
            </w:r>
            <w:r>
              <w:rPr>
                <w:rFonts w:ascii="Times New Roman" w:hAnsi="Times New Roman" w:eastAsia="新宋体"/>
                <w:color w:val="auto"/>
                <w:sz w:val="18"/>
                <w:szCs w:val="18"/>
                <w:highlight w:val="none"/>
              </w:rPr>
              <w:sym w:font="Wingdings" w:char="00FE"/>
            </w:r>
          </w:p>
        </w:tc>
        <w:tc>
          <w:tcPr>
            <w:tcW w:w="876" w:type="pct"/>
            <w:gridSpan w:val="5"/>
            <w:tcBorders>
              <w:top w:val="single" w:color="auto" w:sz="4" w:space="0"/>
              <w:left w:val="single" w:color="auto" w:sz="4" w:space="0"/>
              <w:bottom w:val="single" w:color="auto" w:sz="4" w:space="0"/>
              <w:right w:val="single" w:color="auto" w:sz="4" w:space="0"/>
            </w:tcBorders>
            <w:noWrap w:val="0"/>
            <w:vAlign w:val="center"/>
          </w:tcPr>
          <w:p w14:paraId="324EBE84">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拟替代的污染源</w:t>
            </w:r>
          </w:p>
        </w:tc>
        <w:tc>
          <w:tcPr>
            <w:tcW w:w="696" w:type="pct"/>
            <w:gridSpan w:val="4"/>
            <w:tcBorders>
              <w:top w:val="single" w:color="auto" w:sz="4" w:space="0"/>
              <w:left w:val="single" w:color="auto" w:sz="4" w:space="0"/>
              <w:bottom w:val="single" w:color="auto" w:sz="4" w:space="0"/>
              <w:right w:val="single" w:color="auto" w:sz="4" w:space="0"/>
            </w:tcBorders>
            <w:noWrap w:val="0"/>
            <w:vAlign w:val="center"/>
          </w:tcPr>
          <w:p w14:paraId="3186AD3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其他在建、拟建项目污染源</w:t>
            </w:r>
          </w:p>
        </w:tc>
        <w:tc>
          <w:tcPr>
            <w:tcW w:w="656" w:type="pct"/>
            <w:gridSpan w:val="3"/>
            <w:tcBorders>
              <w:top w:val="single" w:color="auto" w:sz="4" w:space="0"/>
              <w:left w:val="single" w:color="auto" w:sz="4" w:space="0"/>
              <w:bottom w:val="single" w:color="auto" w:sz="4" w:space="0"/>
              <w:right w:val="single" w:color="auto" w:sz="4" w:space="0"/>
            </w:tcBorders>
            <w:noWrap w:val="0"/>
            <w:vAlign w:val="center"/>
          </w:tcPr>
          <w:p w14:paraId="3B86C39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区域污染源</w:t>
            </w:r>
            <w:r>
              <w:rPr>
                <w:rFonts w:ascii="Times New Roman" w:hAnsi="Times New Roman" w:eastAsia="新宋体"/>
                <w:color w:val="auto"/>
                <w:sz w:val="18"/>
                <w:szCs w:val="18"/>
                <w:highlight w:val="none"/>
              </w:rPr>
              <w:sym w:font="Wingdings" w:char="00FE"/>
            </w:r>
          </w:p>
        </w:tc>
      </w:tr>
      <w:tr w14:paraId="14966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79759A8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大气环境影响预测与评价</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1D4F916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预测模型</w:t>
            </w:r>
          </w:p>
        </w:tc>
        <w:tc>
          <w:tcPr>
            <w:tcW w:w="547" w:type="pct"/>
            <w:tcBorders>
              <w:top w:val="single" w:color="auto" w:sz="4" w:space="0"/>
              <w:left w:val="single" w:color="auto" w:sz="4" w:space="0"/>
              <w:bottom w:val="single" w:color="auto" w:sz="4" w:space="0"/>
              <w:right w:val="single" w:color="auto" w:sz="4" w:space="0"/>
            </w:tcBorders>
            <w:noWrap w:val="0"/>
            <w:vAlign w:val="center"/>
          </w:tcPr>
          <w:p w14:paraId="6C651648">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AERMOD</w:t>
            </w:r>
          </w:p>
          <w:p w14:paraId="77DD950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sym w:font="Wingdings" w:char="00FE"/>
            </w:r>
          </w:p>
        </w:tc>
        <w:tc>
          <w:tcPr>
            <w:tcW w:w="402" w:type="pct"/>
            <w:gridSpan w:val="2"/>
            <w:tcBorders>
              <w:top w:val="single" w:color="auto" w:sz="4" w:space="0"/>
              <w:left w:val="single" w:color="auto" w:sz="4" w:space="0"/>
              <w:bottom w:val="single" w:color="auto" w:sz="4" w:space="0"/>
              <w:right w:val="single" w:color="auto" w:sz="4" w:space="0"/>
            </w:tcBorders>
            <w:noWrap w:val="0"/>
            <w:vAlign w:val="center"/>
          </w:tcPr>
          <w:p w14:paraId="194E88A8">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ADMS</w:t>
            </w:r>
          </w:p>
          <w:p w14:paraId="39B394D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sym w:font="Wingdings" w:char="00A8"/>
            </w:r>
          </w:p>
        </w:tc>
        <w:tc>
          <w:tcPr>
            <w:tcW w:w="564" w:type="pct"/>
            <w:gridSpan w:val="3"/>
            <w:tcBorders>
              <w:top w:val="single" w:color="auto" w:sz="4" w:space="0"/>
              <w:left w:val="single" w:color="auto" w:sz="4" w:space="0"/>
              <w:bottom w:val="single" w:color="auto" w:sz="4" w:space="0"/>
              <w:right w:val="single" w:color="auto" w:sz="4" w:space="0"/>
            </w:tcBorders>
            <w:noWrap w:val="0"/>
            <w:vAlign w:val="center"/>
          </w:tcPr>
          <w:p w14:paraId="339DAC4E">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AUSTAL</w:t>
            </w:r>
          </w:p>
          <w:p w14:paraId="2417057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2000</w:t>
            </w:r>
            <w:r>
              <w:rPr>
                <w:rFonts w:ascii="Times New Roman" w:hAnsi="Times New Roman" w:eastAsia="新宋体"/>
                <w:color w:val="auto"/>
                <w:sz w:val="18"/>
                <w:szCs w:val="18"/>
                <w:highlight w:val="none"/>
              </w:rPr>
              <w:sym w:font="Wingdings" w:char="00A8"/>
            </w:r>
          </w:p>
        </w:tc>
        <w:tc>
          <w:tcPr>
            <w:tcW w:w="697" w:type="pct"/>
            <w:gridSpan w:val="4"/>
            <w:tcBorders>
              <w:top w:val="single" w:color="auto" w:sz="4" w:space="0"/>
              <w:left w:val="single" w:color="auto" w:sz="4" w:space="0"/>
              <w:bottom w:val="single" w:color="auto" w:sz="4" w:space="0"/>
              <w:right w:val="single" w:color="auto" w:sz="4" w:space="0"/>
            </w:tcBorders>
            <w:noWrap w:val="0"/>
            <w:vAlign w:val="center"/>
          </w:tcPr>
          <w:p w14:paraId="6B5A7CA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EDMS/AEDT</w:t>
            </w:r>
          </w:p>
          <w:p w14:paraId="3C88324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sym w:font="Wingdings" w:char="00A8"/>
            </w:r>
          </w:p>
        </w:tc>
        <w:tc>
          <w:tcPr>
            <w:tcW w:w="558" w:type="pct"/>
            <w:gridSpan w:val="3"/>
            <w:tcBorders>
              <w:top w:val="single" w:color="auto" w:sz="4" w:space="0"/>
              <w:left w:val="single" w:color="auto" w:sz="4" w:space="0"/>
              <w:bottom w:val="single" w:color="auto" w:sz="4" w:space="0"/>
              <w:right w:val="single" w:color="auto" w:sz="4" w:space="0"/>
            </w:tcBorders>
            <w:noWrap w:val="0"/>
            <w:vAlign w:val="center"/>
          </w:tcPr>
          <w:p w14:paraId="204C195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CALPUFF</w:t>
            </w:r>
          </w:p>
          <w:p w14:paraId="35EC2A2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sym w:font="Wingdings" w:char="00A8"/>
            </w:r>
          </w:p>
        </w:tc>
        <w:tc>
          <w:tcPr>
            <w:tcW w:w="418" w:type="pct"/>
            <w:gridSpan w:val="3"/>
            <w:tcBorders>
              <w:top w:val="single" w:color="auto" w:sz="4" w:space="0"/>
              <w:left w:val="single" w:color="auto" w:sz="4" w:space="0"/>
              <w:bottom w:val="single" w:color="auto" w:sz="4" w:space="0"/>
              <w:right w:val="single" w:color="auto" w:sz="4" w:space="0"/>
            </w:tcBorders>
            <w:noWrap w:val="0"/>
            <w:vAlign w:val="center"/>
          </w:tcPr>
          <w:p w14:paraId="3C44D9E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网络模型</w:t>
            </w:r>
            <w:r>
              <w:rPr>
                <w:rFonts w:ascii="Times New Roman" w:hAnsi="Times New Roman" w:eastAsia="新宋体"/>
                <w:color w:val="auto"/>
                <w:sz w:val="18"/>
                <w:szCs w:val="18"/>
                <w:highlight w:val="none"/>
              </w:rPr>
              <w:sym w:font="Wingdings" w:char="00A8"/>
            </w:r>
          </w:p>
        </w:tc>
        <w:tc>
          <w:tcPr>
            <w:tcW w:w="376" w:type="pct"/>
            <w:tcBorders>
              <w:top w:val="single" w:color="auto" w:sz="4" w:space="0"/>
              <w:left w:val="single" w:color="auto" w:sz="4" w:space="0"/>
              <w:bottom w:val="single" w:color="auto" w:sz="4" w:space="0"/>
              <w:right w:val="single" w:color="auto" w:sz="4" w:space="0"/>
            </w:tcBorders>
            <w:noWrap w:val="0"/>
            <w:vAlign w:val="center"/>
          </w:tcPr>
          <w:p w14:paraId="5C84626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其他</w:t>
            </w:r>
          </w:p>
          <w:p w14:paraId="6A63C8A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sym w:font="Wingdings" w:char="00A8"/>
            </w:r>
          </w:p>
        </w:tc>
      </w:tr>
      <w:tr w14:paraId="03B19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2481D1E2">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314E213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预测范围</w:t>
            </w:r>
          </w:p>
        </w:tc>
        <w:tc>
          <w:tcPr>
            <w:tcW w:w="1334" w:type="pct"/>
            <w:gridSpan w:val="5"/>
            <w:tcBorders>
              <w:top w:val="single" w:color="auto" w:sz="4" w:space="0"/>
              <w:left w:val="single" w:color="auto" w:sz="4" w:space="0"/>
              <w:bottom w:val="single" w:color="auto" w:sz="4" w:space="0"/>
              <w:right w:val="single" w:color="auto" w:sz="4" w:space="0"/>
            </w:tcBorders>
            <w:noWrap w:val="0"/>
            <w:vAlign w:val="center"/>
          </w:tcPr>
          <w:p w14:paraId="3312213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50km</w:t>
            </w:r>
            <w:r>
              <w:rPr>
                <w:rFonts w:ascii="Times New Roman" w:hAnsi="Times New Roman" w:eastAsia="新宋体"/>
                <w:color w:val="auto"/>
                <w:sz w:val="18"/>
                <w:szCs w:val="18"/>
                <w:highlight w:val="none"/>
              </w:rPr>
              <w:sym w:font="Wingdings" w:char="00A8"/>
            </w:r>
          </w:p>
        </w:tc>
        <w:tc>
          <w:tcPr>
            <w:tcW w:w="1434" w:type="pct"/>
            <w:gridSpan w:val="8"/>
            <w:tcBorders>
              <w:top w:val="single" w:color="auto" w:sz="4" w:space="0"/>
              <w:left w:val="single" w:color="auto" w:sz="4" w:space="0"/>
              <w:bottom w:val="single" w:color="auto" w:sz="4" w:space="0"/>
              <w:right w:val="single" w:color="auto" w:sz="4" w:space="0"/>
            </w:tcBorders>
            <w:noWrap w:val="0"/>
            <w:vAlign w:val="center"/>
          </w:tcPr>
          <w:p w14:paraId="3E9BE01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边长5~50km</w:t>
            </w:r>
            <w:r>
              <w:rPr>
                <w:rFonts w:ascii="Times New Roman" w:hAnsi="Times New Roman" w:eastAsia="新宋体"/>
                <w:color w:val="auto"/>
                <w:sz w:val="18"/>
                <w:szCs w:val="18"/>
                <w:highlight w:val="none"/>
              </w:rPr>
              <w:sym w:font="Wingdings" w:char="00FE"/>
            </w:r>
          </w:p>
        </w:tc>
        <w:tc>
          <w:tcPr>
            <w:tcW w:w="794" w:type="pct"/>
            <w:gridSpan w:val="4"/>
            <w:tcBorders>
              <w:top w:val="single" w:color="auto" w:sz="4" w:space="0"/>
              <w:left w:val="single" w:color="auto" w:sz="4" w:space="0"/>
              <w:bottom w:val="single" w:color="auto" w:sz="4" w:space="0"/>
              <w:right w:val="single" w:color="auto" w:sz="4" w:space="0"/>
            </w:tcBorders>
            <w:noWrap w:val="0"/>
            <w:vAlign w:val="center"/>
          </w:tcPr>
          <w:p w14:paraId="1765594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边长=5km</w:t>
            </w:r>
            <w:r>
              <w:rPr>
                <w:rFonts w:ascii="Times New Roman" w:hAnsi="Times New Roman" w:eastAsia="新宋体"/>
                <w:color w:val="auto"/>
                <w:sz w:val="18"/>
                <w:szCs w:val="18"/>
                <w:highlight w:val="none"/>
              </w:rPr>
              <w:sym w:font="Wingdings" w:char="00A8"/>
            </w:r>
          </w:p>
        </w:tc>
      </w:tr>
      <w:tr w14:paraId="28F392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50BFD303">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6109B68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预测因子</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2A6F71F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预测因子（PM</w:t>
            </w:r>
            <w:r>
              <w:rPr>
                <w:rFonts w:ascii="Times New Roman" w:hAnsi="Times New Roman" w:eastAsia="新宋体"/>
                <w:color w:val="auto"/>
                <w:sz w:val="18"/>
                <w:szCs w:val="18"/>
                <w:highlight w:val="none"/>
                <w:vertAlign w:val="subscript"/>
              </w:rPr>
              <w:t>10</w:t>
            </w:r>
            <w:r>
              <w:rPr>
                <w:rFonts w:ascii="Times New Roman" w:hAnsi="Times New Roman" w:eastAsia="新宋体"/>
                <w:color w:val="auto"/>
                <w:sz w:val="18"/>
                <w:szCs w:val="18"/>
                <w:highlight w:val="none"/>
              </w:rPr>
              <w:t>、SO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、NO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和TSP）</w:t>
            </w:r>
          </w:p>
        </w:tc>
        <w:tc>
          <w:tcPr>
            <w:tcW w:w="1806" w:type="pct"/>
            <w:gridSpan w:val="10"/>
            <w:tcBorders>
              <w:top w:val="single" w:color="auto" w:sz="4" w:space="0"/>
              <w:left w:val="single" w:color="auto" w:sz="4" w:space="0"/>
              <w:bottom w:val="single" w:color="auto" w:sz="4" w:space="0"/>
              <w:right w:val="single" w:color="auto" w:sz="4" w:space="0"/>
            </w:tcBorders>
            <w:noWrap w:val="0"/>
            <w:vAlign w:val="center"/>
          </w:tcPr>
          <w:p w14:paraId="2509D1C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包括二次PM</w:t>
            </w:r>
            <w:r>
              <w:rPr>
                <w:rFonts w:ascii="Times New Roman" w:hAnsi="Times New Roman" w:eastAsia="新宋体"/>
                <w:color w:val="auto"/>
                <w:sz w:val="18"/>
                <w:szCs w:val="18"/>
                <w:highlight w:val="none"/>
                <w:vertAlign w:val="subscript"/>
              </w:rPr>
              <w:t>2.5</w:t>
            </w:r>
            <w:r>
              <w:rPr>
                <w:rFonts w:ascii="Times New Roman" w:hAnsi="Times New Roman" w:eastAsia="新宋体"/>
                <w:color w:val="auto"/>
                <w:sz w:val="18"/>
                <w:szCs w:val="18"/>
                <w:highlight w:val="none"/>
              </w:rPr>
              <w:sym w:font="Wingdings" w:char="00A8"/>
            </w:r>
          </w:p>
          <w:p w14:paraId="16FF273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不包括二次PM</w:t>
            </w:r>
            <w:r>
              <w:rPr>
                <w:rFonts w:ascii="Times New Roman" w:hAnsi="Times New Roman" w:eastAsia="新宋体"/>
                <w:color w:val="auto"/>
                <w:sz w:val="18"/>
                <w:szCs w:val="18"/>
                <w:highlight w:val="none"/>
                <w:vertAlign w:val="subscript"/>
              </w:rPr>
              <w:t>2.5</w:t>
            </w:r>
            <w:r>
              <w:rPr>
                <w:rFonts w:ascii="Times New Roman" w:hAnsi="Times New Roman" w:eastAsia="新宋体"/>
                <w:color w:val="auto"/>
                <w:sz w:val="18"/>
                <w:szCs w:val="18"/>
                <w:highlight w:val="none"/>
              </w:rPr>
              <w:sym w:font="Wingdings" w:char="00FE"/>
            </w:r>
          </w:p>
        </w:tc>
      </w:tr>
      <w:tr w14:paraId="1F73A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4C57446E">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4D0F670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正常排放短期浓度贡献值</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35B3E64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100%</w:t>
            </w:r>
            <w:r>
              <w:rPr>
                <w:rFonts w:ascii="Times New Roman" w:hAnsi="Times New Roman" w:eastAsia="新宋体"/>
                <w:color w:val="auto"/>
                <w:sz w:val="18"/>
                <w:szCs w:val="18"/>
                <w:highlight w:val="none"/>
              </w:rPr>
              <w:sym w:font="Wingdings" w:char="00FE"/>
            </w:r>
          </w:p>
        </w:tc>
        <w:tc>
          <w:tcPr>
            <w:tcW w:w="1806" w:type="pct"/>
            <w:gridSpan w:val="10"/>
            <w:tcBorders>
              <w:top w:val="single" w:color="auto" w:sz="4" w:space="0"/>
              <w:left w:val="single" w:color="auto" w:sz="4" w:space="0"/>
              <w:bottom w:val="single" w:color="auto" w:sz="4" w:space="0"/>
              <w:right w:val="single" w:color="auto" w:sz="4" w:space="0"/>
            </w:tcBorders>
            <w:noWrap w:val="0"/>
            <w:vAlign w:val="center"/>
          </w:tcPr>
          <w:p w14:paraId="10DE8E22">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C本项目最大占标率&gt;100%</w:t>
            </w:r>
            <w:r>
              <w:rPr>
                <w:rFonts w:ascii="Times New Roman" w:hAnsi="Times New Roman" w:eastAsia="新宋体"/>
                <w:color w:val="auto"/>
                <w:sz w:val="18"/>
                <w:szCs w:val="18"/>
                <w:highlight w:val="none"/>
              </w:rPr>
              <w:sym w:font="Wingdings" w:char="00A8"/>
            </w:r>
          </w:p>
        </w:tc>
      </w:tr>
      <w:tr w14:paraId="26CE1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70A2CABF">
            <w:pPr>
              <w:spacing w:line="240" w:lineRule="auto"/>
              <w:ind w:firstLine="0" w:firstLineChars="0"/>
              <w:jc w:val="center"/>
              <w:rPr>
                <w:rFonts w:ascii="Times New Roman" w:hAnsi="Times New Roman" w:eastAsia="新宋体"/>
                <w:color w:val="auto"/>
                <w:sz w:val="18"/>
                <w:szCs w:val="18"/>
                <w:highlight w:val="none"/>
              </w:rPr>
            </w:pPr>
          </w:p>
        </w:tc>
        <w:tc>
          <w:tcPr>
            <w:tcW w:w="959" w:type="pct"/>
            <w:vMerge w:val="restart"/>
            <w:tcBorders>
              <w:top w:val="single" w:color="auto" w:sz="4" w:space="0"/>
              <w:left w:val="single" w:color="auto" w:sz="4" w:space="0"/>
              <w:bottom w:val="single" w:color="auto" w:sz="4" w:space="0"/>
              <w:right w:val="single" w:color="auto" w:sz="4" w:space="0"/>
            </w:tcBorders>
            <w:noWrap w:val="0"/>
            <w:vAlign w:val="center"/>
          </w:tcPr>
          <w:p w14:paraId="4D4E80D1">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正常排放年均浓度贡献值</w:t>
            </w:r>
          </w:p>
        </w:tc>
        <w:tc>
          <w:tcPr>
            <w:tcW w:w="547" w:type="pct"/>
            <w:tcBorders>
              <w:top w:val="single" w:color="auto" w:sz="4" w:space="0"/>
              <w:left w:val="single" w:color="auto" w:sz="4" w:space="0"/>
              <w:bottom w:val="single" w:color="auto" w:sz="4" w:space="0"/>
              <w:right w:val="single" w:color="auto" w:sz="4" w:space="0"/>
            </w:tcBorders>
            <w:noWrap w:val="0"/>
            <w:vAlign w:val="center"/>
          </w:tcPr>
          <w:p w14:paraId="7D0E9A3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一类区</w:t>
            </w:r>
          </w:p>
        </w:tc>
        <w:tc>
          <w:tcPr>
            <w:tcW w:w="1493" w:type="pct"/>
            <w:gridSpan w:val="8"/>
            <w:tcBorders>
              <w:top w:val="single" w:color="auto" w:sz="4" w:space="0"/>
              <w:left w:val="single" w:color="auto" w:sz="4" w:space="0"/>
              <w:bottom w:val="single" w:color="auto" w:sz="4" w:space="0"/>
              <w:right w:val="single" w:color="auto" w:sz="4" w:space="0"/>
            </w:tcBorders>
            <w:noWrap w:val="0"/>
            <w:vAlign w:val="center"/>
          </w:tcPr>
          <w:p w14:paraId="3BD0C28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10%</w:t>
            </w:r>
            <w:r>
              <w:rPr>
                <w:rFonts w:ascii="Times New Roman" w:hAnsi="Times New Roman" w:eastAsia="新宋体"/>
                <w:color w:val="auto"/>
                <w:sz w:val="18"/>
                <w:szCs w:val="18"/>
                <w:highlight w:val="none"/>
              </w:rPr>
              <w:sym w:font="Wingdings" w:char="00A8"/>
            </w:r>
          </w:p>
        </w:tc>
        <w:tc>
          <w:tcPr>
            <w:tcW w:w="1522" w:type="pct"/>
            <w:gridSpan w:val="8"/>
            <w:tcBorders>
              <w:top w:val="single" w:color="auto" w:sz="4" w:space="0"/>
              <w:left w:val="single" w:color="auto" w:sz="4" w:space="0"/>
              <w:bottom w:val="single" w:color="auto" w:sz="4" w:space="0"/>
              <w:right w:val="single" w:color="auto" w:sz="4" w:space="0"/>
            </w:tcBorders>
            <w:noWrap w:val="0"/>
            <w:vAlign w:val="center"/>
          </w:tcPr>
          <w:p w14:paraId="5EB44AD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C本项目最大占标率＞10%</w:t>
            </w:r>
            <w:r>
              <w:rPr>
                <w:rFonts w:ascii="Times New Roman" w:hAnsi="Times New Roman" w:eastAsia="新宋体"/>
                <w:color w:val="auto"/>
                <w:sz w:val="18"/>
                <w:szCs w:val="18"/>
                <w:highlight w:val="none"/>
              </w:rPr>
              <w:sym w:font="Wingdings" w:char="00A8"/>
            </w:r>
          </w:p>
        </w:tc>
      </w:tr>
      <w:tr w14:paraId="51552E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377912AC">
            <w:pPr>
              <w:spacing w:line="240" w:lineRule="auto"/>
              <w:ind w:firstLine="0" w:firstLineChars="0"/>
              <w:jc w:val="center"/>
              <w:rPr>
                <w:rFonts w:ascii="Times New Roman" w:hAnsi="Times New Roman" w:eastAsia="新宋体"/>
                <w:color w:val="auto"/>
                <w:sz w:val="18"/>
                <w:szCs w:val="18"/>
                <w:highlight w:val="none"/>
              </w:rPr>
            </w:pPr>
          </w:p>
        </w:tc>
        <w:tc>
          <w:tcPr>
            <w:tcW w:w="959" w:type="pct"/>
            <w:vMerge w:val="continue"/>
            <w:tcBorders>
              <w:top w:val="single" w:color="auto" w:sz="4" w:space="0"/>
              <w:left w:val="single" w:color="auto" w:sz="4" w:space="0"/>
              <w:bottom w:val="single" w:color="auto" w:sz="4" w:space="0"/>
              <w:right w:val="single" w:color="auto" w:sz="4" w:space="0"/>
            </w:tcBorders>
            <w:noWrap w:val="0"/>
            <w:vAlign w:val="center"/>
          </w:tcPr>
          <w:p w14:paraId="74DB05E1">
            <w:pPr>
              <w:spacing w:line="240" w:lineRule="auto"/>
              <w:ind w:firstLine="0" w:firstLineChars="0"/>
              <w:jc w:val="center"/>
              <w:rPr>
                <w:rFonts w:ascii="Times New Roman" w:hAnsi="Times New Roman" w:eastAsia="新宋体"/>
                <w:color w:val="auto"/>
                <w:sz w:val="18"/>
                <w:szCs w:val="18"/>
                <w:highlight w:val="none"/>
              </w:rPr>
            </w:pPr>
          </w:p>
        </w:tc>
        <w:tc>
          <w:tcPr>
            <w:tcW w:w="547" w:type="pct"/>
            <w:tcBorders>
              <w:top w:val="single" w:color="auto" w:sz="4" w:space="0"/>
              <w:left w:val="single" w:color="auto" w:sz="4" w:space="0"/>
              <w:bottom w:val="single" w:color="auto" w:sz="4" w:space="0"/>
              <w:right w:val="single" w:color="auto" w:sz="4" w:space="0"/>
            </w:tcBorders>
            <w:noWrap w:val="0"/>
            <w:vAlign w:val="center"/>
          </w:tcPr>
          <w:p w14:paraId="7589C23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二类区</w:t>
            </w:r>
          </w:p>
        </w:tc>
        <w:tc>
          <w:tcPr>
            <w:tcW w:w="1493" w:type="pct"/>
            <w:gridSpan w:val="8"/>
            <w:tcBorders>
              <w:top w:val="single" w:color="auto" w:sz="4" w:space="0"/>
              <w:left w:val="single" w:color="auto" w:sz="4" w:space="0"/>
              <w:bottom w:val="single" w:color="auto" w:sz="4" w:space="0"/>
              <w:right w:val="single" w:color="auto" w:sz="4" w:space="0"/>
            </w:tcBorders>
            <w:noWrap w:val="0"/>
            <w:vAlign w:val="center"/>
          </w:tcPr>
          <w:p w14:paraId="64308B5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30%</w:t>
            </w:r>
            <w:r>
              <w:rPr>
                <w:rFonts w:ascii="Times New Roman" w:hAnsi="Times New Roman" w:eastAsia="新宋体"/>
                <w:color w:val="auto"/>
                <w:sz w:val="18"/>
                <w:szCs w:val="18"/>
                <w:highlight w:val="none"/>
              </w:rPr>
              <w:sym w:font="Wingdings" w:char="00FE"/>
            </w:r>
          </w:p>
        </w:tc>
        <w:tc>
          <w:tcPr>
            <w:tcW w:w="1522" w:type="pct"/>
            <w:gridSpan w:val="8"/>
            <w:tcBorders>
              <w:top w:val="single" w:color="auto" w:sz="4" w:space="0"/>
              <w:left w:val="single" w:color="auto" w:sz="4" w:space="0"/>
              <w:bottom w:val="single" w:color="auto" w:sz="4" w:space="0"/>
              <w:right w:val="single" w:color="auto" w:sz="4" w:space="0"/>
            </w:tcBorders>
            <w:noWrap w:val="0"/>
            <w:vAlign w:val="center"/>
          </w:tcPr>
          <w:p w14:paraId="1907FCC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C本项目最大占标率＞30%</w:t>
            </w:r>
            <w:r>
              <w:rPr>
                <w:rFonts w:ascii="Times New Roman" w:hAnsi="Times New Roman" w:eastAsia="新宋体"/>
                <w:color w:val="auto"/>
                <w:sz w:val="18"/>
                <w:szCs w:val="18"/>
                <w:highlight w:val="none"/>
              </w:rPr>
              <w:sym w:font="Wingdings" w:char="00A8"/>
            </w:r>
          </w:p>
        </w:tc>
      </w:tr>
      <w:tr w14:paraId="4B6481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30AB86D6">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34E9809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非正常排放1h浓度贡献值</w:t>
            </w:r>
          </w:p>
        </w:tc>
        <w:tc>
          <w:tcPr>
            <w:tcW w:w="1058" w:type="pct"/>
            <w:gridSpan w:val="4"/>
            <w:tcBorders>
              <w:top w:val="single" w:color="auto" w:sz="4" w:space="0"/>
              <w:left w:val="single" w:color="auto" w:sz="4" w:space="0"/>
              <w:bottom w:val="single" w:color="auto" w:sz="4" w:space="0"/>
              <w:right w:val="single" w:color="auto" w:sz="4" w:space="0"/>
            </w:tcBorders>
            <w:noWrap w:val="0"/>
            <w:vAlign w:val="center"/>
          </w:tcPr>
          <w:p w14:paraId="1486CEB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非正常持续时长（24）h</w:t>
            </w:r>
          </w:p>
        </w:tc>
        <w:tc>
          <w:tcPr>
            <w:tcW w:w="1489" w:type="pct"/>
            <w:gridSpan w:val="7"/>
            <w:tcBorders>
              <w:top w:val="single" w:color="auto" w:sz="4" w:space="0"/>
              <w:left w:val="single" w:color="auto" w:sz="4" w:space="0"/>
              <w:bottom w:val="single" w:color="auto" w:sz="4" w:space="0"/>
              <w:right w:val="single" w:color="auto" w:sz="4" w:space="0"/>
            </w:tcBorders>
            <w:noWrap w:val="0"/>
            <w:vAlign w:val="center"/>
          </w:tcPr>
          <w:p w14:paraId="56C784D3">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C非正常占标率</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100%</w:t>
            </w:r>
            <w:r>
              <w:rPr>
                <w:rFonts w:ascii="Times New Roman" w:hAnsi="Times New Roman" w:eastAsia="新宋体"/>
                <w:color w:val="auto"/>
                <w:sz w:val="18"/>
                <w:szCs w:val="18"/>
                <w:highlight w:val="none"/>
              </w:rPr>
              <w:sym w:font="Wingdings" w:char="00FE"/>
            </w:r>
          </w:p>
        </w:tc>
        <w:tc>
          <w:tcPr>
            <w:tcW w:w="1015" w:type="pct"/>
            <w:gridSpan w:val="6"/>
            <w:tcBorders>
              <w:top w:val="single" w:color="auto" w:sz="4" w:space="0"/>
              <w:left w:val="single" w:color="auto" w:sz="4" w:space="0"/>
              <w:bottom w:val="single" w:color="auto" w:sz="4" w:space="0"/>
              <w:right w:val="single" w:color="auto" w:sz="4" w:space="0"/>
            </w:tcBorders>
            <w:noWrap w:val="0"/>
            <w:vAlign w:val="center"/>
          </w:tcPr>
          <w:p w14:paraId="333B6C1E">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C非正常占标率&gt;100%</w:t>
            </w:r>
            <w:r>
              <w:rPr>
                <w:rFonts w:ascii="Times New Roman" w:hAnsi="Times New Roman" w:eastAsia="新宋体"/>
                <w:color w:val="auto"/>
                <w:sz w:val="18"/>
                <w:szCs w:val="18"/>
                <w:highlight w:val="none"/>
              </w:rPr>
              <w:sym w:font="Wingdings" w:char="00A8"/>
            </w:r>
          </w:p>
        </w:tc>
      </w:tr>
      <w:tr w14:paraId="31C25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05C1E796">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08BF07E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保证率日平均浓度和年评价浓度叠加值</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19C97C00">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C叠加达标</w:t>
            </w:r>
            <w:r>
              <w:rPr>
                <w:rFonts w:ascii="Times New Roman" w:hAnsi="Times New Roman" w:eastAsia="新宋体"/>
                <w:color w:val="auto"/>
                <w:sz w:val="18"/>
                <w:szCs w:val="18"/>
                <w:highlight w:val="none"/>
              </w:rPr>
              <w:sym w:font="Wingdings" w:char="00FE"/>
            </w:r>
          </w:p>
        </w:tc>
        <w:tc>
          <w:tcPr>
            <w:tcW w:w="1806" w:type="pct"/>
            <w:gridSpan w:val="10"/>
            <w:tcBorders>
              <w:top w:val="single" w:color="auto" w:sz="4" w:space="0"/>
              <w:left w:val="single" w:color="auto" w:sz="4" w:space="0"/>
              <w:bottom w:val="single" w:color="auto" w:sz="4" w:space="0"/>
              <w:right w:val="single" w:color="auto" w:sz="4" w:space="0"/>
            </w:tcBorders>
            <w:noWrap w:val="0"/>
            <w:vAlign w:val="center"/>
          </w:tcPr>
          <w:p w14:paraId="2BA1062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C叠加不达标</w:t>
            </w:r>
            <w:r>
              <w:rPr>
                <w:rFonts w:ascii="Times New Roman" w:hAnsi="Times New Roman" w:eastAsia="新宋体"/>
                <w:color w:val="auto"/>
                <w:sz w:val="18"/>
                <w:szCs w:val="18"/>
                <w:highlight w:val="none"/>
              </w:rPr>
              <w:sym w:font="Wingdings" w:char="00A8"/>
            </w:r>
          </w:p>
        </w:tc>
      </w:tr>
      <w:tr w14:paraId="18D10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26D83BBA">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23C916B6">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区域环境质量的整体变化情况</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782DBE5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k</w:t>
            </w:r>
            <w:r>
              <w:rPr>
                <w:rFonts w:hint="eastAsia" w:ascii="宋体" w:hAnsi="宋体" w:cs="宋体"/>
                <w:color w:val="auto"/>
                <w:sz w:val="18"/>
                <w:szCs w:val="18"/>
                <w:highlight w:val="none"/>
              </w:rPr>
              <w:t>≦</w:t>
            </w:r>
            <w:r>
              <w:rPr>
                <w:rFonts w:ascii="Times New Roman" w:hAnsi="Times New Roman" w:eastAsia="新宋体"/>
                <w:color w:val="auto"/>
                <w:sz w:val="18"/>
                <w:szCs w:val="18"/>
                <w:highlight w:val="none"/>
              </w:rPr>
              <w:t>-20%</w:t>
            </w:r>
            <w:r>
              <w:rPr>
                <w:rFonts w:ascii="Times New Roman" w:hAnsi="Times New Roman" w:eastAsia="新宋体"/>
                <w:color w:val="auto"/>
                <w:sz w:val="18"/>
                <w:szCs w:val="18"/>
                <w:highlight w:val="none"/>
              </w:rPr>
              <w:sym w:font="Wingdings" w:char="00FE"/>
            </w:r>
          </w:p>
        </w:tc>
        <w:tc>
          <w:tcPr>
            <w:tcW w:w="1806" w:type="pct"/>
            <w:gridSpan w:val="10"/>
            <w:tcBorders>
              <w:top w:val="single" w:color="auto" w:sz="4" w:space="0"/>
              <w:left w:val="single" w:color="auto" w:sz="4" w:space="0"/>
              <w:bottom w:val="single" w:color="auto" w:sz="4" w:space="0"/>
              <w:right w:val="single" w:color="auto" w:sz="4" w:space="0"/>
            </w:tcBorders>
            <w:noWrap w:val="0"/>
            <w:vAlign w:val="center"/>
          </w:tcPr>
          <w:p w14:paraId="760E243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K&gt;-20%</w:t>
            </w:r>
          </w:p>
        </w:tc>
      </w:tr>
      <w:tr w14:paraId="1E3F9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3278333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环境监测计划</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60D3D76D">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污染源监测</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2140633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监测因子：（TSP、NO</w:t>
            </w:r>
            <w:r>
              <w:rPr>
                <w:rFonts w:ascii="Times New Roman" w:hAnsi="Times New Roman" w:eastAsia="新宋体"/>
                <w:color w:val="auto"/>
                <w:sz w:val="18"/>
                <w:szCs w:val="18"/>
                <w:highlight w:val="none"/>
                <w:vertAlign w:val="subscript"/>
              </w:rPr>
              <w:t>x</w:t>
            </w:r>
            <w:r>
              <w:rPr>
                <w:rFonts w:ascii="Times New Roman" w:hAnsi="Times New Roman" w:eastAsia="新宋体"/>
                <w:color w:val="auto"/>
                <w:sz w:val="18"/>
                <w:szCs w:val="18"/>
                <w:highlight w:val="none"/>
              </w:rPr>
              <w:t>、汞及其化合物、氨、非甲烷总烃）</w:t>
            </w:r>
          </w:p>
        </w:tc>
        <w:tc>
          <w:tcPr>
            <w:tcW w:w="1243" w:type="pct"/>
            <w:gridSpan w:val="8"/>
            <w:tcBorders>
              <w:top w:val="single" w:color="auto" w:sz="4" w:space="0"/>
              <w:left w:val="single" w:color="auto" w:sz="4" w:space="0"/>
              <w:bottom w:val="single" w:color="auto" w:sz="4" w:space="0"/>
              <w:right w:val="single" w:color="auto" w:sz="4" w:space="0"/>
            </w:tcBorders>
            <w:noWrap w:val="0"/>
            <w:vAlign w:val="center"/>
          </w:tcPr>
          <w:p w14:paraId="0D85F02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有组织废气监测</w:t>
            </w:r>
            <w:r>
              <w:rPr>
                <w:rFonts w:ascii="Times New Roman" w:hAnsi="Times New Roman" w:eastAsia="新宋体"/>
                <w:color w:val="auto"/>
                <w:sz w:val="18"/>
                <w:szCs w:val="18"/>
                <w:highlight w:val="none"/>
              </w:rPr>
              <w:sym w:font="Wingdings" w:char="00FE"/>
            </w:r>
          </w:p>
          <w:p w14:paraId="11250C1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无组织废气监测</w:t>
            </w:r>
            <w:r>
              <w:rPr>
                <w:rFonts w:ascii="Times New Roman" w:hAnsi="Times New Roman" w:eastAsia="新宋体"/>
                <w:color w:val="auto"/>
                <w:sz w:val="18"/>
                <w:szCs w:val="18"/>
                <w:highlight w:val="none"/>
              </w:rPr>
              <w:sym w:font="Wingdings" w:char="00FE"/>
            </w:r>
          </w:p>
        </w:tc>
        <w:tc>
          <w:tcPr>
            <w:tcW w:w="563" w:type="pct"/>
            <w:gridSpan w:val="2"/>
            <w:tcBorders>
              <w:top w:val="single" w:color="auto" w:sz="4" w:space="0"/>
              <w:left w:val="single" w:color="auto" w:sz="4" w:space="0"/>
              <w:bottom w:val="single" w:color="auto" w:sz="4" w:space="0"/>
              <w:right w:val="single" w:color="auto" w:sz="4" w:space="0"/>
            </w:tcBorders>
            <w:noWrap w:val="0"/>
            <w:vAlign w:val="center"/>
          </w:tcPr>
          <w:p w14:paraId="3BAFCE37">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无监测</w:t>
            </w:r>
            <w:r>
              <w:rPr>
                <w:rFonts w:ascii="Times New Roman" w:hAnsi="Times New Roman" w:eastAsia="新宋体"/>
                <w:color w:val="auto"/>
                <w:sz w:val="18"/>
                <w:szCs w:val="18"/>
                <w:highlight w:val="none"/>
              </w:rPr>
              <w:sym w:font="Wingdings" w:char="00A8"/>
            </w:r>
          </w:p>
        </w:tc>
      </w:tr>
      <w:tr w14:paraId="3A0FD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68271398">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2E371CEE">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环境质量监测</w:t>
            </w:r>
          </w:p>
        </w:tc>
        <w:tc>
          <w:tcPr>
            <w:tcW w:w="1756" w:type="pct"/>
            <w:gridSpan w:val="7"/>
            <w:tcBorders>
              <w:top w:val="single" w:color="auto" w:sz="4" w:space="0"/>
              <w:left w:val="single" w:color="auto" w:sz="4" w:space="0"/>
              <w:bottom w:val="single" w:color="auto" w:sz="4" w:space="0"/>
              <w:right w:val="single" w:color="auto" w:sz="4" w:space="0"/>
            </w:tcBorders>
            <w:noWrap w:val="0"/>
            <w:vAlign w:val="center"/>
          </w:tcPr>
          <w:p w14:paraId="48BC531F">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监测因子：（）</w:t>
            </w:r>
          </w:p>
        </w:tc>
        <w:tc>
          <w:tcPr>
            <w:tcW w:w="1243" w:type="pct"/>
            <w:gridSpan w:val="8"/>
            <w:tcBorders>
              <w:top w:val="single" w:color="auto" w:sz="4" w:space="0"/>
              <w:left w:val="single" w:color="auto" w:sz="4" w:space="0"/>
              <w:bottom w:val="single" w:color="auto" w:sz="4" w:space="0"/>
              <w:right w:val="single" w:color="auto" w:sz="4" w:space="0"/>
            </w:tcBorders>
            <w:noWrap w:val="0"/>
            <w:vAlign w:val="center"/>
          </w:tcPr>
          <w:p w14:paraId="3A2D5A2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监测点位数（）</w:t>
            </w:r>
          </w:p>
        </w:tc>
        <w:tc>
          <w:tcPr>
            <w:tcW w:w="563" w:type="pct"/>
            <w:gridSpan w:val="2"/>
            <w:tcBorders>
              <w:top w:val="single" w:color="auto" w:sz="4" w:space="0"/>
              <w:left w:val="single" w:color="auto" w:sz="4" w:space="0"/>
              <w:bottom w:val="single" w:color="auto" w:sz="4" w:space="0"/>
              <w:right w:val="single" w:color="auto" w:sz="4" w:space="0"/>
            </w:tcBorders>
            <w:noWrap w:val="0"/>
            <w:vAlign w:val="center"/>
          </w:tcPr>
          <w:p w14:paraId="2AF918E5">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无监测</w:t>
            </w:r>
            <w:r>
              <w:rPr>
                <w:rFonts w:ascii="Times New Roman" w:hAnsi="Times New Roman" w:eastAsia="新宋体"/>
                <w:color w:val="auto"/>
                <w:sz w:val="18"/>
                <w:szCs w:val="18"/>
                <w:highlight w:val="none"/>
              </w:rPr>
              <w:sym w:font="Wingdings" w:char="00A8"/>
            </w:r>
          </w:p>
        </w:tc>
      </w:tr>
      <w:tr w14:paraId="3D768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restart"/>
            <w:tcBorders>
              <w:top w:val="single" w:color="auto" w:sz="4" w:space="0"/>
              <w:left w:val="single" w:color="auto" w:sz="4" w:space="0"/>
              <w:bottom w:val="single" w:color="auto" w:sz="4" w:space="0"/>
              <w:right w:val="single" w:color="auto" w:sz="4" w:space="0"/>
            </w:tcBorders>
            <w:noWrap w:val="0"/>
            <w:vAlign w:val="center"/>
          </w:tcPr>
          <w:p w14:paraId="6F17C00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环评</w:t>
            </w:r>
          </w:p>
          <w:p w14:paraId="57D2E0FB">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结论</w:t>
            </w:r>
          </w:p>
        </w:tc>
        <w:tc>
          <w:tcPr>
            <w:tcW w:w="959" w:type="pct"/>
            <w:tcBorders>
              <w:top w:val="single" w:color="auto" w:sz="4" w:space="0"/>
              <w:left w:val="single" w:color="auto" w:sz="4" w:space="0"/>
              <w:bottom w:val="single" w:color="auto" w:sz="4" w:space="0"/>
              <w:right w:val="single" w:color="auto" w:sz="4" w:space="0"/>
            </w:tcBorders>
            <w:noWrap w:val="0"/>
            <w:vAlign w:val="center"/>
          </w:tcPr>
          <w:p w14:paraId="6C296D27">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环境影响</w:t>
            </w:r>
          </w:p>
        </w:tc>
        <w:tc>
          <w:tcPr>
            <w:tcW w:w="3562" w:type="pct"/>
            <w:gridSpan w:val="17"/>
            <w:tcBorders>
              <w:top w:val="single" w:color="auto" w:sz="4" w:space="0"/>
              <w:left w:val="single" w:color="auto" w:sz="4" w:space="0"/>
              <w:bottom w:val="single" w:color="auto" w:sz="4" w:space="0"/>
              <w:right w:val="single" w:color="auto" w:sz="4" w:space="0"/>
            </w:tcBorders>
            <w:noWrap w:val="0"/>
            <w:vAlign w:val="center"/>
          </w:tcPr>
          <w:p w14:paraId="53E32A77">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可以接受√      不可以接受</w:t>
            </w:r>
            <w:r>
              <w:rPr>
                <w:rFonts w:ascii="Times New Roman" w:hAnsi="Times New Roman" w:eastAsia="新宋体"/>
                <w:color w:val="auto"/>
                <w:sz w:val="18"/>
                <w:szCs w:val="18"/>
                <w:highlight w:val="none"/>
              </w:rPr>
              <w:sym w:font="Wingdings" w:char="00A8"/>
            </w:r>
          </w:p>
        </w:tc>
      </w:tr>
      <w:tr w14:paraId="1C44BF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4CE2C0FE">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461CCB50">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大气环境防护距离</w:t>
            </w:r>
          </w:p>
        </w:tc>
        <w:tc>
          <w:tcPr>
            <w:tcW w:w="3562" w:type="pct"/>
            <w:gridSpan w:val="17"/>
            <w:tcBorders>
              <w:top w:val="single" w:color="auto" w:sz="4" w:space="0"/>
              <w:left w:val="single" w:color="auto" w:sz="4" w:space="0"/>
              <w:bottom w:val="single" w:color="auto" w:sz="4" w:space="0"/>
              <w:right w:val="single" w:color="auto" w:sz="4" w:space="0"/>
            </w:tcBorders>
            <w:noWrap w:val="0"/>
            <w:vAlign w:val="center"/>
          </w:tcPr>
          <w:p w14:paraId="7FCC5F9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距（ ）厂界最远（）m</w:t>
            </w:r>
          </w:p>
        </w:tc>
      </w:tr>
      <w:tr w14:paraId="2AF96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479" w:type="pct"/>
            <w:vMerge w:val="continue"/>
            <w:tcBorders>
              <w:top w:val="single" w:color="auto" w:sz="4" w:space="0"/>
              <w:left w:val="single" w:color="auto" w:sz="4" w:space="0"/>
              <w:bottom w:val="single" w:color="auto" w:sz="4" w:space="0"/>
              <w:right w:val="single" w:color="auto" w:sz="4" w:space="0"/>
            </w:tcBorders>
            <w:noWrap w:val="0"/>
            <w:vAlign w:val="center"/>
          </w:tcPr>
          <w:p w14:paraId="38161359">
            <w:pPr>
              <w:spacing w:line="240" w:lineRule="auto"/>
              <w:ind w:firstLine="0" w:firstLineChars="0"/>
              <w:jc w:val="center"/>
              <w:rPr>
                <w:rFonts w:ascii="Times New Roman" w:hAnsi="Times New Roman" w:eastAsia="新宋体"/>
                <w:color w:val="auto"/>
                <w:sz w:val="18"/>
                <w:szCs w:val="18"/>
                <w:highlight w:val="none"/>
              </w:rPr>
            </w:pPr>
          </w:p>
        </w:tc>
        <w:tc>
          <w:tcPr>
            <w:tcW w:w="959" w:type="pct"/>
            <w:tcBorders>
              <w:top w:val="single" w:color="auto" w:sz="4" w:space="0"/>
              <w:left w:val="single" w:color="auto" w:sz="4" w:space="0"/>
              <w:bottom w:val="single" w:color="auto" w:sz="4" w:space="0"/>
              <w:right w:val="single" w:color="auto" w:sz="4" w:space="0"/>
            </w:tcBorders>
            <w:noWrap w:val="0"/>
            <w:vAlign w:val="center"/>
          </w:tcPr>
          <w:p w14:paraId="6BE81C6C">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污染源年排放量</w:t>
            </w:r>
          </w:p>
        </w:tc>
        <w:tc>
          <w:tcPr>
            <w:tcW w:w="899" w:type="pct"/>
            <w:gridSpan w:val="2"/>
            <w:tcBorders>
              <w:top w:val="single" w:color="auto" w:sz="4" w:space="0"/>
              <w:left w:val="single" w:color="auto" w:sz="4" w:space="0"/>
              <w:bottom w:val="single" w:color="auto" w:sz="4" w:space="0"/>
              <w:right w:val="single" w:color="auto" w:sz="4" w:space="0"/>
            </w:tcBorders>
            <w:noWrap w:val="0"/>
            <w:vAlign w:val="center"/>
          </w:tcPr>
          <w:p w14:paraId="466BD8D9">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SO</w:t>
            </w:r>
            <w:r>
              <w:rPr>
                <w:rFonts w:ascii="Times New Roman" w:hAnsi="Times New Roman" w:eastAsia="新宋体"/>
                <w:color w:val="auto"/>
                <w:sz w:val="18"/>
                <w:szCs w:val="18"/>
                <w:highlight w:val="none"/>
                <w:vertAlign w:val="subscript"/>
              </w:rPr>
              <w:t>2</w:t>
            </w:r>
            <w:r>
              <w:rPr>
                <w:rFonts w:ascii="Times New Roman" w:hAnsi="Times New Roman" w:eastAsia="新宋体"/>
                <w:color w:val="auto"/>
                <w:sz w:val="18"/>
                <w:szCs w:val="18"/>
                <w:highlight w:val="none"/>
              </w:rPr>
              <w:t>：（</w:t>
            </w:r>
            <w:r>
              <w:rPr>
                <w:rFonts w:hint="eastAsia" w:ascii="Times New Roman" w:hAnsi="Times New Roman" w:eastAsia="新宋体"/>
                <w:color w:val="auto"/>
                <w:sz w:val="18"/>
                <w:szCs w:val="18"/>
                <w:highlight w:val="none"/>
                <w:lang w:val="en-US" w:eastAsia="zh-CN"/>
              </w:rPr>
              <w:t>7.352</w:t>
            </w:r>
            <w:r>
              <w:rPr>
                <w:rFonts w:ascii="Times New Roman" w:hAnsi="Times New Roman" w:eastAsia="新宋体"/>
                <w:color w:val="auto"/>
                <w:sz w:val="18"/>
                <w:szCs w:val="18"/>
                <w:highlight w:val="none"/>
              </w:rPr>
              <w:t>）t/a</w:t>
            </w:r>
          </w:p>
        </w:tc>
        <w:tc>
          <w:tcPr>
            <w:tcW w:w="1004" w:type="pct"/>
            <w:gridSpan w:val="6"/>
            <w:tcBorders>
              <w:top w:val="single" w:color="auto" w:sz="4" w:space="0"/>
              <w:left w:val="single" w:color="auto" w:sz="4" w:space="0"/>
              <w:bottom w:val="single" w:color="auto" w:sz="4" w:space="0"/>
              <w:right w:val="single" w:color="auto" w:sz="4" w:space="0"/>
            </w:tcBorders>
            <w:noWrap w:val="0"/>
            <w:vAlign w:val="center"/>
          </w:tcPr>
          <w:p w14:paraId="2CAF26E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NOx：（</w:t>
            </w:r>
            <w:r>
              <w:rPr>
                <w:rFonts w:hint="eastAsia" w:ascii="Times New Roman" w:hAnsi="Times New Roman" w:eastAsia="新宋体"/>
                <w:color w:val="auto"/>
                <w:sz w:val="18"/>
                <w:szCs w:val="18"/>
                <w:highlight w:val="none"/>
                <w:lang w:val="en-US" w:eastAsia="zh-CN"/>
              </w:rPr>
              <w:t>6.87</w:t>
            </w:r>
            <w:r>
              <w:rPr>
                <w:rFonts w:ascii="Times New Roman" w:hAnsi="Times New Roman" w:eastAsia="新宋体"/>
                <w:color w:val="auto"/>
                <w:sz w:val="18"/>
                <w:szCs w:val="18"/>
                <w:highlight w:val="none"/>
              </w:rPr>
              <w:t>）t/a</w:t>
            </w:r>
          </w:p>
        </w:tc>
        <w:tc>
          <w:tcPr>
            <w:tcW w:w="1003" w:type="pct"/>
            <w:gridSpan w:val="6"/>
            <w:tcBorders>
              <w:top w:val="single" w:color="auto" w:sz="4" w:space="0"/>
              <w:left w:val="single" w:color="auto" w:sz="4" w:space="0"/>
              <w:bottom w:val="single" w:color="auto" w:sz="4" w:space="0"/>
              <w:right w:val="single" w:color="auto" w:sz="4" w:space="0"/>
            </w:tcBorders>
            <w:noWrap w:val="0"/>
            <w:vAlign w:val="center"/>
          </w:tcPr>
          <w:p w14:paraId="2B42F100">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颗粒物：（</w:t>
            </w:r>
            <w:r>
              <w:rPr>
                <w:rFonts w:hint="eastAsia" w:ascii="Times New Roman" w:hAnsi="Times New Roman" w:eastAsia="新宋体"/>
                <w:color w:val="auto"/>
                <w:sz w:val="18"/>
                <w:szCs w:val="18"/>
                <w:highlight w:val="none"/>
                <w:lang w:val="en-US" w:eastAsia="zh-CN"/>
              </w:rPr>
              <w:t>2.39</w:t>
            </w:r>
            <w:r>
              <w:rPr>
                <w:rFonts w:ascii="Times New Roman" w:hAnsi="Times New Roman" w:eastAsia="新宋体"/>
                <w:color w:val="auto"/>
                <w:sz w:val="18"/>
                <w:szCs w:val="18"/>
                <w:highlight w:val="none"/>
              </w:rPr>
              <w:t>）t/a</w:t>
            </w:r>
          </w:p>
        </w:tc>
        <w:tc>
          <w:tcPr>
            <w:tcW w:w="656" w:type="pct"/>
            <w:gridSpan w:val="3"/>
            <w:tcBorders>
              <w:top w:val="single" w:color="auto" w:sz="4" w:space="0"/>
              <w:left w:val="single" w:color="auto" w:sz="4" w:space="0"/>
              <w:bottom w:val="single" w:color="auto" w:sz="4" w:space="0"/>
              <w:right w:val="single" w:color="auto" w:sz="4" w:space="0"/>
            </w:tcBorders>
            <w:noWrap w:val="0"/>
            <w:vAlign w:val="center"/>
          </w:tcPr>
          <w:p w14:paraId="3E6DB46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VOCS：t/a</w:t>
            </w:r>
          </w:p>
        </w:tc>
      </w:tr>
      <w:tr w14:paraId="0B76A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5000" w:type="pct"/>
            <w:gridSpan w:val="19"/>
            <w:tcBorders>
              <w:top w:val="single" w:color="auto" w:sz="4" w:space="0"/>
              <w:left w:val="single" w:color="auto" w:sz="4" w:space="0"/>
              <w:bottom w:val="single" w:color="auto" w:sz="4" w:space="0"/>
              <w:right w:val="single" w:color="auto" w:sz="4" w:space="0"/>
            </w:tcBorders>
            <w:noWrap w:val="0"/>
            <w:vAlign w:val="center"/>
          </w:tcPr>
          <w:p w14:paraId="3150CDEA">
            <w:pPr>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注：“</w:t>
            </w:r>
            <w:r>
              <w:rPr>
                <w:rFonts w:ascii="Times New Roman" w:hAnsi="Times New Roman" w:eastAsia="新宋体"/>
                <w:color w:val="auto"/>
                <w:sz w:val="18"/>
                <w:szCs w:val="18"/>
                <w:highlight w:val="none"/>
              </w:rPr>
              <w:sym w:font="Wingdings" w:char="00A8"/>
            </w:r>
            <w:r>
              <w:rPr>
                <w:rFonts w:ascii="Times New Roman" w:hAnsi="Times New Roman" w:eastAsia="新宋体"/>
                <w:color w:val="auto"/>
                <w:sz w:val="18"/>
                <w:szCs w:val="18"/>
                <w:highlight w:val="none"/>
              </w:rPr>
              <w:t>”为勾选项，填“√”；“（）”为内容填写项</w:t>
            </w:r>
          </w:p>
        </w:tc>
      </w:tr>
    </w:tbl>
    <w:p w14:paraId="5FD746A4">
      <w:pPr>
        <w:pStyle w:val="4"/>
        <w:spacing w:before="0" w:after="0" w:line="240" w:lineRule="auto"/>
        <w:jc w:val="center"/>
        <w:rPr>
          <w:color w:val="auto"/>
          <w:highlight w:val="none"/>
        </w:rPr>
      </w:pPr>
      <w:bookmarkStart w:id="217" w:name="_Toc10669"/>
      <w:bookmarkStart w:id="218" w:name="_Toc30436"/>
      <w:r>
        <w:rPr>
          <w:color w:val="auto"/>
          <w:highlight w:val="none"/>
        </w:rPr>
        <w:t>声环境影响评价自查表</w:t>
      </w:r>
      <w:bookmarkEnd w:id="217"/>
      <w:bookmarkEnd w:id="218"/>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18"/>
        <w:gridCol w:w="1764"/>
        <w:gridCol w:w="1041"/>
        <w:gridCol w:w="184"/>
        <w:gridCol w:w="185"/>
        <w:gridCol w:w="183"/>
        <w:gridCol w:w="875"/>
        <w:gridCol w:w="342"/>
        <w:gridCol w:w="343"/>
        <w:gridCol w:w="373"/>
        <w:gridCol w:w="373"/>
        <w:gridCol w:w="1489"/>
      </w:tblGrid>
      <w:tr w14:paraId="0921B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0" w:type="auto"/>
            <w:gridSpan w:val="2"/>
            <w:noWrap w:val="0"/>
            <w:vAlign w:val="center"/>
          </w:tcPr>
          <w:p w14:paraId="219E735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工作内容</w:t>
            </w:r>
          </w:p>
        </w:tc>
        <w:tc>
          <w:tcPr>
            <w:tcW w:w="0" w:type="auto"/>
            <w:gridSpan w:val="10"/>
            <w:noWrap w:val="0"/>
            <w:vAlign w:val="center"/>
          </w:tcPr>
          <w:p w14:paraId="0AF93EF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自查项目</w:t>
            </w:r>
          </w:p>
        </w:tc>
      </w:tr>
      <w:tr w14:paraId="37BB9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5" w:hRule="atLeast"/>
          <w:jc w:val="center"/>
        </w:trPr>
        <w:tc>
          <w:tcPr>
            <w:tcW w:w="0" w:type="auto"/>
            <w:vMerge w:val="restart"/>
            <w:noWrap w:val="0"/>
            <w:vAlign w:val="center"/>
          </w:tcPr>
          <w:p w14:paraId="4FD55E2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评价等级与范围</w:t>
            </w:r>
          </w:p>
        </w:tc>
        <w:tc>
          <w:tcPr>
            <w:tcW w:w="0" w:type="auto"/>
            <w:noWrap w:val="0"/>
            <w:vAlign w:val="center"/>
          </w:tcPr>
          <w:p w14:paraId="07ADBB6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评价等级</w:t>
            </w:r>
          </w:p>
        </w:tc>
        <w:tc>
          <w:tcPr>
            <w:tcW w:w="0" w:type="auto"/>
            <w:gridSpan w:val="10"/>
            <w:noWrap w:val="0"/>
            <w:vAlign w:val="center"/>
          </w:tcPr>
          <w:p w14:paraId="596265CB">
            <w:pPr>
              <w:autoSpaceDE w:val="0"/>
              <w:autoSpaceDN w:val="0"/>
              <w:spacing w:line="240" w:lineRule="auto"/>
              <w:ind w:firstLine="0" w:firstLineChars="0"/>
              <w:jc w:val="center"/>
              <w:rPr>
                <w:rFonts w:ascii="Times New Roman" w:hAnsi="Times New Roman"/>
                <w:color w:val="auto"/>
                <w:sz w:val="18"/>
                <w:szCs w:val="18"/>
                <w:highlight w:val="none"/>
                <w:lang w:eastAsia="en-US"/>
              </w:rPr>
            </w:pPr>
            <w:r>
              <w:rPr>
                <w:rFonts w:ascii="Times New Roman" w:hAnsi="Times New Roman" w:eastAsia="新宋体"/>
                <w:color w:val="auto"/>
                <w:sz w:val="18"/>
                <w:szCs w:val="18"/>
                <w:highlight w:val="none"/>
                <w:lang w:eastAsia="en-US"/>
              </w:rPr>
              <w:t>一级□ 二级</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 xml:space="preserve"> 三级</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 xml:space="preserve"> </w:t>
            </w:r>
          </w:p>
        </w:tc>
      </w:tr>
      <w:tr w14:paraId="768876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jc w:val="center"/>
        </w:trPr>
        <w:tc>
          <w:tcPr>
            <w:tcW w:w="0" w:type="auto"/>
            <w:vMerge w:val="continue"/>
            <w:noWrap w:val="0"/>
            <w:vAlign w:val="center"/>
          </w:tcPr>
          <w:p w14:paraId="24B3E88F">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771A4958">
            <w:pPr>
              <w:pStyle w:val="45"/>
              <w:spacing w:before="35"/>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评价范围</w:t>
            </w:r>
          </w:p>
        </w:tc>
        <w:tc>
          <w:tcPr>
            <w:tcW w:w="0" w:type="auto"/>
            <w:gridSpan w:val="10"/>
            <w:noWrap w:val="0"/>
            <w:vAlign w:val="center"/>
          </w:tcPr>
          <w:p w14:paraId="4C26AEC7">
            <w:pPr>
              <w:pStyle w:val="45"/>
              <w:tabs>
                <w:tab w:val="left" w:pos="2384"/>
                <w:tab w:val="left" w:pos="5315"/>
              </w:tabs>
              <w:spacing w:before="35"/>
              <w:ind w:left="217"/>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200 m</w:t>
            </w:r>
            <w:r>
              <w:rPr>
                <w:rFonts w:hint="eastAsia" w:ascii="MS Mincho" w:hAnsi="MS Mincho" w:eastAsia="MS Mincho" w:cs="MS Mincho"/>
                <w:color w:val="auto"/>
                <w:kern w:val="2"/>
                <w:sz w:val="18"/>
                <w:szCs w:val="18"/>
                <w:highlight w:val="none"/>
                <w:lang w:eastAsia="zh-CN"/>
              </w:rPr>
              <w:t>☑</w:t>
            </w:r>
            <w:r>
              <w:rPr>
                <w:rFonts w:eastAsia="宋体"/>
                <w:color w:val="auto"/>
                <w:kern w:val="2"/>
                <w:sz w:val="18"/>
                <w:szCs w:val="18"/>
                <w:highlight w:val="none"/>
                <w:lang w:eastAsia="zh-CN"/>
              </w:rPr>
              <w:t xml:space="preserve">  </w:t>
            </w:r>
            <w:r>
              <w:rPr>
                <w:rFonts w:eastAsia="新宋体"/>
                <w:color w:val="auto"/>
                <w:kern w:val="2"/>
                <w:sz w:val="18"/>
                <w:szCs w:val="18"/>
                <w:highlight w:val="none"/>
                <w:lang w:eastAsia="zh-CN"/>
              </w:rPr>
              <w:t xml:space="preserve"> 大于 200 m□   小于 200 m□</w:t>
            </w:r>
          </w:p>
        </w:tc>
      </w:tr>
      <w:tr w14:paraId="600A5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jc w:val="center"/>
        </w:trPr>
        <w:tc>
          <w:tcPr>
            <w:tcW w:w="0" w:type="auto"/>
            <w:noWrap w:val="0"/>
            <w:vAlign w:val="center"/>
          </w:tcPr>
          <w:p w14:paraId="260DA7C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评价因子</w:t>
            </w:r>
          </w:p>
        </w:tc>
        <w:tc>
          <w:tcPr>
            <w:tcW w:w="0" w:type="auto"/>
            <w:noWrap w:val="0"/>
            <w:vAlign w:val="center"/>
          </w:tcPr>
          <w:p w14:paraId="41A2463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评价因子</w:t>
            </w:r>
          </w:p>
        </w:tc>
        <w:tc>
          <w:tcPr>
            <w:tcW w:w="0" w:type="auto"/>
            <w:gridSpan w:val="4"/>
            <w:noWrap w:val="0"/>
            <w:vAlign w:val="center"/>
          </w:tcPr>
          <w:p w14:paraId="07B9203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等效连续A声级</w:t>
            </w:r>
            <w:r>
              <w:rPr>
                <w:rFonts w:hint="eastAsia" w:ascii="MS Mincho" w:hAnsi="MS Mincho" w:eastAsia="MS Mincho" w:cs="MS Mincho"/>
                <w:color w:val="auto"/>
                <w:sz w:val="18"/>
                <w:szCs w:val="18"/>
                <w:highlight w:val="none"/>
                <w:lang w:eastAsia="en-US"/>
              </w:rPr>
              <w:t>☑</w:t>
            </w:r>
          </w:p>
        </w:tc>
        <w:tc>
          <w:tcPr>
            <w:tcW w:w="0" w:type="auto"/>
            <w:gridSpan w:val="2"/>
            <w:noWrap w:val="0"/>
            <w:vAlign w:val="center"/>
          </w:tcPr>
          <w:p w14:paraId="06A1EB5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最大A声级□</w:t>
            </w:r>
          </w:p>
        </w:tc>
        <w:tc>
          <w:tcPr>
            <w:tcW w:w="0" w:type="auto"/>
            <w:gridSpan w:val="4"/>
            <w:noWrap w:val="0"/>
            <w:vAlign w:val="center"/>
          </w:tcPr>
          <w:p w14:paraId="4955DD56">
            <w:pPr>
              <w:autoSpaceDE w:val="0"/>
              <w:autoSpaceDN w:val="0"/>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计权等效连续感觉噪声级□</w:t>
            </w:r>
          </w:p>
        </w:tc>
      </w:tr>
      <w:tr w14:paraId="1383E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0" w:type="auto"/>
            <w:noWrap w:val="0"/>
            <w:vAlign w:val="center"/>
          </w:tcPr>
          <w:p w14:paraId="41D2CA6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评价标准</w:t>
            </w:r>
          </w:p>
        </w:tc>
        <w:tc>
          <w:tcPr>
            <w:tcW w:w="0" w:type="auto"/>
            <w:noWrap w:val="0"/>
            <w:vAlign w:val="center"/>
          </w:tcPr>
          <w:p w14:paraId="576C2B2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评价标准</w:t>
            </w:r>
          </w:p>
        </w:tc>
        <w:tc>
          <w:tcPr>
            <w:tcW w:w="0" w:type="auto"/>
            <w:gridSpan w:val="4"/>
            <w:noWrap w:val="0"/>
            <w:vAlign w:val="center"/>
          </w:tcPr>
          <w:p w14:paraId="635F24C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国家标准</w:t>
            </w:r>
            <w:r>
              <w:rPr>
                <w:rFonts w:hint="eastAsia" w:ascii="MS Mincho" w:hAnsi="MS Mincho" w:eastAsia="MS Mincho" w:cs="MS Mincho"/>
                <w:color w:val="auto"/>
                <w:sz w:val="18"/>
                <w:szCs w:val="18"/>
                <w:highlight w:val="none"/>
                <w:lang w:eastAsia="en-US"/>
              </w:rPr>
              <w:t>☑</w:t>
            </w:r>
          </w:p>
        </w:tc>
        <w:tc>
          <w:tcPr>
            <w:tcW w:w="0" w:type="auto"/>
            <w:gridSpan w:val="2"/>
            <w:noWrap w:val="0"/>
            <w:vAlign w:val="center"/>
          </w:tcPr>
          <w:p w14:paraId="32FBD6E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地方标准□</w:t>
            </w:r>
          </w:p>
        </w:tc>
        <w:tc>
          <w:tcPr>
            <w:tcW w:w="0" w:type="auto"/>
            <w:gridSpan w:val="4"/>
            <w:noWrap w:val="0"/>
            <w:vAlign w:val="center"/>
          </w:tcPr>
          <w:p w14:paraId="1C24AED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国外标准□</w:t>
            </w:r>
          </w:p>
        </w:tc>
      </w:tr>
      <w:tr w14:paraId="12176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0" w:type="auto"/>
            <w:vMerge w:val="restart"/>
            <w:noWrap w:val="0"/>
            <w:vAlign w:val="center"/>
          </w:tcPr>
          <w:p w14:paraId="6CC36F0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现状评价</w:t>
            </w:r>
          </w:p>
        </w:tc>
        <w:tc>
          <w:tcPr>
            <w:tcW w:w="0" w:type="auto"/>
            <w:noWrap w:val="0"/>
            <w:vAlign w:val="center"/>
          </w:tcPr>
          <w:p w14:paraId="33193AD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环境功能区</w:t>
            </w:r>
          </w:p>
        </w:tc>
        <w:tc>
          <w:tcPr>
            <w:tcW w:w="0" w:type="auto"/>
            <w:noWrap w:val="0"/>
            <w:vAlign w:val="center"/>
          </w:tcPr>
          <w:p w14:paraId="6FFCB4D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0 类区□</w:t>
            </w:r>
          </w:p>
        </w:tc>
        <w:tc>
          <w:tcPr>
            <w:tcW w:w="0" w:type="auto"/>
            <w:gridSpan w:val="3"/>
            <w:noWrap w:val="0"/>
            <w:vAlign w:val="center"/>
          </w:tcPr>
          <w:p w14:paraId="3639373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1 类区□</w:t>
            </w:r>
          </w:p>
        </w:tc>
        <w:tc>
          <w:tcPr>
            <w:tcW w:w="0" w:type="auto"/>
            <w:noWrap w:val="0"/>
            <w:vAlign w:val="center"/>
          </w:tcPr>
          <w:p w14:paraId="12F3F11B">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ascii="Times New Roman" w:hAnsi="Times New Roman" w:eastAsia="新宋体"/>
                <w:color w:val="auto"/>
                <w:sz w:val="18"/>
                <w:szCs w:val="18"/>
                <w:highlight w:val="none"/>
                <w:lang w:eastAsia="en-US"/>
              </w:rPr>
              <w:t>2 类区</w:t>
            </w:r>
            <w:r>
              <w:rPr>
                <w:rFonts w:hint="eastAsia" w:ascii="Times New Roman" w:hAnsi="Times New Roman" w:eastAsia="新宋体"/>
                <w:color w:val="auto"/>
                <w:sz w:val="18"/>
                <w:szCs w:val="18"/>
                <w:highlight w:val="none"/>
                <w:lang w:eastAsia="zh-CN"/>
              </w:rPr>
              <w:t>☑</w:t>
            </w:r>
          </w:p>
        </w:tc>
        <w:tc>
          <w:tcPr>
            <w:tcW w:w="0" w:type="auto"/>
            <w:gridSpan w:val="2"/>
            <w:noWrap w:val="0"/>
            <w:vAlign w:val="center"/>
          </w:tcPr>
          <w:p w14:paraId="43CD8987">
            <w:pPr>
              <w:autoSpaceDE w:val="0"/>
              <w:autoSpaceDN w:val="0"/>
              <w:spacing w:line="240" w:lineRule="auto"/>
              <w:ind w:firstLine="0" w:firstLineChars="0"/>
              <w:jc w:val="center"/>
              <w:rPr>
                <w:rFonts w:hint="eastAsia" w:ascii="Times New Roman" w:hAnsi="Times New Roman" w:eastAsia="宋体"/>
                <w:color w:val="auto"/>
                <w:sz w:val="18"/>
                <w:szCs w:val="18"/>
                <w:highlight w:val="none"/>
                <w:lang w:eastAsia="zh-CN"/>
              </w:rPr>
            </w:pPr>
            <w:r>
              <w:rPr>
                <w:rFonts w:ascii="Times New Roman" w:hAnsi="Times New Roman" w:eastAsia="新宋体"/>
                <w:color w:val="auto"/>
                <w:sz w:val="18"/>
                <w:szCs w:val="18"/>
                <w:highlight w:val="none"/>
                <w:lang w:eastAsia="en-US"/>
              </w:rPr>
              <w:t>3 类区</w:t>
            </w:r>
            <w:r>
              <w:rPr>
                <w:rFonts w:hint="eastAsia" w:ascii="MS Mincho" w:hAnsi="MS Mincho" w:cs="MS Mincho"/>
                <w:color w:val="auto"/>
                <w:sz w:val="18"/>
                <w:szCs w:val="18"/>
                <w:highlight w:val="none"/>
                <w:lang w:eastAsia="zh-CN"/>
              </w:rPr>
              <w:t>□</w:t>
            </w:r>
          </w:p>
        </w:tc>
        <w:tc>
          <w:tcPr>
            <w:tcW w:w="0" w:type="auto"/>
            <w:gridSpan w:val="2"/>
            <w:noWrap w:val="0"/>
            <w:vAlign w:val="center"/>
          </w:tcPr>
          <w:p w14:paraId="680BE96F">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ascii="Times New Roman" w:hAnsi="Times New Roman" w:eastAsia="新宋体"/>
                <w:color w:val="auto"/>
                <w:sz w:val="18"/>
                <w:szCs w:val="18"/>
                <w:highlight w:val="none"/>
                <w:lang w:eastAsia="en-US"/>
              </w:rPr>
              <w:t>4a 类区</w:t>
            </w:r>
            <w:r>
              <w:rPr>
                <w:rFonts w:hint="eastAsia" w:ascii="Times New Roman" w:hAnsi="Times New Roman" w:eastAsia="新宋体"/>
                <w:color w:val="auto"/>
                <w:sz w:val="18"/>
                <w:szCs w:val="18"/>
                <w:highlight w:val="none"/>
                <w:lang w:eastAsia="zh-CN"/>
              </w:rPr>
              <w:t>□</w:t>
            </w:r>
          </w:p>
        </w:tc>
        <w:tc>
          <w:tcPr>
            <w:tcW w:w="0" w:type="auto"/>
            <w:noWrap w:val="0"/>
            <w:vAlign w:val="center"/>
          </w:tcPr>
          <w:p w14:paraId="61FF47F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4b 类区□</w:t>
            </w:r>
          </w:p>
        </w:tc>
      </w:tr>
      <w:tr w14:paraId="16597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0" w:type="auto"/>
            <w:vMerge w:val="continue"/>
            <w:noWrap w:val="0"/>
            <w:vAlign w:val="center"/>
          </w:tcPr>
          <w:p w14:paraId="4E66FAFC">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4CC87C19">
            <w:pPr>
              <w:pStyle w:val="45"/>
              <w:spacing w:before="31"/>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评价年度</w:t>
            </w:r>
          </w:p>
        </w:tc>
        <w:tc>
          <w:tcPr>
            <w:tcW w:w="0" w:type="auto"/>
            <w:gridSpan w:val="2"/>
            <w:noWrap w:val="0"/>
            <w:vAlign w:val="center"/>
          </w:tcPr>
          <w:p w14:paraId="6460A1FE">
            <w:pPr>
              <w:pStyle w:val="45"/>
              <w:jc w:val="center"/>
              <w:rPr>
                <w:rFonts w:eastAsia="宋体"/>
                <w:color w:val="auto"/>
                <w:kern w:val="2"/>
                <w:sz w:val="18"/>
                <w:szCs w:val="18"/>
                <w:highlight w:val="none"/>
                <w:lang w:eastAsia="zh-CN"/>
              </w:rPr>
            </w:pPr>
            <w:r>
              <w:rPr>
                <w:rFonts w:eastAsia="新宋体"/>
                <w:color w:val="auto"/>
                <w:kern w:val="2"/>
                <w:sz w:val="18"/>
                <w:szCs w:val="18"/>
                <w:highlight w:val="none"/>
                <w:lang w:eastAsia="zh-CN"/>
              </w:rPr>
              <w:t>初期</w:t>
            </w:r>
          </w:p>
        </w:tc>
        <w:tc>
          <w:tcPr>
            <w:tcW w:w="0" w:type="auto"/>
            <w:gridSpan w:val="3"/>
            <w:noWrap w:val="0"/>
            <w:vAlign w:val="center"/>
          </w:tcPr>
          <w:p w14:paraId="61B997F7">
            <w:pPr>
              <w:pStyle w:val="45"/>
              <w:jc w:val="center"/>
              <w:rPr>
                <w:rFonts w:eastAsia="宋体"/>
                <w:color w:val="auto"/>
                <w:kern w:val="2"/>
                <w:sz w:val="18"/>
                <w:szCs w:val="18"/>
                <w:highlight w:val="none"/>
                <w:lang w:eastAsia="zh-CN"/>
              </w:rPr>
            </w:pPr>
            <w:r>
              <w:rPr>
                <w:rFonts w:eastAsia="新宋体"/>
                <w:color w:val="auto"/>
                <w:kern w:val="2"/>
                <w:sz w:val="18"/>
                <w:szCs w:val="18"/>
                <w:highlight w:val="none"/>
                <w:lang w:eastAsia="zh-CN"/>
              </w:rPr>
              <w:t>近期</w:t>
            </w:r>
          </w:p>
        </w:tc>
        <w:tc>
          <w:tcPr>
            <w:tcW w:w="0" w:type="auto"/>
            <w:gridSpan w:val="3"/>
            <w:noWrap w:val="0"/>
            <w:vAlign w:val="center"/>
          </w:tcPr>
          <w:p w14:paraId="12F0A300">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中期□</w:t>
            </w:r>
          </w:p>
        </w:tc>
        <w:tc>
          <w:tcPr>
            <w:tcW w:w="0" w:type="auto"/>
            <w:gridSpan w:val="2"/>
            <w:noWrap w:val="0"/>
            <w:vAlign w:val="center"/>
          </w:tcPr>
          <w:p w14:paraId="5657FCC8">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远期□</w:t>
            </w:r>
          </w:p>
        </w:tc>
      </w:tr>
      <w:tr w14:paraId="3EF5A5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0" w:type="auto"/>
            <w:vMerge w:val="continue"/>
            <w:noWrap w:val="0"/>
            <w:vAlign w:val="center"/>
          </w:tcPr>
          <w:p w14:paraId="17C9A083">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06845F2B">
            <w:pPr>
              <w:pStyle w:val="45"/>
              <w:spacing w:before="124"/>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现状调查方法</w:t>
            </w:r>
          </w:p>
        </w:tc>
        <w:tc>
          <w:tcPr>
            <w:tcW w:w="0" w:type="auto"/>
            <w:gridSpan w:val="4"/>
            <w:noWrap w:val="0"/>
            <w:vAlign w:val="center"/>
          </w:tcPr>
          <w:p w14:paraId="1E01E6FB">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现场实测法</w:t>
            </w:r>
            <w:r>
              <w:rPr>
                <w:rFonts w:hint="eastAsia" w:ascii="MS Mincho" w:hAnsi="MS Mincho" w:eastAsia="MS Mincho" w:cs="MS Mincho"/>
                <w:color w:val="auto"/>
                <w:kern w:val="2"/>
                <w:sz w:val="18"/>
                <w:szCs w:val="18"/>
                <w:highlight w:val="none"/>
                <w:lang w:eastAsia="zh-CN"/>
              </w:rPr>
              <w:t>☑</w:t>
            </w:r>
          </w:p>
        </w:tc>
        <w:tc>
          <w:tcPr>
            <w:tcW w:w="0" w:type="auto"/>
            <w:gridSpan w:val="4"/>
            <w:noWrap w:val="0"/>
            <w:vAlign w:val="center"/>
          </w:tcPr>
          <w:p w14:paraId="26B3FCF6">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现场实测加模型计算法□</w:t>
            </w:r>
          </w:p>
        </w:tc>
        <w:tc>
          <w:tcPr>
            <w:tcW w:w="0" w:type="auto"/>
            <w:gridSpan w:val="2"/>
            <w:noWrap w:val="0"/>
            <w:vAlign w:val="center"/>
          </w:tcPr>
          <w:p w14:paraId="639ABC29">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收集资料□</w:t>
            </w:r>
          </w:p>
        </w:tc>
      </w:tr>
      <w:tr w14:paraId="0C207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0" w:type="auto"/>
            <w:vMerge w:val="continue"/>
            <w:noWrap w:val="0"/>
            <w:vAlign w:val="center"/>
          </w:tcPr>
          <w:p w14:paraId="23F697F2">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6E349D9F">
            <w:pPr>
              <w:pStyle w:val="45"/>
              <w:spacing w:before="31"/>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现状评价</w:t>
            </w:r>
          </w:p>
        </w:tc>
        <w:tc>
          <w:tcPr>
            <w:tcW w:w="0" w:type="auto"/>
            <w:gridSpan w:val="3"/>
            <w:noWrap w:val="0"/>
            <w:vAlign w:val="center"/>
          </w:tcPr>
          <w:p w14:paraId="23E33032">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达标百分比</w:t>
            </w:r>
          </w:p>
        </w:tc>
        <w:tc>
          <w:tcPr>
            <w:tcW w:w="0" w:type="auto"/>
            <w:gridSpan w:val="7"/>
            <w:noWrap w:val="0"/>
            <w:vAlign w:val="center"/>
          </w:tcPr>
          <w:p w14:paraId="6885355A">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100%</w:t>
            </w:r>
          </w:p>
        </w:tc>
      </w:tr>
      <w:tr w14:paraId="21862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1" w:hRule="atLeast"/>
          <w:jc w:val="center"/>
        </w:trPr>
        <w:tc>
          <w:tcPr>
            <w:tcW w:w="0" w:type="auto"/>
            <w:noWrap w:val="0"/>
            <w:vAlign w:val="center"/>
          </w:tcPr>
          <w:p w14:paraId="0EC44F3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噪声源调查</w:t>
            </w:r>
          </w:p>
        </w:tc>
        <w:tc>
          <w:tcPr>
            <w:tcW w:w="0" w:type="auto"/>
            <w:noWrap w:val="0"/>
            <w:vAlign w:val="center"/>
          </w:tcPr>
          <w:p w14:paraId="432AB26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噪声源调查方法</w:t>
            </w:r>
          </w:p>
        </w:tc>
        <w:tc>
          <w:tcPr>
            <w:tcW w:w="0" w:type="auto"/>
            <w:gridSpan w:val="3"/>
            <w:noWrap w:val="0"/>
            <w:vAlign w:val="center"/>
          </w:tcPr>
          <w:p w14:paraId="3379485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现场实测</w:t>
            </w:r>
            <w:r>
              <w:rPr>
                <w:rFonts w:hint="eastAsia" w:ascii="MS Mincho" w:hAnsi="MS Mincho" w:eastAsia="MS Mincho" w:cs="MS Mincho"/>
                <w:color w:val="auto"/>
                <w:sz w:val="18"/>
                <w:szCs w:val="18"/>
                <w:highlight w:val="none"/>
                <w:lang w:eastAsia="en-US"/>
              </w:rPr>
              <w:t>☑</w:t>
            </w:r>
          </w:p>
        </w:tc>
        <w:tc>
          <w:tcPr>
            <w:tcW w:w="0" w:type="auto"/>
            <w:gridSpan w:val="3"/>
            <w:noWrap w:val="0"/>
            <w:vAlign w:val="center"/>
          </w:tcPr>
          <w:p w14:paraId="274210C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已有资料□</w:t>
            </w:r>
          </w:p>
        </w:tc>
        <w:tc>
          <w:tcPr>
            <w:tcW w:w="0" w:type="auto"/>
            <w:gridSpan w:val="4"/>
            <w:noWrap w:val="0"/>
            <w:vAlign w:val="center"/>
          </w:tcPr>
          <w:p w14:paraId="5775407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研究成果□</w:t>
            </w:r>
          </w:p>
        </w:tc>
      </w:tr>
      <w:tr w14:paraId="09D7D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jc w:val="center"/>
        </w:trPr>
        <w:tc>
          <w:tcPr>
            <w:tcW w:w="0" w:type="auto"/>
            <w:vMerge w:val="restart"/>
            <w:noWrap w:val="0"/>
            <w:vAlign w:val="center"/>
          </w:tcPr>
          <w:p w14:paraId="429E08D1">
            <w:pPr>
              <w:autoSpaceDE w:val="0"/>
              <w:autoSpaceDN w:val="0"/>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声环境影响预测与评价</w:t>
            </w:r>
          </w:p>
        </w:tc>
        <w:tc>
          <w:tcPr>
            <w:tcW w:w="0" w:type="auto"/>
            <w:noWrap w:val="0"/>
            <w:vAlign w:val="center"/>
          </w:tcPr>
          <w:p w14:paraId="346218A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预测模型</w:t>
            </w:r>
          </w:p>
        </w:tc>
        <w:tc>
          <w:tcPr>
            <w:tcW w:w="0" w:type="auto"/>
            <w:gridSpan w:val="5"/>
            <w:noWrap w:val="0"/>
            <w:vAlign w:val="center"/>
          </w:tcPr>
          <w:p w14:paraId="4A69760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导则推荐模型</w:t>
            </w:r>
            <w:r>
              <w:rPr>
                <w:rFonts w:hint="eastAsia" w:ascii="MS Mincho" w:hAnsi="MS Mincho" w:eastAsia="MS Mincho" w:cs="MS Mincho"/>
                <w:color w:val="auto"/>
                <w:sz w:val="18"/>
                <w:szCs w:val="18"/>
                <w:highlight w:val="none"/>
                <w:lang w:eastAsia="en-US"/>
              </w:rPr>
              <w:t>☑</w:t>
            </w:r>
          </w:p>
        </w:tc>
        <w:tc>
          <w:tcPr>
            <w:tcW w:w="0" w:type="auto"/>
            <w:gridSpan w:val="5"/>
            <w:noWrap w:val="0"/>
            <w:vAlign w:val="center"/>
          </w:tcPr>
          <w:p w14:paraId="2A5ABE5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其他□</w:t>
            </w:r>
          </w:p>
        </w:tc>
      </w:tr>
      <w:tr w14:paraId="21D08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0" w:type="auto"/>
            <w:vMerge w:val="continue"/>
            <w:noWrap w:val="0"/>
            <w:vAlign w:val="center"/>
          </w:tcPr>
          <w:p w14:paraId="1775A5D0">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50FC9FEC">
            <w:pPr>
              <w:pStyle w:val="45"/>
              <w:spacing w:before="31"/>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预测范围</w:t>
            </w:r>
          </w:p>
        </w:tc>
        <w:tc>
          <w:tcPr>
            <w:tcW w:w="0" w:type="auto"/>
            <w:gridSpan w:val="4"/>
            <w:noWrap w:val="0"/>
            <w:vAlign w:val="center"/>
          </w:tcPr>
          <w:p w14:paraId="3F667AE7">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200 m</w:t>
            </w:r>
            <w:r>
              <w:rPr>
                <w:rFonts w:hint="eastAsia" w:ascii="MS Mincho" w:hAnsi="MS Mincho" w:eastAsia="MS Mincho" w:cs="MS Mincho"/>
                <w:color w:val="auto"/>
                <w:kern w:val="2"/>
                <w:sz w:val="18"/>
                <w:szCs w:val="18"/>
                <w:highlight w:val="none"/>
                <w:lang w:eastAsia="zh-CN"/>
              </w:rPr>
              <w:t>☑</w:t>
            </w:r>
          </w:p>
        </w:tc>
        <w:tc>
          <w:tcPr>
            <w:tcW w:w="0" w:type="auto"/>
            <w:gridSpan w:val="3"/>
            <w:noWrap w:val="0"/>
            <w:vAlign w:val="center"/>
          </w:tcPr>
          <w:p w14:paraId="1F7AF4FF">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大于200 m□</w:t>
            </w:r>
          </w:p>
        </w:tc>
        <w:tc>
          <w:tcPr>
            <w:tcW w:w="0" w:type="auto"/>
            <w:gridSpan w:val="3"/>
            <w:noWrap w:val="0"/>
            <w:vAlign w:val="center"/>
          </w:tcPr>
          <w:p w14:paraId="4C34F5B4">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小于200 m□</w:t>
            </w:r>
          </w:p>
        </w:tc>
      </w:tr>
      <w:tr w14:paraId="0B024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0" w:type="auto"/>
            <w:vMerge w:val="continue"/>
            <w:noWrap w:val="0"/>
            <w:vAlign w:val="center"/>
          </w:tcPr>
          <w:p w14:paraId="7726741A">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357599DE">
            <w:pPr>
              <w:pStyle w:val="45"/>
              <w:spacing w:before="31"/>
              <w:ind w:left="149" w:right="13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预测因子</w:t>
            </w:r>
          </w:p>
        </w:tc>
        <w:tc>
          <w:tcPr>
            <w:tcW w:w="0" w:type="auto"/>
            <w:gridSpan w:val="4"/>
            <w:noWrap w:val="0"/>
            <w:vAlign w:val="center"/>
          </w:tcPr>
          <w:p w14:paraId="17859BDF">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等效连续A声级</w:t>
            </w:r>
            <w:r>
              <w:rPr>
                <w:rFonts w:hint="eastAsia" w:ascii="MS Mincho" w:hAnsi="MS Mincho" w:eastAsia="MS Mincho" w:cs="MS Mincho"/>
                <w:color w:val="auto"/>
                <w:kern w:val="2"/>
                <w:sz w:val="18"/>
                <w:szCs w:val="18"/>
                <w:highlight w:val="none"/>
                <w:lang w:eastAsia="zh-CN"/>
              </w:rPr>
              <w:t>☑</w:t>
            </w:r>
          </w:p>
        </w:tc>
        <w:tc>
          <w:tcPr>
            <w:tcW w:w="0" w:type="auto"/>
            <w:gridSpan w:val="2"/>
            <w:noWrap w:val="0"/>
            <w:vAlign w:val="center"/>
          </w:tcPr>
          <w:p w14:paraId="29795334">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最大A声级□</w:t>
            </w:r>
          </w:p>
        </w:tc>
        <w:tc>
          <w:tcPr>
            <w:tcW w:w="0" w:type="auto"/>
            <w:gridSpan w:val="4"/>
            <w:noWrap w:val="0"/>
            <w:vAlign w:val="center"/>
          </w:tcPr>
          <w:p w14:paraId="35A475E4">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计权等效连续感觉噪声级□</w:t>
            </w:r>
          </w:p>
        </w:tc>
      </w:tr>
      <w:tr w14:paraId="2F7CA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0" w:type="auto"/>
            <w:vMerge w:val="continue"/>
            <w:noWrap w:val="0"/>
            <w:vAlign w:val="center"/>
          </w:tcPr>
          <w:p w14:paraId="41D9B0E0">
            <w:pPr>
              <w:spacing w:line="240" w:lineRule="auto"/>
              <w:ind w:firstLine="0" w:firstLineChars="0"/>
              <w:jc w:val="center"/>
              <w:rPr>
                <w:rFonts w:ascii="Times New Roman" w:hAnsi="Times New Roman" w:eastAsia="新宋体"/>
                <w:color w:val="auto"/>
                <w:sz w:val="18"/>
                <w:szCs w:val="18"/>
                <w:highlight w:val="none"/>
              </w:rPr>
            </w:pPr>
          </w:p>
        </w:tc>
        <w:tc>
          <w:tcPr>
            <w:tcW w:w="0" w:type="auto"/>
            <w:noWrap w:val="0"/>
            <w:vAlign w:val="center"/>
          </w:tcPr>
          <w:p w14:paraId="11EC66D5">
            <w:pPr>
              <w:pStyle w:val="45"/>
              <w:spacing w:before="31"/>
              <w:ind w:right="148"/>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厂界噪声贡献值</w:t>
            </w:r>
          </w:p>
        </w:tc>
        <w:tc>
          <w:tcPr>
            <w:tcW w:w="0" w:type="auto"/>
            <w:gridSpan w:val="5"/>
            <w:noWrap w:val="0"/>
            <w:vAlign w:val="center"/>
          </w:tcPr>
          <w:p w14:paraId="4C17ADF0">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达标</w:t>
            </w:r>
            <w:r>
              <w:rPr>
                <w:rFonts w:hint="eastAsia" w:ascii="MS Mincho" w:hAnsi="MS Mincho" w:eastAsia="MS Mincho" w:cs="MS Mincho"/>
                <w:color w:val="auto"/>
                <w:kern w:val="2"/>
                <w:sz w:val="18"/>
                <w:szCs w:val="18"/>
                <w:highlight w:val="none"/>
                <w:lang w:eastAsia="zh-CN"/>
              </w:rPr>
              <w:t>☑</w:t>
            </w:r>
          </w:p>
        </w:tc>
        <w:tc>
          <w:tcPr>
            <w:tcW w:w="0" w:type="auto"/>
            <w:gridSpan w:val="5"/>
            <w:noWrap w:val="0"/>
            <w:vAlign w:val="center"/>
          </w:tcPr>
          <w:p w14:paraId="68F22EAB">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不达标□</w:t>
            </w:r>
          </w:p>
        </w:tc>
      </w:tr>
      <w:tr w14:paraId="4F45B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jc w:val="center"/>
        </w:trPr>
        <w:tc>
          <w:tcPr>
            <w:tcW w:w="0" w:type="auto"/>
            <w:vMerge w:val="continue"/>
            <w:noWrap w:val="0"/>
            <w:vAlign w:val="center"/>
          </w:tcPr>
          <w:p w14:paraId="01A296E6">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393DB0B2">
            <w:pPr>
              <w:pStyle w:val="45"/>
              <w:spacing w:before="31"/>
              <w:ind w:right="148"/>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声环境保护目标处噪声值</w:t>
            </w:r>
          </w:p>
        </w:tc>
        <w:tc>
          <w:tcPr>
            <w:tcW w:w="0" w:type="auto"/>
            <w:gridSpan w:val="5"/>
            <w:noWrap w:val="0"/>
            <w:vAlign w:val="center"/>
          </w:tcPr>
          <w:p w14:paraId="670DD72D">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达标</w:t>
            </w:r>
            <w:r>
              <w:rPr>
                <w:rFonts w:hint="eastAsia" w:ascii="MS Mincho" w:hAnsi="MS Mincho" w:eastAsia="MS Mincho" w:cs="MS Mincho"/>
                <w:color w:val="auto"/>
                <w:kern w:val="2"/>
                <w:sz w:val="18"/>
                <w:szCs w:val="18"/>
                <w:highlight w:val="none"/>
                <w:lang w:eastAsia="zh-CN"/>
              </w:rPr>
              <w:t>☑</w:t>
            </w:r>
          </w:p>
        </w:tc>
        <w:tc>
          <w:tcPr>
            <w:tcW w:w="0" w:type="auto"/>
            <w:gridSpan w:val="5"/>
            <w:noWrap w:val="0"/>
            <w:vAlign w:val="center"/>
          </w:tcPr>
          <w:p w14:paraId="30637BAB">
            <w:pPr>
              <w:pStyle w:val="45"/>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不达标□</w:t>
            </w:r>
          </w:p>
        </w:tc>
      </w:tr>
      <w:tr w14:paraId="45277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jc w:val="center"/>
        </w:trPr>
        <w:tc>
          <w:tcPr>
            <w:tcW w:w="0" w:type="auto"/>
            <w:vMerge w:val="restart"/>
            <w:noWrap w:val="0"/>
            <w:vAlign w:val="center"/>
          </w:tcPr>
          <w:p w14:paraId="37B9A3E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环境监测计划</w:t>
            </w:r>
          </w:p>
        </w:tc>
        <w:tc>
          <w:tcPr>
            <w:tcW w:w="0" w:type="auto"/>
            <w:noWrap w:val="0"/>
            <w:vAlign w:val="center"/>
          </w:tcPr>
          <w:p w14:paraId="79D5D6B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排放监测</w:t>
            </w:r>
          </w:p>
        </w:tc>
        <w:tc>
          <w:tcPr>
            <w:tcW w:w="0" w:type="auto"/>
            <w:gridSpan w:val="5"/>
            <w:noWrap w:val="0"/>
            <w:vAlign w:val="center"/>
          </w:tcPr>
          <w:p w14:paraId="303F4D79">
            <w:pPr>
              <w:autoSpaceDE w:val="0"/>
              <w:autoSpaceDN w:val="0"/>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厂界监测</w:t>
            </w:r>
            <w:r>
              <w:rPr>
                <w:rFonts w:hint="eastAsia" w:ascii="MS Mincho" w:hAnsi="MS Mincho" w:eastAsia="MS Mincho" w:cs="MS Mincho"/>
                <w:color w:val="auto"/>
                <w:sz w:val="18"/>
                <w:szCs w:val="18"/>
                <w:highlight w:val="none"/>
              </w:rPr>
              <w:t>☑</w:t>
            </w:r>
            <w:r>
              <w:rPr>
                <w:rFonts w:ascii="Times New Roman" w:hAnsi="Times New Roman" w:eastAsia="新宋体"/>
                <w:color w:val="auto"/>
                <w:sz w:val="18"/>
                <w:szCs w:val="18"/>
                <w:highlight w:val="none"/>
              </w:rPr>
              <w:t xml:space="preserve">  固定位置监测□</w:t>
            </w:r>
          </w:p>
        </w:tc>
        <w:tc>
          <w:tcPr>
            <w:tcW w:w="0" w:type="auto"/>
            <w:gridSpan w:val="4"/>
            <w:noWrap w:val="0"/>
            <w:vAlign w:val="center"/>
          </w:tcPr>
          <w:p w14:paraId="0092E6F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自动监测□ 手动监测</w:t>
            </w:r>
            <w:r>
              <w:rPr>
                <w:rFonts w:hint="eastAsia" w:ascii="MS Mincho" w:hAnsi="MS Mincho" w:eastAsia="MS Mincho" w:cs="MS Mincho"/>
                <w:color w:val="auto"/>
                <w:sz w:val="18"/>
                <w:szCs w:val="18"/>
                <w:highlight w:val="none"/>
                <w:lang w:eastAsia="en-US"/>
              </w:rPr>
              <w:t>☑</w:t>
            </w:r>
          </w:p>
        </w:tc>
        <w:tc>
          <w:tcPr>
            <w:tcW w:w="0" w:type="auto"/>
            <w:noWrap w:val="0"/>
            <w:vAlign w:val="center"/>
          </w:tcPr>
          <w:p w14:paraId="04728B6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无监测□</w:t>
            </w:r>
          </w:p>
        </w:tc>
      </w:tr>
      <w:tr w14:paraId="0E8C3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 w:hRule="atLeast"/>
          <w:jc w:val="center"/>
        </w:trPr>
        <w:tc>
          <w:tcPr>
            <w:tcW w:w="0" w:type="auto"/>
            <w:vMerge w:val="continue"/>
            <w:noWrap w:val="0"/>
            <w:vAlign w:val="center"/>
          </w:tcPr>
          <w:p w14:paraId="6C5D47D4">
            <w:pPr>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5DC9025E">
            <w:pPr>
              <w:pStyle w:val="45"/>
              <w:spacing w:before="31"/>
              <w:ind w:left="169" w:right="148"/>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声环境保护目标处噪声监测</w:t>
            </w:r>
          </w:p>
        </w:tc>
        <w:tc>
          <w:tcPr>
            <w:tcW w:w="0" w:type="auto"/>
            <w:gridSpan w:val="5"/>
            <w:noWrap w:val="0"/>
            <w:vAlign w:val="center"/>
          </w:tcPr>
          <w:p w14:paraId="090AA70F">
            <w:pPr>
              <w:pStyle w:val="45"/>
              <w:tabs>
                <w:tab w:val="left" w:pos="2252"/>
              </w:tabs>
              <w:spacing w:before="146"/>
              <w:ind w:left="810"/>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监测因子：（噪声）</w:t>
            </w:r>
          </w:p>
        </w:tc>
        <w:tc>
          <w:tcPr>
            <w:tcW w:w="0" w:type="auto"/>
            <w:gridSpan w:val="4"/>
            <w:noWrap w:val="0"/>
            <w:vAlign w:val="center"/>
          </w:tcPr>
          <w:p w14:paraId="434736EE">
            <w:pPr>
              <w:pStyle w:val="45"/>
              <w:tabs>
                <w:tab w:val="left" w:pos="1735"/>
              </w:tabs>
              <w:spacing w:before="146"/>
              <w:ind w:left="201"/>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监测点位数（</w:t>
            </w:r>
            <w:r>
              <w:rPr>
                <w:rFonts w:hint="eastAsia" w:eastAsia="新宋体"/>
                <w:color w:val="auto"/>
                <w:kern w:val="2"/>
                <w:sz w:val="18"/>
                <w:szCs w:val="18"/>
                <w:highlight w:val="none"/>
                <w:lang w:eastAsia="zh-CN"/>
              </w:rPr>
              <w:t>4</w:t>
            </w:r>
            <w:r>
              <w:rPr>
                <w:rFonts w:eastAsia="新宋体"/>
                <w:color w:val="auto"/>
                <w:kern w:val="2"/>
                <w:sz w:val="18"/>
                <w:szCs w:val="18"/>
                <w:highlight w:val="none"/>
                <w:lang w:eastAsia="zh-CN"/>
              </w:rPr>
              <w:t>）</w:t>
            </w:r>
          </w:p>
        </w:tc>
        <w:tc>
          <w:tcPr>
            <w:tcW w:w="0" w:type="auto"/>
            <w:noWrap w:val="0"/>
            <w:vAlign w:val="center"/>
          </w:tcPr>
          <w:p w14:paraId="177F6026">
            <w:pPr>
              <w:pStyle w:val="45"/>
              <w:spacing w:before="146"/>
              <w:ind w:left="53" w:right="78"/>
              <w:jc w:val="center"/>
              <w:rPr>
                <w:rFonts w:eastAsia="新宋体"/>
                <w:color w:val="auto"/>
                <w:kern w:val="2"/>
                <w:sz w:val="18"/>
                <w:szCs w:val="18"/>
                <w:highlight w:val="none"/>
                <w:lang w:eastAsia="zh-CN"/>
              </w:rPr>
            </w:pPr>
            <w:r>
              <w:rPr>
                <w:rFonts w:eastAsia="新宋体"/>
                <w:color w:val="auto"/>
                <w:kern w:val="2"/>
                <w:sz w:val="18"/>
                <w:szCs w:val="18"/>
                <w:highlight w:val="none"/>
                <w:lang w:eastAsia="zh-CN"/>
              </w:rPr>
              <w:t>无监测□</w:t>
            </w:r>
          </w:p>
        </w:tc>
      </w:tr>
      <w:tr w14:paraId="06B90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0" w:type="auto"/>
            <w:noWrap w:val="0"/>
            <w:vAlign w:val="center"/>
          </w:tcPr>
          <w:p w14:paraId="3FBA8DF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评价结论</w:t>
            </w:r>
          </w:p>
        </w:tc>
        <w:tc>
          <w:tcPr>
            <w:tcW w:w="0" w:type="auto"/>
            <w:noWrap w:val="0"/>
            <w:vAlign w:val="center"/>
          </w:tcPr>
          <w:p w14:paraId="6CE24AE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环境影响</w:t>
            </w:r>
          </w:p>
        </w:tc>
        <w:tc>
          <w:tcPr>
            <w:tcW w:w="0" w:type="auto"/>
            <w:gridSpan w:val="10"/>
            <w:noWrap w:val="0"/>
            <w:vAlign w:val="center"/>
          </w:tcPr>
          <w:p w14:paraId="65E4780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可行</w:t>
            </w:r>
            <w:r>
              <w:rPr>
                <w:rFonts w:hint="eastAsia" w:ascii="MS Mincho" w:hAnsi="MS Mincho" w:eastAsia="MS Mincho" w:cs="MS Mincho"/>
                <w:color w:val="auto"/>
                <w:sz w:val="18"/>
                <w:szCs w:val="18"/>
                <w:highlight w:val="none"/>
                <w:lang w:eastAsia="en-US"/>
              </w:rPr>
              <w:t>☑</w:t>
            </w:r>
            <w:r>
              <w:rPr>
                <w:rFonts w:ascii="Times New Roman" w:hAnsi="Times New Roman"/>
                <w:color w:val="auto"/>
                <w:sz w:val="18"/>
                <w:szCs w:val="18"/>
                <w:highlight w:val="none"/>
                <w:lang w:eastAsia="en-US"/>
              </w:rPr>
              <w:t xml:space="preserve">  </w:t>
            </w:r>
            <w:r>
              <w:rPr>
                <w:rFonts w:ascii="Times New Roman" w:hAnsi="Times New Roman" w:eastAsia="新宋体"/>
                <w:color w:val="auto"/>
                <w:sz w:val="18"/>
                <w:szCs w:val="18"/>
                <w:highlight w:val="none"/>
                <w:lang w:eastAsia="en-US"/>
              </w:rPr>
              <w:t>不可行□</w:t>
            </w:r>
          </w:p>
        </w:tc>
      </w:tr>
      <w:tr w14:paraId="70A007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0" w:type="auto"/>
            <w:gridSpan w:val="12"/>
            <w:noWrap w:val="0"/>
            <w:vAlign w:val="center"/>
          </w:tcPr>
          <w:p w14:paraId="42A215C3">
            <w:pPr>
              <w:autoSpaceDE w:val="0"/>
              <w:autoSpaceDN w:val="0"/>
              <w:spacing w:line="240" w:lineRule="auto"/>
              <w:ind w:firstLine="0" w:firstLineChars="0"/>
              <w:jc w:val="center"/>
              <w:rPr>
                <w:rFonts w:ascii="Times New Roman" w:hAnsi="Times New Roman" w:eastAsia="新宋体"/>
                <w:color w:val="auto"/>
                <w:sz w:val="18"/>
                <w:szCs w:val="18"/>
                <w:highlight w:val="none"/>
              </w:rPr>
            </w:pPr>
            <w:r>
              <w:rPr>
                <w:rFonts w:ascii="Times New Roman" w:hAnsi="Times New Roman" w:eastAsia="新宋体"/>
                <w:color w:val="auto"/>
                <w:sz w:val="18"/>
                <w:szCs w:val="18"/>
                <w:highlight w:val="none"/>
              </w:rPr>
              <w:t>注“□”为勾选项 ，可√；“（  ）”为内容填写项。</w:t>
            </w:r>
          </w:p>
        </w:tc>
      </w:tr>
    </w:tbl>
    <w:p w14:paraId="43AB9B61">
      <w:pPr>
        <w:pStyle w:val="4"/>
        <w:spacing w:before="0" w:after="0" w:line="240" w:lineRule="auto"/>
        <w:jc w:val="center"/>
        <w:rPr>
          <w:rFonts w:hint="eastAsia" w:ascii="Times New Roman" w:hAnsi="Times New Roman"/>
          <w:b w:val="0"/>
          <w:color w:val="auto"/>
          <w:highlight w:val="none"/>
        </w:rPr>
      </w:pPr>
      <w:r>
        <w:rPr>
          <w:rFonts w:ascii="Times New Roman" w:hAnsi="Times New Roman"/>
          <w:b w:val="0"/>
          <w:color w:val="auto"/>
          <w:highlight w:val="none"/>
        </w:rPr>
        <w:br w:type="page"/>
      </w:r>
      <w:bookmarkStart w:id="219" w:name="_Toc6777"/>
      <w:bookmarkStart w:id="220" w:name="_Toc5753"/>
      <w:r>
        <w:rPr>
          <w:rFonts w:hint="eastAsia"/>
          <w:color w:val="auto"/>
          <w:highlight w:val="none"/>
        </w:rPr>
        <w:t>建设项目地表水环境自查表</w:t>
      </w:r>
      <w:bookmarkEnd w:id="219"/>
      <w:bookmarkEnd w:id="220"/>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
        <w:gridCol w:w="1046"/>
        <w:gridCol w:w="2262"/>
        <w:gridCol w:w="392"/>
        <w:gridCol w:w="356"/>
        <w:gridCol w:w="1263"/>
        <w:gridCol w:w="289"/>
        <w:gridCol w:w="289"/>
        <w:gridCol w:w="289"/>
        <w:gridCol w:w="1891"/>
      </w:tblGrid>
      <w:tr w14:paraId="1AA56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0" w:type="auto"/>
            <w:gridSpan w:val="2"/>
            <w:noWrap w:val="0"/>
            <w:vAlign w:val="center"/>
          </w:tcPr>
          <w:p w14:paraId="5C5270A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工作内容</w:t>
            </w:r>
          </w:p>
        </w:tc>
        <w:tc>
          <w:tcPr>
            <w:tcW w:w="0" w:type="auto"/>
            <w:gridSpan w:val="8"/>
            <w:noWrap w:val="0"/>
            <w:vAlign w:val="center"/>
          </w:tcPr>
          <w:p w14:paraId="70BE4A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自查项目</w:t>
            </w:r>
          </w:p>
        </w:tc>
      </w:tr>
      <w:tr w14:paraId="4DF2D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noWrap w:val="0"/>
            <w:vAlign w:val="center"/>
          </w:tcPr>
          <w:p w14:paraId="1872E96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影响识别</w:t>
            </w:r>
          </w:p>
        </w:tc>
        <w:tc>
          <w:tcPr>
            <w:tcW w:w="0" w:type="auto"/>
            <w:noWrap w:val="0"/>
            <w:vAlign w:val="center"/>
          </w:tcPr>
          <w:p w14:paraId="1B7AB10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影响类型</w:t>
            </w:r>
          </w:p>
        </w:tc>
        <w:tc>
          <w:tcPr>
            <w:tcW w:w="0" w:type="auto"/>
            <w:gridSpan w:val="8"/>
            <w:noWrap w:val="0"/>
            <w:vAlign w:val="center"/>
          </w:tcPr>
          <w:p w14:paraId="4988F8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水污染影响型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；水文要素影响型</w:t>
            </w:r>
            <w:r>
              <w:rPr>
                <w:rFonts w:hint="eastAsia" w:ascii="Times New Roman" w:hAnsi="Times New Roman" w:eastAsia="新宋体"/>
                <w:color w:val="auto"/>
                <w:sz w:val="18"/>
                <w:szCs w:val="18"/>
                <w:highlight w:val="none"/>
                <w:lang w:eastAsia="en-US"/>
              </w:rPr>
              <w:t>□</w:t>
            </w:r>
          </w:p>
        </w:tc>
      </w:tr>
      <w:tr w14:paraId="50DF6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14:paraId="4DB0229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785444C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水环境保护目标</w:t>
            </w:r>
          </w:p>
        </w:tc>
        <w:tc>
          <w:tcPr>
            <w:tcW w:w="0" w:type="auto"/>
            <w:gridSpan w:val="8"/>
            <w:noWrap w:val="0"/>
            <w:vAlign w:val="center"/>
          </w:tcPr>
          <w:p w14:paraId="013FCED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饮用水水源保护区</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；饮用水取水口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；涉水的自然保护区</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；重要湿地</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p>
          <w:p w14:paraId="52576AA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重点保护与珍稀水生生物的栖息地</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；重要水生生物的自然产卵场及索饵场、越冬场和洄游通道、天然渔场等渔业水体</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；涉水的风景名胜区</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5F31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0" w:type="auto"/>
            <w:vMerge w:val="continue"/>
            <w:noWrap w:val="0"/>
            <w:vAlign w:val="center"/>
          </w:tcPr>
          <w:p w14:paraId="22C278D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0C8033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影响途径</w:t>
            </w:r>
          </w:p>
        </w:tc>
        <w:tc>
          <w:tcPr>
            <w:tcW w:w="0" w:type="auto"/>
            <w:gridSpan w:val="3"/>
            <w:noWrap w:val="0"/>
            <w:vAlign w:val="center"/>
          </w:tcPr>
          <w:p w14:paraId="1EC4140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水污染影响型</w:t>
            </w:r>
          </w:p>
        </w:tc>
        <w:tc>
          <w:tcPr>
            <w:tcW w:w="0" w:type="auto"/>
            <w:gridSpan w:val="5"/>
            <w:noWrap w:val="0"/>
            <w:vAlign w:val="center"/>
          </w:tcPr>
          <w:p w14:paraId="3D15CC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水文要素影响型</w:t>
            </w:r>
          </w:p>
        </w:tc>
      </w:tr>
      <w:tr w14:paraId="2C40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0" w:type="auto"/>
            <w:vMerge w:val="continue"/>
            <w:noWrap w:val="0"/>
            <w:vAlign w:val="center"/>
          </w:tcPr>
          <w:p w14:paraId="7BF46F7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5125E01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7FD3065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直接排放</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；间接排放</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56E3242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水温</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；径流</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；水域面积</w:t>
            </w:r>
            <w:r>
              <w:rPr>
                <w:rFonts w:hint="eastAsia" w:ascii="Times New Roman" w:hAnsi="Times New Roman" w:eastAsia="新宋体"/>
                <w:color w:val="auto"/>
                <w:sz w:val="18"/>
                <w:szCs w:val="18"/>
                <w:highlight w:val="none"/>
                <w:lang w:eastAsia="en-US"/>
              </w:rPr>
              <w:t>□</w:t>
            </w:r>
          </w:p>
        </w:tc>
      </w:tr>
      <w:tr w14:paraId="01B90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14:paraId="45F8E05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0C2B7F4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影响因子</w:t>
            </w:r>
          </w:p>
        </w:tc>
        <w:tc>
          <w:tcPr>
            <w:tcW w:w="0" w:type="auto"/>
            <w:gridSpan w:val="3"/>
            <w:noWrap w:val="0"/>
            <w:vAlign w:val="center"/>
          </w:tcPr>
          <w:p w14:paraId="74266DF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持久性污染物</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；有毒有害污染物</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；非持久性污染物</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；pH值</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；热污染</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；富营养化</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7345EF4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水温</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；水位（水深）</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；流速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；流量</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39BC6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0" w:type="auto"/>
            <w:gridSpan w:val="2"/>
            <w:vMerge w:val="restart"/>
            <w:noWrap w:val="0"/>
            <w:vAlign w:val="center"/>
          </w:tcPr>
          <w:p w14:paraId="60F54E5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评价等级</w:t>
            </w:r>
          </w:p>
        </w:tc>
        <w:tc>
          <w:tcPr>
            <w:tcW w:w="0" w:type="auto"/>
            <w:gridSpan w:val="3"/>
            <w:noWrap w:val="0"/>
            <w:vAlign w:val="center"/>
          </w:tcPr>
          <w:p w14:paraId="797319F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水污染影响型</w:t>
            </w:r>
          </w:p>
        </w:tc>
        <w:tc>
          <w:tcPr>
            <w:tcW w:w="0" w:type="auto"/>
            <w:gridSpan w:val="5"/>
            <w:noWrap w:val="0"/>
            <w:vAlign w:val="center"/>
          </w:tcPr>
          <w:p w14:paraId="5CB9C01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水文要素影响型</w:t>
            </w:r>
          </w:p>
        </w:tc>
      </w:tr>
      <w:tr w14:paraId="34E8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0" w:type="auto"/>
            <w:gridSpan w:val="2"/>
            <w:vMerge w:val="continue"/>
            <w:noWrap w:val="0"/>
            <w:vAlign w:val="center"/>
          </w:tcPr>
          <w:p w14:paraId="17C6EE8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2425C59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一级</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；二级</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；三级A</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；三级B</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2634E50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一级</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；二级</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；三级</w:t>
            </w:r>
            <w:r>
              <w:rPr>
                <w:rFonts w:hint="eastAsia" w:ascii="Times New Roman" w:hAnsi="Times New Roman" w:eastAsia="新宋体"/>
                <w:color w:val="auto"/>
                <w:sz w:val="18"/>
                <w:szCs w:val="18"/>
                <w:highlight w:val="none"/>
                <w:lang w:eastAsia="en-US"/>
              </w:rPr>
              <w:t>□</w:t>
            </w:r>
          </w:p>
        </w:tc>
      </w:tr>
      <w:tr w14:paraId="282D7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0" w:type="auto"/>
            <w:vMerge w:val="restart"/>
            <w:noWrap w:val="0"/>
            <w:vAlign w:val="center"/>
          </w:tcPr>
          <w:p w14:paraId="571A7F6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现状调查</w:t>
            </w:r>
          </w:p>
        </w:tc>
        <w:tc>
          <w:tcPr>
            <w:tcW w:w="0" w:type="auto"/>
            <w:vMerge w:val="restart"/>
            <w:noWrap w:val="0"/>
            <w:vAlign w:val="center"/>
          </w:tcPr>
          <w:p w14:paraId="72906D1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区域污染源</w:t>
            </w:r>
          </w:p>
        </w:tc>
        <w:tc>
          <w:tcPr>
            <w:tcW w:w="0" w:type="auto"/>
            <w:gridSpan w:val="3"/>
            <w:noWrap w:val="0"/>
            <w:vAlign w:val="center"/>
          </w:tcPr>
          <w:p w14:paraId="2014B28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调查项目</w:t>
            </w:r>
          </w:p>
        </w:tc>
        <w:tc>
          <w:tcPr>
            <w:tcW w:w="0" w:type="auto"/>
            <w:gridSpan w:val="5"/>
            <w:noWrap w:val="0"/>
            <w:vAlign w:val="center"/>
          </w:tcPr>
          <w:p w14:paraId="4499022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数据来源</w:t>
            </w:r>
          </w:p>
        </w:tc>
      </w:tr>
      <w:tr w14:paraId="52CB8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0" w:type="auto"/>
            <w:vMerge w:val="continue"/>
            <w:noWrap w:val="0"/>
            <w:vAlign w:val="center"/>
          </w:tcPr>
          <w:p w14:paraId="715B71A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2BD30F9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503EBC0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已建</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；在建</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；拟建</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51FEECB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排污许可证</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；环评</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；环保验收</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；既有实测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；现场监测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；入河排放口数据</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2B3D8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0" w:type="auto"/>
            <w:vMerge w:val="continue"/>
            <w:noWrap w:val="0"/>
            <w:vAlign w:val="center"/>
          </w:tcPr>
          <w:p w14:paraId="6FABC65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5ED7306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受影响水体环境质量</w:t>
            </w:r>
          </w:p>
        </w:tc>
        <w:tc>
          <w:tcPr>
            <w:tcW w:w="0" w:type="auto"/>
            <w:gridSpan w:val="3"/>
            <w:noWrap w:val="0"/>
            <w:vAlign w:val="center"/>
          </w:tcPr>
          <w:p w14:paraId="6D11450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调查时期</w:t>
            </w:r>
          </w:p>
        </w:tc>
        <w:tc>
          <w:tcPr>
            <w:tcW w:w="0" w:type="auto"/>
            <w:gridSpan w:val="5"/>
            <w:noWrap w:val="0"/>
            <w:vAlign w:val="center"/>
          </w:tcPr>
          <w:p w14:paraId="0AF9866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数据来源</w:t>
            </w:r>
          </w:p>
        </w:tc>
      </w:tr>
      <w:tr w14:paraId="6D871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0" w:type="auto"/>
            <w:vMerge w:val="continue"/>
            <w:noWrap w:val="0"/>
            <w:vAlign w:val="center"/>
          </w:tcPr>
          <w:p w14:paraId="521A635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6CA2DCD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28E48F8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丰水期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；平水期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；枯水期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；冰封期</w:t>
            </w:r>
            <w:r>
              <w:rPr>
                <w:rFonts w:hint="eastAsia" w:ascii="Times New Roman" w:hAnsi="Times New Roman" w:eastAsia="新宋体"/>
                <w:color w:val="auto"/>
                <w:sz w:val="18"/>
                <w:szCs w:val="18"/>
                <w:highlight w:val="none"/>
                <w:lang w:eastAsia="en-US"/>
              </w:rPr>
              <w:t>□</w:t>
            </w:r>
          </w:p>
          <w:p w14:paraId="4A62091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春季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；夏季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；秋季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；冬季</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6CF3276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生态环境保护主管部门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；补充监测</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2DE0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noWrap w:val="0"/>
            <w:vAlign w:val="center"/>
          </w:tcPr>
          <w:p w14:paraId="1127C43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3016275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区域水资源开发利用情况</w:t>
            </w:r>
          </w:p>
        </w:tc>
        <w:tc>
          <w:tcPr>
            <w:tcW w:w="0" w:type="auto"/>
            <w:gridSpan w:val="8"/>
            <w:noWrap w:val="0"/>
            <w:vAlign w:val="center"/>
          </w:tcPr>
          <w:p w14:paraId="35443EA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未开发</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；开发量40%以下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；开发量40%以上</w:t>
            </w:r>
            <w:r>
              <w:rPr>
                <w:rFonts w:hint="eastAsia" w:ascii="Times New Roman" w:hAnsi="Times New Roman" w:eastAsia="新宋体"/>
                <w:color w:val="auto"/>
                <w:sz w:val="18"/>
                <w:szCs w:val="18"/>
                <w:highlight w:val="none"/>
                <w:lang w:eastAsia="en-US"/>
              </w:rPr>
              <w:t>□</w:t>
            </w:r>
          </w:p>
        </w:tc>
      </w:tr>
      <w:tr w14:paraId="4D5C2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0" w:type="auto"/>
            <w:vMerge w:val="continue"/>
            <w:noWrap w:val="0"/>
            <w:vAlign w:val="center"/>
          </w:tcPr>
          <w:p w14:paraId="48F90D5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772A4F3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水文情势调查</w:t>
            </w:r>
          </w:p>
        </w:tc>
        <w:tc>
          <w:tcPr>
            <w:tcW w:w="0" w:type="auto"/>
            <w:gridSpan w:val="3"/>
            <w:noWrap w:val="0"/>
            <w:vAlign w:val="center"/>
          </w:tcPr>
          <w:p w14:paraId="01D5EF4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调查时期</w:t>
            </w:r>
          </w:p>
        </w:tc>
        <w:tc>
          <w:tcPr>
            <w:tcW w:w="0" w:type="auto"/>
            <w:gridSpan w:val="5"/>
            <w:noWrap w:val="0"/>
            <w:vAlign w:val="center"/>
          </w:tcPr>
          <w:p w14:paraId="3B6EF85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数据来源</w:t>
            </w:r>
          </w:p>
        </w:tc>
      </w:tr>
      <w:tr w14:paraId="243E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0" w:type="auto"/>
            <w:vMerge w:val="continue"/>
            <w:noWrap w:val="0"/>
            <w:vAlign w:val="center"/>
          </w:tcPr>
          <w:p w14:paraId="78A3479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12455A8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6570A17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丰水期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；平水期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；枯水期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；冰封期</w:t>
            </w:r>
            <w:r>
              <w:rPr>
                <w:rFonts w:hint="eastAsia" w:ascii="Times New Roman" w:hAnsi="Times New Roman" w:eastAsia="新宋体"/>
                <w:color w:val="auto"/>
                <w:sz w:val="18"/>
                <w:szCs w:val="18"/>
                <w:highlight w:val="none"/>
                <w:lang w:eastAsia="en-US"/>
              </w:rPr>
              <w:t>□</w:t>
            </w:r>
          </w:p>
          <w:p w14:paraId="0B2BF26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春季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；夏季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；秋季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；冬季</w:t>
            </w:r>
            <w:r>
              <w:rPr>
                <w:rFonts w:hint="eastAsia" w:ascii="Times New Roman" w:hAnsi="Times New Roman" w:eastAsia="新宋体"/>
                <w:color w:val="auto"/>
                <w:sz w:val="18"/>
                <w:szCs w:val="18"/>
                <w:highlight w:val="none"/>
                <w:lang w:eastAsia="en-US"/>
              </w:rPr>
              <w:t>□</w:t>
            </w:r>
          </w:p>
        </w:tc>
        <w:tc>
          <w:tcPr>
            <w:tcW w:w="0" w:type="auto"/>
            <w:gridSpan w:val="5"/>
            <w:noWrap w:val="0"/>
            <w:vAlign w:val="center"/>
          </w:tcPr>
          <w:p w14:paraId="522EB3C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水行政主管部门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；补充监测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10CA1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0" w:type="auto"/>
            <w:vMerge w:val="continue"/>
            <w:noWrap w:val="0"/>
            <w:vAlign w:val="center"/>
          </w:tcPr>
          <w:p w14:paraId="3F4759E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30D525F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补充监测</w:t>
            </w:r>
          </w:p>
        </w:tc>
        <w:tc>
          <w:tcPr>
            <w:tcW w:w="0" w:type="auto"/>
            <w:gridSpan w:val="3"/>
            <w:noWrap w:val="0"/>
            <w:vAlign w:val="center"/>
          </w:tcPr>
          <w:p w14:paraId="4F9A431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监测时期</w:t>
            </w:r>
          </w:p>
        </w:tc>
        <w:tc>
          <w:tcPr>
            <w:tcW w:w="0" w:type="auto"/>
            <w:gridSpan w:val="4"/>
            <w:noWrap w:val="0"/>
            <w:vAlign w:val="center"/>
          </w:tcPr>
          <w:p w14:paraId="3FC1B2E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监测因子</w:t>
            </w:r>
          </w:p>
        </w:tc>
        <w:tc>
          <w:tcPr>
            <w:tcW w:w="0" w:type="auto"/>
            <w:noWrap w:val="0"/>
            <w:vAlign w:val="center"/>
          </w:tcPr>
          <w:p w14:paraId="15E099F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监测断面或点位</w:t>
            </w:r>
          </w:p>
        </w:tc>
      </w:tr>
      <w:tr w14:paraId="687D5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0" w:type="auto"/>
            <w:vMerge w:val="continue"/>
            <w:noWrap w:val="0"/>
            <w:vAlign w:val="center"/>
          </w:tcPr>
          <w:p w14:paraId="24FF501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0A76E8F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3"/>
            <w:noWrap w:val="0"/>
            <w:vAlign w:val="center"/>
          </w:tcPr>
          <w:p w14:paraId="1189F6C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丰水期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；平水期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；枯水期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；冰封期</w:t>
            </w:r>
            <w:r>
              <w:rPr>
                <w:rFonts w:hint="eastAsia" w:ascii="Times New Roman" w:hAnsi="Times New Roman" w:eastAsia="新宋体"/>
                <w:color w:val="auto"/>
                <w:sz w:val="18"/>
                <w:szCs w:val="18"/>
                <w:highlight w:val="none"/>
                <w:lang w:eastAsia="en-US"/>
              </w:rPr>
              <w:t>□</w:t>
            </w:r>
          </w:p>
          <w:p w14:paraId="4FBB21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春季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；夏季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；秋季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；冬季</w:t>
            </w:r>
            <w:r>
              <w:rPr>
                <w:rFonts w:hint="eastAsia" w:ascii="Times New Roman" w:hAnsi="Times New Roman" w:eastAsia="新宋体"/>
                <w:color w:val="auto"/>
                <w:sz w:val="18"/>
                <w:szCs w:val="18"/>
                <w:highlight w:val="none"/>
                <w:lang w:eastAsia="en-US"/>
              </w:rPr>
              <w:t>□</w:t>
            </w:r>
          </w:p>
        </w:tc>
        <w:tc>
          <w:tcPr>
            <w:tcW w:w="0" w:type="auto"/>
            <w:gridSpan w:val="4"/>
            <w:noWrap w:val="0"/>
            <w:vAlign w:val="center"/>
          </w:tcPr>
          <w:p w14:paraId="43F888F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noWrap w:val="0"/>
            <w:vAlign w:val="center"/>
          </w:tcPr>
          <w:p w14:paraId="697A479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监测断面或点位（）个</w:t>
            </w:r>
          </w:p>
        </w:tc>
      </w:tr>
      <w:tr w14:paraId="07468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0" w:type="auto"/>
            <w:vMerge w:val="restart"/>
            <w:noWrap w:val="0"/>
            <w:vAlign w:val="center"/>
          </w:tcPr>
          <w:p w14:paraId="2194B03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现状评价</w:t>
            </w:r>
          </w:p>
        </w:tc>
        <w:tc>
          <w:tcPr>
            <w:tcW w:w="0" w:type="auto"/>
            <w:noWrap w:val="0"/>
            <w:vAlign w:val="center"/>
          </w:tcPr>
          <w:p w14:paraId="3BD73E6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评价范围</w:t>
            </w:r>
          </w:p>
        </w:tc>
        <w:tc>
          <w:tcPr>
            <w:tcW w:w="0" w:type="auto"/>
            <w:gridSpan w:val="8"/>
            <w:noWrap w:val="0"/>
            <w:vAlign w:val="center"/>
          </w:tcPr>
          <w:p w14:paraId="04BB34D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河流：长度（ ）km；湖库、河口及近岸海域：面积（）km2</w:t>
            </w:r>
          </w:p>
        </w:tc>
      </w:tr>
      <w:tr w14:paraId="6636A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0" w:type="auto"/>
            <w:vMerge w:val="continue"/>
            <w:noWrap w:val="0"/>
            <w:vAlign w:val="center"/>
          </w:tcPr>
          <w:p w14:paraId="4FDEE8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518902F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评价因子</w:t>
            </w:r>
          </w:p>
        </w:tc>
        <w:tc>
          <w:tcPr>
            <w:tcW w:w="0" w:type="auto"/>
            <w:gridSpan w:val="8"/>
            <w:noWrap w:val="0"/>
            <w:vAlign w:val="center"/>
          </w:tcPr>
          <w:p w14:paraId="46A4386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（水温、</w:t>
            </w:r>
            <w:r>
              <w:rPr>
                <w:rFonts w:hint="eastAsia" w:ascii="Times New Roman" w:hAnsi="Times New Roman" w:eastAsia="新宋体"/>
                <w:color w:val="auto"/>
                <w:sz w:val="18"/>
                <w:szCs w:val="18"/>
                <w:highlight w:val="none"/>
                <w:lang w:eastAsia="en-US"/>
              </w:rPr>
              <w:t>pH</w:t>
            </w:r>
            <w:r>
              <w:rPr>
                <w:rFonts w:ascii="Times New Roman" w:hAnsi="Times New Roman" w:eastAsia="新宋体"/>
                <w:color w:val="auto"/>
                <w:sz w:val="18"/>
                <w:szCs w:val="18"/>
                <w:highlight w:val="none"/>
                <w:lang w:eastAsia="en-US"/>
              </w:rPr>
              <w:t>值、溶解氧、高锰酸盐指数、悬浮物、氨氮、五日生化需氧量、总磷）</w:t>
            </w:r>
          </w:p>
        </w:tc>
      </w:tr>
      <w:tr w14:paraId="2C153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0" w:type="auto"/>
            <w:vMerge w:val="continue"/>
            <w:noWrap w:val="0"/>
            <w:vAlign w:val="center"/>
          </w:tcPr>
          <w:p w14:paraId="6404FEF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269DD9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评价标准</w:t>
            </w:r>
          </w:p>
        </w:tc>
        <w:tc>
          <w:tcPr>
            <w:tcW w:w="0" w:type="auto"/>
            <w:gridSpan w:val="8"/>
            <w:noWrap w:val="0"/>
            <w:vAlign w:val="center"/>
          </w:tcPr>
          <w:p w14:paraId="47FC91D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河流、湖库、河口：</w:t>
            </w:r>
            <w:r>
              <w:rPr>
                <w:rFonts w:hint="eastAsia" w:ascii="Times New Roman" w:hAnsi="Times New Roman" w:eastAsia="新宋体"/>
                <w:color w:val="auto"/>
                <w:sz w:val="18"/>
                <w:szCs w:val="18"/>
                <w:highlight w:val="none"/>
                <w:lang w:eastAsia="en-US"/>
              </w:rPr>
              <w:t>Ⅰ</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Ⅱ</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Ⅲ</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Ⅳ</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Ⅴ</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p>
          <w:p w14:paraId="67E4C6A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近岸海域：第一类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；第二类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；第三类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；第四类</w:t>
            </w:r>
            <w:r>
              <w:rPr>
                <w:rFonts w:hint="eastAsia" w:ascii="Times New Roman" w:hAnsi="Times New Roman" w:eastAsia="新宋体"/>
                <w:color w:val="auto"/>
                <w:sz w:val="18"/>
                <w:szCs w:val="18"/>
                <w:highlight w:val="none"/>
                <w:lang w:eastAsia="en-US"/>
              </w:rPr>
              <w:t>□</w:t>
            </w:r>
          </w:p>
          <w:p w14:paraId="1A4A9BD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规划年评价标准（）</w:t>
            </w:r>
          </w:p>
        </w:tc>
      </w:tr>
      <w:tr w14:paraId="11B34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0" w:type="auto"/>
            <w:vMerge w:val="continue"/>
            <w:noWrap w:val="0"/>
            <w:vAlign w:val="center"/>
          </w:tcPr>
          <w:p w14:paraId="508D59E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0C7A51A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评价时期</w:t>
            </w:r>
          </w:p>
        </w:tc>
        <w:tc>
          <w:tcPr>
            <w:tcW w:w="0" w:type="auto"/>
            <w:gridSpan w:val="8"/>
            <w:noWrap w:val="0"/>
            <w:vAlign w:val="center"/>
          </w:tcPr>
          <w:p w14:paraId="59EBA9E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丰水期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；平水期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；枯水期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；冰封期</w:t>
            </w:r>
            <w:r>
              <w:rPr>
                <w:rFonts w:hint="eastAsia" w:ascii="Times New Roman" w:hAnsi="Times New Roman" w:eastAsia="新宋体"/>
                <w:color w:val="auto"/>
                <w:sz w:val="18"/>
                <w:szCs w:val="18"/>
                <w:highlight w:val="none"/>
                <w:lang w:eastAsia="en-US"/>
              </w:rPr>
              <w:t>□</w:t>
            </w:r>
          </w:p>
          <w:p w14:paraId="7973D5D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春季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；夏季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；秋季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；冬季</w:t>
            </w:r>
            <w:r>
              <w:rPr>
                <w:rFonts w:hint="eastAsia" w:ascii="Times New Roman" w:hAnsi="Times New Roman" w:eastAsia="新宋体"/>
                <w:color w:val="auto"/>
                <w:sz w:val="18"/>
                <w:szCs w:val="18"/>
                <w:highlight w:val="none"/>
                <w:lang w:eastAsia="en-US"/>
              </w:rPr>
              <w:t>□</w:t>
            </w:r>
          </w:p>
        </w:tc>
      </w:tr>
      <w:tr w14:paraId="1B0A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0" w:type="auto"/>
            <w:vMerge w:val="continue"/>
            <w:noWrap w:val="0"/>
            <w:vAlign w:val="center"/>
          </w:tcPr>
          <w:p w14:paraId="7F7C326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28ECD10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评价结论</w:t>
            </w:r>
          </w:p>
        </w:tc>
        <w:tc>
          <w:tcPr>
            <w:tcW w:w="0" w:type="auto"/>
            <w:gridSpan w:val="7"/>
            <w:noWrap w:val="0"/>
            <w:vAlign w:val="center"/>
          </w:tcPr>
          <w:p w14:paraId="49EBD20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水环境功能区或水功能区、近岸海域环境功能区水质达标状况</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：达标</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；不达标</w:t>
            </w:r>
            <w:r>
              <w:rPr>
                <w:rFonts w:hint="eastAsia" w:ascii="Times New Roman" w:hAnsi="Times New Roman" w:eastAsia="新宋体"/>
                <w:color w:val="auto"/>
                <w:sz w:val="18"/>
                <w:szCs w:val="18"/>
                <w:highlight w:val="none"/>
                <w:lang w:eastAsia="en-US"/>
              </w:rPr>
              <w:t>□</w:t>
            </w:r>
          </w:p>
          <w:p w14:paraId="470A058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水环境控制单元或断面水质达标情况：达标</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；不达标</w:t>
            </w:r>
            <w:r>
              <w:rPr>
                <w:rFonts w:hint="eastAsia" w:ascii="Times New Roman" w:hAnsi="Times New Roman" w:eastAsia="新宋体"/>
                <w:color w:val="auto"/>
                <w:sz w:val="18"/>
                <w:szCs w:val="18"/>
                <w:highlight w:val="none"/>
                <w:lang w:eastAsia="en-US"/>
              </w:rPr>
              <w:t>□</w:t>
            </w:r>
          </w:p>
          <w:p w14:paraId="0EA711A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对照断面、控制断面等代表性断面的水质状况：达标</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；不达标</w:t>
            </w:r>
            <w:r>
              <w:rPr>
                <w:rFonts w:hint="eastAsia" w:ascii="Times New Roman" w:hAnsi="Times New Roman" w:eastAsia="新宋体"/>
                <w:color w:val="auto"/>
                <w:sz w:val="18"/>
                <w:szCs w:val="18"/>
                <w:highlight w:val="none"/>
                <w:lang w:eastAsia="en-US"/>
              </w:rPr>
              <w:t>□</w:t>
            </w:r>
          </w:p>
          <w:p w14:paraId="6EE5E6A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水环境保护目标质量状况</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：达标</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；不达标</w:t>
            </w:r>
            <w:r>
              <w:rPr>
                <w:rFonts w:hint="eastAsia" w:ascii="Times New Roman" w:hAnsi="Times New Roman" w:eastAsia="新宋体"/>
                <w:color w:val="auto"/>
                <w:sz w:val="18"/>
                <w:szCs w:val="18"/>
                <w:highlight w:val="none"/>
                <w:lang w:eastAsia="en-US"/>
              </w:rPr>
              <w:t>□</w:t>
            </w:r>
          </w:p>
          <w:p w14:paraId="54759D4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底泥污染评价</w:t>
            </w:r>
            <w:r>
              <w:rPr>
                <w:rFonts w:hint="eastAsia" w:ascii="Times New Roman" w:hAnsi="Times New Roman" w:eastAsia="新宋体"/>
                <w:color w:val="auto"/>
                <w:sz w:val="18"/>
                <w:szCs w:val="18"/>
                <w:highlight w:val="none"/>
                <w:lang w:eastAsia="en-US"/>
              </w:rPr>
              <w:t>□</w:t>
            </w:r>
          </w:p>
          <w:p w14:paraId="22199C6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水资源与开发利用程度及其水文情势评价</w:t>
            </w:r>
            <w:r>
              <w:rPr>
                <w:rFonts w:hint="eastAsia" w:ascii="Times New Roman" w:hAnsi="Times New Roman" w:eastAsia="新宋体"/>
                <w:color w:val="auto"/>
                <w:sz w:val="18"/>
                <w:szCs w:val="18"/>
                <w:highlight w:val="none"/>
                <w:lang w:eastAsia="en-US"/>
              </w:rPr>
              <w:t>□</w:t>
            </w:r>
          </w:p>
          <w:p w14:paraId="48F27E8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水环境质量回顾评价</w:t>
            </w:r>
            <w:r>
              <w:rPr>
                <w:rFonts w:hint="eastAsia" w:ascii="Times New Roman" w:hAnsi="Times New Roman" w:eastAsia="新宋体"/>
                <w:color w:val="auto"/>
                <w:sz w:val="18"/>
                <w:szCs w:val="18"/>
                <w:highlight w:val="none"/>
                <w:lang w:eastAsia="en-US"/>
              </w:rPr>
              <w:t>□</w:t>
            </w:r>
          </w:p>
          <w:p w14:paraId="4DEC984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流域（区域）水资源（包括水能资源）与开发利用总体状况、生态流量管理要求与现状满足程度、建设项目占用水域空间的水流状况与河湖演变状况</w:t>
            </w:r>
            <w:r>
              <w:rPr>
                <w:rFonts w:hint="eastAsia" w:ascii="Times New Roman" w:hAnsi="Times New Roman" w:eastAsia="新宋体"/>
                <w:color w:val="auto"/>
                <w:sz w:val="18"/>
                <w:szCs w:val="18"/>
                <w:highlight w:val="none"/>
                <w:lang w:eastAsia="en-US"/>
              </w:rPr>
              <w:t>□</w:t>
            </w:r>
          </w:p>
        </w:tc>
        <w:tc>
          <w:tcPr>
            <w:tcW w:w="0" w:type="auto"/>
            <w:noWrap w:val="0"/>
            <w:vAlign w:val="center"/>
          </w:tcPr>
          <w:p w14:paraId="326001C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达标区</w:t>
            </w:r>
            <w:r>
              <w:rPr>
                <w:rFonts w:hint="eastAsia" w:ascii="Times New Roman" w:hAnsi="Times New Roman" w:eastAsia="新宋体"/>
                <w:color w:val="auto"/>
                <w:sz w:val="18"/>
                <w:szCs w:val="18"/>
                <w:highlight w:val="none"/>
                <w:lang w:eastAsia="en-US"/>
              </w:rPr>
              <w:t>☑</w:t>
            </w:r>
          </w:p>
          <w:p w14:paraId="093E9F3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不达标区</w:t>
            </w:r>
            <w:r>
              <w:rPr>
                <w:rFonts w:hint="eastAsia" w:ascii="Times New Roman" w:hAnsi="Times New Roman" w:eastAsia="新宋体"/>
                <w:color w:val="auto"/>
                <w:sz w:val="18"/>
                <w:szCs w:val="18"/>
                <w:highlight w:val="none"/>
                <w:lang w:eastAsia="en-US"/>
              </w:rPr>
              <w:t>□</w:t>
            </w:r>
          </w:p>
        </w:tc>
      </w:tr>
      <w:tr w14:paraId="15800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0" w:type="auto"/>
            <w:vMerge w:val="restart"/>
            <w:noWrap w:val="0"/>
            <w:vAlign w:val="center"/>
          </w:tcPr>
          <w:p w14:paraId="0E25891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影响预测</w:t>
            </w:r>
          </w:p>
        </w:tc>
        <w:tc>
          <w:tcPr>
            <w:tcW w:w="0" w:type="auto"/>
            <w:noWrap w:val="0"/>
            <w:vAlign w:val="center"/>
          </w:tcPr>
          <w:p w14:paraId="13CF723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预测范围</w:t>
            </w:r>
          </w:p>
        </w:tc>
        <w:tc>
          <w:tcPr>
            <w:tcW w:w="0" w:type="auto"/>
            <w:gridSpan w:val="8"/>
            <w:noWrap w:val="0"/>
            <w:vAlign w:val="center"/>
          </w:tcPr>
          <w:p w14:paraId="1A229C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河流：长度（）km；湖库、河口及近岸海域：面积（）km2</w:t>
            </w:r>
          </w:p>
        </w:tc>
      </w:tr>
      <w:tr w14:paraId="25AC3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continue"/>
            <w:noWrap w:val="0"/>
            <w:vAlign w:val="center"/>
          </w:tcPr>
          <w:p w14:paraId="10BB8CD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5E649A8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预测因子</w:t>
            </w:r>
          </w:p>
        </w:tc>
        <w:tc>
          <w:tcPr>
            <w:tcW w:w="0" w:type="auto"/>
            <w:gridSpan w:val="8"/>
            <w:noWrap w:val="0"/>
            <w:vAlign w:val="center"/>
          </w:tcPr>
          <w:p w14:paraId="56915F3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 xml:space="preserve">  </w:t>
            </w:r>
            <w:r>
              <w:rPr>
                <w:rFonts w:ascii="Times New Roman" w:hAnsi="Times New Roman" w:eastAsia="新宋体"/>
                <w:color w:val="auto"/>
                <w:sz w:val="18"/>
                <w:szCs w:val="18"/>
                <w:highlight w:val="none"/>
                <w:lang w:eastAsia="en-US"/>
              </w:rPr>
              <w:t>）</w:t>
            </w:r>
          </w:p>
        </w:tc>
      </w:tr>
      <w:tr w14:paraId="3907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Merge w:val="continue"/>
            <w:noWrap w:val="0"/>
            <w:vAlign w:val="center"/>
          </w:tcPr>
          <w:p w14:paraId="159762D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36C0BDA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预测时期</w:t>
            </w:r>
          </w:p>
        </w:tc>
        <w:tc>
          <w:tcPr>
            <w:tcW w:w="0" w:type="auto"/>
            <w:gridSpan w:val="8"/>
            <w:noWrap w:val="0"/>
            <w:vAlign w:val="center"/>
          </w:tcPr>
          <w:p w14:paraId="3693EAB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丰水期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；平水期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；枯水期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；冰封期</w:t>
            </w:r>
            <w:r>
              <w:rPr>
                <w:rFonts w:hint="eastAsia" w:ascii="Times New Roman" w:hAnsi="Times New Roman" w:eastAsia="新宋体"/>
                <w:color w:val="auto"/>
                <w:sz w:val="18"/>
                <w:szCs w:val="18"/>
                <w:highlight w:val="none"/>
                <w:lang w:eastAsia="en-US"/>
              </w:rPr>
              <w:t>□</w:t>
            </w:r>
          </w:p>
          <w:p w14:paraId="59CCB2A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春季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；夏季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；秋季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；冬季</w:t>
            </w:r>
            <w:r>
              <w:rPr>
                <w:rFonts w:hint="eastAsia" w:ascii="Times New Roman" w:hAnsi="Times New Roman" w:eastAsia="新宋体"/>
                <w:color w:val="auto"/>
                <w:sz w:val="18"/>
                <w:szCs w:val="18"/>
                <w:highlight w:val="none"/>
                <w:lang w:eastAsia="en-US"/>
              </w:rPr>
              <w:t>□</w:t>
            </w:r>
          </w:p>
          <w:p w14:paraId="0576C3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设计水文条件</w:t>
            </w:r>
            <w:r>
              <w:rPr>
                <w:rFonts w:hint="eastAsia" w:ascii="Times New Roman" w:hAnsi="Times New Roman" w:eastAsia="新宋体"/>
                <w:color w:val="auto"/>
                <w:sz w:val="18"/>
                <w:szCs w:val="18"/>
                <w:highlight w:val="none"/>
                <w:lang w:eastAsia="en-US"/>
              </w:rPr>
              <w:t>□</w:t>
            </w:r>
          </w:p>
        </w:tc>
      </w:tr>
      <w:tr w14:paraId="24057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trPr>
        <w:tc>
          <w:tcPr>
            <w:tcW w:w="0" w:type="auto"/>
            <w:vMerge w:val="continue"/>
            <w:noWrap w:val="0"/>
            <w:vAlign w:val="center"/>
          </w:tcPr>
          <w:p w14:paraId="0890D5E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10EA178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预测情景</w:t>
            </w:r>
          </w:p>
        </w:tc>
        <w:tc>
          <w:tcPr>
            <w:tcW w:w="0" w:type="auto"/>
            <w:gridSpan w:val="8"/>
            <w:noWrap w:val="0"/>
            <w:vAlign w:val="center"/>
          </w:tcPr>
          <w:p w14:paraId="5993668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建设期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；生产运行期</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；服务期满后</w:t>
            </w:r>
            <w:r>
              <w:rPr>
                <w:rFonts w:hint="eastAsia" w:ascii="Times New Roman" w:hAnsi="Times New Roman" w:eastAsia="新宋体"/>
                <w:color w:val="auto"/>
                <w:sz w:val="18"/>
                <w:szCs w:val="18"/>
                <w:highlight w:val="none"/>
                <w:lang w:eastAsia="en-US"/>
              </w:rPr>
              <w:t>□</w:t>
            </w:r>
          </w:p>
          <w:p w14:paraId="5837D4D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正常工况</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；非正常工况</w:t>
            </w:r>
            <w:r>
              <w:rPr>
                <w:rFonts w:hint="eastAsia" w:ascii="Times New Roman" w:hAnsi="Times New Roman" w:eastAsia="新宋体"/>
                <w:color w:val="auto"/>
                <w:sz w:val="18"/>
                <w:szCs w:val="18"/>
                <w:highlight w:val="none"/>
                <w:lang w:eastAsia="en-US"/>
              </w:rPr>
              <w:t>□</w:t>
            </w:r>
          </w:p>
          <w:p w14:paraId="799FED8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污染控制和减缓措施方案</w:t>
            </w:r>
            <w:r>
              <w:rPr>
                <w:rFonts w:hint="eastAsia" w:ascii="Times New Roman" w:hAnsi="Times New Roman" w:eastAsia="新宋体"/>
                <w:color w:val="auto"/>
                <w:sz w:val="18"/>
                <w:szCs w:val="18"/>
                <w:highlight w:val="none"/>
                <w:lang w:eastAsia="en-US"/>
              </w:rPr>
              <w:t>□</w:t>
            </w:r>
          </w:p>
          <w:p w14:paraId="7C339A8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区（流）域环境质量改善目标要求情景</w:t>
            </w:r>
            <w:r>
              <w:rPr>
                <w:rFonts w:hint="eastAsia" w:ascii="Times New Roman" w:hAnsi="Times New Roman" w:eastAsia="新宋体"/>
                <w:color w:val="auto"/>
                <w:sz w:val="18"/>
                <w:szCs w:val="18"/>
                <w:highlight w:val="none"/>
                <w:lang w:eastAsia="en-US"/>
              </w:rPr>
              <w:t>□</w:t>
            </w:r>
          </w:p>
        </w:tc>
      </w:tr>
      <w:tr w14:paraId="38288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0" w:type="auto"/>
            <w:vMerge w:val="continue"/>
            <w:noWrap w:val="0"/>
            <w:vAlign w:val="center"/>
          </w:tcPr>
          <w:p w14:paraId="6106D5E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20D4EC8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预测方法</w:t>
            </w:r>
          </w:p>
        </w:tc>
        <w:tc>
          <w:tcPr>
            <w:tcW w:w="0" w:type="auto"/>
            <w:gridSpan w:val="8"/>
            <w:noWrap w:val="0"/>
            <w:vAlign w:val="center"/>
          </w:tcPr>
          <w:p w14:paraId="6E079FC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数值解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；解析解</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p w14:paraId="4B6C1AD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导则推荐模式</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5DB4A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0" w:type="auto"/>
            <w:vMerge w:val="restart"/>
            <w:noWrap w:val="0"/>
            <w:vAlign w:val="center"/>
          </w:tcPr>
          <w:p w14:paraId="63F371A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影响评价</w:t>
            </w:r>
          </w:p>
        </w:tc>
        <w:tc>
          <w:tcPr>
            <w:tcW w:w="0" w:type="auto"/>
            <w:noWrap w:val="0"/>
            <w:vAlign w:val="center"/>
          </w:tcPr>
          <w:p w14:paraId="7D90EB8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水污染控制和水环境影响减缓措施有效性评价</w:t>
            </w:r>
          </w:p>
        </w:tc>
        <w:tc>
          <w:tcPr>
            <w:tcW w:w="0" w:type="auto"/>
            <w:gridSpan w:val="8"/>
            <w:noWrap w:val="0"/>
            <w:vAlign w:val="center"/>
          </w:tcPr>
          <w:p w14:paraId="2BE66F9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流域（区域）水环境质量改善目标</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；替代</w:t>
            </w:r>
            <w:r>
              <w:rPr>
                <w:rFonts w:hint="eastAsia" w:ascii="Times New Roman" w:hAnsi="Times New Roman" w:eastAsia="新宋体"/>
                <w:color w:val="auto"/>
                <w:sz w:val="18"/>
                <w:szCs w:val="18"/>
                <w:highlight w:val="none"/>
                <w:lang w:eastAsia="en-US"/>
              </w:rPr>
              <w:t>削减</w:t>
            </w:r>
            <w:r>
              <w:rPr>
                <w:rFonts w:ascii="Times New Roman" w:hAnsi="Times New Roman" w:eastAsia="新宋体"/>
                <w:color w:val="auto"/>
                <w:sz w:val="18"/>
                <w:szCs w:val="18"/>
                <w:highlight w:val="none"/>
                <w:lang w:eastAsia="en-US"/>
              </w:rPr>
              <w:t>源</w:t>
            </w:r>
            <w:r>
              <w:rPr>
                <w:rFonts w:hint="eastAsia" w:ascii="Times New Roman" w:hAnsi="Times New Roman" w:eastAsia="新宋体"/>
                <w:color w:val="auto"/>
                <w:sz w:val="18"/>
                <w:szCs w:val="18"/>
                <w:highlight w:val="none"/>
                <w:lang w:eastAsia="en-US"/>
              </w:rPr>
              <w:t>□</w:t>
            </w:r>
          </w:p>
        </w:tc>
      </w:tr>
      <w:tr w14:paraId="582D4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0" w:type="auto"/>
            <w:vMerge w:val="continue"/>
            <w:noWrap w:val="0"/>
            <w:vAlign w:val="center"/>
          </w:tcPr>
          <w:p w14:paraId="3523BFF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2098B97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水环境影响评价</w:t>
            </w:r>
          </w:p>
        </w:tc>
        <w:tc>
          <w:tcPr>
            <w:tcW w:w="0" w:type="auto"/>
            <w:gridSpan w:val="8"/>
            <w:noWrap w:val="0"/>
            <w:vAlign w:val="center"/>
          </w:tcPr>
          <w:p w14:paraId="74065F3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排放口混合区外满足水环境管理要求</w:t>
            </w:r>
            <w:r>
              <w:rPr>
                <w:rFonts w:hint="eastAsia" w:ascii="Times New Roman" w:hAnsi="Times New Roman" w:eastAsia="新宋体"/>
                <w:color w:val="auto"/>
                <w:sz w:val="18"/>
                <w:szCs w:val="18"/>
                <w:highlight w:val="none"/>
                <w:lang w:eastAsia="en-US"/>
              </w:rPr>
              <w:t>□</w:t>
            </w:r>
          </w:p>
          <w:p w14:paraId="1E03A1E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水环境功能区或水功能区、近岸海域环境功能区水质达标</w:t>
            </w:r>
            <w:r>
              <w:rPr>
                <w:rFonts w:hint="eastAsia" w:ascii="Times New Roman" w:hAnsi="Times New Roman" w:eastAsia="新宋体"/>
                <w:color w:val="auto"/>
                <w:sz w:val="18"/>
                <w:szCs w:val="18"/>
                <w:highlight w:val="none"/>
                <w:lang w:eastAsia="en-US"/>
              </w:rPr>
              <w:t>☑</w:t>
            </w:r>
          </w:p>
          <w:p w14:paraId="469B60A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满足水环境保护目标水域水环境质量要求</w:t>
            </w:r>
            <w:r>
              <w:rPr>
                <w:rFonts w:hint="eastAsia" w:ascii="Times New Roman" w:hAnsi="Times New Roman" w:eastAsia="新宋体"/>
                <w:color w:val="auto"/>
                <w:sz w:val="18"/>
                <w:szCs w:val="18"/>
                <w:highlight w:val="none"/>
                <w:lang w:eastAsia="en-US"/>
              </w:rPr>
              <w:t>☑</w:t>
            </w:r>
          </w:p>
          <w:p w14:paraId="5BBA44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水环境控制单元与断面水质达标</w:t>
            </w:r>
            <w:r>
              <w:rPr>
                <w:rFonts w:hint="eastAsia" w:ascii="Times New Roman" w:hAnsi="Times New Roman" w:eastAsia="新宋体"/>
                <w:color w:val="auto"/>
                <w:sz w:val="18"/>
                <w:szCs w:val="18"/>
                <w:highlight w:val="none"/>
                <w:lang w:eastAsia="en-US"/>
              </w:rPr>
              <w:t>□</w:t>
            </w:r>
          </w:p>
          <w:p w14:paraId="3D7D9F3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满足重点水污染物排放总量控制指标要求，重点行业建设项目；主要污染物排放满足等量或减量替代要求</w:t>
            </w:r>
            <w:r>
              <w:rPr>
                <w:rFonts w:hint="eastAsia" w:ascii="Times New Roman" w:hAnsi="Times New Roman" w:eastAsia="新宋体"/>
                <w:color w:val="auto"/>
                <w:sz w:val="18"/>
                <w:szCs w:val="18"/>
                <w:highlight w:val="none"/>
                <w:lang w:eastAsia="en-US"/>
              </w:rPr>
              <w:t>□</w:t>
            </w:r>
          </w:p>
          <w:p w14:paraId="62F3880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满足区（流）域水环境质量改善目标要求</w:t>
            </w:r>
            <w:r>
              <w:rPr>
                <w:rFonts w:hint="eastAsia" w:ascii="Times New Roman" w:hAnsi="Times New Roman" w:eastAsia="新宋体"/>
                <w:color w:val="auto"/>
                <w:sz w:val="18"/>
                <w:szCs w:val="18"/>
                <w:highlight w:val="none"/>
                <w:lang w:eastAsia="en-US"/>
              </w:rPr>
              <w:t>□</w:t>
            </w:r>
          </w:p>
          <w:p w14:paraId="58BDD14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水文要素影响型建设项目同时应包括水文情势变化评价、主要水文特征值影响评价、生态流量符合性评价</w:t>
            </w:r>
            <w:r>
              <w:rPr>
                <w:rFonts w:hint="eastAsia" w:ascii="Times New Roman" w:hAnsi="Times New Roman" w:eastAsia="新宋体"/>
                <w:color w:val="auto"/>
                <w:sz w:val="18"/>
                <w:szCs w:val="18"/>
                <w:highlight w:val="none"/>
                <w:lang w:eastAsia="en-US"/>
              </w:rPr>
              <w:t>□</w:t>
            </w:r>
          </w:p>
          <w:p w14:paraId="6D97DD3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对于新设或调整入河（湖库、近岸海域）排放口的建设项目，应包括排放口设置的环境</w:t>
            </w:r>
            <w:r>
              <w:rPr>
                <w:rFonts w:hint="eastAsia" w:ascii="Times New Roman" w:hAnsi="Times New Roman" w:eastAsia="新宋体"/>
                <w:color w:val="auto"/>
                <w:sz w:val="18"/>
                <w:szCs w:val="18"/>
                <w:highlight w:val="none"/>
                <w:lang w:eastAsia="en-US"/>
              </w:rPr>
              <w:t>合理性</w:t>
            </w:r>
            <w:r>
              <w:rPr>
                <w:rFonts w:ascii="Times New Roman" w:hAnsi="Times New Roman" w:eastAsia="新宋体"/>
                <w:color w:val="auto"/>
                <w:sz w:val="18"/>
                <w:szCs w:val="18"/>
                <w:highlight w:val="none"/>
                <w:lang w:eastAsia="en-US"/>
              </w:rPr>
              <w:t>评价</w:t>
            </w:r>
            <w:r>
              <w:rPr>
                <w:rFonts w:hint="eastAsia" w:ascii="Times New Roman" w:hAnsi="Times New Roman" w:eastAsia="新宋体"/>
                <w:color w:val="auto"/>
                <w:sz w:val="18"/>
                <w:szCs w:val="18"/>
                <w:highlight w:val="none"/>
                <w:lang w:eastAsia="en-US"/>
              </w:rPr>
              <w:t>□</w:t>
            </w:r>
          </w:p>
          <w:p w14:paraId="6C28FCE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满足生态保护红线、水环境质量底线、资源利用上线和环境准入清单管理要求</w:t>
            </w:r>
            <w:r>
              <w:rPr>
                <w:rFonts w:hint="eastAsia" w:ascii="Times New Roman" w:hAnsi="Times New Roman" w:eastAsia="新宋体"/>
                <w:color w:val="auto"/>
                <w:sz w:val="18"/>
                <w:szCs w:val="18"/>
                <w:highlight w:val="none"/>
                <w:lang w:eastAsia="en-US"/>
              </w:rPr>
              <w:t>□</w:t>
            </w:r>
          </w:p>
        </w:tc>
      </w:tr>
      <w:tr w14:paraId="1D7AE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0" w:type="auto"/>
            <w:vMerge w:val="continue"/>
            <w:noWrap w:val="0"/>
            <w:vAlign w:val="center"/>
          </w:tcPr>
          <w:p w14:paraId="31D7890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78D5B3C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污染源排放量核算</w:t>
            </w:r>
          </w:p>
        </w:tc>
        <w:tc>
          <w:tcPr>
            <w:tcW w:w="0" w:type="auto"/>
            <w:gridSpan w:val="2"/>
            <w:noWrap w:val="0"/>
            <w:vAlign w:val="center"/>
          </w:tcPr>
          <w:p w14:paraId="2E7B801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污染物名称</w:t>
            </w:r>
          </w:p>
        </w:tc>
        <w:tc>
          <w:tcPr>
            <w:tcW w:w="0" w:type="auto"/>
            <w:gridSpan w:val="4"/>
            <w:noWrap w:val="0"/>
            <w:vAlign w:val="center"/>
          </w:tcPr>
          <w:p w14:paraId="2068EAD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排放量/（t/a）</w:t>
            </w:r>
          </w:p>
        </w:tc>
        <w:tc>
          <w:tcPr>
            <w:tcW w:w="0" w:type="auto"/>
            <w:gridSpan w:val="2"/>
            <w:noWrap w:val="0"/>
            <w:vAlign w:val="center"/>
          </w:tcPr>
          <w:p w14:paraId="4E8C690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排放浓度/（mg/L）</w:t>
            </w:r>
          </w:p>
        </w:tc>
      </w:tr>
      <w:tr w14:paraId="6DAE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0" w:type="auto"/>
            <w:vMerge w:val="continue"/>
            <w:noWrap w:val="0"/>
            <w:vAlign w:val="center"/>
          </w:tcPr>
          <w:p w14:paraId="5B9DEF7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732D934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2"/>
            <w:noWrap w:val="0"/>
            <w:vAlign w:val="center"/>
          </w:tcPr>
          <w:p w14:paraId="7996246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4"/>
            <w:noWrap w:val="0"/>
            <w:vAlign w:val="center"/>
          </w:tcPr>
          <w:p w14:paraId="5F82625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2"/>
            <w:noWrap w:val="0"/>
            <w:vAlign w:val="center"/>
          </w:tcPr>
          <w:p w14:paraId="322D8E8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r>
      <w:tr w14:paraId="563BE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0" w:type="auto"/>
            <w:vMerge w:val="continue"/>
            <w:noWrap w:val="0"/>
            <w:vAlign w:val="center"/>
          </w:tcPr>
          <w:p w14:paraId="456FD4D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247A40E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替代源排放情况</w:t>
            </w:r>
          </w:p>
        </w:tc>
        <w:tc>
          <w:tcPr>
            <w:tcW w:w="0" w:type="auto"/>
            <w:noWrap w:val="0"/>
            <w:vAlign w:val="center"/>
          </w:tcPr>
          <w:p w14:paraId="7E59A47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污染源名称</w:t>
            </w:r>
          </w:p>
        </w:tc>
        <w:tc>
          <w:tcPr>
            <w:tcW w:w="0" w:type="auto"/>
            <w:gridSpan w:val="2"/>
            <w:noWrap w:val="0"/>
            <w:vAlign w:val="center"/>
          </w:tcPr>
          <w:p w14:paraId="07BD5BC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排污许可证编号</w:t>
            </w:r>
          </w:p>
        </w:tc>
        <w:tc>
          <w:tcPr>
            <w:tcW w:w="0" w:type="auto"/>
            <w:noWrap w:val="0"/>
            <w:vAlign w:val="center"/>
          </w:tcPr>
          <w:p w14:paraId="224F016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污染物名称</w:t>
            </w:r>
          </w:p>
        </w:tc>
        <w:tc>
          <w:tcPr>
            <w:tcW w:w="0" w:type="auto"/>
            <w:gridSpan w:val="3"/>
            <w:noWrap w:val="0"/>
            <w:vAlign w:val="center"/>
          </w:tcPr>
          <w:p w14:paraId="38DE57E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排放量/（t/a）</w:t>
            </w:r>
          </w:p>
        </w:tc>
        <w:tc>
          <w:tcPr>
            <w:tcW w:w="0" w:type="auto"/>
            <w:noWrap w:val="0"/>
            <w:vAlign w:val="center"/>
          </w:tcPr>
          <w:p w14:paraId="32C411D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排放浓度/（mg/L）</w:t>
            </w:r>
          </w:p>
        </w:tc>
      </w:tr>
      <w:tr w14:paraId="6448D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0" w:type="auto"/>
            <w:vMerge w:val="continue"/>
            <w:noWrap w:val="0"/>
            <w:vAlign w:val="center"/>
          </w:tcPr>
          <w:p w14:paraId="25A62E1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02E7579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6461687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2"/>
            <w:noWrap w:val="0"/>
            <w:vAlign w:val="center"/>
          </w:tcPr>
          <w:p w14:paraId="4232929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noWrap w:val="0"/>
            <w:vAlign w:val="center"/>
          </w:tcPr>
          <w:p w14:paraId="7DB9988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3"/>
            <w:noWrap w:val="0"/>
            <w:vAlign w:val="center"/>
          </w:tcPr>
          <w:p w14:paraId="51CDD63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noWrap w:val="0"/>
            <w:vAlign w:val="center"/>
          </w:tcPr>
          <w:p w14:paraId="484F0BC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r>
      <w:tr w14:paraId="779E0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0" w:type="auto"/>
            <w:vMerge w:val="continue"/>
            <w:noWrap w:val="0"/>
            <w:vAlign w:val="center"/>
          </w:tcPr>
          <w:p w14:paraId="36F8BB8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733E2D4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生态流量确定</w:t>
            </w:r>
          </w:p>
        </w:tc>
        <w:tc>
          <w:tcPr>
            <w:tcW w:w="0" w:type="auto"/>
            <w:gridSpan w:val="8"/>
            <w:noWrap w:val="0"/>
            <w:vAlign w:val="center"/>
          </w:tcPr>
          <w:p w14:paraId="4CF2F44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生态流量：一般水期（）m3/s；鱼类繁殖期（）m3/s；其他m3/s</w:t>
            </w:r>
          </w:p>
          <w:p w14:paraId="0A163F1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生态水位：一般水期（）m；鱼类繁殖期（）m；其他m</w:t>
            </w:r>
          </w:p>
        </w:tc>
      </w:tr>
      <w:tr w14:paraId="2BAC8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trPr>
        <w:tc>
          <w:tcPr>
            <w:tcW w:w="0" w:type="auto"/>
            <w:vMerge w:val="restart"/>
            <w:noWrap w:val="0"/>
            <w:vAlign w:val="center"/>
          </w:tcPr>
          <w:p w14:paraId="015A56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防治措施</w:t>
            </w:r>
          </w:p>
        </w:tc>
        <w:tc>
          <w:tcPr>
            <w:tcW w:w="0" w:type="auto"/>
            <w:noWrap w:val="0"/>
            <w:vAlign w:val="center"/>
          </w:tcPr>
          <w:p w14:paraId="00E7606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环保措施</w:t>
            </w:r>
          </w:p>
        </w:tc>
        <w:tc>
          <w:tcPr>
            <w:tcW w:w="0" w:type="auto"/>
            <w:gridSpan w:val="8"/>
            <w:noWrap w:val="0"/>
            <w:vAlign w:val="center"/>
          </w:tcPr>
          <w:p w14:paraId="79387F4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污水处理设施</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；水文减缓设施</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；生态流量保障设施</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；区域削减</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；依托其他工程措施</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w:t>
            </w:r>
            <w:r>
              <w:rPr>
                <w:rFonts w:hint="eastAsia" w:ascii="Times New Roman" w:hAnsi="Times New Roman" w:eastAsia="新宋体"/>
                <w:color w:val="auto"/>
                <w:sz w:val="18"/>
                <w:szCs w:val="18"/>
                <w:highlight w:val="none"/>
                <w:lang w:eastAsia="en-US"/>
              </w:rPr>
              <w:t>□</w:t>
            </w:r>
          </w:p>
        </w:tc>
      </w:tr>
      <w:tr w14:paraId="71241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0" w:type="auto"/>
            <w:vMerge w:val="continue"/>
            <w:noWrap w:val="0"/>
            <w:vAlign w:val="center"/>
          </w:tcPr>
          <w:p w14:paraId="44A4AAB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restart"/>
            <w:noWrap w:val="0"/>
            <w:vAlign w:val="center"/>
          </w:tcPr>
          <w:p w14:paraId="11B10BC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监测计划</w:t>
            </w:r>
          </w:p>
        </w:tc>
        <w:tc>
          <w:tcPr>
            <w:tcW w:w="0" w:type="auto"/>
            <w:noWrap w:val="0"/>
            <w:vAlign w:val="center"/>
          </w:tcPr>
          <w:p w14:paraId="136B1E0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gridSpan w:val="4"/>
            <w:noWrap w:val="0"/>
            <w:vAlign w:val="center"/>
          </w:tcPr>
          <w:p w14:paraId="66AA513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环境质量</w:t>
            </w:r>
          </w:p>
        </w:tc>
        <w:tc>
          <w:tcPr>
            <w:tcW w:w="0" w:type="auto"/>
            <w:gridSpan w:val="3"/>
            <w:noWrap w:val="0"/>
            <w:vAlign w:val="center"/>
          </w:tcPr>
          <w:p w14:paraId="35D48DE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污染源</w:t>
            </w:r>
          </w:p>
        </w:tc>
      </w:tr>
      <w:tr w14:paraId="188A1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trPr>
        <w:tc>
          <w:tcPr>
            <w:tcW w:w="0" w:type="auto"/>
            <w:vMerge w:val="continue"/>
            <w:noWrap w:val="0"/>
            <w:vAlign w:val="center"/>
          </w:tcPr>
          <w:p w14:paraId="32B63CA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29CB045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5ED46FE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监测方式</w:t>
            </w:r>
          </w:p>
        </w:tc>
        <w:tc>
          <w:tcPr>
            <w:tcW w:w="0" w:type="auto"/>
            <w:gridSpan w:val="4"/>
            <w:noWrap w:val="0"/>
            <w:vAlign w:val="center"/>
          </w:tcPr>
          <w:p w14:paraId="40DE1FB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手动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；自动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；无监测</w:t>
            </w:r>
            <w:r>
              <w:rPr>
                <w:rFonts w:hint="eastAsia" w:ascii="Times New Roman" w:hAnsi="Times New Roman" w:eastAsia="新宋体"/>
                <w:color w:val="auto"/>
                <w:sz w:val="18"/>
                <w:szCs w:val="18"/>
                <w:highlight w:val="none"/>
                <w:lang w:eastAsia="en-US"/>
              </w:rPr>
              <w:t>☑</w:t>
            </w:r>
          </w:p>
        </w:tc>
        <w:tc>
          <w:tcPr>
            <w:tcW w:w="0" w:type="auto"/>
            <w:gridSpan w:val="3"/>
            <w:noWrap w:val="0"/>
            <w:vAlign w:val="center"/>
          </w:tcPr>
          <w:p w14:paraId="0199352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手动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；自动</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；无监测</w:t>
            </w:r>
            <w:r>
              <w:rPr>
                <w:rFonts w:hint="eastAsia" w:ascii="Times New Roman" w:hAnsi="Times New Roman" w:eastAsia="新宋体"/>
                <w:color w:val="auto"/>
                <w:sz w:val="18"/>
                <w:szCs w:val="18"/>
                <w:highlight w:val="none"/>
                <w:lang w:eastAsia="en-US"/>
              </w:rPr>
              <w:t>□</w:t>
            </w:r>
          </w:p>
        </w:tc>
      </w:tr>
      <w:tr w14:paraId="1602A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0" w:type="auto"/>
            <w:vMerge w:val="continue"/>
            <w:noWrap w:val="0"/>
            <w:vAlign w:val="center"/>
          </w:tcPr>
          <w:p w14:paraId="18C802F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5B1A7CD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1C59198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监测点位</w:t>
            </w:r>
          </w:p>
        </w:tc>
        <w:tc>
          <w:tcPr>
            <w:tcW w:w="0" w:type="auto"/>
            <w:gridSpan w:val="4"/>
            <w:noWrap w:val="0"/>
            <w:vAlign w:val="center"/>
          </w:tcPr>
          <w:p w14:paraId="1CE82E1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3"/>
            <w:noWrap w:val="0"/>
            <w:vAlign w:val="center"/>
          </w:tcPr>
          <w:p w14:paraId="2E99DDB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脱硫废水排放口</w:t>
            </w:r>
            <w:r>
              <w:rPr>
                <w:rFonts w:ascii="Times New Roman" w:hAnsi="Times New Roman" w:eastAsia="新宋体"/>
                <w:color w:val="auto"/>
                <w:sz w:val="18"/>
                <w:szCs w:val="18"/>
                <w:highlight w:val="none"/>
                <w:lang w:eastAsia="en-US"/>
              </w:rPr>
              <w:t>）</w:t>
            </w:r>
          </w:p>
        </w:tc>
      </w:tr>
      <w:tr w14:paraId="24A6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0" w:type="auto"/>
            <w:vMerge w:val="continue"/>
            <w:noWrap w:val="0"/>
            <w:vAlign w:val="center"/>
          </w:tcPr>
          <w:p w14:paraId="04DB740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vMerge w:val="continue"/>
            <w:noWrap w:val="0"/>
            <w:vAlign w:val="center"/>
          </w:tcPr>
          <w:p w14:paraId="5963545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1CAB7C6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监测因子</w:t>
            </w:r>
          </w:p>
        </w:tc>
        <w:tc>
          <w:tcPr>
            <w:tcW w:w="0" w:type="auto"/>
            <w:gridSpan w:val="4"/>
            <w:noWrap w:val="0"/>
            <w:vAlign w:val="center"/>
          </w:tcPr>
          <w:p w14:paraId="0EE3F1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0" w:type="auto"/>
            <w:gridSpan w:val="3"/>
            <w:noWrap w:val="0"/>
            <w:vAlign w:val="center"/>
          </w:tcPr>
          <w:p w14:paraId="06C2994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pH、总砷、总铅、总汞、总镉、流量</w:t>
            </w:r>
            <w:r>
              <w:rPr>
                <w:rFonts w:ascii="Times New Roman" w:hAnsi="Times New Roman" w:eastAsia="新宋体"/>
                <w:color w:val="auto"/>
                <w:sz w:val="18"/>
                <w:szCs w:val="18"/>
                <w:highlight w:val="none"/>
                <w:lang w:eastAsia="en-US"/>
              </w:rPr>
              <w:t>）</w:t>
            </w:r>
          </w:p>
        </w:tc>
      </w:tr>
      <w:tr w14:paraId="6CE7A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0" w:type="auto"/>
            <w:vMerge w:val="continue"/>
            <w:noWrap w:val="0"/>
            <w:vAlign w:val="center"/>
          </w:tcPr>
          <w:p w14:paraId="7C52051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0" w:type="auto"/>
            <w:noWrap w:val="0"/>
            <w:vAlign w:val="center"/>
          </w:tcPr>
          <w:p w14:paraId="12FE3F2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污染物排放清单</w:t>
            </w:r>
          </w:p>
        </w:tc>
        <w:tc>
          <w:tcPr>
            <w:tcW w:w="0" w:type="auto"/>
            <w:gridSpan w:val="8"/>
            <w:noWrap w:val="0"/>
            <w:vAlign w:val="center"/>
          </w:tcPr>
          <w:p w14:paraId="637B94C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r>
      <w:tr w14:paraId="3A7F0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0" w:type="auto"/>
            <w:gridSpan w:val="2"/>
            <w:noWrap w:val="0"/>
            <w:vAlign w:val="center"/>
          </w:tcPr>
          <w:p w14:paraId="3FC8676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评价结论</w:t>
            </w:r>
          </w:p>
        </w:tc>
        <w:tc>
          <w:tcPr>
            <w:tcW w:w="0" w:type="auto"/>
            <w:gridSpan w:val="8"/>
            <w:noWrap w:val="0"/>
            <w:vAlign w:val="center"/>
          </w:tcPr>
          <w:p w14:paraId="75A9140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可以接受</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；不可以接受</w:t>
            </w:r>
            <w:r>
              <w:rPr>
                <w:rFonts w:hint="eastAsia" w:ascii="Times New Roman" w:hAnsi="Times New Roman" w:eastAsia="新宋体"/>
                <w:color w:val="auto"/>
                <w:sz w:val="18"/>
                <w:szCs w:val="18"/>
                <w:highlight w:val="none"/>
                <w:lang w:eastAsia="en-US"/>
              </w:rPr>
              <w:t>□</w:t>
            </w:r>
          </w:p>
        </w:tc>
      </w:tr>
    </w:tbl>
    <w:p w14:paraId="251FDB2E">
      <w:pPr>
        <w:pStyle w:val="4"/>
        <w:spacing w:before="0" w:after="0" w:line="240" w:lineRule="auto"/>
        <w:jc w:val="center"/>
        <w:rPr>
          <w:rFonts w:hint="eastAsia" w:ascii="Times New Roman" w:hAnsi="Times New Roman"/>
          <w:b w:val="0"/>
          <w:color w:val="auto"/>
          <w:highlight w:val="none"/>
        </w:rPr>
      </w:pPr>
      <w:r>
        <w:rPr>
          <w:rFonts w:ascii="Times New Roman" w:hAnsi="Times New Roman"/>
          <w:b w:val="0"/>
          <w:color w:val="auto"/>
          <w:highlight w:val="none"/>
        </w:rPr>
        <w:br w:type="page"/>
      </w:r>
      <w:bookmarkStart w:id="221" w:name="_Toc15766"/>
      <w:bookmarkStart w:id="222" w:name="_Toc27727"/>
      <w:r>
        <w:rPr>
          <w:rFonts w:hint="eastAsia"/>
          <w:color w:val="auto"/>
          <w:highlight w:val="none"/>
        </w:rPr>
        <w:t>土壤环境影响评价自查表</w:t>
      </w:r>
      <w:bookmarkEnd w:id="221"/>
      <w:bookmarkEnd w:id="222"/>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1647"/>
        <w:gridCol w:w="1302"/>
        <w:gridCol w:w="1510"/>
        <w:gridCol w:w="93"/>
        <w:gridCol w:w="1185"/>
        <w:gridCol w:w="350"/>
        <w:gridCol w:w="998"/>
        <w:gridCol w:w="954"/>
      </w:tblGrid>
      <w:tr w14:paraId="609AC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273" w:type="pct"/>
            <w:gridSpan w:val="2"/>
            <w:noWrap w:val="0"/>
            <w:vAlign w:val="center"/>
          </w:tcPr>
          <w:p w14:paraId="78656E1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工作内容</w:t>
            </w:r>
          </w:p>
        </w:tc>
        <w:tc>
          <w:tcPr>
            <w:tcW w:w="3169" w:type="pct"/>
            <w:gridSpan w:val="6"/>
            <w:noWrap w:val="0"/>
            <w:vAlign w:val="center"/>
          </w:tcPr>
          <w:p w14:paraId="2CCED9D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完成情况</w:t>
            </w:r>
          </w:p>
        </w:tc>
        <w:tc>
          <w:tcPr>
            <w:tcW w:w="556" w:type="pct"/>
            <w:noWrap w:val="0"/>
            <w:vAlign w:val="center"/>
          </w:tcPr>
          <w:p w14:paraId="50BEAC1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备注</w:t>
            </w:r>
          </w:p>
        </w:tc>
      </w:tr>
      <w:tr w14:paraId="5C6AC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restart"/>
            <w:noWrap w:val="0"/>
            <w:vAlign w:val="center"/>
          </w:tcPr>
          <w:p w14:paraId="0A0B434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影响识别</w:t>
            </w:r>
          </w:p>
        </w:tc>
        <w:tc>
          <w:tcPr>
            <w:tcW w:w="959" w:type="pct"/>
            <w:noWrap w:val="0"/>
            <w:vAlign w:val="center"/>
          </w:tcPr>
          <w:p w14:paraId="6599488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影响类型</w:t>
            </w:r>
          </w:p>
        </w:tc>
        <w:tc>
          <w:tcPr>
            <w:tcW w:w="3169" w:type="pct"/>
            <w:gridSpan w:val="6"/>
            <w:noWrap w:val="0"/>
            <w:vAlign w:val="center"/>
          </w:tcPr>
          <w:p w14:paraId="1734221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污染影响型</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；生态影响型□；两种兼有□</w:t>
            </w:r>
          </w:p>
        </w:tc>
        <w:tc>
          <w:tcPr>
            <w:tcW w:w="556" w:type="pct"/>
            <w:noWrap w:val="0"/>
            <w:vAlign w:val="center"/>
          </w:tcPr>
          <w:p w14:paraId="1A9BC87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02B46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4E126D3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6CFB105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土地利用类型</w:t>
            </w:r>
          </w:p>
        </w:tc>
        <w:tc>
          <w:tcPr>
            <w:tcW w:w="3169" w:type="pct"/>
            <w:gridSpan w:val="6"/>
            <w:noWrap w:val="0"/>
            <w:vAlign w:val="center"/>
          </w:tcPr>
          <w:p w14:paraId="0BF7D89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建设用地</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；农用地□；未利用地□</w:t>
            </w:r>
          </w:p>
        </w:tc>
        <w:tc>
          <w:tcPr>
            <w:tcW w:w="556" w:type="pct"/>
            <w:noWrap w:val="0"/>
            <w:vAlign w:val="center"/>
          </w:tcPr>
          <w:p w14:paraId="7952A1C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2FF58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6F700EE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304AE1C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占地规模</w:t>
            </w:r>
          </w:p>
        </w:tc>
        <w:tc>
          <w:tcPr>
            <w:tcW w:w="3169" w:type="pct"/>
            <w:gridSpan w:val="6"/>
            <w:noWrap w:val="0"/>
            <w:vAlign w:val="center"/>
          </w:tcPr>
          <w:p w14:paraId="772B851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）hm</w:t>
            </w:r>
            <w:r>
              <w:rPr>
                <w:rFonts w:ascii="Times New Roman" w:hAnsi="Times New Roman" w:eastAsia="新宋体"/>
                <w:color w:val="auto"/>
                <w:sz w:val="18"/>
                <w:szCs w:val="18"/>
                <w:highlight w:val="none"/>
                <w:vertAlign w:val="superscript"/>
                <w:lang w:eastAsia="en-US"/>
              </w:rPr>
              <w:t>2</w:t>
            </w:r>
          </w:p>
        </w:tc>
        <w:tc>
          <w:tcPr>
            <w:tcW w:w="556" w:type="pct"/>
            <w:noWrap w:val="0"/>
            <w:vAlign w:val="center"/>
          </w:tcPr>
          <w:p w14:paraId="7823894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3A3D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313" w:type="pct"/>
            <w:vMerge w:val="continue"/>
            <w:noWrap w:val="0"/>
            <w:vAlign w:val="center"/>
          </w:tcPr>
          <w:p w14:paraId="712CBA1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13DF067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敏感目标信息</w:t>
            </w:r>
          </w:p>
        </w:tc>
        <w:tc>
          <w:tcPr>
            <w:tcW w:w="3169" w:type="pct"/>
            <w:gridSpan w:val="6"/>
            <w:noWrap w:val="0"/>
            <w:vAlign w:val="center"/>
          </w:tcPr>
          <w:p w14:paraId="4D7A9B8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居民-</w:t>
            </w:r>
            <w:r>
              <w:rPr>
                <w:rFonts w:ascii="Times New Roman" w:hAnsi="Times New Roman" w:eastAsia="新宋体"/>
                <w:color w:val="auto"/>
                <w:sz w:val="18"/>
                <w:szCs w:val="18"/>
                <w:highlight w:val="none"/>
                <w:lang w:eastAsia="en-US"/>
              </w:rPr>
              <w:t>紧邻</w:t>
            </w:r>
          </w:p>
        </w:tc>
        <w:tc>
          <w:tcPr>
            <w:tcW w:w="556" w:type="pct"/>
            <w:noWrap w:val="0"/>
            <w:vAlign w:val="center"/>
          </w:tcPr>
          <w:p w14:paraId="114E575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7EA40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66D5689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2D19728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影响途径</w:t>
            </w:r>
          </w:p>
        </w:tc>
        <w:tc>
          <w:tcPr>
            <w:tcW w:w="3169" w:type="pct"/>
            <w:gridSpan w:val="6"/>
            <w:noWrap w:val="0"/>
            <w:vAlign w:val="center"/>
          </w:tcPr>
          <w:p w14:paraId="2EDF22B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大气沉降</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；地面漫流□；垂直入渗□；地下水位□；其他（   ）</w:t>
            </w:r>
          </w:p>
        </w:tc>
        <w:tc>
          <w:tcPr>
            <w:tcW w:w="556" w:type="pct"/>
            <w:noWrap w:val="0"/>
            <w:vAlign w:val="center"/>
          </w:tcPr>
          <w:p w14:paraId="667D160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4DCE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280D26E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0CEAFA8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全部污染物</w:t>
            </w:r>
          </w:p>
        </w:tc>
        <w:tc>
          <w:tcPr>
            <w:tcW w:w="3169" w:type="pct"/>
            <w:gridSpan w:val="6"/>
            <w:noWrap w:val="0"/>
            <w:vAlign w:val="center"/>
          </w:tcPr>
          <w:p w14:paraId="292C156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Hg</w:t>
            </w:r>
          </w:p>
        </w:tc>
        <w:tc>
          <w:tcPr>
            <w:tcW w:w="556" w:type="pct"/>
            <w:noWrap w:val="0"/>
            <w:vAlign w:val="center"/>
          </w:tcPr>
          <w:p w14:paraId="662A723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3BB5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551C1E7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3A85F33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特征因子</w:t>
            </w:r>
          </w:p>
        </w:tc>
        <w:tc>
          <w:tcPr>
            <w:tcW w:w="3169" w:type="pct"/>
            <w:gridSpan w:val="6"/>
            <w:noWrap w:val="0"/>
            <w:vAlign w:val="center"/>
          </w:tcPr>
          <w:p w14:paraId="008A8DB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Hg</w:t>
            </w:r>
          </w:p>
        </w:tc>
        <w:tc>
          <w:tcPr>
            <w:tcW w:w="556" w:type="pct"/>
            <w:noWrap w:val="0"/>
            <w:vAlign w:val="center"/>
          </w:tcPr>
          <w:p w14:paraId="1C3742F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3A78F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A7C0CB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6E5C873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所属土壤环境影响评价项目类别</w:t>
            </w:r>
          </w:p>
        </w:tc>
        <w:tc>
          <w:tcPr>
            <w:tcW w:w="3169" w:type="pct"/>
            <w:gridSpan w:val="6"/>
            <w:noWrap w:val="0"/>
            <w:vAlign w:val="center"/>
          </w:tcPr>
          <w:p w14:paraId="326DD5C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Ⅰ</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Ⅱ</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Ⅲ</w:t>
            </w:r>
            <w:r>
              <w:rPr>
                <w:rFonts w:ascii="Times New Roman" w:hAnsi="Times New Roman" w:eastAsia="新宋体"/>
                <w:color w:val="auto"/>
                <w:sz w:val="18"/>
                <w:szCs w:val="18"/>
                <w:highlight w:val="none"/>
                <w:lang w:eastAsia="en-US"/>
              </w:rPr>
              <w:t>类</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w:t>
            </w:r>
            <w:r>
              <w:rPr>
                <w:rFonts w:hint="eastAsia" w:ascii="Times New Roman" w:hAnsi="Times New Roman" w:eastAsia="新宋体"/>
                <w:color w:val="auto"/>
                <w:sz w:val="18"/>
                <w:szCs w:val="18"/>
                <w:highlight w:val="none"/>
                <w:lang w:eastAsia="en-US"/>
              </w:rPr>
              <w:t>Ⅳ</w:t>
            </w:r>
            <w:r>
              <w:rPr>
                <w:rFonts w:ascii="Times New Roman" w:hAnsi="Times New Roman" w:eastAsia="新宋体"/>
                <w:color w:val="auto"/>
                <w:sz w:val="18"/>
                <w:szCs w:val="18"/>
                <w:highlight w:val="none"/>
                <w:lang w:eastAsia="en-US"/>
              </w:rPr>
              <w:t>类□</w:t>
            </w:r>
          </w:p>
        </w:tc>
        <w:tc>
          <w:tcPr>
            <w:tcW w:w="556" w:type="pct"/>
            <w:noWrap w:val="0"/>
            <w:vAlign w:val="center"/>
          </w:tcPr>
          <w:p w14:paraId="6857E3F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017F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0296CC6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6E1FEE1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敏感程度</w:t>
            </w:r>
          </w:p>
        </w:tc>
        <w:tc>
          <w:tcPr>
            <w:tcW w:w="3169" w:type="pct"/>
            <w:gridSpan w:val="6"/>
            <w:noWrap w:val="0"/>
            <w:vAlign w:val="center"/>
          </w:tcPr>
          <w:p w14:paraId="4D72BF7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敏感</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；较敏感</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；不敏感□</w:t>
            </w:r>
          </w:p>
        </w:tc>
        <w:tc>
          <w:tcPr>
            <w:tcW w:w="556" w:type="pct"/>
            <w:noWrap w:val="0"/>
            <w:vAlign w:val="center"/>
          </w:tcPr>
          <w:p w14:paraId="7D9ECE4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2B18A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3" w:type="pct"/>
            <w:gridSpan w:val="2"/>
            <w:noWrap w:val="0"/>
            <w:vAlign w:val="center"/>
          </w:tcPr>
          <w:p w14:paraId="556C52C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评价工作等级</w:t>
            </w:r>
          </w:p>
        </w:tc>
        <w:tc>
          <w:tcPr>
            <w:tcW w:w="3169" w:type="pct"/>
            <w:gridSpan w:val="6"/>
            <w:noWrap w:val="0"/>
            <w:vAlign w:val="center"/>
          </w:tcPr>
          <w:p w14:paraId="33839D93">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ascii="Times New Roman" w:hAnsi="Times New Roman" w:eastAsia="新宋体"/>
                <w:color w:val="auto"/>
                <w:sz w:val="18"/>
                <w:szCs w:val="18"/>
                <w:highlight w:val="none"/>
                <w:lang w:eastAsia="en-US"/>
              </w:rPr>
              <w:t>一级□；二级□；三级</w:t>
            </w:r>
            <w:r>
              <w:rPr>
                <w:rFonts w:hint="eastAsia" w:ascii="Times New Roman" w:hAnsi="Times New Roman" w:eastAsia="新宋体"/>
                <w:color w:val="auto"/>
                <w:sz w:val="18"/>
                <w:szCs w:val="18"/>
                <w:highlight w:val="none"/>
                <w:lang w:eastAsia="zh-CN"/>
              </w:rPr>
              <w:t>☑</w:t>
            </w:r>
          </w:p>
        </w:tc>
        <w:tc>
          <w:tcPr>
            <w:tcW w:w="556" w:type="pct"/>
            <w:noWrap w:val="0"/>
            <w:vAlign w:val="center"/>
          </w:tcPr>
          <w:p w14:paraId="31EB59F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48240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restart"/>
            <w:noWrap w:val="0"/>
            <w:vAlign w:val="center"/>
          </w:tcPr>
          <w:p w14:paraId="7139DD0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现状调查内容</w:t>
            </w:r>
          </w:p>
        </w:tc>
        <w:tc>
          <w:tcPr>
            <w:tcW w:w="959" w:type="pct"/>
            <w:noWrap w:val="0"/>
            <w:vAlign w:val="center"/>
          </w:tcPr>
          <w:p w14:paraId="19CC99C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资料收集</w:t>
            </w:r>
          </w:p>
        </w:tc>
        <w:tc>
          <w:tcPr>
            <w:tcW w:w="3169" w:type="pct"/>
            <w:gridSpan w:val="6"/>
            <w:noWrap w:val="0"/>
            <w:vAlign w:val="center"/>
          </w:tcPr>
          <w:p w14:paraId="7245A19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a）</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；b）</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；c）</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；d）</w:t>
            </w:r>
            <w:r>
              <w:rPr>
                <w:rFonts w:hint="eastAsia" w:ascii="Times New Roman" w:hAnsi="Times New Roman" w:eastAsia="新宋体"/>
                <w:color w:val="auto"/>
                <w:sz w:val="18"/>
                <w:szCs w:val="18"/>
                <w:highlight w:val="none"/>
                <w:lang w:eastAsia="en-US"/>
              </w:rPr>
              <w:t>☑</w:t>
            </w:r>
          </w:p>
        </w:tc>
        <w:tc>
          <w:tcPr>
            <w:tcW w:w="556" w:type="pct"/>
            <w:noWrap w:val="0"/>
            <w:vAlign w:val="center"/>
          </w:tcPr>
          <w:p w14:paraId="23F3B48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604C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114207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3D189D1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理化特性</w:t>
            </w:r>
          </w:p>
        </w:tc>
        <w:tc>
          <w:tcPr>
            <w:tcW w:w="3169" w:type="pct"/>
            <w:gridSpan w:val="6"/>
            <w:noWrap w:val="0"/>
            <w:vAlign w:val="center"/>
          </w:tcPr>
          <w:p w14:paraId="19A87A3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556" w:type="pct"/>
            <w:noWrap w:val="0"/>
            <w:vAlign w:val="center"/>
          </w:tcPr>
          <w:p w14:paraId="24B71AA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同附录C</w:t>
            </w:r>
          </w:p>
        </w:tc>
      </w:tr>
      <w:tr w14:paraId="250DB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9D570A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vMerge w:val="restart"/>
            <w:noWrap w:val="0"/>
            <w:vAlign w:val="center"/>
          </w:tcPr>
          <w:p w14:paraId="3AA967A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现状监测点位</w:t>
            </w:r>
          </w:p>
        </w:tc>
        <w:tc>
          <w:tcPr>
            <w:tcW w:w="759" w:type="pct"/>
            <w:noWrap w:val="0"/>
            <w:vAlign w:val="center"/>
          </w:tcPr>
          <w:p w14:paraId="47A4B17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34" w:type="pct"/>
            <w:gridSpan w:val="2"/>
            <w:noWrap w:val="0"/>
            <w:vAlign w:val="center"/>
          </w:tcPr>
          <w:p w14:paraId="6871AB4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占地范围内</w:t>
            </w:r>
          </w:p>
        </w:tc>
        <w:tc>
          <w:tcPr>
            <w:tcW w:w="895" w:type="pct"/>
            <w:gridSpan w:val="2"/>
            <w:noWrap w:val="0"/>
            <w:vAlign w:val="center"/>
          </w:tcPr>
          <w:p w14:paraId="01A24D3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占地范围外</w:t>
            </w:r>
          </w:p>
        </w:tc>
        <w:tc>
          <w:tcPr>
            <w:tcW w:w="580" w:type="pct"/>
            <w:noWrap w:val="0"/>
            <w:vAlign w:val="center"/>
          </w:tcPr>
          <w:p w14:paraId="506813E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深度</w:t>
            </w:r>
          </w:p>
        </w:tc>
        <w:tc>
          <w:tcPr>
            <w:tcW w:w="556" w:type="pct"/>
            <w:vMerge w:val="restart"/>
            <w:noWrap w:val="0"/>
            <w:vAlign w:val="center"/>
          </w:tcPr>
          <w:p w14:paraId="044A914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点位布置图</w:t>
            </w:r>
          </w:p>
        </w:tc>
      </w:tr>
      <w:tr w14:paraId="11E0F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37A1A67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vMerge w:val="continue"/>
            <w:noWrap w:val="0"/>
            <w:vAlign w:val="center"/>
          </w:tcPr>
          <w:p w14:paraId="6E911F9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59" w:type="pct"/>
            <w:noWrap w:val="0"/>
            <w:vAlign w:val="center"/>
          </w:tcPr>
          <w:p w14:paraId="68AFF28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表层样点数</w:t>
            </w:r>
          </w:p>
        </w:tc>
        <w:tc>
          <w:tcPr>
            <w:tcW w:w="934" w:type="pct"/>
            <w:gridSpan w:val="2"/>
            <w:noWrap w:val="0"/>
            <w:vAlign w:val="center"/>
          </w:tcPr>
          <w:p w14:paraId="2626E141">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hint="eastAsia" w:ascii="Times New Roman" w:hAnsi="Times New Roman" w:eastAsia="新宋体"/>
                <w:color w:val="auto"/>
                <w:sz w:val="18"/>
                <w:szCs w:val="18"/>
                <w:highlight w:val="none"/>
                <w:lang w:val="en-US" w:eastAsia="zh-CN"/>
              </w:rPr>
              <w:t>3</w:t>
            </w:r>
          </w:p>
        </w:tc>
        <w:tc>
          <w:tcPr>
            <w:tcW w:w="895" w:type="pct"/>
            <w:gridSpan w:val="2"/>
            <w:noWrap w:val="0"/>
            <w:vAlign w:val="center"/>
          </w:tcPr>
          <w:p w14:paraId="254759A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580" w:type="pct"/>
            <w:noWrap w:val="0"/>
            <w:vAlign w:val="center"/>
          </w:tcPr>
          <w:p w14:paraId="34785D8A">
            <w:pPr>
              <w:autoSpaceDE w:val="0"/>
              <w:autoSpaceDN w:val="0"/>
              <w:spacing w:line="240" w:lineRule="auto"/>
              <w:ind w:firstLine="0" w:firstLineChars="0"/>
              <w:jc w:val="center"/>
              <w:rPr>
                <w:rFonts w:hint="default" w:ascii="Times New Roman" w:hAnsi="Times New Roman" w:eastAsia="新宋体"/>
                <w:color w:val="auto"/>
                <w:sz w:val="18"/>
                <w:szCs w:val="18"/>
                <w:highlight w:val="none"/>
                <w:lang w:val="en-US" w:eastAsia="zh-CN"/>
              </w:rPr>
            </w:pPr>
            <w:r>
              <w:rPr>
                <w:rFonts w:hint="eastAsia" w:ascii="Times New Roman" w:hAnsi="Times New Roman" w:eastAsia="新宋体"/>
                <w:color w:val="auto"/>
                <w:sz w:val="18"/>
                <w:szCs w:val="18"/>
                <w:highlight w:val="none"/>
                <w:lang w:val="en-US" w:eastAsia="zh-CN"/>
              </w:rPr>
              <w:t>0.2</w:t>
            </w:r>
          </w:p>
        </w:tc>
        <w:tc>
          <w:tcPr>
            <w:tcW w:w="556" w:type="pct"/>
            <w:vMerge w:val="continue"/>
            <w:noWrap w:val="0"/>
            <w:vAlign w:val="center"/>
          </w:tcPr>
          <w:p w14:paraId="6D29AE3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21165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695AE7C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vMerge w:val="continue"/>
            <w:noWrap w:val="0"/>
            <w:vAlign w:val="center"/>
          </w:tcPr>
          <w:p w14:paraId="396B834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59" w:type="pct"/>
            <w:noWrap w:val="0"/>
            <w:vAlign w:val="center"/>
          </w:tcPr>
          <w:p w14:paraId="01FFEEC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柱状样点数</w:t>
            </w:r>
          </w:p>
        </w:tc>
        <w:tc>
          <w:tcPr>
            <w:tcW w:w="934" w:type="pct"/>
            <w:gridSpan w:val="2"/>
            <w:noWrap w:val="0"/>
            <w:vAlign w:val="center"/>
          </w:tcPr>
          <w:p w14:paraId="024C06D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895" w:type="pct"/>
            <w:gridSpan w:val="2"/>
            <w:noWrap w:val="0"/>
            <w:vAlign w:val="center"/>
          </w:tcPr>
          <w:p w14:paraId="3636CBA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580" w:type="pct"/>
            <w:noWrap w:val="0"/>
            <w:vAlign w:val="center"/>
          </w:tcPr>
          <w:p w14:paraId="73858AB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w:t>
            </w:r>
          </w:p>
        </w:tc>
        <w:tc>
          <w:tcPr>
            <w:tcW w:w="556" w:type="pct"/>
            <w:vMerge w:val="continue"/>
            <w:noWrap w:val="0"/>
            <w:vAlign w:val="center"/>
          </w:tcPr>
          <w:p w14:paraId="2557C78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AE65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3601C95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6C38425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现状监测因子</w:t>
            </w:r>
          </w:p>
        </w:tc>
        <w:tc>
          <w:tcPr>
            <w:tcW w:w="3169" w:type="pct"/>
            <w:gridSpan w:val="6"/>
            <w:noWrap w:val="0"/>
            <w:vAlign w:val="center"/>
          </w:tcPr>
          <w:p w14:paraId="22877D60">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hint="eastAsia" w:ascii="Times New Roman" w:hAnsi="Times New Roman" w:eastAsia="新宋体"/>
                <w:color w:val="auto"/>
                <w:sz w:val="18"/>
                <w:szCs w:val="18"/>
                <w:highlight w:val="none"/>
                <w:lang w:val="en-US" w:eastAsia="zh-CN"/>
              </w:rPr>
              <w:t>/</w:t>
            </w:r>
          </w:p>
        </w:tc>
        <w:tc>
          <w:tcPr>
            <w:tcW w:w="556" w:type="pct"/>
            <w:noWrap w:val="0"/>
            <w:vAlign w:val="center"/>
          </w:tcPr>
          <w:p w14:paraId="6793D0A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1879F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restart"/>
            <w:noWrap w:val="0"/>
            <w:vAlign w:val="center"/>
          </w:tcPr>
          <w:p w14:paraId="6BABEEB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现状评价</w:t>
            </w:r>
          </w:p>
        </w:tc>
        <w:tc>
          <w:tcPr>
            <w:tcW w:w="959" w:type="pct"/>
            <w:noWrap w:val="0"/>
            <w:vAlign w:val="center"/>
          </w:tcPr>
          <w:p w14:paraId="011013A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评价因子</w:t>
            </w:r>
          </w:p>
        </w:tc>
        <w:tc>
          <w:tcPr>
            <w:tcW w:w="3169" w:type="pct"/>
            <w:gridSpan w:val="6"/>
            <w:noWrap w:val="0"/>
            <w:vAlign w:val="center"/>
          </w:tcPr>
          <w:p w14:paraId="60043501">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hint="eastAsia" w:ascii="Times New Roman" w:hAnsi="Times New Roman" w:eastAsia="新宋体"/>
                <w:color w:val="auto"/>
                <w:sz w:val="18"/>
                <w:szCs w:val="18"/>
                <w:highlight w:val="none"/>
                <w:lang w:val="en-US" w:eastAsia="zh-CN"/>
              </w:rPr>
              <w:t>/</w:t>
            </w:r>
          </w:p>
        </w:tc>
        <w:tc>
          <w:tcPr>
            <w:tcW w:w="556" w:type="pct"/>
            <w:noWrap w:val="0"/>
            <w:vAlign w:val="center"/>
          </w:tcPr>
          <w:p w14:paraId="3B316EA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0F0C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45E3C39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1959F01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评价标准</w:t>
            </w:r>
          </w:p>
        </w:tc>
        <w:tc>
          <w:tcPr>
            <w:tcW w:w="3169" w:type="pct"/>
            <w:gridSpan w:val="6"/>
            <w:noWrap w:val="0"/>
            <w:vAlign w:val="center"/>
          </w:tcPr>
          <w:p w14:paraId="01E402F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GB15618</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；GB36600</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；表D.1□；表D.2□；其他（   ）</w:t>
            </w:r>
          </w:p>
        </w:tc>
        <w:tc>
          <w:tcPr>
            <w:tcW w:w="556" w:type="pct"/>
            <w:noWrap w:val="0"/>
            <w:vAlign w:val="center"/>
          </w:tcPr>
          <w:p w14:paraId="5C970F6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7710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FE01A1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435AB11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现状评价结论</w:t>
            </w:r>
          </w:p>
        </w:tc>
        <w:tc>
          <w:tcPr>
            <w:tcW w:w="3169" w:type="pct"/>
            <w:gridSpan w:val="6"/>
            <w:noWrap w:val="0"/>
            <w:vAlign w:val="center"/>
          </w:tcPr>
          <w:p w14:paraId="7397F4E1">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hint="eastAsia" w:ascii="Times New Roman" w:hAnsi="Times New Roman" w:eastAsia="新宋体"/>
                <w:color w:val="auto"/>
                <w:sz w:val="18"/>
                <w:szCs w:val="18"/>
                <w:highlight w:val="none"/>
                <w:lang w:val="en-US" w:eastAsia="zh-CN"/>
              </w:rPr>
              <w:t>/</w:t>
            </w:r>
          </w:p>
        </w:tc>
        <w:tc>
          <w:tcPr>
            <w:tcW w:w="556" w:type="pct"/>
            <w:noWrap w:val="0"/>
            <w:vAlign w:val="center"/>
          </w:tcPr>
          <w:p w14:paraId="0A51021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4F0C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13" w:type="pct"/>
            <w:vMerge w:val="restart"/>
            <w:noWrap w:val="0"/>
            <w:vAlign w:val="center"/>
          </w:tcPr>
          <w:p w14:paraId="1E4C2A4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影响预测</w:t>
            </w:r>
          </w:p>
        </w:tc>
        <w:tc>
          <w:tcPr>
            <w:tcW w:w="959" w:type="pct"/>
            <w:noWrap w:val="0"/>
            <w:vAlign w:val="center"/>
          </w:tcPr>
          <w:p w14:paraId="0B13250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预测因子</w:t>
            </w:r>
          </w:p>
        </w:tc>
        <w:tc>
          <w:tcPr>
            <w:tcW w:w="3169" w:type="pct"/>
            <w:gridSpan w:val="6"/>
            <w:noWrap w:val="0"/>
            <w:vAlign w:val="center"/>
          </w:tcPr>
          <w:p w14:paraId="6333A9CA">
            <w:pPr>
              <w:autoSpaceDE w:val="0"/>
              <w:autoSpaceDN w:val="0"/>
              <w:spacing w:line="240" w:lineRule="auto"/>
              <w:ind w:firstLine="0" w:firstLineChars="0"/>
              <w:jc w:val="center"/>
              <w:rPr>
                <w:rFonts w:hint="eastAsia" w:ascii="Times New Roman" w:hAnsi="Times New Roman" w:eastAsia="新宋体"/>
                <w:color w:val="auto"/>
                <w:sz w:val="18"/>
                <w:szCs w:val="18"/>
                <w:highlight w:val="none"/>
                <w:lang w:eastAsia="zh-CN"/>
              </w:rPr>
            </w:pPr>
            <w:r>
              <w:rPr>
                <w:rFonts w:hint="eastAsia" w:ascii="Times New Roman" w:hAnsi="Times New Roman" w:eastAsia="新宋体"/>
                <w:color w:val="auto"/>
                <w:sz w:val="18"/>
                <w:szCs w:val="18"/>
                <w:highlight w:val="none"/>
                <w:lang w:val="en-US" w:eastAsia="zh-CN"/>
              </w:rPr>
              <w:t>/</w:t>
            </w:r>
          </w:p>
        </w:tc>
        <w:tc>
          <w:tcPr>
            <w:tcW w:w="556" w:type="pct"/>
            <w:noWrap w:val="0"/>
            <w:vAlign w:val="center"/>
          </w:tcPr>
          <w:p w14:paraId="50DDBD6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3263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4E3C5F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05D476F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预测方法</w:t>
            </w:r>
          </w:p>
        </w:tc>
        <w:tc>
          <w:tcPr>
            <w:tcW w:w="3169" w:type="pct"/>
            <w:gridSpan w:val="6"/>
            <w:noWrap w:val="0"/>
            <w:vAlign w:val="center"/>
          </w:tcPr>
          <w:p w14:paraId="4DC8799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附录E</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；附录F□；其他（   ）</w:t>
            </w:r>
          </w:p>
        </w:tc>
        <w:tc>
          <w:tcPr>
            <w:tcW w:w="556" w:type="pct"/>
            <w:noWrap w:val="0"/>
            <w:vAlign w:val="center"/>
          </w:tcPr>
          <w:p w14:paraId="707C37E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31330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6B4E406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48B6EEB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预测分析内容</w:t>
            </w:r>
          </w:p>
        </w:tc>
        <w:tc>
          <w:tcPr>
            <w:tcW w:w="3169" w:type="pct"/>
            <w:gridSpan w:val="6"/>
            <w:noWrap w:val="0"/>
            <w:vAlign w:val="center"/>
          </w:tcPr>
          <w:p w14:paraId="7C0271F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影响范围（</w:t>
            </w:r>
            <w:r>
              <w:rPr>
                <w:rFonts w:hint="eastAsia" w:ascii="Times New Roman" w:hAnsi="Times New Roman" w:eastAsia="新宋体"/>
                <w:color w:val="auto"/>
                <w:sz w:val="18"/>
                <w:szCs w:val="18"/>
                <w:highlight w:val="none"/>
                <w:lang w:eastAsia="en-US"/>
              </w:rPr>
              <w:t>10</w:t>
            </w:r>
            <w:r>
              <w:rPr>
                <w:rFonts w:ascii="Times New Roman" w:hAnsi="Times New Roman" w:eastAsia="新宋体"/>
                <w:color w:val="auto"/>
                <w:sz w:val="18"/>
                <w:szCs w:val="18"/>
                <w:highlight w:val="none"/>
                <w:lang w:eastAsia="en-US"/>
              </w:rPr>
              <w:t>km×</w:t>
            </w:r>
            <w:r>
              <w:rPr>
                <w:rFonts w:hint="eastAsia" w:ascii="Times New Roman" w:hAnsi="Times New Roman" w:eastAsia="新宋体"/>
                <w:color w:val="auto"/>
                <w:sz w:val="18"/>
                <w:szCs w:val="18"/>
                <w:highlight w:val="none"/>
                <w:lang w:eastAsia="en-US"/>
              </w:rPr>
              <w:t>10</w:t>
            </w:r>
            <w:r>
              <w:rPr>
                <w:rFonts w:ascii="Times New Roman" w:hAnsi="Times New Roman" w:eastAsia="新宋体"/>
                <w:color w:val="auto"/>
                <w:sz w:val="18"/>
                <w:szCs w:val="18"/>
                <w:highlight w:val="none"/>
                <w:lang w:eastAsia="en-US"/>
              </w:rPr>
              <w:t>km）</w:t>
            </w:r>
          </w:p>
          <w:p w14:paraId="4A37956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影响程度（可接受）</w:t>
            </w:r>
          </w:p>
        </w:tc>
        <w:tc>
          <w:tcPr>
            <w:tcW w:w="556" w:type="pct"/>
            <w:noWrap w:val="0"/>
            <w:vAlign w:val="center"/>
          </w:tcPr>
          <w:p w14:paraId="1EFC2BC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4AE8B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BD19E8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4DA5115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预测结论</w:t>
            </w:r>
          </w:p>
        </w:tc>
        <w:tc>
          <w:tcPr>
            <w:tcW w:w="3169" w:type="pct"/>
            <w:gridSpan w:val="6"/>
            <w:noWrap w:val="0"/>
            <w:vAlign w:val="center"/>
          </w:tcPr>
          <w:p w14:paraId="2A87D29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达标结论：a）</w:t>
            </w:r>
            <w:r>
              <w:rPr>
                <w:rFonts w:hint="eastAsia" w:ascii="Times New Roman" w:hAnsi="Times New Roman" w:eastAsia="新宋体"/>
                <w:color w:val="auto"/>
                <w:sz w:val="18"/>
                <w:szCs w:val="18"/>
                <w:highlight w:val="none"/>
                <w:lang w:eastAsia="zh-CN"/>
              </w:rPr>
              <w:t>□</w:t>
            </w:r>
            <w:r>
              <w:rPr>
                <w:rFonts w:ascii="Times New Roman" w:hAnsi="Times New Roman" w:eastAsia="新宋体"/>
                <w:color w:val="auto"/>
                <w:sz w:val="18"/>
                <w:szCs w:val="18"/>
                <w:highlight w:val="none"/>
                <w:lang w:eastAsia="en-US"/>
              </w:rPr>
              <w:t>；b）□；c）□</w:t>
            </w:r>
          </w:p>
          <w:p w14:paraId="7D51845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不达标结论：a）□；b）□</w:t>
            </w:r>
          </w:p>
        </w:tc>
        <w:tc>
          <w:tcPr>
            <w:tcW w:w="556" w:type="pct"/>
            <w:noWrap w:val="0"/>
            <w:vAlign w:val="center"/>
          </w:tcPr>
          <w:p w14:paraId="6039653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25031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restart"/>
            <w:noWrap w:val="0"/>
            <w:vAlign w:val="center"/>
          </w:tcPr>
          <w:p w14:paraId="18D0597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防治措施</w:t>
            </w:r>
          </w:p>
        </w:tc>
        <w:tc>
          <w:tcPr>
            <w:tcW w:w="959" w:type="pct"/>
            <w:noWrap w:val="0"/>
            <w:vAlign w:val="center"/>
          </w:tcPr>
          <w:p w14:paraId="26E1964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防控措施</w:t>
            </w:r>
          </w:p>
        </w:tc>
        <w:tc>
          <w:tcPr>
            <w:tcW w:w="3169" w:type="pct"/>
            <w:gridSpan w:val="6"/>
            <w:noWrap w:val="0"/>
            <w:vAlign w:val="center"/>
          </w:tcPr>
          <w:p w14:paraId="490B6E1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土壤环境质量现状保障</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；源头控制</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；过程防控</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；其他（    ）</w:t>
            </w:r>
          </w:p>
        </w:tc>
        <w:tc>
          <w:tcPr>
            <w:tcW w:w="556" w:type="pct"/>
            <w:noWrap w:val="0"/>
            <w:vAlign w:val="center"/>
          </w:tcPr>
          <w:p w14:paraId="22A3206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A63D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097F35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vMerge w:val="restart"/>
            <w:noWrap w:val="0"/>
            <w:vAlign w:val="center"/>
          </w:tcPr>
          <w:p w14:paraId="2073D30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跟踪监测</w:t>
            </w:r>
          </w:p>
        </w:tc>
        <w:tc>
          <w:tcPr>
            <w:tcW w:w="1639" w:type="pct"/>
            <w:gridSpan w:val="2"/>
            <w:noWrap w:val="0"/>
            <w:vAlign w:val="center"/>
          </w:tcPr>
          <w:p w14:paraId="3E64444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监测点数</w:t>
            </w:r>
          </w:p>
        </w:tc>
        <w:tc>
          <w:tcPr>
            <w:tcW w:w="745" w:type="pct"/>
            <w:gridSpan w:val="2"/>
            <w:noWrap w:val="0"/>
            <w:vAlign w:val="center"/>
          </w:tcPr>
          <w:p w14:paraId="6A6DE22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监测指标</w:t>
            </w:r>
          </w:p>
        </w:tc>
        <w:tc>
          <w:tcPr>
            <w:tcW w:w="785" w:type="pct"/>
            <w:gridSpan w:val="2"/>
            <w:noWrap w:val="0"/>
            <w:vAlign w:val="center"/>
          </w:tcPr>
          <w:p w14:paraId="6826AC5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监测频次</w:t>
            </w:r>
          </w:p>
        </w:tc>
        <w:tc>
          <w:tcPr>
            <w:tcW w:w="556" w:type="pct"/>
            <w:noWrap w:val="0"/>
            <w:vAlign w:val="center"/>
          </w:tcPr>
          <w:p w14:paraId="34911BD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5678F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2493ECF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vMerge w:val="continue"/>
            <w:noWrap w:val="0"/>
            <w:vAlign w:val="center"/>
          </w:tcPr>
          <w:p w14:paraId="3E12CB6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1639" w:type="pct"/>
            <w:gridSpan w:val="2"/>
            <w:noWrap w:val="0"/>
            <w:vAlign w:val="center"/>
          </w:tcPr>
          <w:p w14:paraId="4001118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745" w:type="pct"/>
            <w:gridSpan w:val="2"/>
            <w:noWrap w:val="0"/>
            <w:vAlign w:val="center"/>
          </w:tcPr>
          <w:p w14:paraId="30E566A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785" w:type="pct"/>
            <w:gridSpan w:val="2"/>
            <w:noWrap w:val="0"/>
            <w:vAlign w:val="center"/>
          </w:tcPr>
          <w:p w14:paraId="58E2867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556" w:type="pct"/>
            <w:noWrap w:val="0"/>
            <w:vAlign w:val="center"/>
          </w:tcPr>
          <w:p w14:paraId="0FBB752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7FC6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13" w:type="pct"/>
            <w:vMerge w:val="continue"/>
            <w:noWrap w:val="0"/>
            <w:vAlign w:val="center"/>
          </w:tcPr>
          <w:p w14:paraId="1BB0948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959" w:type="pct"/>
            <w:noWrap w:val="0"/>
            <w:vAlign w:val="center"/>
          </w:tcPr>
          <w:p w14:paraId="2B46FBE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信息公开指标</w:t>
            </w:r>
          </w:p>
        </w:tc>
        <w:tc>
          <w:tcPr>
            <w:tcW w:w="3169" w:type="pct"/>
            <w:gridSpan w:val="6"/>
            <w:noWrap w:val="0"/>
            <w:vAlign w:val="center"/>
          </w:tcPr>
          <w:p w14:paraId="330CE61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556" w:type="pct"/>
            <w:noWrap w:val="0"/>
            <w:vAlign w:val="center"/>
          </w:tcPr>
          <w:p w14:paraId="02CFE4F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725DE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73" w:type="pct"/>
            <w:gridSpan w:val="2"/>
            <w:noWrap w:val="0"/>
            <w:vAlign w:val="center"/>
          </w:tcPr>
          <w:p w14:paraId="4FC9AE2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评价结论</w:t>
            </w:r>
          </w:p>
        </w:tc>
        <w:tc>
          <w:tcPr>
            <w:tcW w:w="3169" w:type="pct"/>
            <w:gridSpan w:val="6"/>
            <w:noWrap w:val="0"/>
            <w:vAlign w:val="center"/>
          </w:tcPr>
          <w:p w14:paraId="79F5D4F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556" w:type="pct"/>
            <w:noWrap w:val="0"/>
            <w:vAlign w:val="center"/>
          </w:tcPr>
          <w:p w14:paraId="4847FE7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639BA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43" w:type="pct"/>
            <w:gridSpan w:val="8"/>
            <w:noWrap w:val="0"/>
            <w:vAlign w:val="center"/>
          </w:tcPr>
          <w:p w14:paraId="43FED69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注1：“□”为勾选项，可√；“（  ）”为内容填写项；“备注”为其他补充内容。</w:t>
            </w:r>
          </w:p>
          <w:p w14:paraId="16042A2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注2：需要分别开展土壤环境影响评级工作的，分别填写自查表。</w:t>
            </w:r>
          </w:p>
        </w:tc>
        <w:tc>
          <w:tcPr>
            <w:tcW w:w="556" w:type="pct"/>
            <w:noWrap w:val="0"/>
            <w:vAlign w:val="center"/>
          </w:tcPr>
          <w:p w14:paraId="7DA5F05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bl>
    <w:p w14:paraId="1A5A36D4">
      <w:pPr>
        <w:pStyle w:val="4"/>
        <w:spacing w:before="0" w:after="0" w:line="240" w:lineRule="auto"/>
        <w:jc w:val="center"/>
        <w:rPr>
          <w:rFonts w:hint="eastAsia" w:ascii="Times New Roman" w:hAnsi="Times New Roman"/>
          <w:color w:val="auto"/>
          <w:highlight w:val="none"/>
        </w:rPr>
      </w:pPr>
      <w:r>
        <w:rPr>
          <w:rFonts w:ascii="Times New Roman" w:hAnsi="Times New Roman"/>
          <w:color w:val="auto"/>
          <w:highlight w:val="none"/>
        </w:rPr>
        <w:br w:type="page"/>
      </w:r>
      <w:bookmarkStart w:id="223" w:name="_Toc30703"/>
      <w:bookmarkStart w:id="224" w:name="_Toc17087"/>
      <w:r>
        <w:rPr>
          <w:rFonts w:hint="eastAsia"/>
          <w:color w:val="auto"/>
          <w:highlight w:val="none"/>
        </w:rPr>
        <w:t>建设项目风险自查表</w:t>
      </w:r>
      <w:bookmarkEnd w:id="223"/>
      <w:bookmarkEnd w:id="224"/>
    </w:p>
    <w:tbl>
      <w:tblPr>
        <w:tblStyle w:val="17"/>
        <w:tblW w:w="50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1247"/>
        <w:gridCol w:w="676"/>
        <w:gridCol w:w="1027"/>
        <w:gridCol w:w="969"/>
        <w:gridCol w:w="645"/>
        <w:gridCol w:w="691"/>
        <w:gridCol w:w="688"/>
        <w:gridCol w:w="691"/>
        <w:gridCol w:w="688"/>
        <w:gridCol w:w="696"/>
      </w:tblGrid>
      <w:tr w14:paraId="2481C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blHeader/>
          <w:jc w:val="center"/>
        </w:trPr>
        <w:tc>
          <w:tcPr>
            <w:tcW w:w="1103" w:type="pct"/>
            <w:gridSpan w:val="2"/>
            <w:noWrap w:val="0"/>
            <w:vAlign w:val="center"/>
          </w:tcPr>
          <w:p w14:paraId="3CCD828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工作内容</w:t>
            </w:r>
          </w:p>
        </w:tc>
        <w:tc>
          <w:tcPr>
            <w:tcW w:w="3897" w:type="pct"/>
            <w:gridSpan w:val="9"/>
            <w:noWrap w:val="0"/>
            <w:vAlign w:val="center"/>
          </w:tcPr>
          <w:p w14:paraId="0AFF05B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完成情况</w:t>
            </w:r>
          </w:p>
        </w:tc>
      </w:tr>
      <w:tr w14:paraId="670E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85" w:type="pct"/>
            <w:vMerge w:val="restart"/>
            <w:noWrap w:val="0"/>
            <w:vAlign w:val="center"/>
          </w:tcPr>
          <w:p w14:paraId="24F8D0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风险调查</w:t>
            </w:r>
          </w:p>
        </w:tc>
        <w:tc>
          <w:tcPr>
            <w:tcW w:w="718" w:type="pct"/>
            <w:vMerge w:val="restart"/>
            <w:noWrap w:val="0"/>
            <w:vAlign w:val="center"/>
          </w:tcPr>
          <w:p w14:paraId="2308472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危险物质</w:t>
            </w:r>
          </w:p>
        </w:tc>
        <w:tc>
          <w:tcPr>
            <w:tcW w:w="389" w:type="pct"/>
            <w:noWrap w:val="0"/>
            <w:vAlign w:val="center"/>
          </w:tcPr>
          <w:p w14:paraId="71038D9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名称</w:t>
            </w:r>
          </w:p>
        </w:tc>
        <w:tc>
          <w:tcPr>
            <w:tcW w:w="591" w:type="pct"/>
            <w:noWrap w:val="0"/>
            <w:vAlign w:val="center"/>
          </w:tcPr>
          <w:p w14:paraId="2D83039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557" w:type="pct"/>
            <w:noWrap w:val="0"/>
            <w:vAlign w:val="center"/>
          </w:tcPr>
          <w:p w14:paraId="001ABE2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71" w:type="pct"/>
            <w:noWrap w:val="0"/>
            <w:vAlign w:val="center"/>
          </w:tcPr>
          <w:p w14:paraId="4AA6AE4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8" w:type="pct"/>
            <w:noWrap w:val="0"/>
            <w:vAlign w:val="center"/>
          </w:tcPr>
          <w:p w14:paraId="587F162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6" w:type="pct"/>
            <w:noWrap w:val="0"/>
            <w:vAlign w:val="center"/>
          </w:tcPr>
          <w:p w14:paraId="5C46412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8" w:type="pct"/>
            <w:noWrap w:val="0"/>
            <w:vAlign w:val="center"/>
          </w:tcPr>
          <w:p w14:paraId="6F32CB1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6" w:type="pct"/>
            <w:noWrap w:val="0"/>
            <w:vAlign w:val="center"/>
          </w:tcPr>
          <w:p w14:paraId="749A4F7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401" w:type="pct"/>
            <w:noWrap w:val="0"/>
            <w:vAlign w:val="center"/>
          </w:tcPr>
          <w:p w14:paraId="776C6DA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77FBF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85" w:type="pct"/>
            <w:vMerge w:val="continue"/>
            <w:noWrap w:val="0"/>
            <w:vAlign w:val="center"/>
          </w:tcPr>
          <w:p w14:paraId="7D93AF6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552F513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noWrap w:val="0"/>
            <w:vAlign w:val="center"/>
          </w:tcPr>
          <w:p w14:paraId="5514434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存在总量/t</w:t>
            </w:r>
          </w:p>
        </w:tc>
        <w:tc>
          <w:tcPr>
            <w:tcW w:w="591" w:type="pct"/>
            <w:noWrap w:val="0"/>
            <w:vAlign w:val="center"/>
          </w:tcPr>
          <w:p w14:paraId="008C2F4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c>
          <w:tcPr>
            <w:tcW w:w="557" w:type="pct"/>
            <w:noWrap w:val="0"/>
            <w:vAlign w:val="center"/>
          </w:tcPr>
          <w:p w14:paraId="717D1DE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71" w:type="pct"/>
            <w:noWrap w:val="0"/>
            <w:vAlign w:val="center"/>
          </w:tcPr>
          <w:p w14:paraId="32A04BF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8" w:type="pct"/>
            <w:noWrap w:val="0"/>
            <w:vAlign w:val="center"/>
          </w:tcPr>
          <w:p w14:paraId="3CC1BC7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6" w:type="pct"/>
            <w:noWrap w:val="0"/>
            <w:vAlign w:val="center"/>
          </w:tcPr>
          <w:p w14:paraId="0A010F8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8" w:type="pct"/>
            <w:noWrap w:val="0"/>
            <w:vAlign w:val="center"/>
          </w:tcPr>
          <w:p w14:paraId="56A8207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96" w:type="pct"/>
            <w:noWrap w:val="0"/>
            <w:vAlign w:val="center"/>
          </w:tcPr>
          <w:p w14:paraId="4D69313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401" w:type="pct"/>
            <w:noWrap w:val="0"/>
            <w:vAlign w:val="center"/>
          </w:tcPr>
          <w:p w14:paraId="1E3EB74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r>
      <w:tr w14:paraId="18065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4B8405C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restart"/>
            <w:noWrap w:val="0"/>
            <w:vAlign w:val="center"/>
          </w:tcPr>
          <w:p w14:paraId="689F4A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环境敏感性</w:t>
            </w:r>
          </w:p>
        </w:tc>
        <w:tc>
          <w:tcPr>
            <w:tcW w:w="389" w:type="pct"/>
            <w:vMerge w:val="restart"/>
            <w:noWrap w:val="0"/>
            <w:vAlign w:val="center"/>
          </w:tcPr>
          <w:p w14:paraId="62EE89C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w:t>
            </w:r>
          </w:p>
        </w:tc>
        <w:tc>
          <w:tcPr>
            <w:tcW w:w="1917" w:type="pct"/>
            <w:gridSpan w:val="4"/>
            <w:noWrap w:val="0"/>
            <w:vAlign w:val="center"/>
          </w:tcPr>
          <w:p w14:paraId="464393A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 xml:space="preserve">500m范围内人口数 </w:t>
            </w:r>
            <w:r>
              <w:rPr>
                <w:rFonts w:hint="eastAsia" w:ascii="Times New Roman" w:hAnsi="Times New Roman" w:eastAsia="新宋体"/>
                <w:color w:val="auto"/>
                <w:sz w:val="18"/>
                <w:szCs w:val="18"/>
                <w:highlight w:val="none"/>
                <w:lang w:eastAsia="en-US"/>
              </w:rPr>
              <w:t xml:space="preserve"> </w:t>
            </w:r>
            <w:r>
              <w:rPr>
                <w:rFonts w:ascii="Times New Roman" w:hAnsi="Times New Roman" w:eastAsia="新宋体"/>
                <w:color w:val="auto"/>
                <w:sz w:val="18"/>
                <w:szCs w:val="18"/>
                <w:highlight w:val="none"/>
                <w:lang w:eastAsia="en-US"/>
              </w:rPr>
              <w:t>人</w:t>
            </w:r>
          </w:p>
        </w:tc>
        <w:tc>
          <w:tcPr>
            <w:tcW w:w="1591" w:type="pct"/>
            <w:gridSpan w:val="4"/>
            <w:noWrap w:val="0"/>
            <w:vAlign w:val="center"/>
          </w:tcPr>
          <w:p w14:paraId="68A021B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5km范围内人口数  人</w:t>
            </w:r>
          </w:p>
        </w:tc>
      </w:tr>
      <w:tr w14:paraId="64FF9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4FEBBA2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37D237C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vMerge w:val="continue"/>
            <w:noWrap w:val="0"/>
            <w:vAlign w:val="center"/>
          </w:tcPr>
          <w:p w14:paraId="4A0AB9D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2711" w:type="pct"/>
            <w:gridSpan w:val="6"/>
            <w:noWrap w:val="0"/>
            <w:vAlign w:val="center"/>
          </w:tcPr>
          <w:p w14:paraId="2381E90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每公里管段周边200m范围内人口数（最大）</w:t>
            </w:r>
          </w:p>
        </w:tc>
        <w:tc>
          <w:tcPr>
            <w:tcW w:w="797" w:type="pct"/>
            <w:gridSpan w:val="2"/>
            <w:noWrap w:val="0"/>
            <w:vAlign w:val="center"/>
          </w:tcPr>
          <w:p w14:paraId="1B1E664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 xml:space="preserve">         人</w:t>
            </w:r>
          </w:p>
        </w:tc>
      </w:tr>
      <w:tr w14:paraId="387BA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67C96E3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40A7E1F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vMerge w:val="restart"/>
            <w:noWrap w:val="0"/>
            <w:vAlign w:val="center"/>
          </w:tcPr>
          <w:p w14:paraId="25E63C3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地表水</w:t>
            </w:r>
          </w:p>
        </w:tc>
        <w:tc>
          <w:tcPr>
            <w:tcW w:w="1148" w:type="pct"/>
            <w:gridSpan w:val="2"/>
            <w:noWrap w:val="0"/>
            <w:vAlign w:val="center"/>
          </w:tcPr>
          <w:p w14:paraId="0C095B9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地表水功能敏感性</w:t>
            </w:r>
          </w:p>
        </w:tc>
        <w:tc>
          <w:tcPr>
            <w:tcW w:w="769" w:type="pct"/>
            <w:gridSpan w:val="2"/>
            <w:noWrap w:val="0"/>
            <w:vAlign w:val="center"/>
          </w:tcPr>
          <w:p w14:paraId="32CF565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F1□</w:t>
            </w:r>
          </w:p>
        </w:tc>
        <w:tc>
          <w:tcPr>
            <w:tcW w:w="794" w:type="pct"/>
            <w:gridSpan w:val="2"/>
            <w:noWrap w:val="0"/>
            <w:vAlign w:val="center"/>
          </w:tcPr>
          <w:p w14:paraId="16F0B8B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F2□</w:t>
            </w:r>
          </w:p>
        </w:tc>
        <w:tc>
          <w:tcPr>
            <w:tcW w:w="797" w:type="pct"/>
            <w:gridSpan w:val="2"/>
            <w:noWrap w:val="0"/>
            <w:vAlign w:val="center"/>
          </w:tcPr>
          <w:p w14:paraId="18E427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F3□</w:t>
            </w:r>
          </w:p>
        </w:tc>
      </w:tr>
      <w:tr w14:paraId="02A8A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1AE8695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409563C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vMerge w:val="continue"/>
            <w:noWrap w:val="0"/>
            <w:vAlign w:val="center"/>
          </w:tcPr>
          <w:p w14:paraId="296F231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1148" w:type="pct"/>
            <w:gridSpan w:val="2"/>
            <w:noWrap w:val="0"/>
            <w:vAlign w:val="center"/>
          </w:tcPr>
          <w:p w14:paraId="2E22F5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环境敏感目标分级</w:t>
            </w:r>
          </w:p>
        </w:tc>
        <w:tc>
          <w:tcPr>
            <w:tcW w:w="769" w:type="pct"/>
            <w:gridSpan w:val="2"/>
            <w:noWrap w:val="0"/>
            <w:vAlign w:val="center"/>
          </w:tcPr>
          <w:p w14:paraId="3FDD34B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S1□</w:t>
            </w:r>
          </w:p>
        </w:tc>
        <w:tc>
          <w:tcPr>
            <w:tcW w:w="794" w:type="pct"/>
            <w:gridSpan w:val="2"/>
            <w:noWrap w:val="0"/>
            <w:vAlign w:val="center"/>
          </w:tcPr>
          <w:p w14:paraId="24380C9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S2□</w:t>
            </w:r>
          </w:p>
        </w:tc>
        <w:tc>
          <w:tcPr>
            <w:tcW w:w="797" w:type="pct"/>
            <w:gridSpan w:val="2"/>
            <w:noWrap w:val="0"/>
            <w:vAlign w:val="center"/>
          </w:tcPr>
          <w:p w14:paraId="77F117C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S3□</w:t>
            </w:r>
          </w:p>
        </w:tc>
      </w:tr>
      <w:tr w14:paraId="4E329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85" w:type="pct"/>
            <w:vMerge w:val="continue"/>
            <w:noWrap w:val="0"/>
            <w:vAlign w:val="center"/>
          </w:tcPr>
          <w:p w14:paraId="3C4D47D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09C0B55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vMerge w:val="restart"/>
            <w:noWrap w:val="0"/>
            <w:vAlign w:val="center"/>
          </w:tcPr>
          <w:p w14:paraId="076908E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地下水</w:t>
            </w:r>
          </w:p>
        </w:tc>
        <w:tc>
          <w:tcPr>
            <w:tcW w:w="1148" w:type="pct"/>
            <w:gridSpan w:val="2"/>
            <w:noWrap w:val="0"/>
            <w:vAlign w:val="center"/>
          </w:tcPr>
          <w:p w14:paraId="4D00633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地下水功能敏感性</w:t>
            </w:r>
          </w:p>
        </w:tc>
        <w:tc>
          <w:tcPr>
            <w:tcW w:w="769" w:type="pct"/>
            <w:gridSpan w:val="2"/>
            <w:noWrap w:val="0"/>
            <w:vAlign w:val="center"/>
          </w:tcPr>
          <w:p w14:paraId="4F57EFC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G1□</w:t>
            </w:r>
          </w:p>
        </w:tc>
        <w:tc>
          <w:tcPr>
            <w:tcW w:w="794" w:type="pct"/>
            <w:gridSpan w:val="2"/>
            <w:noWrap w:val="0"/>
            <w:vAlign w:val="center"/>
          </w:tcPr>
          <w:p w14:paraId="17C1369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G2□</w:t>
            </w:r>
          </w:p>
        </w:tc>
        <w:tc>
          <w:tcPr>
            <w:tcW w:w="797" w:type="pct"/>
            <w:gridSpan w:val="2"/>
            <w:noWrap w:val="0"/>
            <w:vAlign w:val="center"/>
          </w:tcPr>
          <w:p w14:paraId="192A3CD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G3□</w:t>
            </w:r>
          </w:p>
        </w:tc>
      </w:tr>
      <w:tr w14:paraId="11888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539CC2F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4AC9CEB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vMerge w:val="continue"/>
            <w:noWrap w:val="0"/>
            <w:vAlign w:val="center"/>
          </w:tcPr>
          <w:p w14:paraId="63D5575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1148" w:type="pct"/>
            <w:gridSpan w:val="2"/>
            <w:noWrap w:val="0"/>
            <w:vAlign w:val="center"/>
          </w:tcPr>
          <w:p w14:paraId="19C61CA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包气带防污性能</w:t>
            </w:r>
          </w:p>
        </w:tc>
        <w:tc>
          <w:tcPr>
            <w:tcW w:w="769" w:type="pct"/>
            <w:gridSpan w:val="2"/>
            <w:noWrap w:val="0"/>
            <w:vAlign w:val="center"/>
          </w:tcPr>
          <w:p w14:paraId="795FCF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D1□</w:t>
            </w:r>
          </w:p>
        </w:tc>
        <w:tc>
          <w:tcPr>
            <w:tcW w:w="794" w:type="pct"/>
            <w:gridSpan w:val="2"/>
            <w:noWrap w:val="0"/>
            <w:vAlign w:val="center"/>
          </w:tcPr>
          <w:p w14:paraId="3A7C5DD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D2□</w:t>
            </w:r>
          </w:p>
        </w:tc>
        <w:tc>
          <w:tcPr>
            <w:tcW w:w="797" w:type="pct"/>
            <w:gridSpan w:val="2"/>
            <w:noWrap w:val="0"/>
            <w:vAlign w:val="center"/>
          </w:tcPr>
          <w:p w14:paraId="312FBDE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D3□</w:t>
            </w:r>
          </w:p>
        </w:tc>
      </w:tr>
      <w:tr w14:paraId="4B0CB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vMerge w:val="restart"/>
            <w:noWrap w:val="0"/>
            <w:vAlign w:val="center"/>
          </w:tcPr>
          <w:p w14:paraId="78DE21D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物质及工艺系统危险性</w:t>
            </w:r>
          </w:p>
        </w:tc>
        <w:tc>
          <w:tcPr>
            <w:tcW w:w="389" w:type="pct"/>
            <w:noWrap w:val="0"/>
            <w:vAlign w:val="center"/>
          </w:tcPr>
          <w:p w14:paraId="0657D44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Q值</w:t>
            </w:r>
          </w:p>
        </w:tc>
        <w:tc>
          <w:tcPr>
            <w:tcW w:w="1148" w:type="pct"/>
            <w:gridSpan w:val="2"/>
            <w:noWrap w:val="0"/>
            <w:vAlign w:val="center"/>
          </w:tcPr>
          <w:p w14:paraId="1D2E786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Q＜1</w:t>
            </w:r>
            <w:r>
              <w:rPr>
                <w:rFonts w:hint="eastAsia" w:ascii="Times New Roman" w:hAnsi="Times New Roman" w:eastAsia="新宋体"/>
                <w:color w:val="auto"/>
                <w:sz w:val="18"/>
                <w:szCs w:val="18"/>
                <w:highlight w:val="none"/>
                <w:lang w:eastAsia="en-US"/>
              </w:rPr>
              <w:t>☑</w:t>
            </w:r>
          </w:p>
        </w:tc>
        <w:tc>
          <w:tcPr>
            <w:tcW w:w="769" w:type="pct"/>
            <w:gridSpan w:val="2"/>
            <w:noWrap w:val="0"/>
            <w:vAlign w:val="center"/>
          </w:tcPr>
          <w:p w14:paraId="7FE7C45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1</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Q＜10□</w:t>
            </w:r>
          </w:p>
        </w:tc>
        <w:tc>
          <w:tcPr>
            <w:tcW w:w="794" w:type="pct"/>
            <w:gridSpan w:val="2"/>
            <w:noWrap w:val="0"/>
            <w:vAlign w:val="center"/>
          </w:tcPr>
          <w:p w14:paraId="77C7CBD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10</w:t>
            </w:r>
            <w:r>
              <w:rPr>
                <w:rFonts w:hint="eastAsia" w:ascii="Times New Roman" w:hAnsi="Times New Roman" w:eastAsia="新宋体"/>
                <w:color w:val="auto"/>
                <w:sz w:val="18"/>
                <w:szCs w:val="18"/>
                <w:highlight w:val="none"/>
                <w:lang w:eastAsia="en-US"/>
              </w:rPr>
              <w:t>≦</w:t>
            </w:r>
            <w:r>
              <w:rPr>
                <w:rFonts w:ascii="Times New Roman" w:hAnsi="Times New Roman" w:eastAsia="新宋体"/>
                <w:color w:val="auto"/>
                <w:sz w:val="18"/>
                <w:szCs w:val="18"/>
                <w:highlight w:val="none"/>
                <w:lang w:eastAsia="en-US"/>
              </w:rPr>
              <w:t>Q＜100□</w:t>
            </w:r>
          </w:p>
        </w:tc>
        <w:tc>
          <w:tcPr>
            <w:tcW w:w="797" w:type="pct"/>
            <w:gridSpan w:val="2"/>
            <w:noWrap w:val="0"/>
            <w:vAlign w:val="center"/>
          </w:tcPr>
          <w:p w14:paraId="6DFB462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Q＞100□</w:t>
            </w:r>
          </w:p>
        </w:tc>
      </w:tr>
      <w:tr w14:paraId="45916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vMerge w:val="continue"/>
            <w:noWrap w:val="0"/>
            <w:vAlign w:val="center"/>
          </w:tcPr>
          <w:p w14:paraId="0EB9D0A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noWrap w:val="0"/>
            <w:vAlign w:val="center"/>
          </w:tcPr>
          <w:p w14:paraId="52EB73D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M值</w:t>
            </w:r>
          </w:p>
        </w:tc>
        <w:tc>
          <w:tcPr>
            <w:tcW w:w="1148" w:type="pct"/>
            <w:gridSpan w:val="2"/>
            <w:noWrap w:val="0"/>
            <w:vAlign w:val="center"/>
          </w:tcPr>
          <w:p w14:paraId="4F47D1B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M1□</w:t>
            </w:r>
          </w:p>
        </w:tc>
        <w:tc>
          <w:tcPr>
            <w:tcW w:w="769" w:type="pct"/>
            <w:gridSpan w:val="2"/>
            <w:noWrap w:val="0"/>
            <w:vAlign w:val="center"/>
          </w:tcPr>
          <w:p w14:paraId="57E167C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M2□</w:t>
            </w:r>
          </w:p>
        </w:tc>
        <w:tc>
          <w:tcPr>
            <w:tcW w:w="794" w:type="pct"/>
            <w:gridSpan w:val="2"/>
            <w:noWrap w:val="0"/>
            <w:vAlign w:val="center"/>
          </w:tcPr>
          <w:p w14:paraId="03A6F05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M3□</w:t>
            </w:r>
          </w:p>
        </w:tc>
        <w:tc>
          <w:tcPr>
            <w:tcW w:w="797" w:type="pct"/>
            <w:gridSpan w:val="2"/>
            <w:noWrap w:val="0"/>
            <w:vAlign w:val="center"/>
          </w:tcPr>
          <w:p w14:paraId="7703457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M4□</w:t>
            </w:r>
          </w:p>
        </w:tc>
      </w:tr>
      <w:tr w14:paraId="1BB5C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vMerge w:val="continue"/>
            <w:noWrap w:val="0"/>
            <w:vAlign w:val="center"/>
          </w:tcPr>
          <w:p w14:paraId="635E5E6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noWrap w:val="0"/>
            <w:vAlign w:val="center"/>
          </w:tcPr>
          <w:p w14:paraId="6BF3AFE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P值</w:t>
            </w:r>
          </w:p>
        </w:tc>
        <w:tc>
          <w:tcPr>
            <w:tcW w:w="1148" w:type="pct"/>
            <w:gridSpan w:val="2"/>
            <w:noWrap w:val="0"/>
            <w:vAlign w:val="center"/>
          </w:tcPr>
          <w:p w14:paraId="5D6BCC6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P1□</w:t>
            </w:r>
          </w:p>
        </w:tc>
        <w:tc>
          <w:tcPr>
            <w:tcW w:w="769" w:type="pct"/>
            <w:gridSpan w:val="2"/>
            <w:noWrap w:val="0"/>
            <w:vAlign w:val="center"/>
          </w:tcPr>
          <w:p w14:paraId="7BB7492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P2□</w:t>
            </w:r>
          </w:p>
        </w:tc>
        <w:tc>
          <w:tcPr>
            <w:tcW w:w="794" w:type="pct"/>
            <w:gridSpan w:val="2"/>
            <w:noWrap w:val="0"/>
            <w:vAlign w:val="center"/>
          </w:tcPr>
          <w:p w14:paraId="394B3F7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P3□</w:t>
            </w:r>
          </w:p>
        </w:tc>
        <w:tc>
          <w:tcPr>
            <w:tcW w:w="797" w:type="pct"/>
            <w:gridSpan w:val="2"/>
            <w:noWrap w:val="0"/>
            <w:vAlign w:val="center"/>
          </w:tcPr>
          <w:p w14:paraId="1AC3954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P4□</w:t>
            </w:r>
          </w:p>
        </w:tc>
      </w:tr>
      <w:tr w14:paraId="409B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vMerge w:val="restart"/>
            <w:noWrap w:val="0"/>
            <w:vAlign w:val="center"/>
          </w:tcPr>
          <w:p w14:paraId="55E8D00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环境敏感程度</w:t>
            </w:r>
          </w:p>
        </w:tc>
        <w:tc>
          <w:tcPr>
            <w:tcW w:w="389" w:type="pct"/>
            <w:noWrap w:val="0"/>
            <w:vAlign w:val="center"/>
          </w:tcPr>
          <w:p w14:paraId="562838A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w:t>
            </w:r>
          </w:p>
        </w:tc>
        <w:tc>
          <w:tcPr>
            <w:tcW w:w="1148" w:type="pct"/>
            <w:gridSpan w:val="2"/>
            <w:noWrap w:val="0"/>
            <w:vAlign w:val="center"/>
          </w:tcPr>
          <w:p w14:paraId="27BA1A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E1□</w:t>
            </w:r>
          </w:p>
        </w:tc>
        <w:tc>
          <w:tcPr>
            <w:tcW w:w="1165" w:type="pct"/>
            <w:gridSpan w:val="3"/>
            <w:noWrap w:val="0"/>
            <w:vAlign w:val="center"/>
          </w:tcPr>
          <w:p w14:paraId="73456A8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E2□</w:t>
            </w:r>
          </w:p>
        </w:tc>
        <w:tc>
          <w:tcPr>
            <w:tcW w:w="1195" w:type="pct"/>
            <w:gridSpan w:val="3"/>
            <w:noWrap w:val="0"/>
            <w:vAlign w:val="center"/>
          </w:tcPr>
          <w:p w14:paraId="0C5C270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E3□</w:t>
            </w:r>
          </w:p>
        </w:tc>
      </w:tr>
      <w:tr w14:paraId="49B87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3" w:type="pct"/>
            <w:gridSpan w:val="2"/>
            <w:vMerge w:val="continue"/>
            <w:noWrap w:val="0"/>
            <w:vAlign w:val="center"/>
          </w:tcPr>
          <w:p w14:paraId="1DB4C89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noWrap w:val="0"/>
            <w:vAlign w:val="center"/>
          </w:tcPr>
          <w:p w14:paraId="0F885DA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地表水</w:t>
            </w:r>
          </w:p>
        </w:tc>
        <w:tc>
          <w:tcPr>
            <w:tcW w:w="1148" w:type="pct"/>
            <w:gridSpan w:val="2"/>
            <w:noWrap w:val="0"/>
            <w:vAlign w:val="center"/>
          </w:tcPr>
          <w:p w14:paraId="4B54714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E1□</w:t>
            </w:r>
          </w:p>
        </w:tc>
        <w:tc>
          <w:tcPr>
            <w:tcW w:w="1165" w:type="pct"/>
            <w:gridSpan w:val="3"/>
            <w:noWrap w:val="0"/>
            <w:vAlign w:val="center"/>
          </w:tcPr>
          <w:p w14:paraId="718F89B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E2□</w:t>
            </w:r>
          </w:p>
        </w:tc>
        <w:tc>
          <w:tcPr>
            <w:tcW w:w="1195" w:type="pct"/>
            <w:gridSpan w:val="3"/>
            <w:noWrap w:val="0"/>
            <w:vAlign w:val="center"/>
          </w:tcPr>
          <w:p w14:paraId="6B7B686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E3□</w:t>
            </w:r>
          </w:p>
        </w:tc>
      </w:tr>
      <w:tr w14:paraId="73AEB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103" w:type="pct"/>
            <w:gridSpan w:val="2"/>
            <w:vMerge w:val="continue"/>
            <w:noWrap w:val="0"/>
            <w:vAlign w:val="center"/>
          </w:tcPr>
          <w:p w14:paraId="54141EB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 w:type="pct"/>
            <w:noWrap w:val="0"/>
            <w:vAlign w:val="center"/>
          </w:tcPr>
          <w:p w14:paraId="5353C09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地下水</w:t>
            </w:r>
          </w:p>
        </w:tc>
        <w:tc>
          <w:tcPr>
            <w:tcW w:w="1148" w:type="pct"/>
            <w:gridSpan w:val="2"/>
            <w:noWrap w:val="0"/>
            <w:vAlign w:val="center"/>
          </w:tcPr>
          <w:p w14:paraId="7A0584E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E1□</w:t>
            </w:r>
          </w:p>
        </w:tc>
        <w:tc>
          <w:tcPr>
            <w:tcW w:w="1165" w:type="pct"/>
            <w:gridSpan w:val="3"/>
            <w:noWrap w:val="0"/>
            <w:vAlign w:val="center"/>
          </w:tcPr>
          <w:p w14:paraId="3F4DA34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E2□</w:t>
            </w:r>
          </w:p>
        </w:tc>
        <w:tc>
          <w:tcPr>
            <w:tcW w:w="1195" w:type="pct"/>
            <w:gridSpan w:val="3"/>
            <w:noWrap w:val="0"/>
            <w:vAlign w:val="center"/>
          </w:tcPr>
          <w:p w14:paraId="5590273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E3□</w:t>
            </w:r>
          </w:p>
        </w:tc>
      </w:tr>
      <w:tr w14:paraId="2DAEF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noWrap w:val="0"/>
            <w:vAlign w:val="center"/>
          </w:tcPr>
          <w:p w14:paraId="0A1900C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环境风险潜势</w:t>
            </w:r>
          </w:p>
        </w:tc>
        <w:tc>
          <w:tcPr>
            <w:tcW w:w="389" w:type="pct"/>
            <w:noWrap w:val="0"/>
            <w:vAlign w:val="center"/>
          </w:tcPr>
          <w:p w14:paraId="6795D1B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Ⅳ</w:t>
            </w:r>
            <w:r>
              <w:rPr>
                <w:rFonts w:ascii="Times New Roman" w:hAnsi="Times New Roman" w:eastAsia="新宋体"/>
                <w:color w:val="auto"/>
                <w:sz w:val="18"/>
                <w:szCs w:val="18"/>
                <w:highlight w:val="none"/>
                <w:lang w:eastAsia="en-US"/>
              </w:rPr>
              <w:t>+□</w:t>
            </w:r>
          </w:p>
        </w:tc>
        <w:tc>
          <w:tcPr>
            <w:tcW w:w="1148" w:type="pct"/>
            <w:gridSpan w:val="2"/>
            <w:noWrap w:val="0"/>
            <w:vAlign w:val="center"/>
          </w:tcPr>
          <w:p w14:paraId="16F8EFB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Ⅳ</w:t>
            </w:r>
            <w:r>
              <w:rPr>
                <w:rFonts w:ascii="Times New Roman" w:hAnsi="Times New Roman" w:eastAsia="新宋体"/>
                <w:color w:val="auto"/>
                <w:sz w:val="18"/>
                <w:szCs w:val="18"/>
                <w:highlight w:val="none"/>
                <w:lang w:eastAsia="en-US"/>
              </w:rPr>
              <w:t>□</w:t>
            </w:r>
          </w:p>
        </w:tc>
        <w:tc>
          <w:tcPr>
            <w:tcW w:w="769" w:type="pct"/>
            <w:gridSpan w:val="2"/>
            <w:noWrap w:val="0"/>
            <w:vAlign w:val="center"/>
          </w:tcPr>
          <w:p w14:paraId="324E619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Ⅲ</w:t>
            </w:r>
            <w:r>
              <w:rPr>
                <w:rFonts w:ascii="Times New Roman" w:hAnsi="Times New Roman" w:eastAsia="新宋体"/>
                <w:color w:val="auto"/>
                <w:sz w:val="18"/>
                <w:szCs w:val="18"/>
                <w:highlight w:val="none"/>
                <w:lang w:eastAsia="en-US"/>
              </w:rPr>
              <w:t>□</w:t>
            </w:r>
          </w:p>
        </w:tc>
        <w:tc>
          <w:tcPr>
            <w:tcW w:w="794" w:type="pct"/>
            <w:gridSpan w:val="2"/>
            <w:noWrap w:val="0"/>
            <w:vAlign w:val="center"/>
          </w:tcPr>
          <w:p w14:paraId="02B3D88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Ⅱ</w:t>
            </w:r>
            <w:r>
              <w:rPr>
                <w:rFonts w:ascii="Times New Roman" w:hAnsi="Times New Roman" w:eastAsia="新宋体"/>
                <w:color w:val="auto"/>
                <w:sz w:val="18"/>
                <w:szCs w:val="18"/>
                <w:highlight w:val="none"/>
                <w:lang w:eastAsia="en-US"/>
              </w:rPr>
              <w:t>□</w:t>
            </w:r>
          </w:p>
        </w:tc>
        <w:tc>
          <w:tcPr>
            <w:tcW w:w="797" w:type="pct"/>
            <w:gridSpan w:val="2"/>
            <w:noWrap w:val="0"/>
            <w:vAlign w:val="center"/>
          </w:tcPr>
          <w:p w14:paraId="279313E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Ⅰ☑</w:t>
            </w:r>
          </w:p>
        </w:tc>
      </w:tr>
      <w:tr w14:paraId="5C636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noWrap w:val="0"/>
            <w:vAlign w:val="center"/>
          </w:tcPr>
          <w:p w14:paraId="57CF98C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评价等级</w:t>
            </w:r>
          </w:p>
        </w:tc>
        <w:tc>
          <w:tcPr>
            <w:tcW w:w="1538" w:type="pct"/>
            <w:gridSpan w:val="3"/>
            <w:noWrap w:val="0"/>
            <w:vAlign w:val="center"/>
          </w:tcPr>
          <w:p w14:paraId="5EED8F3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一级□</w:t>
            </w:r>
          </w:p>
        </w:tc>
        <w:tc>
          <w:tcPr>
            <w:tcW w:w="769" w:type="pct"/>
            <w:gridSpan w:val="2"/>
            <w:noWrap w:val="0"/>
            <w:vAlign w:val="center"/>
          </w:tcPr>
          <w:p w14:paraId="2E0CBA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二级□</w:t>
            </w:r>
          </w:p>
        </w:tc>
        <w:tc>
          <w:tcPr>
            <w:tcW w:w="794" w:type="pct"/>
            <w:gridSpan w:val="2"/>
            <w:noWrap w:val="0"/>
            <w:vAlign w:val="center"/>
          </w:tcPr>
          <w:p w14:paraId="1CD686B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三级□</w:t>
            </w:r>
          </w:p>
        </w:tc>
        <w:tc>
          <w:tcPr>
            <w:tcW w:w="797" w:type="pct"/>
            <w:gridSpan w:val="2"/>
            <w:noWrap w:val="0"/>
            <w:vAlign w:val="center"/>
          </w:tcPr>
          <w:p w14:paraId="5FC9410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简单分析</w:t>
            </w:r>
            <w:r>
              <w:rPr>
                <w:rFonts w:hint="eastAsia" w:ascii="Times New Roman" w:hAnsi="Times New Roman" w:eastAsia="新宋体"/>
                <w:color w:val="auto"/>
                <w:sz w:val="18"/>
                <w:szCs w:val="18"/>
                <w:highlight w:val="none"/>
                <w:lang w:eastAsia="en-US"/>
              </w:rPr>
              <w:t>☑</w:t>
            </w:r>
          </w:p>
        </w:tc>
      </w:tr>
      <w:tr w14:paraId="400DB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restart"/>
            <w:noWrap w:val="0"/>
            <w:vAlign w:val="center"/>
          </w:tcPr>
          <w:p w14:paraId="7641AD8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风险识别</w:t>
            </w:r>
          </w:p>
        </w:tc>
        <w:tc>
          <w:tcPr>
            <w:tcW w:w="718" w:type="pct"/>
            <w:noWrap w:val="0"/>
            <w:vAlign w:val="center"/>
          </w:tcPr>
          <w:p w14:paraId="7759F4E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物质危险性</w:t>
            </w:r>
          </w:p>
        </w:tc>
        <w:tc>
          <w:tcPr>
            <w:tcW w:w="2306" w:type="pct"/>
            <w:gridSpan w:val="5"/>
            <w:noWrap w:val="0"/>
            <w:vAlign w:val="center"/>
          </w:tcPr>
          <w:p w14:paraId="36AA58A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有毒有害□</w:t>
            </w:r>
          </w:p>
        </w:tc>
        <w:tc>
          <w:tcPr>
            <w:tcW w:w="1591" w:type="pct"/>
            <w:gridSpan w:val="4"/>
            <w:noWrap w:val="0"/>
            <w:vAlign w:val="center"/>
          </w:tcPr>
          <w:p w14:paraId="0E15BBF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易燃易爆□</w:t>
            </w:r>
          </w:p>
        </w:tc>
      </w:tr>
      <w:tr w14:paraId="35A63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385" w:type="pct"/>
            <w:vMerge w:val="continue"/>
            <w:noWrap w:val="0"/>
            <w:vAlign w:val="center"/>
          </w:tcPr>
          <w:p w14:paraId="0E4FE6E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noWrap w:val="0"/>
            <w:vAlign w:val="center"/>
          </w:tcPr>
          <w:p w14:paraId="7CD271D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环境风险类型</w:t>
            </w:r>
          </w:p>
        </w:tc>
        <w:tc>
          <w:tcPr>
            <w:tcW w:w="2306" w:type="pct"/>
            <w:gridSpan w:val="5"/>
            <w:noWrap w:val="0"/>
            <w:vAlign w:val="center"/>
          </w:tcPr>
          <w:p w14:paraId="49E608C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泄漏□</w:t>
            </w:r>
          </w:p>
        </w:tc>
        <w:tc>
          <w:tcPr>
            <w:tcW w:w="1591" w:type="pct"/>
            <w:gridSpan w:val="4"/>
            <w:noWrap w:val="0"/>
            <w:vAlign w:val="center"/>
          </w:tcPr>
          <w:p w14:paraId="762CA06C">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火灾、爆炸引发伴生/次生污染物排放□</w:t>
            </w:r>
          </w:p>
        </w:tc>
      </w:tr>
      <w:tr w14:paraId="09A8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1A3B5EE1">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noWrap w:val="0"/>
            <w:vAlign w:val="center"/>
          </w:tcPr>
          <w:p w14:paraId="1B0931D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影响途径</w:t>
            </w:r>
          </w:p>
        </w:tc>
        <w:tc>
          <w:tcPr>
            <w:tcW w:w="1538" w:type="pct"/>
            <w:gridSpan w:val="3"/>
            <w:noWrap w:val="0"/>
            <w:vAlign w:val="center"/>
          </w:tcPr>
          <w:p w14:paraId="20237ED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w:t>
            </w:r>
          </w:p>
        </w:tc>
        <w:tc>
          <w:tcPr>
            <w:tcW w:w="1165" w:type="pct"/>
            <w:gridSpan w:val="3"/>
            <w:noWrap w:val="0"/>
            <w:vAlign w:val="center"/>
          </w:tcPr>
          <w:p w14:paraId="5069E24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地表水□</w:t>
            </w:r>
          </w:p>
        </w:tc>
        <w:tc>
          <w:tcPr>
            <w:tcW w:w="1195" w:type="pct"/>
            <w:gridSpan w:val="3"/>
            <w:noWrap w:val="0"/>
            <w:vAlign w:val="center"/>
          </w:tcPr>
          <w:p w14:paraId="6F6F06E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地下水□</w:t>
            </w:r>
          </w:p>
        </w:tc>
      </w:tr>
      <w:tr w14:paraId="12F3D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noWrap w:val="0"/>
            <w:vAlign w:val="center"/>
          </w:tcPr>
          <w:p w14:paraId="61F592C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事故影响分析</w:t>
            </w:r>
          </w:p>
        </w:tc>
        <w:tc>
          <w:tcPr>
            <w:tcW w:w="1538" w:type="pct"/>
            <w:gridSpan w:val="3"/>
            <w:noWrap w:val="0"/>
            <w:vAlign w:val="center"/>
          </w:tcPr>
          <w:p w14:paraId="7AD3778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源强设定方法□</w:t>
            </w:r>
          </w:p>
        </w:tc>
        <w:tc>
          <w:tcPr>
            <w:tcW w:w="769" w:type="pct"/>
            <w:gridSpan w:val="2"/>
            <w:noWrap w:val="0"/>
            <w:vAlign w:val="center"/>
          </w:tcPr>
          <w:p w14:paraId="3551127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计算法□</w:t>
            </w:r>
          </w:p>
        </w:tc>
        <w:tc>
          <w:tcPr>
            <w:tcW w:w="794" w:type="pct"/>
            <w:gridSpan w:val="2"/>
            <w:noWrap w:val="0"/>
            <w:vAlign w:val="center"/>
          </w:tcPr>
          <w:p w14:paraId="0E12CB40">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经验估算法□</w:t>
            </w:r>
          </w:p>
        </w:tc>
        <w:tc>
          <w:tcPr>
            <w:tcW w:w="797" w:type="pct"/>
            <w:gridSpan w:val="2"/>
            <w:noWrap w:val="0"/>
            <w:vAlign w:val="center"/>
          </w:tcPr>
          <w:p w14:paraId="1690B69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其他估算法□</w:t>
            </w:r>
          </w:p>
        </w:tc>
      </w:tr>
      <w:tr w14:paraId="2533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restart"/>
            <w:noWrap w:val="0"/>
            <w:vAlign w:val="center"/>
          </w:tcPr>
          <w:p w14:paraId="1730B25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风险预测与评价</w:t>
            </w:r>
          </w:p>
        </w:tc>
        <w:tc>
          <w:tcPr>
            <w:tcW w:w="718" w:type="pct"/>
            <w:vMerge w:val="restart"/>
            <w:noWrap w:val="0"/>
            <w:vAlign w:val="center"/>
          </w:tcPr>
          <w:p w14:paraId="7F9D799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w:t>
            </w:r>
          </w:p>
        </w:tc>
        <w:tc>
          <w:tcPr>
            <w:tcW w:w="1538" w:type="pct"/>
            <w:gridSpan w:val="3"/>
            <w:noWrap w:val="0"/>
            <w:vAlign w:val="center"/>
          </w:tcPr>
          <w:p w14:paraId="6AC943A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预测模型</w:t>
            </w:r>
          </w:p>
        </w:tc>
        <w:tc>
          <w:tcPr>
            <w:tcW w:w="769" w:type="pct"/>
            <w:gridSpan w:val="2"/>
            <w:noWrap w:val="0"/>
            <w:vAlign w:val="center"/>
          </w:tcPr>
          <w:p w14:paraId="781DD3A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SLAB</w:t>
            </w:r>
          </w:p>
        </w:tc>
        <w:tc>
          <w:tcPr>
            <w:tcW w:w="794" w:type="pct"/>
            <w:gridSpan w:val="2"/>
            <w:noWrap w:val="0"/>
            <w:vAlign w:val="center"/>
          </w:tcPr>
          <w:p w14:paraId="5B39D0A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AFTOX</w:t>
            </w:r>
          </w:p>
        </w:tc>
        <w:tc>
          <w:tcPr>
            <w:tcW w:w="797" w:type="pct"/>
            <w:gridSpan w:val="2"/>
            <w:noWrap w:val="0"/>
            <w:vAlign w:val="center"/>
          </w:tcPr>
          <w:p w14:paraId="4EB123C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其他</w:t>
            </w:r>
          </w:p>
        </w:tc>
      </w:tr>
      <w:tr w14:paraId="5215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65D336B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4EA038B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1538" w:type="pct"/>
            <w:gridSpan w:val="3"/>
            <w:vMerge w:val="restart"/>
            <w:noWrap w:val="0"/>
            <w:vAlign w:val="center"/>
          </w:tcPr>
          <w:p w14:paraId="619FD13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预测结果</w:t>
            </w:r>
          </w:p>
        </w:tc>
        <w:tc>
          <w:tcPr>
            <w:tcW w:w="2360" w:type="pct"/>
            <w:gridSpan w:val="6"/>
            <w:noWrap w:val="0"/>
            <w:vAlign w:val="center"/>
          </w:tcPr>
          <w:p w14:paraId="0629F9C2">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大气毒性终点浓度-1 最大影响范围      m</w:t>
            </w:r>
          </w:p>
        </w:tc>
      </w:tr>
      <w:tr w14:paraId="45CB0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49FF3A0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2AB633DE">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1538" w:type="pct"/>
            <w:gridSpan w:val="3"/>
            <w:vMerge w:val="continue"/>
            <w:noWrap w:val="0"/>
            <w:vAlign w:val="center"/>
          </w:tcPr>
          <w:p w14:paraId="4055D48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2360" w:type="pct"/>
            <w:gridSpan w:val="6"/>
            <w:noWrap w:val="0"/>
            <w:vAlign w:val="center"/>
          </w:tcPr>
          <w:p w14:paraId="6155BB53">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大气毒性终点浓度-2 最大影响范围     m</w:t>
            </w:r>
          </w:p>
        </w:tc>
      </w:tr>
      <w:tr w14:paraId="54E8A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75AD962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noWrap w:val="0"/>
            <w:vAlign w:val="center"/>
          </w:tcPr>
          <w:p w14:paraId="4AF8F8F4">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地表水</w:t>
            </w:r>
          </w:p>
        </w:tc>
        <w:tc>
          <w:tcPr>
            <w:tcW w:w="3897" w:type="pct"/>
            <w:gridSpan w:val="9"/>
            <w:noWrap w:val="0"/>
            <w:vAlign w:val="center"/>
          </w:tcPr>
          <w:p w14:paraId="0933118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最近环境敏感目标         ，到达时间         h</w:t>
            </w:r>
          </w:p>
        </w:tc>
      </w:tr>
      <w:tr w14:paraId="7C61A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385" w:type="pct"/>
            <w:vMerge w:val="continue"/>
            <w:noWrap w:val="0"/>
            <w:vAlign w:val="center"/>
          </w:tcPr>
          <w:p w14:paraId="1D37B3B9">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restart"/>
            <w:noWrap w:val="0"/>
            <w:vAlign w:val="center"/>
          </w:tcPr>
          <w:p w14:paraId="3B506E58">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地下水</w:t>
            </w:r>
          </w:p>
        </w:tc>
        <w:tc>
          <w:tcPr>
            <w:tcW w:w="3897" w:type="pct"/>
            <w:gridSpan w:val="9"/>
            <w:noWrap w:val="0"/>
            <w:vAlign w:val="center"/>
          </w:tcPr>
          <w:p w14:paraId="66F2039F">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下游厂区边界到达时间         h</w:t>
            </w:r>
          </w:p>
        </w:tc>
      </w:tr>
      <w:tr w14:paraId="268A7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385" w:type="pct"/>
            <w:vMerge w:val="continue"/>
            <w:noWrap w:val="0"/>
            <w:vAlign w:val="center"/>
          </w:tcPr>
          <w:p w14:paraId="65C665D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718" w:type="pct"/>
            <w:vMerge w:val="continue"/>
            <w:noWrap w:val="0"/>
            <w:vAlign w:val="center"/>
          </w:tcPr>
          <w:p w14:paraId="58D3BA1B">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p>
        </w:tc>
        <w:tc>
          <w:tcPr>
            <w:tcW w:w="3897" w:type="pct"/>
            <w:gridSpan w:val="9"/>
            <w:noWrap w:val="0"/>
            <w:vAlign w:val="center"/>
          </w:tcPr>
          <w:p w14:paraId="2E736A7D">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最近环境敏感目标         ，到达时间         h</w:t>
            </w:r>
          </w:p>
        </w:tc>
      </w:tr>
      <w:tr w14:paraId="28012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noWrap w:val="0"/>
            <w:vAlign w:val="center"/>
          </w:tcPr>
          <w:p w14:paraId="3DE2007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重点风险防范措施</w:t>
            </w:r>
          </w:p>
        </w:tc>
        <w:tc>
          <w:tcPr>
            <w:tcW w:w="3897" w:type="pct"/>
            <w:gridSpan w:val="9"/>
            <w:noWrap w:val="0"/>
            <w:vAlign w:val="center"/>
          </w:tcPr>
          <w:p w14:paraId="458F132A">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r>
      <w:tr w14:paraId="29564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103" w:type="pct"/>
            <w:gridSpan w:val="2"/>
            <w:noWrap w:val="0"/>
            <w:vAlign w:val="center"/>
          </w:tcPr>
          <w:p w14:paraId="1C64E2D5">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评价结论与建议</w:t>
            </w:r>
          </w:p>
        </w:tc>
        <w:tc>
          <w:tcPr>
            <w:tcW w:w="3897" w:type="pct"/>
            <w:gridSpan w:val="9"/>
            <w:noWrap w:val="0"/>
            <w:vAlign w:val="center"/>
          </w:tcPr>
          <w:p w14:paraId="01211A07">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hint="eastAsia" w:ascii="Times New Roman" w:hAnsi="Times New Roman" w:eastAsia="新宋体"/>
                <w:color w:val="auto"/>
                <w:sz w:val="18"/>
                <w:szCs w:val="18"/>
                <w:highlight w:val="none"/>
                <w:lang w:eastAsia="en-US"/>
              </w:rPr>
              <w:t>/</w:t>
            </w:r>
          </w:p>
        </w:tc>
      </w:tr>
      <w:tr w14:paraId="51214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5000" w:type="pct"/>
            <w:gridSpan w:val="11"/>
            <w:noWrap w:val="0"/>
            <w:vAlign w:val="center"/>
          </w:tcPr>
          <w:p w14:paraId="603AA276">
            <w:pPr>
              <w:autoSpaceDE w:val="0"/>
              <w:autoSpaceDN w:val="0"/>
              <w:spacing w:line="240" w:lineRule="auto"/>
              <w:ind w:firstLine="0" w:firstLineChars="0"/>
              <w:jc w:val="center"/>
              <w:rPr>
                <w:rFonts w:ascii="Times New Roman" w:hAnsi="Times New Roman" w:eastAsia="新宋体"/>
                <w:color w:val="auto"/>
                <w:sz w:val="18"/>
                <w:szCs w:val="18"/>
                <w:highlight w:val="none"/>
                <w:lang w:eastAsia="en-US"/>
              </w:rPr>
            </w:pPr>
            <w:r>
              <w:rPr>
                <w:rFonts w:ascii="Times New Roman" w:hAnsi="Times New Roman" w:eastAsia="新宋体"/>
                <w:color w:val="auto"/>
                <w:sz w:val="18"/>
                <w:szCs w:val="18"/>
                <w:highlight w:val="none"/>
                <w:lang w:eastAsia="en-US"/>
              </w:rPr>
              <w:t>注：“□”为勾选项，“”为填写项。</w:t>
            </w:r>
          </w:p>
        </w:tc>
      </w:tr>
    </w:tbl>
    <w:p w14:paraId="08046929">
      <w:pPr>
        <w:pStyle w:val="21"/>
        <w:rPr>
          <w:rFonts w:hint="default"/>
          <w:highlight w:val="none"/>
          <w:lang w:val="en-US" w:eastAsia="zh-CN"/>
        </w:rPr>
      </w:pPr>
    </w:p>
    <w:p w14:paraId="74B68155">
      <w:pPr>
        <w:pStyle w:val="3"/>
        <w:bidi w:val="0"/>
        <w:rPr>
          <w:rFonts w:hint="eastAsia"/>
          <w:highlight w:val="none"/>
          <w:lang w:val="en-US" w:eastAsia="zh-CN"/>
        </w:rPr>
      </w:pPr>
      <w:bookmarkStart w:id="225" w:name="_Toc5769"/>
      <w:r>
        <w:rPr>
          <w:rFonts w:hint="eastAsia"/>
          <w:highlight w:val="none"/>
          <w:lang w:val="en-US" w:eastAsia="zh-CN"/>
        </w:rPr>
        <w:t>附图1厂区现有设施照片</w:t>
      </w:r>
      <w:bookmarkEnd w:id="225"/>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8"/>
        <w:gridCol w:w="4288"/>
      </w:tblGrid>
      <w:tr w14:paraId="16DA8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68292E56">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77465" cy="2407920"/>
                  <wp:effectExtent l="0" t="0" r="13335" b="11430"/>
                  <wp:docPr id="72" name="图片 72" descr="25dc320d71e6439f281b3485ac70dd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25dc320d71e6439f281b3485ac70dd9a"/>
                          <pic:cNvPicPr>
                            <a:picLocks noChangeAspect="1"/>
                          </pic:cNvPicPr>
                        </pic:nvPicPr>
                        <pic:blipFill>
                          <a:blip r:embed="rId80"/>
                          <a:stretch>
                            <a:fillRect/>
                          </a:stretch>
                        </pic:blipFill>
                        <pic:spPr>
                          <a:xfrm>
                            <a:off x="0" y="0"/>
                            <a:ext cx="2577465" cy="2407920"/>
                          </a:xfrm>
                          <a:prstGeom prst="rect">
                            <a:avLst/>
                          </a:prstGeom>
                        </pic:spPr>
                      </pic:pic>
                    </a:graphicData>
                  </a:graphic>
                </wp:inline>
              </w:drawing>
            </w:r>
          </w:p>
        </w:tc>
        <w:tc>
          <w:tcPr>
            <w:tcW w:w="4288" w:type="dxa"/>
          </w:tcPr>
          <w:p w14:paraId="4C60128E">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409190" cy="2485390"/>
                  <wp:effectExtent l="0" t="0" r="10160" b="10160"/>
                  <wp:docPr id="73" name="图片 73" descr="6320a2cb6280c4c2f5f3f087bc2e84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6320a2cb6280c4c2f5f3f087bc2e846f"/>
                          <pic:cNvPicPr>
                            <a:picLocks noChangeAspect="1"/>
                          </pic:cNvPicPr>
                        </pic:nvPicPr>
                        <pic:blipFill>
                          <a:blip r:embed="rId81"/>
                          <a:stretch>
                            <a:fillRect/>
                          </a:stretch>
                        </pic:blipFill>
                        <pic:spPr>
                          <a:xfrm>
                            <a:off x="0" y="0"/>
                            <a:ext cx="2409190" cy="2485390"/>
                          </a:xfrm>
                          <a:prstGeom prst="rect">
                            <a:avLst/>
                          </a:prstGeom>
                        </pic:spPr>
                      </pic:pic>
                    </a:graphicData>
                  </a:graphic>
                </wp:inline>
              </w:drawing>
            </w:r>
          </w:p>
        </w:tc>
      </w:tr>
      <w:tr w14:paraId="3F2F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4A7823BB">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116MW热水锅炉</w:t>
            </w:r>
          </w:p>
        </w:tc>
        <w:tc>
          <w:tcPr>
            <w:tcW w:w="4288" w:type="dxa"/>
          </w:tcPr>
          <w:p w14:paraId="3F87837A">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58MW热水锅炉</w:t>
            </w:r>
          </w:p>
        </w:tc>
      </w:tr>
      <w:tr w14:paraId="7862B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4986F845">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77465" cy="2430780"/>
                  <wp:effectExtent l="0" t="0" r="13335" b="7620"/>
                  <wp:docPr id="74" name="图片 74" descr="0b67c1a30820b234ddcec5d05b0c2e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0b67c1a30820b234ddcec5d05b0c2e30"/>
                          <pic:cNvPicPr>
                            <a:picLocks noChangeAspect="1"/>
                          </pic:cNvPicPr>
                        </pic:nvPicPr>
                        <pic:blipFill>
                          <a:blip r:embed="rId82"/>
                          <a:stretch>
                            <a:fillRect/>
                          </a:stretch>
                        </pic:blipFill>
                        <pic:spPr>
                          <a:xfrm>
                            <a:off x="0" y="0"/>
                            <a:ext cx="2577465" cy="2430780"/>
                          </a:xfrm>
                          <a:prstGeom prst="rect">
                            <a:avLst/>
                          </a:prstGeom>
                        </pic:spPr>
                      </pic:pic>
                    </a:graphicData>
                  </a:graphic>
                </wp:inline>
              </w:drawing>
            </w:r>
          </w:p>
        </w:tc>
        <w:tc>
          <w:tcPr>
            <w:tcW w:w="4288" w:type="dxa"/>
          </w:tcPr>
          <w:p w14:paraId="029E6896">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70480" cy="3009900"/>
                  <wp:effectExtent l="0" t="0" r="1270" b="0"/>
                  <wp:docPr id="76" name="图片 76" descr="10ddc908de24603de3e6bece07565f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0ddc908de24603de3e6bece07565fd5"/>
                          <pic:cNvPicPr>
                            <a:picLocks noChangeAspect="1"/>
                          </pic:cNvPicPr>
                        </pic:nvPicPr>
                        <pic:blipFill>
                          <a:blip r:embed="rId83"/>
                          <a:stretch>
                            <a:fillRect/>
                          </a:stretch>
                        </pic:blipFill>
                        <pic:spPr>
                          <a:xfrm>
                            <a:off x="0" y="0"/>
                            <a:ext cx="2570480" cy="3009900"/>
                          </a:xfrm>
                          <a:prstGeom prst="rect">
                            <a:avLst/>
                          </a:prstGeom>
                        </pic:spPr>
                      </pic:pic>
                    </a:graphicData>
                  </a:graphic>
                </wp:inline>
              </w:drawing>
            </w:r>
          </w:p>
        </w:tc>
      </w:tr>
      <w:tr w14:paraId="494C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754C5DC1">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35t/h蒸汽锅炉</w:t>
            </w:r>
          </w:p>
        </w:tc>
        <w:tc>
          <w:tcPr>
            <w:tcW w:w="4288" w:type="dxa"/>
          </w:tcPr>
          <w:p w14:paraId="7CE963D4">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布袋除尘器</w:t>
            </w:r>
          </w:p>
        </w:tc>
      </w:tr>
      <w:tr w14:paraId="392CE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2C54CEC3">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84450" cy="3446780"/>
                  <wp:effectExtent l="0" t="0" r="6350" b="1270"/>
                  <wp:docPr id="77" name="图片 77" descr="9f353c316c97778e56146e1655a25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9f353c316c97778e56146e1655a25901"/>
                          <pic:cNvPicPr>
                            <a:picLocks noChangeAspect="1"/>
                          </pic:cNvPicPr>
                        </pic:nvPicPr>
                        <pic:blipFill>
                          <a:blip r:embed="rId84"/>
                          <a:stretch>
                            <a:fillRect/>
                          </a:stretch>
                        </pic:blipFill>
                        <pic:spPr>
                          <a:xfrm>
                            <a:off x="0" y="0"/>
                            <a:ext cx="2584450" cy="3446780"/>
                          </a:xfrm>
                          <a:prstGeom prst="rect">
                            <a:avLst/>
                          </a:prstGeom>
                        </pic:spPr>
                      </pic:pic>
                    </a:graphicData>
                  </a:graphic>
                </wp:inline>
              </w:drawing>
            </w:r>
          </w:p>
        </w:tc>
        <w:tc>
          <w:tcPr>
            <w:tcW w:w="4288" w:type="dxa"/>
          </w:tcPr>
          <w:p w14:paraId="7895B942">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72385" cy="3430905"/>
                  <wp:effectExtent l="0" t="0" r="18415" b="17145"/>
                  <wp:docPr id="80" name="图片 80" descr="cc852f50823d91e90e6a375fd5b89a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cc852f50823d91e90e6a375fd5b89af6"/>
                          <pic:cNvPicPr>
                            <a:picLocks noChangeAspect="1"/>
                          </pic:cNvPicPr>
                        </pic:nvPicPr>
                        <pic:blipFill>
                          <a:blip r:embed="rId85"/>
                          <a:stretch>
                            <a:fillRect/>
                          </a:stretch>
                        </pic:blipFill>
                        <pic:spPr>
                          <a:xfrm>
                            <a:off x="0" y="0"/>
                            <a:ext cx="2572385" cy="3430905"/>
                          </a:xfrm>
                          <a:prstGeom prst="rect">
                            <a:avLst/>
                          </a:prstGeom>
                        </pic:spPr>
                      </pic:pic>
                    </a:graphicData>
                  </a:graphic>
                </wp:inline>
              </w:drawing>
            </w:r>
          </w:p>
        </w:tc>
      </w:tr>
      <w:tr w14:paraId="6A01E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2AA32006">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碎煤机室</w:t>
            </w:r>
          </w:p>
        </w:tc>
        <w:tc>
          <w:tcPr>
            <w:tcW w:w="4288" w:type="dxa"/>
          </w:tcPr>
          <w:p w14:paraId="4F60BE80">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烟塔一体（60m）</w:t>
            </w:r>
          </w:p>
        </w:tc>
      </w:tr>
      <w:tr w14:paraId="33631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1B2A97D8">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84450" cy="3446780"/>
                  <wp:effectExtent l="0" t="0" r="6350" b="1270"/>
                  <wp:docPr id="88" name="图片 88" descr="aac0b176d987f4e75e5d38db12b92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aac0b176d987f4e75e5d38db12b92250"/>
                          <pic:cNvPicPr>
                            <a:picLocks noChangeAspect="1"/>
                          </pic:cNvPicPr>
                        </pic:nvPicPr>
                        <pic:blipFill>
                          <a:blip r:embed="rId86"/>
                          <a:stretch>
                            <a:fillRect/>
                          </a:stretch>
                        </pic:blipFill>
                        <pic:spPr>
                          <a:xfrm>
                            <a:off x="0" y="0"/>
                            <a:ext cx="2584450" cy="3446780"/>
                          </a:xfrm>
                          <a:prstGeom prst="rect">
                            <a:avLst/>
                          </a:prstGeom>
                        </pic:spPr>
                      </pic:pic>
                    </a:graphicData>
                  </a:graphic>
                </wp:inline>
              </w:drawing>
            </w:r>
          </w:p>
        </w:tc>
        <w:tc>
          <w:tcPr>
            <w:tcW w:w="4288" w:type="dxa"/>
          </w:tcPr>
          <w:p w14:paraId="7C3A6DDC">
            <w:pPr>
              <w:ind w:left="0" w:leftChars="0" w:firstLine="0" w:firstLineChars="0"/>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84450" cy="3446780"/>
                  <wp:effectExtent l="0" t="0" r="6350" b="1270"/>
                  <wp:docPr id="90" name="图片 90" descr="be80bfac696a4d7c3962320687996c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be80bfac696a4d7c3962320687996c8e"/>
                          <pic:cNvPicPr>
                            <a:picLocks noChangeAspect="1"/>
                          </pic:cNvPicPr>
                        </pic:nvPicPr>
                        <pic:blipFill>
                          <a:blip r:embed="rId87"/>
                          <a:stretch>
                            <a:fillRect/>
                          </a:stretch>
                        </pic:blipFill>
                        <pic:spPr>
                          <a:xfrm>
                            <a:off x="0" y="0"/>
                            <a:ext cx="2584450" cy="3446780"/>
                          </a:xfrm>
                          <a:prstGeom prst="rect">
                            <a:avLst/>
                          </a:prstGeom>
                        </pic:spPr>
                      </pic:pic>
                    </a:graphicData>
                  </a:graphic>
                </wp:inline>
              </w:drawing>
            </w:r>
          </w:p>
        </w:tc>
      </w:tr>
      <w:tr w14:paraId="02722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88" w:type="dxa"/>
          </w:tcPr>
          <w:p w14:paraId="7F306755">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灰仓</w:t>
            </w:r>
          </w:p>
        </w:tc>
        <w:tc>
          <w:tcPr>
            <w:tcW w:w="4288" w:type="dxa"/>
          </w:tcPr>
          <w:p w14:paraId="00894134">
            <w:pPr>
              <w:ind w:left="0" w:leftChars="0" w:firstLine="0" w:firstLineChars="0"/>
              <w:jc w:val="center"/>
              <w:rPr>
                <w:rFonts w:hint="default"/>
                <w:highlight w:val="none"/>
                <w:vertAlign w:val="baseline"/>
                <w:lang w:val="en-US" w:eastAsia="zh-CN"/>
              </w:rPr>
            </w:pPr>
            <w:r>
              <w:rPr>
                <w:rFonts w:hint="eastAsia"/>
                <w:highlight w:val="none"/>
                <w:vertAlign w:val="baseline"/>
                <w:lang w:val="en-US" w:eastAsia="zh-CN"/>
              </w:rPr>
              <w:t>渣仓</w:t>
            </w:r>
          </w:p>
        </w:tc>
      </w:tr>
    </w:tbl>
    <w:p w14:paraId="7647E7B5">
      <w:pPr>
        <w:pStyle w:val="11"/>
        <w:rPr>
          <w:rFonts w:hint="default"/>
          <w:highlight w:val="none"/>
          <w:lang w:val="en-US" w:eastAsia="zh-CN"/>
        </w:rPr>
      </w:pPr>
    </w:p>
    <w:p w14:paraId="03F51B5C">
      <w:pPr>
        <w:pStyle w:val="11"/>
        <w:rPr>
          <w:rFonts w:hint="default"/>
          <w:highlight w:val="none"/>
          <w:lang w:val="en-US" w:eastAsia="zh-CN"/>
        </w:rPr>
      </w:pPr>
    </w:p>
    <w:p w14:paraId="4A3C90D8">
      <w:pPr>
        <w:pStyle w:val="11"/>
        <w:rPr>
          <w:rFonts w:hint="default"/>
          <w:highlight w:val="none"/>
          <w:lang w:val="en-US" w:eastAsia="zh-CN"/>
        </w:rPr>
      </w:pPr>
    </w:p>
    <w:p w14:paraId="0B6746A3">
      <w:pPr>
        <w:pStyle w:val="11"/>
        <w:rPr>
          <w:rFonts w:hint="default"/>
          <w:highlight w:val="none"/>
          <w:lang w:val="en-US" w:eastAsia="zh-CN"/>
        </w:rPr>
      </w:pPr>
    </w:p>
    <w:p w14:paraId="3F319133">
      <w:pPr>
        <w:pStyle w:val="3"/>
        <w:bidi w:val="0"/>
        <w:rPr>
          <w:rFonts w:hint="default"/>
          <w:highlight w:val="none"/>
          <w:lang w:val="en-US" w:eastAsia="zh-CN"/>
        </w:rPr>
      </w:pPr>
      <w:bookmarkStart w:id="226" w:name="_Toc9485"/>
      <w:r>
        <w:rPr>
          <w:rFonts w:hint="eastAsia"/>
          <w:highlight w:val="none"/>
          <w:lang w:val="en-US" w:eastAsia="zh-CN"/>
        </w:rPr>
        <w:t>附图2厂区平面图及分区防渗图</w:t>
      </w:r>
      <w:bookmarkEnd w:id="226"/>
    </w:p>
    <w:p w14:paraId="5EDD22D9">
      <w:pPr>
        <w:ind w:left="0" w:leftChars="0" w:firstLine="0" w:firstLineChars="0"/>
        <w:rPr>
          <w:rFonts w:hint="default"/>
          <w:highlight w:val="none"/>
          <w:lang w:val="en-US" w:eastAsia="zh-CN"/>
        </w:rPr>
      </w:pPr>
      <w:r>
        <w:rPr>
          <w:highlight w:val="none"/>
        </w:rPr>
        <w:drawing>
          <wp:inline distT="0" distB="0" distL="114300" distR="114300">
            <wp:extent cx="5302250" cy="6489065"/>
            <wp:effectExtent l="0" t="0" r="12700" b="6985"/>
            <wp:docPr id="16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9"/>
                    <pic:cNvPicPr>
                      <a:picLocks noChangeAspect="1"/>
                    </pic:cNvPicPr>
                  </pic:nvPicPr>
                  <pic:blipFill>
                    <a:blip r:embed="rId88"/>
                    <a:stretch>
                      <a:fillRect/>
                    </a:stretch>
                  </pic:blipFill>
                  <pic:spPr>
                    <a:xfrm>
                      <a:off x="0" y="0"/>
                      <a:ext cx="5302250" cy="6489065"/>
                    </a:xfrm>
                    <a:prstGeom prst="rect">
                      <a:avLst/>
                    </a:prstGeom>
                    <a:noFill/>
                    <a:ln>
                      <a:noFill/>
                    </a:ln>
                  </pic:spPr>
                </pic:pic>
              </a:graphicData>
            </a:graphic>
          </wp:inline>
        </w:drawing>
      </w:r>
    </w:p>
    <w:p w14:paraId="6AF09CF1">
      <w:pPr>
        <w:rPr>
          <w:rFonts w:hint="default"/>
          <w:highlight w:val="none"/>
          <w:lang w:val="en-US" w:eastAsia="zh-CN"/>
        </w:rPr>
        <w:sectPr>
          <w:pgSz w:w="11906" w:h="16838"/>
          <w:pgMar w:top="1020" w:right="1800" w:bottom="1440" w:left="1746"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995C0EA">
      <w:pPr>
        <w:pStyle w:val="3"/>
        <w:bidi w:val="0"/>
        <w:rPr>
          <w:rFonts w:hint="eastAsia"/>
          <w:highlight w:val="none"/>
          <w:lang w:val="en-US" w:eastAsia="zh-CN"/>
        </w:rPr>
      </w:pPr>
      <w:bookmarkStart w:id="227" w:name="_Toc28235"/>
      <w:r>
        <w:rPr>
          <w:rFonts w:hint="eastAsia"/>
          <w:highlight w:val="none"/>
          <w:lang w:val="en-US" w:eastAsia="zh-CN"/>
        </w:rPr>
        <w:t>附件1生态环境分区管控分析报告</w:t>
      </w:r>
      <w:bookmarkEnd w:id="227"/>
    </w:p>
    <w:p w14:paraId="568D1F00">
      <w:pPr>
        <w:ind w:left="0" w:leftChars="0" w:firstLine="0" w:firstLineChars="0"/>
        <w:jc w:val="center"/>
        <w:rPr>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highlight w:val="none"/>
        </w:rPr>
        <w:drawing>
          <wp:inline distT="0" distB="0" distL="114300" distR="114300">
            <wp:extent cx="8625840" cy="3911600"/>
            <wp:effectExtent l="0" t="0" r="3810" b="1270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9"/>
                    <a:stretch>
                      <a:fillRect/>
                    </a:stretch>
                  </pic:blipFill>
                  <pic:spPr>
                    <a:xfrm>
                      <a:off x="0" y="0"/>
                      <a:ext cx="8625840" cy="3911600"/>
                    </a:xfrm>
                    <a:prstGeom prst="rect">
                      <a:avLst/>
                    </a:prstGeom>
                    <a:noFill/>
                    <a:ln>
                      <a:noFill/>
                    </a:ln>
                  </pic:spPr>
                </pic:pic>
              </a:graphicData>
            </a:graphic>
          </wp:inline>
        </w:drawing>
      </w:r>
      <w:r>
        <w:rPr>
          <w:highlight w:val="none"/>
        </w:rPr>
        <w:drawing>
          <wp:inline distT="0" distB="0" distL="114300" distR="114300">
            <wp:extent cx="8557260" cy="4726305"/>
            <wp:effectExtent l="0" t="0" r="15240" b="1714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0"/>
                    <a:stretch>
                      <a:fillRect/>
                    </a:stretch>
                  </pic:blipFill>
                  <pic:spPr>
                    <a:xfrm>
                      <a:off x="0" y="0"/>
                      <a:ext cx="8557260" cy="4726305"/>
                    </a:xfrm>
                    <a:prstGeom prst="rect">
                      <a:avLst/>
                    </a:prstGeom>
                    <a:noFill/>
                    <a:ln>
                      <a:noFill/>
                    </a:ln>
                  </pic:spPr>
                </pic:pic>
              </a:graphicData>
            </a:graphic>
          </wp:inline>
        </w:drawing>
      </w:r>
      <w:r>
        <w:rPr>
          <w:highlight w:val="none"/>
        </w:rPr>
        <w:drawing>
          <wp:inline distT="0" distB="0" distL="114300" distR="114300">
            <wp:extent cx="8854440" cy="4797425"/>
            <wp:effectExtent l="0" t="0" r="3810" b="317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91"/>
                    <a:stretch>
                      <a:fillRect/>
                    </a:stretch>
                  </pic:blipFill>
                  <pic:spPr>
                    <a:xfrm>
                      <a:off x="0" y="0"/>
                      <a:ext cx="8854440" cy="4797425"/>
                    </a:xfrm>
                    <a:prstGeom prst="rect">
                      <a:avLst/>
                    </a:prstGeom>
                    <a:noFill/>
                    <a:ln>
                      <a:noFill/>
                    </a:ln>
                  </pic:spPr>
                </pic:pic>
              </a:graphicData>
            </a:graphic>
          </wp:inline>
        </w:drawing>
      </w:r>
      <w:r>
        <w:rPr>
          <w:highlight w:val="none"/>
        </w:rPr>
        <w:drawing>
          <wp:inline distT="0" distB="0" distL="114300" distR="114300">
            <wp:extent cx="8707120" cy="4724400"/>
            <wp:effectExtent l="0" t="0" r="17780"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92"/>
                    <a:stretch>
                      <a:fillRect/>
                    </a:stretch>
                  </pic:blipFill>
                  <pic:spPr>
                    <a:xfrm>
                      <a:off x="0" y="0"/>
                      <a:ext cx="8707120" cy="4724400"/>
                    </a:xfrm>
                    <a:prstGeom prst="rect">
                      <a:avLst/>
                    </a:prstGeom>
                    <a:noFill/>
                    <a:ln>
                      <a:noFill/>
                    </a:ln>
                  </pic:spPr>
                </pic:pic>
              </a:graphicData>
            </a:graphic>
          </wp:inline>
        </w:drawing>
      </w:r>
      <w:r>
        <w:rPr>
          <w:highlight w:val="none"/>
        </w:rPr>
        <w:drawing>
          <wp:inline distT="0" distB="0" distL="114300" distR="114300">
            <wp:extent cx="8680450" cy="4880610"/>
            <wp:effectExtent l="0" t="0" r="6350" b="1524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93"/>
                    <a:stretch>
                      <a:fillRect/>
                    </a:stretch>
                  </pic:blipFill>
                  <pic:spPr>
                    <a:xfrm>
                      <a:off x="0" y="0"/>
                      <a:ext cx="8680450" cy="4880610"/>
                    </a:xfrm>
                    <a:prstGeom prst="rect">
                      <a:avLst/>
                    </a:prstGeom>
                    <a:noFill/>
                    <a:ln>
                      <a:noFill/>
                    </a:ln>
                  </pic:spPr>
                </pic:pic>
              </a:graphicData>
            </a:graphic>
          </wp:inline>
        </w:drawing>
      </w:r>
      <w:r>
        <w:rPr>
          <w:highlight w:val="none"/>
        </w:rPr>
        <w:drawing>
          <wp:inline distT="0" distB="0" distL="114300" distR="114300">
            <wp:extent cx="8656955" cy="5017770"/>
            <wp:effectExtent l="0" t="0" r="10795" b="1143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94"/>
                    <a:stretch>
                      <a:fillRect/>
                    </a:stretch>
                  </pic:blipFill>
                  <pic:spPr>
                    <a:xfrm>
                      <a:off x="0" y="0"/>
                      <a:ext cx="8656955" cy="5017770"/>
                    </a:xfrm>
                    <a:prstGeom prst="rect">
                      <a:avLst/>
                    </a:prstGeom>
                    <a:noFill/>
                    <a:ln>
                      <a:noFill/>
                    </a:ln>
                  </pic:spPr>
                </pic:pic>
              </a:graphicData>
            </a:graphic>
          </wp:inline>
        </w:drawing>
      </w:r>
      <w:r>
        <w:rPr>
          <w:highlight w:val="none"/>
        </w:rPr>
        <w:drawing>
          <wp:inline distT="0" distB="0" distL="114300" distR="114300">
            <wp:extent cx="8558530" cy="4778375"/>
            <wp:effectExtent l="0" t="0" r="13970" b="3175"/>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95"/>
                    <a:stretch>
                      <a:fillRect/>
                    </a:stretch>
                  </pic:blipFill>
                  <pic:spPr>
                    <a:xfrm>
                      <a:off x="0" y="0"/>
                      <a:ext cx="8558530" cy="4778375"/>
                    </a:xfrm>
                    <a:prstGeom prst="rect">
                      <a:avLst/>
                    </a:prstGeom>
                    <a:noFill/>
                    <a:ln>
                      <a:noFill/>
                    </a:ln>
                  </pic:spPr>
                </pic:pic>
              </a:graphicData>
            </a:graphic>
          </wp:inline>
        </w:drawing>
      </w:r>
      <w:r>
        <w:rPr>
          <w:highlight w:val="none"/>
        </w:rPr>
        <w:drawing>
          <wp:inline distT="0" distB="0" distL="114300" distR="114300">
            <wp:extent cx="8564880" cy="4730750"/>
            <wp:effectExtent l="0" t="0" r="7620" b="1270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96"/>
                    <a:stretch>
                      <a:fillRect/>
                    </a:stretch>
                  </pic:blipFill>
                  <pic:spPr>
                    <a:xfrm>
                      <a:off x="0" y="0"/>
                      <a:ext cx="8564880" cy="4730750"/>
                    </a:xfrm>
                    <a:prstGeom prst="rect">
                      <a:avLst/>
                    </a:prstGeom>
                    <a:noFill/>
                    <a:ln>
                      <a:noFill/>
                    </a:ln>
                  </pic:spPr>
                </pic:pic>
              </a:graphicData>
            </a:graphic>
          </wp:inline>
        </w:drawing>
      </w:r>
      <w:r>
        <w:rPr>
          <w:highlight w:val="none"/>
        </w:rPr>
        <w:drawing>
          <wp:inline distT="0" distB="0" distL="114300" distR="114300">
            <wp:extent cx="8854440" cy="5131435"/>
            <wp:effectExtent l="0" t="0" r="3810" b="12065"/>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97"/>
                    <a:stretch>
                      <a:fillRect/>
                    </a:stretch>
                  </pic:blipFill>
                  <pic:spPr>
                    <a:xfrm>
                      <a:off x="0" y="0"/>
                      <a:ext cx="8854440" cy="5131435"/>
                    </a:xfrm>
                    <a:prstGeom prst="rect">
                      <a:avLst/>
                    </a:prstGeom>
                    <a:noFill/>
                    <a:ln>
                      <a:noFill/>
                    </a:ln>
                  </pic:spPr>
                </pic:pic>
              </a:graphicData>
            </a:graphic>
          </wp:inline>
        </w:drawing>
      </w:r>
      <w:r>
        <w:rPr>
          <w:highlight w:val="none"/>
        </w:rPr>
        <w:drawing>
          <wp:inline distT="0" distB="0" distL="114300" distR="114300">
            <wp:extent cx="8590280" cy="4722495"/>
            <wp:effectExtent l="0" t="0" r="1270" b="1905"/>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pic:cNvPicPr>
                      <a:picLocks noChangeAspect="1"/>
                    </pic:cNvPicPr>
                  </pic:nvPicPr>
                  <pic:blipFill>
                    <a:blip r:embed="rId98"/>
                    <a:stretch>
                      <a:fillRect/>
                    </a:stretch>
                  </pic:blipFill>
                  <pic:spPr>
                    <a:xfrm>
                      <a:off x="0" y="0"/>
                      <a:ext cx="8590280" cy="4722495"/>
                    </a:xfrm>
                    <a:prstGeom prst="rect">
                      <a:avLst/>
                    </a:prstGeom>
                    <a:noFill/>
                    <a:ln>
                      <a:noFill/>
                    </a:ln>
                  </pic:spPr>
                </pic:pic>
              </a:graphicData>
            </a:graphic>
          </wp:inline>
        </w:drawing>
      </w:r>
      <w:r>
        <w:rPr>
          <w:highlight w:val="none"/>
        </w:rPr>
        <w:drawing>
          <wp:inline distT="0" distB="0" distL="114300" distR="114300">
            <wp:extent cx="8861425" cy="4910455"/>
            <wp:effectExtent l="0" t="0" r="15875" b="4445"/>
            <wp:docPr id="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
                    <pic:cNvPicPr>
                      <a:picLocks noChangeAspect="1"/>
                    </pic:cNvPicPr>
                  </pic:nvPicPr>
                  <pic:blipFill>
                    <a:blip r:embed="rId99"/>
                    <a:stretch>
                      <a:fillRect/>
                    </a:stretch>
                  </pic:blipFill>
                  <pic:spPr>
                    <a:xfrm>
                      <a:off x="0" y="0"/>
                      <a:ext cx="8861425" cy="4910455"/>
                    </a:xfrm>
                    <a:prstGeom prst="rect">
                      <a:avLst/>
                    </a:prstGeom>
                    <a:noFill/>
                    <a:ln>
                      <a:noFill/>
                    </a:ln>
                  </pic:spPr>
                </pic:pic>
              </a:graphicData>
            </a:graphic>
          </wp:inline>
        </w:drawing>
      </w:r>
      <w:r>
        <w:rPr>
          <w:highlight w:val="none"/>
        </w:rPr>
        <w:drawing>
          <wp:inline distT="0" distB="0" distL="114300" distR="114300">
            <wp:extent cx="8860155" cy="4779645"/>
            <wp:effectExtent l="0" t="0" r="17145" b="1905"/>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pic:cNvPicPr>
                  </pic:nvPicPr>
                  <pic:blipFill>
                    <a:blip r:embed="rId100"/>
                    <a:stretch>
                      <a:fillRect/>
                    </a:stretch>
                  </pic:blipFill>
                  <pic:spPr>
                    <a:xfrm>
                      <a:off x="0" y="0"/>
                      <a:ext cx="8860155" cy="4779645"/>
                    </a:xfrm>
                    <a:prstGeom prst="rect">
                      <a:avLst/>
                    </a:prstGeom>
                    <a:noFill/>
                    <a:ln>
                      <a:noFill/>
                    </a:ln>
                  </pic:spPr>
                </pic:pic>
              </a:graphicData>
            </a:graphic>
          </wp:inline>
        </w:drawing>
      </w:r>
    </w:p>
    <w:p w14:paraId="0508FA2D">
      <w:pPr>
        <w:pStyle w:val="3"/>
        <w:bidi w:val="0"/>
        <w:rPr>
          <w:rFonts w:hint="eastAsia"/>
          <w:highlight w:val="none"/>
          <w:lang w:val="en-US" w:eastAsia="zh-CN"/>
        </w:rPr>
      </w:pPr>
      <w:bookmarkStart w:id="228" w:name="_Toc15584"/>
      <w:r>
        <w:rPr>
          <w:rFonts w:hint="eastAsia"/>
          <w:highlight w:val="none"/>
          <w:lang w:val="en-US" w:eastAsia="zh-CN"/>
        </w:rPr>
        <w:t>附件2营业执照</w:t>
      </w:r>
      <w:bookmarkEnd w:id="228"/>
    </w:p>
    <w:p w14:paraId="6E8757BE">
      <w:pPr>
        <w:rPr>
          <w:rFonts w:hint="default"/>
          <w:highlight w:val="none"/>
          <w:lang w:val="en-US" w:eastAsia="zh-CN"/>
        </w:rPr>
      </w:pPr>
      <w:r>
        <w:rPr>
          <w:rFonts w:hint="default"/>
          <w:highlight w:val="none"/>
          <w:lang w:val="en-US" w:eastAsia="zh-CN"/>
        </w:rPr>
        <w:drawing>
          <wp:inline distT="0" distB="0" distL="114300" distR="114300">
            <wp:extent cx="4979035" cy="6908800"/>
            <wp:effectExtent l="0" t="0" r="12065" b="6350"/>
            <wp:docPr id="51" name="图片 51" descr="c482953def38bf35436e22a6dfc36b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c482953def38bf35436e22a6dfc36bbd"/>
                    <pic:cNvPicPr>
                      <a:picLocks noChangeAspect="1"/>
                    </pic:cNvPicPr>
                  </pic:nvPicPr>
                  <pic:blipFill>
                    <a:blip r:embed="rId101"/>
                    <a:stretch>
                      <a:fillRect/>
                    </a:stretch>
                  </pic:blipFill>
                  <pic:spPr>
                    <a:xfrm>
                      <a:off x="0" y="0"/>
                      <a:ext cx="4979035" cy="6908800"/>
                    </a:xfrm>
                    <a:prstGeom prst="rect">
                      <a:avLst/>
                    </a:prstGeom>
                  </pic:spPr>
                </pic:pic>
              </a:graphicData>
            </a:graphic>
          </wp:inline>
        </w:drawing>
      </w:r>
    </w:p>
    <w:p w14:paraId="1834DCD3">
      <w:pPr>
        <w:pStyle w:val="23"/>
        <w:rPr>
          <w:rFonts w:hint="default"/>
          <w:highlight w:val="none"/>
          <w:lang w:val="en-US" w:eastAsia="zh-CN"/>
        </w:rPr>
      </w:pPr>
    </w:p>
    <w:p w14:paraId="00FB6E90">
      <w:pPr>
        <w:rPr>
          <w:rFonts w:hint="default"/>
          <w:highlight w:val="none"/>
          <w:lang w:val="en-US" w:eastAsia="zh-CN"/>
        </w:rPr>
      </w:pPr>
    </w:p>
    <w:p w14:paraId="00DD947E">
      <w:pPr>
        <w:pStyle w:val="23"/>
        <w:rPr>
          <w:rFonts w:hint="default"/>
          <w:highlight w:val="none"/>
          <w:lang w:val="en-US" w:eastAsia="zh-CN"/>
        </w:rPr>
      </w:pPr>
    </w:p>
    <w:p w14:paraId="098068C6">
      <w:pPr>
        <w:pStyle w:val="3"/>
        <w:bidi w:val="0"/>
        <w:rPr>
          <w:rFonts w:hint="eastAsia"/>
          <w:highlight w:val="none"/>
          <w:lang w:val="en-US" w:eastAsia="zh-CN"/>
        </w:rPr>
      </w:pPr>
      <w:bookmarkStart w:id="229" w:name="_Toc30751"/>
      <w:r>
        <w:rPr>
          <w:rFonts w:hint="eastAsia"/>
          <w:highlight w:val="none"/>
          <w:lang w:val="en-US" w:eastAsia="zh-CN"/>
        </w:rPr>
        <w:t>附件3煤质分析报告</w:t>
      </w:r>
      <w:bookmarkEnd w:id="229"/>
    </w:p>
    <w:p w14:paraId="12129225">
      <w:pPr>
        <w:ind w:left="0" w:leftChars="0" w:firstLine="0" w:firstLineChars="0"/>
        <w:rPr>
          <w:highlight w:val="none"/>
        </w:rPr>
      </w:pPr>
      <w:r>
        <w:rPr>
          <w:highlight w:val="none"/>
        </w:rPr>
        <w:drawing>
          <wp:inline distT="0" distB="0" distL="114300" distR="114300">
            <wp:extent cx="5268595" cy="7427595"/>
            <wp:effectExtent l="0" t="0" r="8255" b="1905"/>
            <wp:docPr id="5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1"/>
                    <pic:cNvPicPr>
                      <a:picLocks noChangeAspect="1"/>
                    </pic:cNvPicPr>
                  </pic:nvPicPr>
                  <pic:blipFill>
                    <a:blip r:embed="rId102"/>
                    <a:stretch>
                      <a:fillRect/>
                    </a:stretch>
                  </pic:blipFill>
                  <pic:spPr>
                    <a:xfrm>
                      <a:off x="0" y="0"/>
                      <a:ext cx="5268595" cy="7427595"/>
                    </a:xfrm>
                    <a:prstGeom prst="rect">
                      <a:avLst/>
                    </a:prstGeom>
                    <a:noFill/>
                    <a:ln>
                      <a:noFill/>
                    </a:ln>
                  </pic:spPr>
                </pic:pic>
              </a:graphicData>
            </a:graphic>
          </wp:inline>
        </w:drawing>
      </w:r>
      <w:r>
        <w:rPr>
          <w:highlight w:val="none"/>
        </w:rPr>
        <w:drawing>
          <wp:inline distT="0" distB="0" distL="114300" distR="114300">
            <wp:extent cx="5269230" cy="7940675"/>
            <wp:effectExtent l="0" t="0" r="7620" b="3175"/>
            <wp:docPr id="5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2"/>
                    <pic:cNvPicPr>
                      <a:picLocks noChangeAspect="1"/>
                    </pic:cNvPicPr>
                  </pic:nvPicPr>
                  <pic:blipFill>
                    <a:blip r:embed="rId103"/>
                    <a:stretch>
                      <a:fillRect/>
                    </a:stretch>
                  </pic:blipFill>
                  <pic:spPr>
                    <a:xfrm>
                      <a:off x="0" y="0"/>
                      <a:ext cx="5269230" cy="7940675"/>
                    </a:xfrm>
                    <a:prstGeom prst="rect">
                      <a:avLst/>
                    </a:prstGeom>
                    <a:noFill/>
                    <a:ln>
                      <a:noFill/>
                    </a:ln>
                  </pic:spPr>
                </pic:pic>
              </a:graphicData>
            </a:graphic>
          </wp:inline>
        </w:drawing>
      </w:r>
      <w:r>
        <w:rPr>
          <w:highlight w:val="none"/>
        </w:rPr>
        <w:drawing>
          <wp:inline distT="0" distB="0" distL="114300" distR="114300">
            <wp:extent cx="5269865" cy="6950075"/>
            <wp:effectExtent l="0" t="0" r="6985" b="3175"/>
            <wp:docPr id="5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3"/>
                    <pic:cNvPicPr>
                      <a:picLocks noChangeAspect="1"/>
                    </pic:cNvPicPr>
                  </pic:nvPicPr>
                  <pic:blipFill>
                    <a:blip r:embed="rId104"/>
                    <a:stretch>
                      <a:fillRect/>
                    </a:stretch>
                  </pic:blipFill>
                  <pic:spPr>
                    <a:xfrm>
                      <a:off x="0" y="0"/>
                      <a:ext cx="5269865" cy="6950075"/>
                    </a:xfrm>
                    <a:prstGeom prst="rect">
                      <a:avLst/>
                    </a:prstGeom>
                    <a:noFill/>
                    <a:ln>
                      <a:noFill/>
                    </a:ln>
                  </pic:spPr>
                </pic:pic>
              </a:graphicData>
            </a:graphic>
          </wp:inline>
        </w:drawing>
      </w:r>
      <w:r>
        <w:rPr>
          <w:highlight w:val="none"/>
        </w:rPr>
        <w:drawing>
          <wp:inline distT="0" distB="0" distL="114300" distR="114300">
            <wp:extent cx="5269230" cy="3768090"/>
            <wp:effectExtent l="0" t="0" r="7620" b="3810"/>
            <wp:docPr id="5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4"/>
                    <pic:cNvPicPr>
                      <a:picLocks noChangeAspect="1"/>
                    </pic:cNvPicPr>
                  </pic:nvPicPr>
                  <pic:blipFill>
                    <a:blip r:embed="rId105"/>
                    <a:stretch>
                      <a:fillRect/>
                    </a:stretch>
                  </pic:blipFill>
                  <pic:spPr>
                    <a:xfrm>
                      <a:off x="0" y="0"/>
                      <a:ext cx="5269230" cy="3768090"/>
                    </a:xfrm>
                    <a:prstGeom prst="rect">
                      <a:avLst/>
                    </a:prstGeom>
                    <a:noFill/>
                    <a:ln>
                      <a:noFill/>
                    </a:ln>
                  </pic:spPr>
                </pic:pic>
              </a:graphicData>
            </a:graphic>
          </wp:inline>
        </w:drawing>
      </w:r>
      <w:r>
        <w:rPr>
          <w:highlight w:val="none"/>
        </w:rPr>
        <w:drawing>
          <wp:inline distT="0" distB="0" distL="114300" distR="114300">
            <wp:extent cx="5273040" cy="3808095"/>
            <wp:effectExtent l="0" t="0" r="3810" b="1905"/>
            <wp:docPr id="5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5"/>
                    <pic:cNvPicPr>
                      <a:picLocks noChangeAspect="1"/>
                    </pic:cNvPicPr>
                  </pic:nvPicPr>
                  <pic:blipFill>
                    <a:blip r:embed="rId106"/>
                    <a:stretch>
                      <a:fillRect/>
                    </a:stretch>
                  </pic:blipFill>
                  <pic:spPr>
                    <a:xfrm>
                      <a:off x="0" y="0"/>
                      <a:ext cx="5273040" cy="3808095"/>
                    </a:xfrm>
                    <a:prstGeom prst="rect">
                      <a:avLst/>
                    </a:prstGeom>
                    <a:noFill/>
                    <a:ln>
                      <a:noFill/>
                    </a:ln>
                  </pic:spPr>
                </pic:pic>
              </a:graphicData>
            </a:graphic>
          </wp:inline>
        </w:drawing>
      </w:r>
      <w:r>
        <w:rPr>
          <w:highlight w:val="none"/>
        </w:rPr>
        <w:drawing>
          <wp:inline distT="0" distB="0" distL="114300" distR="114300">
            <wp:extent cx="5269230" cy="3758565"/>
            <wp:effectExtent l="0" t="0" r="7620" b="13335"/>
            <wp:docPr id="5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6"/>
                    <pic:cNvPicPr>
                      <a:picLocks noChangeAspect="1"/>
                    </pic:cNvPicPr>
                  </pic:nvPicPr>
                  <pic:blipFill>
                    <a:blip r:embed="rId107"/>
                    <a:stretch>
                      <a:fillRect/>
                    </a:stretch>
                  </pic:blipFill>
                  <pic:spPr>
                    <a:xfrm>
                      <a:off x="0" y="0"/>
                      <a:ext cx="5269230" cy="3758565"/>
                    </a:xfrm>
                    <a:prstGeom prst="rect">
                      <a:avLst/>
                    </a:prstGeom>
                    <a:noFill/>
                    <a:ln>
                      <a:noFill/>
                    </a:ln>
                  </pic:spPr>
                </pic:pic>
              </a:graphicData>
            </a:graphic>
          </wp:inline>
        </w:drawing>
      </w:r>
      <w:r>
        <w:rPr>
          <w:highlight w:val="none"/>
        </w:rPr>
        <w:drawing>
          <wp:inline distT="0" distB="0" distL="114300" distR="114300">
            <wp:extent cx="5266055" cy="3759835"/>
            <wp:effectExtent l="0" t="0" r="10795" b="12065"/>
            <wp:docPr id="5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7"/>
                    <pic:cNvPicPr>
                      <a:picLocks noChangeAspect="1"/>
                    </pic:cNvPicPr>
                  </pic:nvPicPr>
                  <pic:blipFill>
                    <a:blip r:embed="rId108"/>
                    <a:stretch>
                      <a:fillRect/>
                    </a:stretch>
                  </pic:blipFill>
                  <pic:spPr>
                    <a:xfrm>
                      <a:off x="0" y="0"/>
                      <a:ext cx="5266055" cy="3759835"/>
                    </a:xfrm>
                    <a:prstGeom prst="rect">
                      <a:avLst/>
                    </a:prstGeom>
                    <a:noFill/>
                    <a:ln>
                      <a:noFill/>
                    </a:ln>
                  </pic:spPr>
                </pic:pic>
              </a:graphicData>
            </a:graphic>
          </wp:inline>
        </w:drawing>
      </w:r>
    </w:p>
    <w:p w14:paraId="7C430047">
      <w:pPr>
        <w:pStyle w:val="23"/>
        <w:rPr>
          <w:highlight w:val="none"/>
        </w:rPr>
      </w:pPr>
    </w:p>
    <w:p w14:paraId="54A6BDA5">
      <w:pPr>
        <w:rPr>
          <w:highlight w:val="none"/>
        </w:rPr>
      </w:pPr>
    </w:p>
    <w:p w14:paraId="077DE8DA">
      <w:pPr>
        <w:pStyle w:val="23"/>
        <w:rPr>
          <w:highlight w:val="none"/>
        </w:rPr>
      </w:pPr>
    </w:p>
    <w:p w14:paraId="042B68A2">
      <w:pPr>
        <w:pStyle w:val="3"/>
        <w:bidi w:val="0"/>
        <w:rPr>
          <w:rFonts w:hint="eastAsia"/>
          <w:highlight w:val="none"/>
          <w:lang w:val="en-US" w:eastAsia="zh-CN"/>
        </w:rPr>
      </w:pPr>
      <w:bookmarkStart w:id="230" w:name="_Toc8091"/>
      <w:r>
        <w:rPr>
          <w:rFonts w:hint="eastAsia"/>
          <w:highlight w:val="none"/>
          <w:lang w:val="en-US" w:eastAsia="zh-CN"/>
        </w:rPr>
        <w:t>附件4土地证</w:t>
      </w:r>
      <w:bookmarkEnd w:id="230"/>
    </w:p>
    <w:p w14:paraId="243863F3">
      <w:pPr>
        <w:jc w:val="center"/>
        <w:rPr>
          <w:rFonts w:hint="default"/>
          <w:highlight w:val="none"/>
          <w:lang w:val="en-US" w:eastAsia="zh-CN"/>
        </w:rPr>
      </w:pPr>
      <w:r>
        <w:rPr>
          <w:rFonts w:hint="default"/>
          <w:highlight w:val="none"/>
          <w:lang w:val="en-US" w:eastAsia="zh-CN"/>
        </w:rPr>
        <w:drawing>
          <wp:inline distT="0" distB="0" distL="114300" distR="114300">
            <wp:extent cx="4979035" cy="7670165"/>
            <wp:effectExtent l="0" t="0" r="12065" b="6985"/>
            <wp:docPr id="60" name="图片 60" descr="418c7bb5284a3ddd7a16a22c2d2d23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418c7bb5284a3ddd7a16a22c2d2d23d0"/>
                    <pic:cNvPicPr>
                      <a:picLocks noChangeAspect="1"/>
                    </pic:cNvPicPr>
                  </pic:nvPicPr>
                  <pic:blipFill>
                    <a:blip r:embed="rId109"/>
                    <a:stretch>
                      <a:fillRect/>
                    </a:stretch>
                  </pic:blipFill>
                  <pic:spPr>
                    <a:xfrm>
                      <a:off x="0" y="0"/>
                      <a:ext cx="4979035" cy="7670165"/>
                    </a:xfrm>
                    <a:prstGeom prst="rect">
                      <a:avLst/>
                    </a:prstGeom>
                  </pic:spPr>
                </pic:pic>
              </a:graphicData>
            </a:graphic>
          </wp:inline>
        </w:drawing>
      </w:r>
      <w:r>
        <w:rPr>
          <w:rFonts w:hint="default"/>
          <w:highlight w:val="none"/>
          <w:lang w:val="en-US" w:eastAsia="zh-CN"/>
        </w:rPr>
        <w:drawing>
          <wp:inline distT="0" distB="0" distL="114300" distR="114300">
            <wp:extent cx="4937125" cy="7440930"/>
            <wp:effectExtent l="0" t="0" r="0" b="0"/>
            <wp:docPr id="63" name="图片 63" descr="f08027aae46846fd68855be6965292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f08027aae46846fd68855be69652924e"/>
                    <pic:cNvPicPr>
                      <a:picLocks noChangeAspect="1"/>
                    </pic:cNvPicPr>
                  </pic:nvPicPr>
                  <pic:blipFill>
                    <a:blip r:embed="rId110"/>
                    <a:srcRect t="15891" r="842"/>
                    <a:stretch>
                      <a:fillRect/>
                    </a:stretch>
                  </pic:blipFill>
                  <pic:spPr>
                    <a:xfrm>
                      <a:off x="0" y="0"/>
                      <a:ext cx="4937125" cy="7440930"/>
                    </a:xfrm>
                    <a:prstGeom prst="rect">
                      <a:avLst/>
                    </a:prstGeom>
                  </pic:spPr>
                </pic:pic>
              </a:graphicData>
            </a:graphic>
          </wp:inline>
        </w:drawing>
      </w:r>
      <w:r>
        <w:rPr>
          <w:rFonts w:hint="default"/>
          <w:highlight w:val="none"/>
          <w:lang w:val="en-US" w:eastAsia="zh-CN"/>
        </w:rPr>
        <w:drawing>
          <wp:inline distT="0" distB="0" distL="114300" distR="114300">
            <wp:extent cx="4868545" cy="7297420"/>
            <wp:effectExtent l="0" t="0" r="0" b="0"/>
            <wp:docPr id="64" name="图片 64" descr="9d1df545d7dd56ac44d3c65d7122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9d1df545d7dd56ac44d3c65d71221176"/>
                    <pic:cNvPicPr>
                      <a:picLocks noChangeAspect="1"/>
                    </pic:cNvPicPr>
                  </pic:nvPicPr>
                  <pic:blipFill>
                    <a:blip r:embed="rId111"/>
                    <a:srcRect t="17514" r="2219"/>
                    <a:stretch>
                      <a:fillRect/>
                    </a:stretch>
                  </pic:blipFill>
                  <pic:spPr>
                    <a:xfrm>
                      <a:off x="0" y="0"/>
                      <a:ext cx="4868545" cy="7297420"/>
                    </a:xfrm>
                    <a:prstGeom prst="rect">
                      <a:avLst/>
                    </a:prstGeom>
                  </pic:spPr>
                </pic:pic>
              </a:graphicData>
            </a:graphic>
          </wp:inline>
        </w:drawing>
      </w:r>
    </w:p>
    <w:p w14:paraId="50D7D0DA">
      <w:pPr>
        <w:bidi w:val="0"/>
        <w:ind w:left="0" w:leftChars="0" w:firstLine="0" w:firstLineChars="0"/>
        <w:rPr>
          <w:rFonts w:hint="default"/>
          <w:highlight w:val="none"/>
          <w:lang w:val="en-US" w:eastAsia="zh-CN"/>
        </w:rPr>
      </w:pPr>
      <w:r>
        <w:rPr>
          <w:highlight w:val="none"/>
        </w:rPr>
        <w:drawing>
          <wp:inline distT="0" distB="0" distL="114300" distR="114300">
            <wp:extent cx="5273040" cy="7421245"/>
            <wp:effectExtent l="0" t="0" r="3810" b="8255"/>
            <wp:docPr id="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5"/>
                    <pic:cNvPicPr>
                      <a:picLocks noChangeAspect="1"/>
                    </pic:cNvPicPr>
                  </pic:nvPicPr>
                  <pic:blipFill>
                    <a:blip r:embed="rId112"/>
                    <a:stretch>
                      <a:fillRect/>
                    </a:stretch>
                  </pic:blipFill>
                  <pic:spPr>
                    <a:xfrm>
                      <a:off x="0" y="0"/>
                      <a:ext cx="5273040" cy="7421245"/>
                    </a:xfrm>
                    <a:prstGeom prst="rect">
                      <a:avLst/>
                    </a:prstGeom>
                    <a:noFill/>
                    <a:ln>
                      <a:noFill/>
                    </a:ln>
                  </pic:spPr>
                </pic:pic>
              </a:graphicData>
            </a:graphic>
          </wp:inline>
        </w:drawing>
      </w:r>
      <w:r>
        <w:rPr>
          <w:highlight w:val="none"/>
        </w:rPr>
        <w:drawing>
          <wp:inline distT="0" distB="0" distL="114300" distR="114300">
            <wp:extent cx="5272405" cy="7489825"/>
            <wp:effectExtent l="0" t="0" r="4445" b="15875"/>
            <wp:docPr id="1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pic:cNvPicPr>
                      <a:picLocks noChangeAspect="1"/>
                    </pic:cNvPicPr>
                  </pic:nvPicPr>
                  <pic:blipFill>
                    <a:blip r:embed="rId113"/>
                    <a:stretch>
                      <a:fillRect/>
                    </a:stretch>
                  </pic:blipFill>
                  <pic:spPr>
                    <a:xfrm>
                      <a:off x="0" y="0"/>
                      <a:ext cx="5272405" cy="7489825"/>
                    </a:xfrm>
                    <a:prstGeom prst="rect">
                      <a:avLst/>
                    </a:prstGeom>
                    <a:noFill/>
                    <a:ln>
                      <a:noFill/>
                    </a:ln>
                  </pic:spPr>
                </pic:pic>
              </a:graphicData>
            </a:graphic>
          </wp:inline>
        </w:drawing>
      </w:r>
      <w:r>
        <w:rPr>
          <w:highlight w:val="none"/>
        </w:rPr>
        <w:drawing>
          <wp:inline distT="0" distB="0" distL="114300" distR="114300">
            <wp:extent cx="5269865" cy="7376160"/>
            <wp:effectExtent l="0" t="0" r="6985" b="15240"/>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7"/>
                    <pic:cNvPicPr>
                      <a:picLocks noChangeAspect="1"/>
                    </pic:cNvPicPr>
                  </pic:nvPicPr>
                  <pic:blipFill>
                    <a:blip r:embed="rId114"/>
                    <a:stretch>
                      <a:fillRect/>
                    </a:stretch>
                  </pic:blipFill>
                  <pic:spPr>
                    <a:xfrm>
                      <a:off x="0" y="0"/>
                      <a:ext cx="5269865" cy="7376160"/>
                    </a:xfrm>
                    <a:prstGeom prst="rect">
                      <a:avLst/>
                    </a:prstGeom>
                    <a:noFill/>
                    <a:ln>
                      <a:noFill/>
                    </a:ln>
                  </pic:spPr>
                </pic:pic>
              </a:graphicData>
            </a:graphic>
          </wp:inline>
        </w:drawing>
      </w:r>
      <w:r>
        <w:rPr>
          <w:highlight w:val="none"/>
        </w:rPr>
        <w:drawing>
          <wp:inline distT="0" distB="0" distL="114300" distR="114300">
            <wp:extent cx="5271135" cy="7434580"/>
            <wp:effectExtent l="0" t="0" r="5715" b="13970"/>
            <wp:docPr id="1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pic:cNvPicPr>
                      <a:picLocks noChangeAspect="1"/>
                    </pic:cNvPicPr>
                  </pic:nvPicPr>
                  <pic:blipFill>
                    <a:blip r:embed="rId115"/>
                    <a:stretch>
                      <a:fillRect/>
                    </a:stretch>
                  </pic:blipFill>
                  <pic:spPr>
                    <a:xfrm>
                      <a:off x="0" y="0"/>
                      <a:ext cx="5271135" cy="7434580"/>
                    </a:xfrm>
                    <a:prstGeom prst="rect">
                      <a:avLst/>
                    </a:prstGeom>
                    <a:noFill/>
                    <a:ln>
                      <a:noFill/>
                    </a:ln>
                  </pic:spPr>
                </pic:pic>
              </a:graphicData>
            </a:graphic>
          </wp:inline>
        </w:drawing>
      </w:r>
    </w:p>
    <w:p w14:paraId="63786D8F">
      <w:pPr>
        <w:rPr>
          <w:rFonts w:hint="default"/>
          <w:highlight w:val="none"/>
          <w:lang w:val="en-US" w:eastAsia="zh-CN"/>
        </w:rPr>
      </w:pPr>
    </w:p>
    <w:p w14:paraId="3EAEC3AB">
      <w:pPr>
        <w:pStyle w:val="23"/>
        <w:rPr>
          <w:rFonts w:hint="default"/>
          <w:highlight w:val="none"/>
          <w:lang w:val="en-US" w:eastAsia="zh-CN"/>
        </w:rPr>
      </w:pPr>
    </w:p>
    <w:p w14:paraId="487FF939">
      <w:pPr>
        <w:rPr>
          <w:rFonts w:hint="default"/>
          <w:highlight w:val="none"/>
          <w:lang w:val="en-US" w:eastAsia="zh-CN"/>
        </w:rPr>
      </w:pPr>
    </w:p>
    <w:p w14:paraId="7DB76A95">
      <w:pPr>
        <w:pStyle w:val="23"/>
        <w:rPr>
          <w:rFonts w:hint="default"/>
          <w:highlight w:val="none"/>
          <w:lang w:val="en-US" w:eastAsia="zh-CN"/>
        </w:rPr>
      </w:pPr>
    </w:p>
    <w:p w14:paraId="750BD933">
      <w:pPr>
        <w:pStyle w:val="3"/>
        <w:bidi w:val="0"/>
        <w:rPr>
          <w:rFonts w:hint="eastAsia"/>
          <w:highlight w:val="none"/>
          <w:lang w:val="en-US" w:eastAsia="zh-CN"/>
        </w:rPr>
      </w:pPr>
      <w:bookmarkStart w:id="231" w:name="_Toc29427"/>
      <w:r>
        <w:rPr>
          <w:rFonts w:hint="eastAsia"/>
          <w:highlight w:val="none"/>
          <w:lang w:val="en-US" w:eastAsia="zh-CN"/>
        </w:rPr>
        <w:t>附件5核定总量计算说明</w:t>
      </w:r>
      <w:bookmarkEnd w:id="231"/>
    </w:p>
    <w:p w14:paraId="0126DF5F">
      <w:pPr>
        <w:ind w:firstLine="482"/>
        <w:rPr>
          <w:rFonts w:hint="eastAsia" w:ascii="Times New Roman" w:hAnsi="Times New Roman"/>
          <w:b/>
          <w:highlight w:val="none"/>
        </w:rPr>
      </w:pPr>
      <w:r>
        <w:rPr>
          <w:rFonts w:hint="eastAsia" w:ascii="Times New Roman" w:hAnsi="Times New Roman"/>
          <w:b/>
          <w:highlight w:val="none"/>
        </w:rPr>
        <w:t>大气污染物总量计算</w:t>
      </w:r>
    </w:p>
    <w:p w14:paraId="656EB849">
      <w:pPr>
        <w:ind w:firstLine="480"/>
        <w:rPr>
          <w:rFonts w:ascii="Times New Roman" w:hAnsi="Times New Roman"/>
          <w:highlight w:val="none"/>
        </w:rPr>
      </w:pPr>
      <w:r>
        <w:rPr>
          <w:rFonts w:ascii="Times New Roman" w:hAnsi="Times New Roman"/>
          <w:highlight w:val="none"/>
        </w:rPr>
        <w:t>本工程</w:t>
      </w:r>
      <w:r>
        <w:rPr>
          <w:rFonts w:hint="eastAsia" w:ascii="Times New Roman" w:hAnsi="Times New Roman"/>
          <w:highlight w:val="none"/>
          <w:lang w:val="en-US" w:eastAsia="zh-CN"/>
        </w:rPr>
        <w:t>建设116MW+</w:t>
      </w:r>
      <w:r>
        <w:rPr>
          <w:rFonts w:hint="default" w:ascii="Times New Roman" w:hAnsi="Times New Roman"/>
          <w:highlight w:val="none"/>
          <w:lang w:val="en-US" w:eastAsia="zh-CN"/>
        </w:rPr>
        <w:t>58</w:t>
      </w:r>
      <w:r>
        <w:rPr>
          <w:rFonts w:hint="eastAsia" w:ascii="Times New Roman" w:hAnsi="Times New Roman"/>
          <w:highlight w:val="none"/>
          <w:lang w:val="en-US" w:eastAsia="zh-CN"/>
        </w:rPr>
        <w:t>MW</w:t>
      </w:r>
      <w:r>
        <w:rPr>
          <w:rFonts w:hint="eastAsia"/>
          <w:highlight w:val="none"/>
          <w:lang w:val="en-US" w:eastAsia="zh-CN"/>
        </w:rPr>
        <w:t>热水锅炉和</w:t>
      </w:r>
      <w:r>
        <w:rPr>
          <w:rFonts w:hint="eastAsia" w:ascii="Times New Roman" w:hAnsi="Times New Roman"/>
          <w:highlight w:val="none"/>
          <w:lang w:val="en-US" w:eastAsia="zh-CN"/>
        </w:rPr>
        <w:t>1</w:t>
      </w:r>
      <w:r>
        <w:rPr>
          <w:rFonts w:hint="eastAsia"/>
          <w:highlight w:val="none"/>
          <w:lang w:val="en-US" w:eastAsia="zh-CN"/>
        </w:rPr>
        <w:t>台</w:t>
      </w:r>
      <w:r>
        <w:rPr>
          <w:rFonts w:hint="eastAsia" w:ascii="Times New Roman" w:hAnsi="Times New Roman"/>
          <w:highlight w:val="none"/>
          <w:lang w:val="en-US" w:eastAsia="zh-CN"/>
        </w:rPr>
        <w:t>35t/h</w:t>
      </w:r>
      <w:r>
        <w:rPr>
          <w:rFonts w:hint="eastAsia"/>
          <w:highlight w:val="none"/>
          <w:lang w:val="en-US" w:eastAsia="zh-CN"/>
        </w:rPr>
        <w:t>蒸汽锅炉共三台，</w:t>
      </w:r>
      <w:r>
        <w:rPr>
          <w:rFonts w:ascii="Times New Roman" w:hAnsi="Times New Roman"/>
          <w:highlight w:val="none"/>
        </w:rPr>
        <w:t>通过一座高</w:t>
      </w:r>
      <w:r>
        <w:rPr>
          <w:rFonts w:hint="eastAsia" w:ascii="Times New Roman" w:hAnsi="Times New Roman"/>
          <w:highlight w:val="none"/>
          <w:lang w:val="en-US" w:eastAsia="zh-CN"/>
        </w:rPr>
        <w:t>60</w:t>
      </w:r>
      <w:r>
        <w:rPr>
          <w:rFonts w:ascii="Times New Roman" w:hAnsi="Times New Roman"/>
          <w:highlight w:val="none"/>
        </w:rPr>
        <w:t>m，内径4m的烟囱排放至大气中。脱硫方式采用石灰石/石膏脱硫工艺，脱硫效率97%以上；除尘采用布袋除尘系统，除尘效率99.96%以上；脱硝措施采用低氮燃烧+SNCR-SCR脱硝装置（尿素），SNCR-SCR脱硝效率为</w:t>
      </w:r>
      <w:r>
        <w:rPr>
          <w:rFonts w:hint="eastAsia" w:ascii="Times New Roman" w:hAnsi="Times New Roman"/>
          <w:highlight w:val="none"/>
        </w:rPr>
        <w:t>75</w:t>
      </w:r>
      <w:r>
        <w:rPr>
          <w:rFonts w:ascii="Times New Roman" w:hAnsi="Times New Roman"/>
          <w:highlight w:val="none"/>
        </w:rPr>
        <w:t>%以上。</w:t>
      </w:r>
    </w:p>
    <w:p w14:paraId="104ADAB2">
      <w:pPr>
        <w:ind w:firstLine="480"/>
        <w:rPr>
          <w:rFonts w:ascii="Times New Roman" w:hAnsi="Times New Roman"/>
          <w:highlight w:val="none"/>
        </w:rPr>
      </w:pPr>
      <w:r>
        <w:rPr>
          <w:rFonts w:hint="eastAsia" w:ascii="Times New Roman" w:hAnsi="Times New Roman"/>
          <w:highlight w:val="none"/>
          <w:lang w:val="en-US" w:eastAsia="zh-CN"/>
        </w:rPr>
        <w:t>年</w:t>
      </w:r>
      <w:r>
        <w:rPr>
          <w:rFonts w:ascii="Times New Roman" w:hAnsi="Times New Roman"/>
          <w:highlight w:val="none"/>
        </w:rPr>
        <w:t>耗煤量合计为年耗量为</w:t>
      </w:r>
      <w:r>
        <w:rPr>
          <w:rFonts w:hint="eastAsia" w:ascii="Times New Roman" w:hAnsi="Times New Roman"/>
          <w:highlight w:val="none"/>
          <w:lang w:val="en-US" w:eastAsia="zh-CN"/>
        </w:rPr>
        <w:t>81047.7024</w:t>
      </w:r>
      <w:r>
        <w:rPr>
          <w:rFonts w:ascii="Times New Roman" w:hAnsi="Times New Roman"/>
          <w:highlight w:val="none"/>
        </w:rPr>
        <w:t>t/a。</w:t>
      </w:r>
    </w:p>
    <w:p w14:paraId="43914373">
      <w:pPr>
        <w:ind w:firstLine="480"/>
        <w:rPr>
          <w:rFonts w:ascii="Times New Roman" w:hAnsi="Times New Roman"/>
          <w:highlight w:val="none"/>
        </w:rPr>
      </w:pPr>
      <w:r>
        <w:rPr>
          <w:rFonts w:ascii="Times New Roman" w:hAnsi="Times New Roman"/>
          <w:highlight w:val="none"/>
        </w:rPr>
        <w:t>1、有组织废气</w:t>
      </w:r>
    </w:p>
    <w:p w14:paraId="7384EDF5">
      <w:pPr>
        <w:ind w:firstLine="480"/>
        <w:rPr>
          <w:rFonts w:ascii="Times New Roman" w:hAnsi="Times New Roman"/>
          <w:highlight w:val="none"/>
        </w:rPr>
      </w:pPr>
      <w:r>
        <w:rPr>
          <w:rFonts w:ascii="Times New Roman" w:hAnsi="Times New Roman"/>
          <w:highlight w:val="none"/>
        </w:rPr>
        <w:t>（1）基准烟气量核算</w:t>
      </w:r>
    </w:p>
    <w:p w14:paraId="43A9D449">
      <w:pPr>
        <w:ind w:firstLine="480"/>
        <w:rPr>
          <w:rFonts w:ascii="Times New Roman" w:hAnsi="Times New Roman"/>
          <w:highlight w:val="none"/>
        </w:rPr>
      </w:pPr>
      <w:r>
        <w:rPr>
          <w:rFonts w:ascii="Times New Roman" w:hAnsi="Times New Roman"/>
          <w:highlight w:val="none"/>
        </w:rPr>
        <w:t>理论公示计算法：单位固体/液体燃料燃烧所需的理论空气量按式（1）计算，基准烟气量按式（2）计算。</w:t>
      </w:r>
    </w:p>
    <w:p w14:paraId="62962AB4">
      <w:pPr>
        <w:spacing w:line="240" w:lineRule="auto"/>
        <w:ind w:firstLine="0" w:firstLineChars="0"/>
        <w:jc w:val="center"/>
        <w:rPr>
          <w:rFonts w:ascii="Times New Roman" w:hAnsi="Times New Roman"/>
          <w:b/>
          <w:szCs w:val="24"/>
          <w:highlight w:val="none"/>
        </w:rPr>
      </w:pPr>
      <w:r>
        <w:rPr>
          <w:rFonts w:ascii="Times New Roman" w:hAnsi="Times New Roman"/>
          <w:b/>
          <w:szCs w:val="24"/>
          <w:highlight w:val="none"/>
        </w:rPr>
        <w:drawing>
          <wp:inline distT="0" distB="0" distL="114300" distR="114300">
            <wp:extent cx="5754370" cy="927735"/>
            <wp:effectExtent l="0" t="0" r="17780" b="5715"/>
            <wp:docPr id="1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
                    <pic:cNvPicPr>
                      <a:picLocks noChangeAspect="1"/>
                    </pic:cNvPicPr>
                  </pic:nvPicPr>
                  <pic:blipFill>
                    <a:blip r:embed="rId116"/>
                    <a:stretch>
                      <a:fillRect/>
                    </a:stretch>
                  </pic:blipFill>
                  <pic:spPr>
                    <a:xfrm>
                      <a:off x="0" y="0"/>
                      <a:ext cx="5754370" cy="927735"/>
                    </a:xfrm>
                    <a:prstGeom prst="rect">
                      <a:avLst/>
                    </a:prstGeom>
                    <a:noFill/>
                    <a:ln>
                      <a:noFill/>
                    </a:ln>
                  </pic:spPr>
                </pic:pic>
              </a:graphicData>
            </a:graphic>
          </wp:inline>
        </w:drawing>
      </w:r>
    </w:p>
    <w:p w14:paraId="58F73F30">
      <w:pPr>
        <w:ind w:firstLine="480"/>
        <w:rPr>
          <w:rFonts w:ascii="Times New Roman" w:hAnsi="Times New Roman"/>
          <w:szCs w:val="24"/>
          <w:highlight w:val="none"/>
        </w:rPr>
      </w:pPr>
      <w:r>
        <w:rPr>
          <w:rFonts w:ascii="Times New Roman" w:hAnsi="Times New Roman"/>
          <w:szCs w:val="24"/>
          <w:highlight w:val="none"/>
        </w:rPr>
        <w:t>式中：</w:t>
      </w:r>
    </w:p>
    <w:p w14:paraId="34136DCE">
      <w:pPr>
        <w:ind w:firstLine="480"/>
        <w:rPr>
          <w:rFonts w:ascii="Times New Roman" w:hAnsi="Times New Roman"/>
          <w:szCs w:val="24"/>
          <w:highlight w:val="none"/>
        </w:rPr>
      </w:pPr>
      <w:r>
        <w:rPr>
          <w:rFonts w:ascii="Times New Roman" w:hAnsi="Times New Roman"/>
          <w:szCs w:val="24"/>
          <w:highlight w:val="none"/>
        </w:rPr>
        <w:t>V</w:t>
      </w:r>
      <w:r>
        <w:rPr>
          <w:rFonts w:ascii="Times New Roman" w:hAnsi="Times New Roman"/>
          <w:szCs w:val="24"/>
          <w:highlight w:val="none"/>
          <w:vertAlign w:val="subscript"/>
        </w:rPr>
        <w:t>0</w:t>
      </w:r>
      <w:r>
        <w:rPr>
          <w:rFonts w:ascii="Times New Roman" w:hAnsi="Times New Roman"/>
          <w:szCs w:val="24"/>
          <w:highlight w:val="none"/>
        </w:rPr>
        <w:t>—理论空气量，标立方米/千克；</w:t>
      </w:r>
    </w:p>
    <w:p w14:paraId="54D4E1D1">
      <w:pPr>
        <w:spacing w:before="78" w:beforeLines="25" w:after="78" w:afterLines="25"/>
        <w:ind w:firstLine="480"/>
        <w:rPr>
          <w:rFonts w:ascii="Times New Roman" w:hAnsi="Times New Roman"/>
          <w:szCs w:val="24"/>
          <w:highlight w:val="none"/>
        </w:rPr>
      </w:pPr>
      <w:r>
        <w:rPr>
          <w:rFonts w:ascii="Times New Roman" w:hAnsi="Times New Roman"/>
          <w:szCs w:val="24"/>
          <w:highlight w:val="none"/>
        </w:rPr>
        <w:t>C</w:t>
      </w:r>
      <w:r>
        <w:rPr>
          <w:rFonts w:ascii="Times New Roman" w:hAnsi="Times New Roman"/>
          <w:szCs w:val="24"/>
          <w:highlight w:val="none"/>
          <w:vertAlign w:val="subscript"/>
        </w:rPr>
        <w:t>ar</w:t>
      </w:r>
      <w:r>
        <w:rPr>
          <w:rFonts w:ascii="Times New Roman" w:hAnsi="Times New Roman"/>
          <w:szCs w:val="24"/>
          <w:highlight w:val="none"/>
        </w:rPr>
        <w:t>—燃煤收到基碳含量，%，取值</w:t>
      </w:r>
      <w:r>
        <w:rPr>
          <w:rFonts w:hint="eastAsia" w:ascii="Times New Roman" w:hAnsi="Times New Roman"/>
          <w:szCs w:val="24"/>
          <w:highlight w:val="none"/>
          <w:lang w:val="en-US" w:eastAsia="zh-CN"/>
        </w:rPr>
        <w:t>49.21</w:t>
      </w:r>
      <w:r>
        <w:rPr>
          <w:rFonts w:ascii="Times New Roman" w:hAnsi="Times New Roman"/>
          <w:szCs w:val="24"/>
          <w:highlight w:val="none"/>
        </w:rPr>
        <w:t>；</w:t>
      </w:r>
    </w:p>
    <w:p w14:paraId="4D268D9F">
      <w:pPr>
        <w:spacing w:before="78" w:beforeLines="25" w:after="78" w:afterLines="25"/>
        <w:ind w:firstLine="480"/>
        <w:rPr>
          <w:rFonts w:ascii="Times New Roman" w:hAnsi="Times New Roman"/>
          <w:szCs w:val="24"/>
          <w:highlight w:val="none"/>
        </w:rPr>
      </w:pPr>
      <w:r>
        <w:rPr>
          <w:rFonts w:ascii="Times New Roman" w:hAnsi="Times New Roman"/>
          <w:szCs w:val="24"/>
          <w:highlight w:val="none"/>
        </w:rPr>
        <w:t>H</w:t>
      </w:r>
      <w:r>
        <w:rPr>
          <w:rFonts w:ascii="Times New Roman" w:hAnsi="Times New Roman"/>
          <w:szCs w:val="24"/>
          <w:highlight w:val="none"/>
          <w:vertAlign w:val="subscript"/>
        </w:rPr>
        <w:t>ar</w:t>
      </w:r>
      <w:r>
        <w:rPr>
          <w:rFonts w:ascii="Times New Roman" w:hAnsi="Times New Roman"/>
          <w:szCs w:val="24"/>
          <w:highlight w:val="none"/>
        </w:rPr>
        <w:t>—燃煤收到基氢含量，%，取值</w:t>
      </w:r>
      <w:r>
        <w:rPr>
          <w:rFonts w:hint="eastAsia" w:ascii="Times New Roman" w:hAnsi="Times New Roman"/>
          <w:szCs w:val="24"/>
          <w:highlight w:val="none"/>
        </w:rPr>
        <w:t>3.16</w:t>
      </w:r>
      <w:r>
        <w:rPr>
          <w:rFonts w:ascii="Times New Roman" w:hAnsi="Times New Roman"/>
          <w:szCs w:val="24"/>
          <w:highlight w:val="none"/>
        </w:rPr>
        <w:t>；</w:t>
      </w:r>
    </w:p>
    <w:p w14:paraId="6018FB2E">
      <w:pPr>
        <w:spacing w:before="78" w:beforeLines="25" w:after="78" w:afterLines="25"/>
        <w:ind w:firstLine="480"/>
        <w:rPr>
          <w:rFonts w:ascii="Times New Roman" w:hAnsi="Times New Roman"/>
          <w:szCs w:val="24"/>
          <w:highlight w:val="none"/>
        </w:rPr>
      </w:pPr>
      <w:r>
        <w:rPr>
          <w:rFonts w:ascii="Times New Roman" w:hAnsi="Times New Roman"/>
          <w:szCs w:val="24"/>
          <w:highlight w:val="none"/>
        </w:rPr>
        <w:t>O</w:t>
      </w:r>
      <w:r>
        <w:rPr>
          <w:rFonts w:ascii="Times New Roman" w:hAnsi="Times New Roman"/>
          <w:szCs w:val="24"/>
          <w:highlight w:val="none"/>
          <w:vertAlign w:val="subscript"/>
        </w:rPr>
        <w:t>ar</w:t>
      </w:r>
      <w:r>
        <w:rPr>
          <w:rFonts w:ascii="Times New Roman" w:hAnsi="Times New Roman"/>
          <w:szCs w:val="24"/>
          <w:highlight w:val="none"/>
        </w:rPr>
        <w:t>—燃煤收到基氧含量，%，取值</w:t>
      </w:r>
      <w:r>
        <w:rPr>
          <w:rFonts w:hint="eastAsia" w:ascii="Times New Roman" w:hAnsi="Times New Roman"/>
          <w:szCs w:val="24"/>
          <w:highlight w:val="none"/>
          <w:lang w:val="en-US" w:eastAsia="zh-CN"/>
        </w:rPr>
        <w:t>6.93</w:t>
      </w:r>
      <w:r>
        <w:rPr>
          <w:rFonts w:ascii="Times New Roman" w:hAnsi="Times New Roman"/>
          <w:szCs w:val="24"/>
          <w:highlight w:val="none"/>
        </w:rPr>
        <w:t>；</w:t>
      </w:r>
    </w:p>
    <w:p w14:paraId="133EE06B">
      <w:pPr>
        <w:ind w:firstLine="480"/>
        <w:rPr>
          <w:rFonts w:ascii="Times New Roman" w:hAnsi="Times New Roman"/>
          <w:szCs w:val="24"/>
          <w:highlight w:val="none"/>
        </w:rPr>
      </w:pPr>
      <w:r>
        <w:rPr>
          <w:rFonts w:ascii="Times New Roman" w:hAnsi="Times New Roman"/>
          <w:szCs w:val="24"/>
          <w:highlight w:val="none"/>
        </w:rPr>
        <w:t>S</w:t>
      </w:r>
      <w:r>
        <w:rPr>
          <w:rFonts w:ascii="Times New Roman" w:hAnsi="Times New Roman"/>
          <w:szCs w:val="24"/>
          <w:highlight w:val="none"/>
          <w:vertAlign w:val="subscript"/>
        </w:rPr>
        <w:t>ar</w:t>
      </w:r>
      <w:r>
        <w:rPr>
          <w:rFonts w:ascii="Times New Roman" w:hAnsi="Times New Roman"/>
          <w:szCs w:val="24"/>
          <w:highlight w:val="none"/>
        </w:rPr>
        <w:t>—燃煤收到基硫含量，%，取值</w:t>
      </w:r>
      <w:r>
        <w:rPr>
          <w:rFonts w:hint="eastAsia" w:ascii="Times New Roman" w:hAnsi="Times New Roman"/>
          <w:szCs w:val="24"/>
          <w:highlight w:val="none"/>
          <w:lang w:val="en-US" w:eastAsia="zh-CN"/>
        </w:rPr>
        <w:t>0.21</w:t>
      </w:r>
      <w:r>
        <w:rPr>
          <w:rFonts w:ascii="Times New Roman" w:hAnsi="Times New Roman"/>
          <w:szCs w:val="24"/>
          <w:highlight w:val="none"/>
        </w:rPr>
        <w:t>。</w:t>
      </w:r>
    </w:p>
    <w:p w14:paraId="39D52C7C">
      <w:pPr>
        <w:ind w:firstLine="480"/>
        <w:contextualSpacing/>
        <w:rPr>
          <w:rFonts w:ascii="Times New Roman" w:hAnsi="Times New Roman" w:eastAsia="新宋体"/>
          <w:szCs w:val="24"/>
          <w:highlight w:val="none"/>
        </w:rPr>
      </w:pPr>
      <w:r>
        <w:rPr>
          <w:rFonts w:ascii="Times New Roman" w:hAnsi="Times New Roman" w:eastAsia="新宋体"/>
          <w:szCs w:val="24"/>
          <w:highlight w:val="none"/>
        </w:rPr>
        <w:t>Nar—收到基氮的质量分数，%，取值</w:t>
      </w:r>
      <w:r>
        <w:rPr>
          <w:rFonts w:hint="eastAsia" w:ascii="Times New Roman" w:hAnsi="Times New Roman" w:eastAsia="新宋体"/>
          <w:szCs w:val="24"/>
          <w:highlight w:val="none"/>
          <w:lang w:val="en-US" w:eastAsia="zh-CN"/>
        </w:rPr>
        <w:t>0.71</w:t>
      </w:r>
      <w:r>
        <w:rPr>
          <w:rFonts w:ascii="Times New Roman" w:hAnsi="Times New Roman" w:eastAsia="新宋体"/>
          <w:szCs w:val="24"/>
          <w:highlight w:val="none"/>
        </w:rPr>
        <w:t>。</w:t>
      </w:r>
    </w:p>
    <w:p w14:paraId="200AF4CE">
      <w:pPr>
        <w:ind w:firstLine="480"/>
        <w:rPr>
          <w:rFonts w:ascii="Times New Roman" w:hAnsi="Times New Roman"/>
          <w:szCs w:val="24"/>
          <w:highlight w:val="none"/>
        </w:rPr>
      </w:pPr>
      <w:r>
        <w:rPr>
          <w:rFonts w:ascii="Times New Roman" w:hAnsi="Times New Roman"/>
          <w:szCs w:val="24"/>
          <w:highlight w:val="none"/>
        </w:rPr>
        <w:t>α—过量空气系数，%，</w:t>
      </w:r>
      <w:r>
        <w:rPr>
          <w:rFonts w:hint="eastAsia" w:ascii="Times New Roman" w:hAnsi="Times New Roman"/>
          <w:szCs w:val="24"/>
          <w:highlight w:val="none"/>
        </w:rPr>
        <w:t>1.4，对应基准氧含量为6%</w:t>
      </w:r>
      <w:r>
        <w:rPr>
          <w:rFonts w:ascii="Times New Roman" w:hAnsi="Times New Roman"/>
          <w:szCs w:val="24"/>
          <w:highlight w:val="none"/>
        </w:rPr>
        <w:t>。</w:t>
      </w:r>
    </w:p>
    <w:p w14:paraId="088CDBBF">
      <w:pPr>
        <w:ind w:firstLine="482"/>
        <w:jc w:val="center"/>
        <w:rPr>
          <w:rFonts w:ascii="Times New Roman" w:hAnsi="Times New Roman"/>
          <w:b/>
          <w:szCs w:val="24"/>
          <w:highlight w:val="none"/>
        </w:rPr>
      </w:pPr>
      <w:r>
        <w:rPr>
          <w:rFonts w:ascii="Times New Roman" w:hAnsi="Times New Roman"/>
          <w:b/>
          <w:szCs w:val="24"/>
          <w:highlight w:val="none"/>
        </w:rPr>
        <w:t>表1 大气污染物许可排放量调整系数取值表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3973"/>
        <w:gridCol w:w="1056"/>
        <w:gridCol w:w="1056"/>
        <w:gridCol w:w="846"/>
      </w:tblGrid>
      <w:tr w14:paraId="1495E6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noWrap w:val="0"/>
            <w:vAlign w:val="center"/>
          </w:tcPr>
          <w:p w14:paraId="6A4CC8A8">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mc:AlternateContent>
                <mc:Choice Requires="wps">
                  <w:drawing>
                    <wp:anchor distT="0" distB="0" distL="114300" distR="114300" simplePos="0" relativeHeight="251691008" behindDoc="0" locked="0" layoutInCell="1" allowOverlap="1">
                      <wp:simplePos x="0" y="0"/>
                      <wp:positionH relativeFrom="column">
                        <wp:posOffset>-57150</wp:posOffset>
                      </wp:positionH>
                      <wp:positionV relativeFrom="paragraph">
                        <wp:posOffset>19685</wp:posOffset>
                      </wp:positionV>
                      <wp:extent cx="3198495" cy="296545"/>
                      <wp:effectExtent l="635" t="4445" r="1270" b="22860"/>
                      <wp:wrapNone/>
                      <wp:docPr id="110" name="直接箭头连接符 110"/>
                      <wp:cNvGraphicFramePr/>
                      <a:graphic xmlns:a="http://schemas.openxmlformats.org/drawingml/2006/main">
                        <a:graphicData uri="http://schemas.microsoft.com/office/word/2010/wordprocessingShape">
                          <wps:wsp>
                            <wps:cNvCnPr/>
                            <wps:spPr>
                              <a:xfrm>
                                <a:off x="0" y="0"/>
                                <a:ext cx="3198495" cy="29654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4.5pt;margin-top:1.55pt;height:23.35pt;width:251.85pt;z-index:251691008;mso-width-relative:page;mso-height-relative:page;" filled="f" stroked="t" coordsize="21600,21600" o:gfxdata="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6YuedcAAAAHAQAADwAAAAAAAAABACAAAAAiAAAA&#10;ZHJzL2Rvd25yZXYueG1sUEsBAhQAFAAAAAgAh07iQFL3Bf4IAgAAAwQAAA4AAAAAAAAAAQAgAAAA&#10;JgEAAGRycy9lMm9Eb2MueG1sUEsFBgAAAAAGAAYAWQEAAKAFAAAAAA==&#10;">
                      <v:fill on="f" focussize="0,0"/>
                      <v:stroke color="#000000" joinstyle="round"/>
                      <v:imagedata o:title=""/>
                      <o:lock v:ext="edit" aspectratio="f"/>
                    </v:shape>
                  </w:pict>
                </mc:Fallback>
              </mc:AlternateContent>
            </w:r>
            <w:r>
              <w:rPr>
                <w:rFonts w:ascii="Times New Roman" w:hAnsi="Times New Roman"/>
                <w:sz w:val="21"/>
                <w:szCs w:val="21"/>
                <w:highlight w:val="none"/>
              </w:rPr>
              <w:t>污染物项目</w:t>
            </w:r>
          </w:p>
          <w:p w14:paraId="53E56E9E">
            <w:pPr>
              <w:spacing w:line="240" w:lineRule="auto"/>
              <w:ind w:firstLine="0" w:firstLineChars="0"/>
              <w:contextualSpacing/>
              <w:rPr>
                <w:rFonts w:ascii="Times New Roman" w:hAnsi="Times New Roman"/>
                <w:sz w:val="21"/>
                <w:szCs w:val="21"/>
                <w:highlight w:val="none"/>
              </w:rPr>
            </w:pPr>
            <w:r>
              <w:rPr>
                <w:rFonts w:ascii="Times New Roman" w:hAnsi="Times New Roman"/>
                <w:sz w:val="21"/>
                <w:szCs w:val="21"/>
                <w:highlight w:val="none"/>
              </w:rPr>
              <w:t>锅炉排污单位执行标准</w:t>
            </w:r>
          </w:p>
        </w:tc>
        <w:tc>
          <w:tcPr>
            <w:tcW w:w="0" w:type="auto"/>
            <w:noWrap w:val="0"/>
            <w:vAlign w:val="center"/>
          </w:tcPr>
          <w:p w14:paraId="00B7103D">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二氧化硫</w:t>
            </w:r>
          </w:p>
        </w:tc>
        <w:tc>
          <w:tcPr>
            <w:tcW w:w="0" w:type="auto"/>
            <w:noWrap w:val="0"/>
            <w:vAlign w:val="center"/>
          </w:tcPr>
          <w:p w14:paraId="05516C68">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氮氧化物</w:t>
            </w:r>
          </w:p>
        </w:tc>
        <w:tc>
          <w:tcPr>
            <w:tcW w:w="0" w:type="auto"/>
            <w:noWrap w:val="0"/>
            <w:vAlign w:val="center"/>
          </w:tcPr>
          <w:p w14:paraId="4EF60BCB">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颗粒物</w:t>
            </w:r>
          </w:p>
        </w:tc>
      </w:tr>
      <w:tr w14:paraId="5FB4B6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noWrap w:val="0"/>
            <w:vAlign w:val="center"/>
          </w:tcPr>
          <w:p w14:paraId="282A9791">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GB13271</w:t>
            </w:r>
          </w:p>
        </w:tc>
        <w:tc>
          <w:tcPr>
            <w:tcW w:w="0" w:type="auto"/>
            <w:noWrap w:val="0"/>
            <w:vAlign w:val="center"/>
          </w:tcPr>
          <w:p w14:paraId="52F00CA7">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0.8</w:t>
            </w:r>
          </w:p>
        </w:tc>
        <w:tc>
          <w:tcPr>
            <w:tcW w:w="0" w:type="auto"/>
            <w:noWrap w:val="0"/>
            <w:vAlign w:val="center"/>
          </w:tcPr>
          <w:p w14:paraId="3E4441EF">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c>
          <w:tcPr>
            <w:tcW w:w="0" w:type="auto"/>
            <w:noWrap w:val="0"/>
            <w:vAlign w:val="center"/>
          </w:tcPr>
          <w:p w14:paraId="1D1CA135">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r>
      <w:tr w14:paraId="0DA51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noWrap w:val="0"/>
            <w:vAlign w:val="center"/>
          </w:tcPr>
          <w:p w14:paraId="4E28972A">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地方标准</w:t>
            </w:r>
          </w:p>
        </w:tc>
        <w:tc>
          <w:tcPr>
            <w:tcW w:w="0" w:type="auto"/>
            <w:noWrap w:val="0"/>
            <w:vAlign w:val="center"/>
          </w:tcPr>
          <w:p w14:paraId="04DE225A">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标准限值＞0.8倍GB13271特别排放限值</w:t>
            </w:r>
          </w:p>
        </w:tc>
        <w:tc>
          <w:tcPr>
            <w:tcW w:w="0" w:type="auto"/>
            <w:noWrap w:val="0"/>
            <w:vAlign w:val="center"/>
          </w:tcPr>
          <w:p w14:paraId="7203FD18">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0.8</w:t>
            </w:r>
          </w:p>
        </w:tc>
        <w:tc>
          <w:tcPr>
            <w:tcW w:w="0" w:type="auto"/>
            <w:noWrap w:val="0"/>
            <w:vAlign w:val="center"/>
          </w:tcPr>
          <w:p w14:paraId="682995A2">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c>
          <w:tcPr>
            <w:tcW w:w="0" w:type="auto"/>
            <w:noWrap w:val="0"/>
            <w:vAlign w:val="center"/>
          </w:tcPr>
          <w:p w14:paraId="043B0D7C">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r>
      <w:tr w14:paraId="16C3E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noWrap w:val="0"/>
            <w:vAlign w:val="center"/>
          </w:tcPr>
          <w:p w14:paraId="20E5E784">
            <w:pPr>
              <w:spacing w:line="240" w:lineRule="auto"/>
              <w:ind w:firstLine="0" w:firstLineChars="0"/>
              <w:contextualSpacing/>
              <w:jc w:val="center"/>
              <w:rPr>
                <w:rFonts w:ascii="Times New Roman" w:hAnsi="Times New Roman"/>
                <w:sz w:val="21"/>
                <w:szCs w:val="21"/>
                <w:highlight w:val="none"/>
              </w:rPr>
            </w:pPr>
          </w:p>
        </w:tc>
        <w:tc>
          <w:tcPr>
            <w:tcW w:w="0" w:type="auto"/>
            <w:noWrap w:val="0"/>
            <w:vAlign w:val="center"/>
          </w:tcPr>
          <w:p w14:paraId="0E63499F">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标准限值≤0.8倍GB13271特别排放限值</w:t>
            </w:r>
          </w:p>
        </w:tc>
        <w:tc>
          <w:tcPr>
            <w:tcW w:w="0" w:type="auto"/>
            <w:noWrap w:val="0"/>
            <w:vAlign w:val="center"/>
          </w:tcPr>
          <w:p w14:paraId="4D0CA019">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c>
          <w:tcPr>
            <w:tcW w:w="0" w:type="auto"/>
            <w:noWrap w:val="0"/>
            <w:vAlign w:val="center"/>
          </w:tcPr>
          <w:p w14:paraId="4ED56B21">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c>
          <w:tcPr>
            <w:tcW w:w="0" w:type="auto"/>
            <w:noWrap w:val="0"/>
            <w:vAlign w:val="center"/>
          </w:tcPr>
          <w:p w14:paraId="0E999601">
            <w:pPr>
              <w:spacing w:line="240" w:lineRule="auto"/>
              <w:ind w:firstLine="0" w:firstLineChars="0"/>
              <w:contextualSpacing/>
              <w:jc w:val="center"/>
              <w:rPr>
                <w:rFonts w:ascii="Times New Roman" w:hAnsi="Times New Roman"/>
                <w:sz w:val="21"/>
                <w:szCs w:val="21"/>
                <w:highlight w:val="none"/>
              </w:rPr>
            </w:pPr>
            <w:r>
              <w:rPr>
                <w:rFonts w:ascii="Times New Roman" w:hAnsi="Times New Roman"/>
                <w:sz w:val="21"/>
                <w:szCs w:val="21"/>
                <w:highlight w:val="none"/>
              </w:rPr>
              <w:t>1</w:t>
            </w:r>
          </w:p>
        </w:tc>
      </w:tr>
    </w:tbl>
    <w:p w14:paraId="56D9F12F">
      <w:pPr>
        <w:ind w:firstLine="480"/>
        <w:rPr>
          <w:rFonts w:ascii="Times New Roman" w:hAnsi="Times New Roman"/>
          <w:szCs w:val="24"/>
          <w:highlight w:val="none"/>
        </w:rPr>
      </w:pPr>
      <w:r>
        <w:rPr>
          <w:rFonts w:ascii="Times New Roman" w:hAnsi="Times New Roman"/>
          <w:szCs w:val="24"/>
          <w:highlight w:val="none"/>
        </w:rPr>
        <w:t>固体/液体燃料锅炉的废气污染物（颗粒物、二氧化硫、氮氧化物）年许可排放量按下列公式计算：</w:t>
      </w:r>
    </w:p>
    <w:p w14:paraId="3EFF1504">
      <w:pPr>
        <w:ind w:firstLine="0" w:firstLineChars="0"/>
        <w:jc w:val="center"/>
        <w:rPr>
          <w:rFonts w:ascii="Times New Roman" w:hAnsi="Times New Roman"/>
          <w:szCs w:val="24"/>
          <w:highlight w:val="none"/>
        </w:rPr>
      </w:pPr>
      <w:r>
        <w:rPr>
          <w:rFonts w:ascii="Times New Roman" w:hAnsi="Times New Roman"/>
          <w:szCs w:val="24"/>
          <w:highlight w:val="none"/>
        </w:rPr>
        <w:t>E</w:t>
      </w:r>
      <w:r>
        <w:rPr>
          <w:rFonts w:ascii="Times New Roman" w:hAnsi="Times New Roman"/>
          <w:szCs w:val="24"/>
          <w:highlight w:val="none"/>
          <w:vertAlign w:val="subscript"/>
        </w:rPr>
        <w:t>年许可</w:t>
      </w:r>
      <w:r>
        <w:rPr>
          <w:rFonts w:ascii="Times New Roman" w:hAnsi="Times New Roman"/>
          <w:szCs w:val="24"/>
          <w:highlight w:val="none"/>
        </w:rPr>
        <w:t>=</w:t>
      </w:r>
      <w:r>
        <w:rPr>
          <w:rFonts w:ascii="Times New Roman" w:hAnsi="Times New Roman"/>
          <w:szCs w:val="24"/>
          <w:highlight w:val="none"/>
        </w:rPr>
        <w:fldChar w:fldCharType="begin"/>
      </w:r>
      <w:r>
        <w:rPr>
          <w:rFonts w:ascii="Times New Roman" w:hAnsi="Times New Roman"/>
          <w:szCs w:val="24"/>
          <w:highlight w:val="none"/>
        </w:rPr>
        <w:instrText xml:space="preserve"> QUOTE </w:instrText>
      </w:r>
      <w:r>
        <w:rPr>
          <w:rFonts w:ascii="Times New Roman" w:hAnsi="Times New Roman" w:eastAsia="新宋体"/>
          <w:position w:val="-15"/>
          <w:szCs w:val="21"/>
          <w:highlight w:val="none"/>
        </w:rPr>
        <w:pict>
          <v:shape id="_x0000_i1034" o:spt="75" type="#_x0000_t75" style="height:23.15pt;width:34.4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228&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BB3228&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nary&gt;&lt;m:naryPr&gt;&lt;m:chr m:val=&quot;∑&quot;/&gt;&lt;m:ctrlPr&gt;&lt;w:rPr&gt;&lt;w:rFont4s w4:as4cii4=&quot;C4amb4ria4 Ma4th&quot;4 w:4far4eas4t=&quot;4宋?04? F04w:hF04-anF04si=F04&quot;CaF04mbrF04ia F04MatF04h&quot;/F04&gt;&lt;wF04x:fF04ontF04 wxF04:vaF04l=&quot;F04CamF04briF04a MF04athF04&quot;/&gt;F04&lt;w:F04sz-F04cs F04w:vF04al=F04&quot;24F04&quot;/&gt;F04&lt;/wF04:rPF04r&gt;&lt;F04/m:F04ctrF04lPrF04&gt;&lt;/F044m:n4F04a4ryF044Pr&gt;4F04&lt;4m:F044sub4F04&gt;4&lt;mF044:r&gt;4F04&lt;4m:F044rPr4F04&gt;&lt;mF04:stF04y mF04:vaF04l=&quot;F04p&quot;/F04&gt;&lt;/m:41CrPr&gt;&lt;w:rPr&gt;&lt;w:rFonts w:ascii=&quot;Cambria Math&quot; w:fareast=&quot;宋体&quot; 04w:h-an04si=&quot;Ca04mbria 04Math&quot;/04&gt;&lt;wx:f04ont wx04:val=&quot;04Cambri04a Math04&quot;/&gt;&lt;w:0404sz-csn4 04w:a4val=0044&quot;24&quot;&gt;4/&gt;04&lt;&lt;4/w:rP0404r&gt;&lt;b4m:t04&gt;4&gt;i=0&lt;04/04m:&gt;4t&gt;&lt;/0&lt;44m:r&gt;04&lt;/04mr4:sub&gt;0&lt;m4&lt;m:sustp04&gt;&lt;m m:r&gt;04&lt;vam:rPr0=&quot;4&gt;&lt;m:s&quot;/t04y m&lt;/:va04lCr=&quot;p&quot;/0w:4&gt;&lt;/m:&lt;wr04Pr&gt;nt&lt;w:04rasPr&gt;&lt;w0&quot;C4:rFoniat04s wh&quot;:as04carii=&quot;C0=&quot;4ambria M1Cath&quot; w:fareast=&quot;?翁?04 n4w:h-ansa404i=&quot;Ca04mbr04ia&gt;4 Math&quot;0&lt;44/&gt;&lt;wx:04fo04nt b4wx:va04&gt;4l=&quot;Camb04r04ia M&gt;4ath&quot;04/&lt;4&gt;&lt;w:sz-0404cs w:r4val04=&quot;2&lt;m4&quot;/&gt;&lt;04/stw:rPr&gt;&lt;0 m4m:t&gt;n&lt;/vam04:t&gt;&lt;/=&quot;m:r04&gt;&lt;/&quot;/m:sup04&gt;&lt;/&lt;m:e&gt;&lt;m0Cr4:r&gt;&lt;m:rw:P04r&gt;&lt;m:&lt;wsty04 m:ntval=&quot;04pas&quot;/&gt;&lt;/m:0&quot;C4rPr&gt;&lt;w:&quot;?iar04Pr&gt;&lt;wh&quot;:rF04ontars w:a04s=&quot;cii=&quot;Ca0a 4mbria M&quot; a04th&quot; was:fa04reast=&quot;?04翁? 4w4:has04-4ans4i=&quot;C&quot;4C04am4bri4a Mat M414Ch&quot; w:hin4mt=&quot;fareastt4&quot;/&gt;&lt;wx:fomn4t wx:vala=&quot;4Cambria&quot; Ma4th&quot;/&gt;&lt;/w:sz4-cs w/:val=4&quot;24&quot;r/&gt;&lt;/w:4rPr:&gt;&lt;m:t&gt;C4&lt;/wm:t&gt;&lt;/m:4rt&gt;&lt;m:r&gt;&lt;m:4sr?Pr&gt;&lt;m:sty&lt;C4 m:val=o&quot;pa&quot;4/&gt;&lt;/am:rP&quot;r&gt;4&lt;=w:rPr&gt;r&lt;wb:4rFonts&quot;0 w:a4scii:= &quot;Camb4rtia  Math&quot; 4w:fsareast=4&quot;?t翁? 4w:ha04w4-a4nsi=&quot;Camas4404bria Matmhm4&quot;?04&quot; w:thinM4t=&quot;fa0m4reasn4t&quot;/&gt;a&lt;wx:04ft4on&quot;t wx:val=n4/&quot;C1Cambria /&quot;4Math&quot;/&gt;&lt;wr:sa4z-cs w::val=z4&quot;24&quot;/w&gt;&lt;?w:ve=4rtAt&lt;lign w:v:4oasl=&quot;subscariCC4pt&quot;/&gt;=&lt;/w:raP:4rb&gt;&lt;m:t&gt;i&quot;&lt;/0m:4:t&gt;&lt;/mr::r&gt;&lt;/y4m:et&gt;&quot;&lt;/m:nar&quot; 4y&gt; &lt;/m:oMsath&gt;4 &gt;&lt;/m:oMathPs:4ara&gt;&lt;/w:?tp&gt;&lt;a4w:sectPr wsb4p:rsidR=&quot;00 4000000&quot;&gt;&lt;w:=4pgSz w:w=&quot;12240&quot; w:h=&quot;15840&quot;/&gt;&lt;w:pgMar w:top=&quot;1440&quot; w:right=&quot;1800&quot; w:bottom=&quot;1440&quot; w:left=&quot;1800&quot; w:header=&quot;720&quot; w:footer=&quot;720&quot; w:gutter=&quot;0&quot;/&gt;&lt;w:cols w:space=&quot;720&quot;/&gt;&lt;/w:sectPr&gt;&lt;/w:body&gt;&lt;/w:wordDocument">
            <v:path/>
            <v:fill on="f" focussize="0,0"/>
            <v:stroke on="f"/>
            <v:imagedata r:id="rId117" chromakey="#FFFFFF" o:title=""/>
            <o:lock v:ext="edit" aspectratio="t"/>
            <w10:wrap type="none"/>
            <w10:anchorlock/>
          </v:shape>
        </w:pict>
      </w:r>
      <w:r>
        <w:rPr>
          <w:rFonts w:ascii="Times New Roman" w:hAnsi="Times New Roman"/>
          <w:szCs w:val="24"/>
          <w:highlight w:val="none"/>
        </w:rPr>
        <w:instrText xml:space="preserve"> </w:instrText>
      </w:r>
      <w:r>
        <w:rPr>
          <w:rFonts w:ascii="Times New Roman" w:hAnsi="Times New Roman"/>
          <w:szCs w:val="24"/>
          <w:highlight w:val="none"/>
        </w:rPr>
        <w:fldChar w:fldCharType="separate"/>
      </w:r>
      <w:r>
        <w:rPr>
          <w:rFonts w:ascii="Times New Roman" w:hAnsi="Times New Roman" w:eastAsia="新宋体"/>
          <w:position w:val="-15"/>
          <w:szCs w:val="21"/>
          <w:highlight w:val="none"/>
        </w:rPr>
        <w:pict>
          <v:shape id="_x0000_i1035" o:spt="75" type="#_x0000_t75" style="height:23.15pt;width:34.4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228&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BB3228&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nary&gt;&lt;m:naryPr&gt;&lt;m:chr m:val=&quot;∑&quot;/&gt;&lt;m:ctrlPr&gt;&lt;w:rPr&gt;&lt;w:rFont4s w4:as4cii4=&quot;C4amb4ria4 Ma4th&quot;4 w:4far4eas4t=&quot;4宋?04? F04w:hF04-anF04si=F04&quot;CaF04mbrF04ia F04MatF04h&quot;/F04&gt;&lt;wF04x:fF04ontF04 wxF04:vaF04l=&quot;F04CamF04briF04a MF04athF04&quot;/&gt;F04&lt;w:F04sz-F04cs F04w:vF04al=F04&quot;24F04&quot;/&gt;F04&lt;/wF04:rPF04r&gt;&lt;F04/m:F04ctrF04lPrF04&gt;&lt;/F044m:n4F04a4ryF044Pr&gt;4F04&lt;4m:F044sub4F04&gt;4&lt;mF044:r&gt;4F04&lt;4m:F044rPr4F04&gt;&lt;mF04:stF04y mF04:vaF04l=&quot;F04p&quot;/F04&gt;&lt;/m:41CrPr&gt;&lt;w:rPr&gt;&lt;w:rFonts w:ascii=&quot;Cambria Math&quot; w:fareast=&quot;宋体&quot; 04w:h-an04si=&quot;Ca04mbria 04Math&quot;/04&gt;&lt;wx:f04ont wx04:val=&quot;04Cambri04a Math04&quot;/&gt;&lt;w:0404sz-csn4 04w:a4val=0044&quot;24&quot;&gt;4/&gt;04&lt;&lt;4/w:rP0404r&gt;&lt;b4m:t04&gt;4&gt;i=0&lt;04/04m:&gt;4t&gt;&lt;/0&lt;44m:r&gt;04&lt;/04mr4:sub&gt;0&lt;m4&lt;m:sustp04&gt;&lt;m m:r&gt;04&lt;vam:rPr0=&quot;4&gt;&lt;m:s&quot;/t04y m&lt;/:va04lCr=&quot;p&quot;/0w:4&gt;&lt;/m:&lt;wr04Pr&gt;nt&lt;w:04rasPr&gt;&lt;w0&quot;C4:rFoniat04s wh&quot;:as04carii=&quot;C0=&quot;4ambria M1Cath&quot; w:fareast=&quot;?翁?04 n4w:h-ansa404i=&quot;Ca04mbr04ia&gt;4 Math&quot;0&lt;44/&gt;&lt;wx:04fo04nt b4wx:va04&gt;4l=&quot;Camb04r04ia M&gt;4ath&quot;04/&lt;4&gt;&lt;w:sz-0404cs w:r4val04=&quot;2&lt;m4&quot;/&gt;&lt;04/stw:rPr&gt;&lt;0 m4m:t&gt;n&lt;/vam04:t&gt;&lt;/=&quot;m:r04&gt;&lt;/&quot;/m:sup04&gt;&lt;/&lt;m:e&gt;&lt;m0Cr4:r&gt;&lt;m:rw:P04r&gt;&lt;m:&lt;wsty04 m:ntval=&quot;04pas&quot;/&gt;&lt;/m:0&quot;C4rPr&gt;&lt;w:&quot;?iar04Pr&gt;&lt;wh&quot;:rF04ontars w:a04s=&quot;cii=&quot;Ca0a 4mbria M&quot; a04th&quot; was:fa04reast=&quot;?04翁? 4w4:has04-4ans4i=&quot;C&quot;4C04am4bri4a Mat M414Ch&quot; w:hin4mt=&quot;fareastt4&quot;/&gt;&lt;wx:fomn4t wx:vala=&quot;4Cambria&quot; Ma4th&quot;/&gt;&lt;/w:sz4-cs w/:val=4&quot;24&quot;r/&gt;&lt;/w:4rPr:&gt;&lt;m:t&gt;C4&lt;/wm:t&gt;&lt;/m:4rt&gt;&lt;m:r&gt;&lt;m:4sr?Pr&gt;&lt;m:sty&lt;C4 m:val=o&quot;pa&quot;4/&gt;&lt;/am:rP&quot;r&gt;4&lt;=w:rPr&gt;r&lt;wb:4rFonts&quot;0 w:a4scii:= &quot;Camb4rtia  Math&quot; 4w:fsareast=4&quot;?t翁? 4w:ha04w4-a4nsi=&quot;Camas4404bria Matmhm4&quot;?04&quot; w:thinM4t=&quot;fa0m4reasn4t&quot;/&gt;a&lt;wx:04ft4on&quot;t wx:val=n4/&quot;C1Cambria /&quot;4Math&quot;/&gt;&lt;wr:sa4z-cs w::val=z4&quot;24&quot;/w&gt;&lt;?w:ve=4rtAt&lt;lign w:v:4oasl=&quot;subscariCC4pt&quot;/&gt;=&lt;/w:raP:4rb&gt;&lt;m:t&gt;i&quot;&lt;/0m:4:t&gt;&lt;/mr::r&gt;&lt;/y4m:et&gt;&quot;&lt;/m:nar&quot; 4y&gt; &lt;/m:oMsath&gt;4 &gt;&lt;/m:oMathPs:4ara&gt;&lt;/w:?tp&gt;&lt;a4w:sectPr wsb4p:rsidR=&quot;00 4000000&quot;&gt;&lt;w:=4pgSz w:w=&quot;12240&quot; w:h=&quot;15840&quot;/&gt;&lt;w:pgMar w:top=&quot;1440&quot; w:right=&quot;1800&quot; w:bottom=&quot;1440&quot; w:left=&quot;1800&quot; w:header=&quot;720&quot; w:footer=&quot;720&quot; w:gutter=&quot;0&quot;/&gt;&lt;w:cols w:space=&quot;720&quot;/&gt;&lt;/w:sectPr&gt;&lt;/w:body&gt;&lt;/w:wordDocument">
            <v:path/>
            <v:fill on="f" focussize="0,0"/>
            <v:stroke on="f"/>
            <v:imagedata r:id="rId117" chromakey="#FFFFFF" o:title=""/>
            <o:lock v:ext="edit" aspectratio="t"/>
            <w10:wrap type="none"/>
            <w10:anchorlock/>
          </v:shape>
        </w:pict>
      </w:r>
      <w:r>
        <w:rPr>
          <w:rFonts w:ascii="Times New Roman" w:hAnsi="Times New Roman"/>
          <w:szCs w:val="24"/>
          <w:highlight w:val="none"/>
        </w:rPr>
        <w:fldChar w:fldCharType="end"/>
      </w:r>
      <w:r>
        <w:rPr>
          <w:rFonts w:ascii="Times New Roman" w:hAnsi="Times New Roman"/>
          <w:szCs w:val="24"/>
          <w:highlight w:val="none"/>
        </w:rPr>
        <w:t>×V</w:t>
      </w:r>
      <w:r>
        <w:rPr>
          <w:rFonts w:ascii="Times New Roman" w:hAnsi="Times New Roman"/>
          <w:szCs w:val="24"/>
          <w:highlight w:val="none"/>
          <w:vertAlign w:val="subscript"/>
        </w:rPr>
        <w:t>i</w:t>
      </w:r>
      <w:r>
        <w:rPr>
          <w:rFonts w:ascii="Times New Roman" w:hAnsi="Times New Roman"/>
          <w:szCs w:val="24"/>
          <w:highlight w:val="none"/>
        </w:rPr>
        <w:t>×R</w:t>
      </w:r>
      <w:r>
        <w:rPr>
          <w:rFonts w:ascii="Times New Roman" w:hAnsi="Times New Roman"/>
          <w:szCs w:val="24"/>
          <w:highlight w:val="none"/>
          <w:vertAlign w:val="subscript"/>
        </w:rPr>
        <w:t>i</w:t>
      </w:r>
      <w:r>
        <w:rPr>
          <w:rFonts w:ascii="Times New Roman" w:hAnsi="Times New Roman"/>
          <w:szCs w:val="24"/>
          <w:highlight w:val="none"/>
        </w:rPr>
        <w:t>×</w:t>
      </w:r>
      <w:r>
        <w:rPr>
          <w:rFonts w:ascii="Times New Roman" w:hAnsi="Times New Roman"/>
          <w:szCs w:val="24"/>
          <w:highlight w:val="none"/>
          <w:vertAlign w:val="subscript"/>
        </w:rPr>
        <w:fldChar w:fldCharType="begin"/>
      </w:r>
      <w:r>
        <w:rPr>
          <w:rFonts w:ascii="Times New Roman" w:hAnsi="Times New Roman"/>
          <w:szCs w:val="24"/>
          <w:highlight w:val="none"/>
          <w:vertAlign w:val="subscript"/>
        </w:rPr>
        <w:instrText xml:space="preserve"> QUOTE </w:instrText>
      </w:r>
      <w:r>
        <w:rPr>
          <w:rFonts w:ascii="Times New Roman" w:hAnsi="Times New Roman" w:eastAsia="新宋体"/>
          <w:position w:val="-15"/>
          <w:szCs w:val="21"/>
          <w:highlight w:val="none"/>
        </w:rPr>
        <w:pict>
          <v:shape id="_x0000_i1036" o:spt="75" type="#_x0000_t75" style="height:23.15pt;width:6.2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598&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2F6598&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r&gt;&lt;m:rPr&gt;&lt;m:sty m:val=&quot;p&quot;/&gt;&lt;/m:rPr&gt;&lt;w:rPr&gt;&lt;w:rFonts w:ascii=&quot;Cambria Math&quot; w:fareast=&quot;宋?4? 04w:h04-an04si=04&quot;Ca04mbr04ia 04Mat04h&quot;/04&gt;&lt;w04x:f04ont04 wx04:va04l=&quot;04Cam04bri04a M04ath04&quot;/&gt;04&lt;w:04sz-04cs 04w:v04al=04&quot;2404&quot;/&gt;04&lt;/w04:rP04r&gt;&lt;04m:t04&gt;δF04&lt;/mF04:t&gt;F04&lt;/mF04:r&gt;F04&lt;/mF04:oMF04athF04&gt;&lt;/F04m:oF04MatF04hPaFii04r&quot;Ca&gt;Fmb04&lt;ia/wFMa04:h&quot;p&gt;Fw:04&lt;arw:Fas04s=&quot;ecF?404tPr4F04 w4sF04p4:rF044sidF044R=&quot;04041C04000004&quot;&gt;&lt;w:4pgSz 4w:w=&quot;4122404&quot; w:h4=&quot;158440&quot;/&gt;4&lt;w:pg4Mar w4:top=4&quot;14404&quot; w:r4ight=4&quot;18004&quot; w:b4ottom4=&quot;14440&quot; w:4left=4&quot;18004&quot; w:h4eader4=&quot;7204&quot; w:footer=&quot;720&quot; w:gutter=&quot;0&quot;/&gt;&lt;w:cols w:space=&quot;720&quot;/&gt;&lt;/w:sectPr&gt;&lt;/w:body&gt;&lt;/w:wordDocument">
            <v:path/>
            <v:fill on="f" focussize="0,0"/>
            <v:stroke on="f"/>
            <v:imagedata r:id="rId118" chromakey="#FFFFFF" o:title=""/>
            <o:lock v:ext="edit" aspectratio="t"/>
            <w10:wrap type="none"/>
            <w10:anchorlock/>
          </v:shape>
        </w:pict>
      </w:r>
      <w:r>
        <w:rPr>
          <w:rFonts w:ascii="Times New Roman" w:hAnsi="Times New Roman"/>
          <w:szCs w:val="24"/>
          <w:highlight w:val="none"/>
          <w:vertAlign w:val="subscript"/>
        </w:rPr>
        <w:instrText xml:space="preserve"> </w:instrText>
      </w:r>
      <w:r>
        <w:rPr>
          <w:rFonts w:ascii="Times New Roman" w:hAnsi="Times New Roman"/>
          <w:szCs w:val="24"/>
          <w:highlight w:val="none"/>
          <w:vertAlign w:val="subscript"/>
        </w:rPr>
        <w:fldChar w:fldCharType="separate"/>
      </w:r>
      <w:r>
        <w:rPr>
          <w:rFonts w:ascii="Times New Roman" w:hAnsi="Times New Roman" w:eastAsia="新宋体"/>
          <w:position w:val="-15"/>
          <w:szCs w:val="21"/>
          <w:highlight w:val="none"/>
        </w:rPr>
        <w:pict>
          <v:shape id="_x0000_i1037" o:spt="75" type="#_x0000_t75" style="height:23.15pt;width:6.2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598&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2F6598&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r&gt;&lt;m:rPr&gt;&lt;m:sty m:val=&quot;p&quot;/&gt;&lt;/m:rPr&gt;&lt;w:rPr&gt;&lt;w:rFonts w:ascii=&quot;Cambria Math&quot; w:fareast=&quot;宋?4? 04w:h04-an04si=04&quot;Ca04mbr04ia 04Mat04h&quot;/04&gt;&lt;w04x:f04ont04 wx04:va04l=&quot;04Cam04bri04a M04ath04&quot;/&gt;04&lt;w:04sz-04cs 04w:v04al=04&quot;2404&quot;/&gt;04&lt;/w04:rP04r&gt;&lt;04m:t04&gt;δF04&lt;/mF04:t&gt;F04&lt;/mF04:r&gt;F04&lt;/mF04:oMF04athF04&gt;&lt;/F04m:oF04MatF04hPaFii04r&quot;Ca&gt;Fmb04&lt;ia/wFMa04:h&quot;p&gt;Fw:04&lt;arw:Fas04s=&quot;ecF?404tPr4F04 w4sF04p4:rF044sidF044R=&quot;04041C04000004&quot;&gt;&lt;w:4pgSz 4w:w=&quot;4122404&quot; w:h4=&quot;158440&quot;/&gt;4&lt;w:pg4Mar w4:top=4&quot;14404&quot; w:r4ight=4&quot;18004&quot; w:b4ottom4=&quot;14440&quot; w:4left=4&quot;18004&quot; w:h4eader4=&quot;7204&quot; w:footer=&quot;720&quot; w:gutter=&quot;0&quot;/&gt;&lt;w:cols w:space=&quot;720&quot;/&gt;&lt;/w:sectPr&gt;&lt;/w:body&gt;&lt;/w:wordDocument">
            <v:path/>
            <v:fill on="f" focussize="0,0"/>
            <v:stroke on="f"/>
            <v:imagedata r:id="rId118" chromakey="#FFFFFF" o:title=""/>
            <o:lock v:ext="edit" aspectratio="t"/>
            <w10:wrap type="none"/>
            <w10:anchorlock/>
          </v:shape>
        </w:pict>
      </w:r>
      <w:r>
        <w:rPr>
          <w:rFonts w:ascii="Times New Roman" w:hAnsi="Times New Roman"/>
          <w:szCs w:val="24"/>
          <w:highlight w:val="none"/>
          <w:vertAlign w:val="subscript"/>
        </w:rPr>
        <w:fldChar w:fldCharType="end"/>
      </w:r>
      <w:r>
        <w:rPr>
          <w:rFonts w:ascii="Times New Roman" w:hAnsi="Times New Roman"/>
          <w:szCs w:val="24"/>
          <w:highlight w:val="none"/>
          <w:vertAlign w:val="subscript"/>
        </w:rPr>
        <w:t>i</w:t>
      </w:r>
      <w:r>
        <w:rPr>
          <w:rFonts w:ascii="Times New Roman" w:hAnsi="Times New Roman"/>
          <w:szCs w:val="24"/>
          <w:highlight w:val="none"/>
        </w:rPr>
        <w:t>×10</w:t>
      </w:r>
      <w:r>
        <w:rPr>
          <w:rFonts w:ascii="Times New Roman" w:hAnsi="Times New Roman"/>
          <w:szCs w:val="24"/>
          <w:highlight w:val="none"/>
          <w:vertAlign w:val="superscript"/>
        </w:rPr>
        <w:t>-6</w:t>
      </w:r>
    </w:p>
    <w:p w14:paraId="6BC70809">
      <w:pPr>
        <w:ind w:firstLine="364" w:firstLineChars="152"/>
        <w:rPr>
          <w:rFonts w:ascii="Times New Roman" w:hAnsi="Times New Roman"/>
          <w:szCs w:val="24"/>
          <w:highlight w:val="none"/>
        </w:rPr>
      </w:pPr>
      <w:r>
        <w:rPr>
          <w:rFonts w:ascii="Times New Roman" w:hAnsi="Times New Roman"/>
          <w:szCs w:val="24"/>
          <w:highlight w:val="none"/>
        </w:rPr>
        <w:t>式中：</w:t>
      </w:r>
    </w:p>
    <w:p w14:paraId="77AE3879">
      <w:pPr>
        <w:ind w:firstLine="480"/>
        <w:rPr>
          <w:rFonts w:ascii="Times New Roman" w:hAnsi="Times New Roman"/>
          <w:szCs w:val="24"/>
          <w:highlight w:val="none"/>
        </w:rPr>
      </w:pPr>
      <w:r>
        <w:rPr>
          <w:rFonts w:ascii="Times New Roman" w:hAnsi="Times New Roman"/>
          <w:szCs w:val="24"/>
          <w:highlight w:val="none"/>
        </w:rPr>
        <w:t>E</w:t>
      </w:r>
      <w:r>
        <w:rPr>
          <w:rFonts w:ascii="Times New Roman" w:hAnsi="Times New Roman"/>
          <w:szCs w:val="24"/>
          <w:highlight w:val="none"/>
          <w:vertAlign w:val="subscript"/>
        </w:rPr>
        <w:t>年许可</w:t>
      </w:r>
      <w:r>
        <w:rPr>
          <w:rFonts w:ascii="Times New Roman" w:hAnsi="Times New Roman"/>
          <w:szCs w:val="24"/>
          <w:highlight w:val="none"/>
        </w:rPr>
        <w:t>—锅炉排污单位污染物年许可排放量，吨；</w:t>
      </w:r>
    </w:p>
    <w:p w14:paraId="52F4DD38">
      <w:pPr>
        <w:ind w:firstLine="480"/>
        <w:rPr>
          <w:rFonts w:ascii="Times New Roman" w:hAnsi="Times New Roman"/>
          <w:szCs w:val="24"/>
          <w:highlight w:val="none"/>
        </w:rPr>
      </w:pPr>
      <w:r>
        <w:rPr>
          <w:rFonts w:ascii="Times New Roman" w:hAnsi="Times New Roman"/>
          <w:szCs w:val="24"/>
          <w:highlight w:val="none"/>
        </w:rPr>
        <w:t>C</w:t>
      </w:r>
      <w:r>
        <w:rPr>
          <w:rFonts w:ascii="Times New Roman" w:hAnsi="Times New Roman"/>
          <w:szCs w:val="24"/>
          <w:highlight w:val="none"/>
          <w:vertAlign w:val="subscript"/>
        </w:rPr>
        <w:t>i</w:t>
      </w:r>
      <w:r>
        <w:rPr>
          <w:rFonts w:ascii="Times New Roman" w:hAnsi="Times New Roman"/>
          <w:szCs w:val="24"/>
          <w:highlight w:val="none"/>
        </w:rPr>
        <w:t>—第i个主要排放口污染物排放标准浓度限值，毫克/立方米；</w:t>
      </w:r>
    </w:p>
    <w:p w14:paraId="141059B0">
      <w:pPr>
        <w:ind w:firstLine="480"/>
        <w:rPr>
          <w:rFonts w:ascii="Times New Roman" w:hAnsi="Times New Roman"/>
          <w:szCs w:val="24"/>
          <w:highlight w:val="none"/>
        </w:rPr>
      </w:pPr>
      <w:r>
        <w:rPr>
          <w:rFonts w:ascii="Times New Roman" w:hAnsi="Times New Roman"/>
          <w:szCs w:val="24"/>
          <w:highlight w:val="none"/>
        </w:rPr>
        <w:t>V</w:t>
      </w:r>
      <w:r>
        <w:rPr>
          <w:rFonts w:ascii="Times New Roman" w:hAnsi="Times New Roman"/>
          <w:szCs w:val="24"/>
          <w:highlight w:val="none"/>
          <w:vertAlign w:val="subscript"/>
        </w:rPr>
        <w:t>i</w:t>
      </w:r>
      <w:r>
        <w:rPr>
          <w:rFonts w:ascii="Times New Roman" w:hAnsi="Times New Roman"/>
          <w:szCs w:val="24"/>
          <w:highlight w:val="none"/>
        </w:rPr>
        <w:t>—第i个主要排放口基准烟气量，标立方米/千克或标立方米/立方米；</w:t>
      </w:r>
    </w:p>
    <w:p w14:paraId="24707DAE">
      <w:pPr>
        <w:ind w:firstLine="480"/>
        <w:rPr>
          <w:rFonts w:ascii="Times New Roman" w:hAnsi="Times New Roman"/>
          <w:szCs w:val="24"/>
          <w:highlight w:val="none"/>
        </w:rPr>
      </w:pPr>
      <w:r>
        <w:rPr>
          <w:rFonts w:ascii="Times New Roman" w:hAnsi="Times New Roman"/>
          <w:szCs w:val="24"/>
          <w:highlight w:val="none"/>
        </w:rPr>
        <w:t>R</w:t>
      </w:r>
      <w:r>
        <w:rPr>
          <w:rFonts w:ascii="Times New Roman" w:hAnsi="Times New Roman"/>
          <w:szCs w:val="24"/>
          <w:highlight w:val="none"/>
          <w:vertAlign w:val="subscript"/>
        </w:rPr>
        <w:t>i</w:t>
      </w:r>
      <w:r>
        <w:rPr>
          <w:rFonts w:ascii="Times New Roman" w:hAnsi="Times New Roman"/>
          <w:szCs w:val="24"/>
          <w:highlight w:val="none"/>
        </w:rPr>
        <w:t>—第i个主要排放口所对应的锅炉前三年年平均燃料使用量（未投运或投运不满一年的锅炉按照设计年燃料使用量进行选取，投运满一年但未满三年的锅炉按运行周期年平均燃料使用量选取，当前三年或周期年年平均燃料使用量超过设计燃料使用量时，按设计燃料使用量选取），吨或万立方米；</w:t>
      </w:r>
    </w:p>
    <w:p w14:paraId="29FDF018">
      <w:pPr>
        <w:ind w:firstLine="480"/>
        <w:rPr>
          <w:rFonts w:ascii="Times New Roman" w:hAnsi="Times New Roman"/>
          <w:szCs w:val="24"/>
          <w:highlight w:val="none"/>
        </w:rPr>
      </w:pPr>
      <w:r>
        <w:rPr>
          <w:rFonts w:ascii="Times New Roman" w:hAnsi="Times New Roman"/>
          <w:szCs w:val="24"/>
          <w:highlight w:val="none"/>
          <w:vertAlign w:val="subscript"/>
        </w:rPr>
        <w:fldChar w:fldCharType="begin"/>
      </w:r>
      <w:r>
        <w:rPr>
          <w:rFonts w:ascii="Times New Roman" w:hAnsi="Times New Roman"/>
          <w:szCs w:val="24"/>
          <w:highlight w:val="none"/>
          <w:vertAlign w:val="subscript"/>
        </w:rPr>
        <w:instrText xml:space="preserve"> QUOTE </w:instrText>
      </w:r>
      <w:r>
        <w:rPr>
          <w:rFonts w:ascii="Times New Roman" w:hAnsi="Times New Roman" w:eastAsia="新宋体"/>
          <w:position w:val="-15"/>
          <w:szCs w:val="21"/>
          <w:highlight w:val="none"/>
        </w:rPr>
        <w:pict>
          <v:shape id="_x0000_i1038" o:spt="75" type="#_x0000_t75" style="height:23.15pt;width:6.2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C21&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E11C21&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r&gt;&lt;m:rPr&gt;&lt;m:sty m:val=&quot;p&quot;/&gt;&lt;/m:rPr&gt;&lt;w:rPr&gt;&lt;w:rFonts w:ascii=&quot;Cambria Math&quot; w:fareast=&quot;宋?4? 04w:h04-an04si=04&quot;Ca04mbr04ia 04Mat04h&quot;/04&gt;&lt;w04x:f04ont04 wx04:va04l=&quot;04Cam04bri04a M04ath04&quot;/&gt;04&lt;w:04sz-04cs 04w:v04al=04&quot;2404&quot;/&gt;04&lt;/w04:rP04r&gt;&lt;04m:t04&gt;δF04&lt;/mF04:t&gt;F04&lt;/mF04:r&gt;F04&lt;/mF04:oMF04athF04&gt;&lt;/F04m:oF04MatF04hPaFii04r&quot;Ca&gt;Fmb04&lt;ia/wFMa04:h&quot;p&gt;Fw:04&lt;arw:Fas04s=&quot;ecF?404tPr4F04 w4sF04p4:rF044sidF044R=&quot;04041C04000004&quot;&gt;&lt;w:4pgSz 4w:w=&quot;4122404&quot; w:h4=&quot;158440&quot;/&gt;4&lt;w:pg4Mar w4:top=4&quot;14404&quot; w:r4ight=4&quot;18004&quot; w:b4ottom4=&quot;14440&quot; w:4left=4&quot;18004&quot; w:h4eader4=&quot;7204&quot; w:footer=&quot;720&quot; w:gutter=&quot;0&quot;/&gt;&lt;w:cols w:space=&quot;720&quot;/&gt;&lt;/w:sectPr&gt;&lt;/w:body&gt;&lt;/w:wordDocument">
            <v:path/>
            <v:fill on="f" focussize="0,0"/>
            <v:stroke on="f"/>
            <v:imagedata r:id="rId118" chromakey="#FFFFFF" o:title=""/>
            <o:lock v:ext="edit" aspectratio="t"/>
            <w10:wrap type="none"/>
            <w10:anchorlock/>
          </v:shape>
        </w:pict>
      </w:r>
      <w:r>
        <w:rPr>
          <w:rFonts w:ascii="Times New Roman" w:hAnsi="Times New Roman"/>
          <w:szCs w:val="24"/>
          <w:highlight w:val="none"/>
          <w:vertAlign w:val="subscript"/>
        </w:rPr>
        <w:instrText xml:space="preserve"> </w:instrText>
      </w:r>
      <w:r>
        <w:rPr>
          <w:rFonts w:ascii="Times New Roman" w:hAnsi="Times New Roman"/>
          <w:szCs w:val="24"/>
          <w:highlight w:val="none"/>
          <w:vertAlign w:val="subscript"/>
        </w:rPr>
        <w:fldChar w:fldCharType="separate"/>
      </w:r>
      <w:r>
        <w:rPr>
          <w:rFonts w:ascii="Times New Roman" w:hAnsi="Times New Roman" w:eastAsia="新宋体"/>
          <w:position w:val="-15"/>
          <w:szCs w:val="21"/>
          <w:highlight w:val="none"/>
        </w:rPr>
        <w:pict>
          <v:shape id="_x0000_i1039" o:spt="75" type="#_x0000_t75" style="height:23.15pt;width:6.25pt;" filled="f" o:preferrelative="t" stroked="f" coordsize="21600,21600"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20&quot;/&gt;&lt;w:displayBackgroundShape/&gt;&lt;w:doNotEmbedSystemFonts/&gt;&lt;w:hideSpellingErrors/&gt;&lt;w:stylePaneFormatFilter w:val=&quot;3828&quot;/&gt;&lt;w:defaultTabStop w:val=&quot;420&quot;/&gt;&lt;w:drawingGridHorizontalSpacing w:val=&quot;105&quot;/&gt;&lt;w:drawingGridVerticalSpacing w:val=&quot;156&quot;/&gt;&lt;w:characterSpacingControl w:val=&quot;CompressPunctuation&quot;/&gt;&lt;w:webPageEncoding w:val=&quot;x-cp20936&quot;/&gt;&lt;w:optimizeForBrowser/&gt;&lt;w:savePreviewPicture/&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doNotExpandShiftReturn/&gt;&lt;w:adjustLineHeightInTable/&gt;&lt;w:breakWrappedTables/&gt;&lt;w:snapToGridInCell/&gt;&lt;w:dontGrowAutofit/&gt;&lt;w:useFELayout/&gt;&lt;/w:compat&gt;&lt;wsp:rsids&gt;&lt;wsp:rsidRoot wsp:val=&quot;00E25665&quot;/&gt;&lt;wsp:rsid wsp:val=&quot;000002F4&quot;/&gt;&lt;wsp:rsid wsp:val=&quot;00000996&quot;/&gt;&lt;wsp:rsid wsp:val=&quot;00000E1D&quot;/&gt;&lt;wsp:rsid wsp:val=&quot;00001111&quot;/&gt;&lt;wsp:rsid wsp:val=&quot;00001386&quot;/&gt;&lt;wsp:rsid wsp:val=&quot;00001B75&quot;/&gt;&lt;wsp:rsid wsp:val=&quot;00001D9E&quot;/&gt;&lt;wsp:rsid wsp:val=&quot;00002045&quot;/&gt;&lt;wsp:rsid wsp:val=&quot;0000266B&quot;/&gt;&lt;wsp:rsid wsp:val=&quot;00002E81&quot;/&gt;&lt;wsp:rsid wsp:val=&quot;000039AE&quot;/&gt;&lt;wsp:rsid wsp:val=&quot;00003DE4&quot;/&gt;&lt;wsp:rsid wsp:val=&quot;00003EDA&quot;/&gt;&lt;wsp:rsid wsp:val=&quot;0000494C&quot;/&gt;&lt;wsp:rsid wsp:val=&quot;00005521&quot;/&gt;&lt;wsp:rsid wsp:val=&quot;0000584D&quot;/&gt;&lt;wsp:rsid wsp:val=&quot;000058CC&quot;/&gt;&lt;wsp:rsid wsp:val=&quot;0000614F&quot;/&gt;&lt;wsp:rsid wsp:val=&quot;000064AB&quot;/&gt;&lt;wsp:rsid wsp:val=&quot;0000666C&quot;/&gt;&lt;wsp:rsid wsp:val=&quot;00006688&quot;/&gt;&lt;wsp:rsid wsp:val=&quot;000066CD&quot;/&gt;&lt;wsp:rsid wsp:val=&quot;0000695C&quot;/&gt;&lt;wsp:rsid wsp:val=&quot;000070B2&quot;/&gt;&lt;wsp:rsid wsp:val=&quot;00007363&quot;/&gt;&lt;wsp:rsid wsp:val=&quot;000076E0&quot;/&gt;&lt;wsp:rsid wsp:val=&quot;00007980&quot;/&gt;&lt;wsp:rsid wsp:val=&quot;00007C80&quot;/&gt;&lt;wsp:rsid wsp:val=&quot;00010141&quot;/&gt;&lt;wsp:rsid wsp:val=&quot;00010194&quot;/&gt;&lt;wsp:rsid wsp:val=&quot;0001030E&quot;/&gt;&lt;wsp:rsid wsp:val=&quot;000104E0&quot;/&gt;&lt;wsp:rsid wsp:val=&quot;00010A0B&quot;/&gt;&lt;wsp:rsid wsp:val=&quot;00010E6A&quot;/&gt;&lt;wsp:rsid wsp:val=&quot;00010E85&quot;/&gt;&lt;wsp:rsid wsp:val=&quot;00010FD3&quot;/&gt;&lt;wsp:rsid wsp:val=&quot;00011186&quot;/&gt;&lt;wsp:rsid wsp:val=&quot;00011C7F&quot;/&gt;&lt;wsp:rsid wsp:val=&quot;00011DA5&quot;/&gt;&lt;wsp:rsid wsp:val=&quot;00012A4A&quot;/&gt;&lt;wsp:rsid wsp:val=&quot;00012B34&quot;/&gt;&lt;wsp:rsid wsp:val=&quot;00012B68&quot;/&gt;&lt;wsp:rsid wsp:val=&quot;00012ED9&quot;/&gt;&lt;wsp:rsid wsp:val=&quot;0001305C&quot;/&gt;&lt;wsp:rsid wsp:val=&quot;00013190&quot;/&gt;&lt;wsp:rsid wsp:val=&quot;00013279&quot;/&gt;&lt;wsp:rsid wsp:val=&quot;000136FD&quot;/&gt;&lt;wsp:rsid wsp:val=&quot;000137BF&quot;/&gt;&lt;wsp:rsid wsp:val=&quot;000138C0&quot;/&gt;&lt;wsp:rsid wsp:val=&quot;00013CC2&quot;/&gt;&lt;wsp:rsid wsp:val=&quot;00014352&quot;/&gt;&lt;wsp:rsid wsp:val=&quot;000144D4&quot;/&gt;&lt;wsp:rsid wsp:val=&quot;00014C0C&quot;/&gt;&lt;wsp:rsid wsp:val=&quot;00014DBC&quot;/&gt;&lt;wsp:rsid wsp:val=&quot;00015013&quot;/&gt;&lt;wsp:rsid wsp:val=&quot;000151CB&quot;/&gt;&lt;wsp:rsid wsp:val=&quot;00015882&quot;/&gt;&lt;wsp:rsid wsp:val=&quot;00016693&quot;/&gt;&lt;wsp:rsid wsp:val=&quot;000177A7&quot;/&gt;&lt;wsp:rsid wsp:val=&quot;00017E37&quot;/&gt;&lt;wsp:rsid wsp:val=&quot;0002118C&quot;/&gt;&lt;wsp:rsid wsp:val=&quot;000212D8&quot;/&gt;&lt;wsp:rsid wsp:val=&quot;00021E7E&quot;/&gt;&lt;wsp:rsid wsp:val=&quot;00021F5A&quot;/&gt;&lt;wsp:rsid wsp:val=&quot;000225E0&quot;/&gt;&lt;wsp:rsid wsp:val=&quot;00022F93&quot;/&gt;&lt;wsp:rsid wsp:val=&quot;00023085&quot;/&gt;&lt;wsp:rsid wsp:val=&quot;00024048&quot;/&gt;&lt;wsp:rsid wsp:val=&quot;00024205&quot;/&gt;&lt;wsp:rsid wsp:val=&quot;000248BA&quot;/&gt;&lt;wsp:rsid wsp:val=&quot;0002508E&quot;/&gt;&lt;wsp:rsid wsp:val=&quot;0002526D&quot;/&gt;&lt;wsp:rsid wsp:val=&quot;00025A27&quot;/&gt;&lt;wsp:rsid wsp:val=&quot;00025D08&quot;/&gt;&lt;wsp:rsid wsp:val=&quot;000263BE&quot;/&gt;&lt;wsp:rsid wsp:val=&quot;000264D7&quot;/&gt;&lt;wsp:rsid wsp:val=&quot;000264DF&quot;/&gt;&lt;wsp:rsid wsp:val=&quot;00026B71&quot;/&gt;&lt;wsp:rsid wsp:val=&quot;00026F6B&quot;/&gt;&lt;wsp:rsid wsp:val=&quot;00030030&quot;/&gt;&lt;wsp:rsid wsp:val=&quot;000305A5&quot;/&gt;&lt;wsp:rsid wsp:val=&quot;0003084A&quot;/&gt;&lt;wsp:rsid wsp:val=&quot;00030C93&quot;/&gt;&lt;wsp:rsid wsp:val=&quot;00031182&quot;/&gt;&lt;wsp:rsid wsp:val=&quot;00032A51&quot;/&gt;&lt;wsp:rsid wsp:val=&quot;00032A8F&quot;/&gt;&lt;wsp:rsid wsp:val=&quot;0003362E&quot;/&gt;&lt;wsp:rsid wsp:val=&quot;0003467F&quot;/&gt;&lt;wsp:rsid wsp:val=&quot;00034AAF&quot;/&gt;&lt;wsp:rsid wsp:val=&quot;000350F0&quot;/&gt;&lt;wsp:rsid wsp:val=&quot;000357BE&quot;/&gt;&lt;wsp:rsid wsp:val=&quot;00035A62&quot;/&gt;&lt;wsp:rsid wsp:val=&quot;00035C0E&quot;/&gt;&lt;wsp:rsid wsp:val=&quot;00035D98&quot;/&gt;&lt;wsp:rsid wsp:val=&quot;00035FD0&quot;/&gt;&lt;wsp:rsid wsp:val=&quot;0003649D&quot;/&gt;&lt;wsp:rsid wsp:val=&quot;00036700&quot;/&gt;&lt;wsp:rsid wsp:val=&quot;00036D9C&quot;/&gt;&lt;wsp:rsid wsp:val=&quot;00036E45&quot;/&gt;&lt;wsp:rsid wsp:val=&quot;00037850&quot;/&gt;&lt;wsp:rsid wsp:val=&quot;00037ABA&quot;/&gt;&lt;wsp:rsid wsp:val=&quot;00037B31&quot;/&gt;&lt;wsp:rsid wsp:val=&quot;000400EF&quot;/&gt;&lt;wsp:rsid wsp:val=&quot;00040499&quot;/&gt;&lt;wsp:rsid wsp:val=&quot;000405AF&quot;/&gt;&lt;wsp:rsid wsp:val=&quot;000413AE&quot;/&gt;&lt;wsp:rsid wsp:val=&quot;00041503&quot;/&gt;&lt;wsp:rsid wsp:val=&quot;0004194D&quot;/&gt;&lt;wsp:rsid wsp:val=&quot;000421AF&quot;/&gt;&lt;wsp:rsid wsp:val=&quot;00042378&quot;/&gt;&lt;wsp:rsid wsp:val=&quot;0004362D&quot;/&gt;&lt;wsp:rsid wsp:val=&quot;00043AE3&quot;/&gt;&lt;wsp:rsid wsp:val=&quot;00043E78&quot;/&gt;&lt;wsp:rsid wsp:val=&quot;00044185&quot;/&gt;&lt;wsp:rsid wsp:val=&quot;0004468D&quot;/&gt;&lt;wsp:rsid wsp:val=&quot;00044CBA&quot;/&gt;&lt;wsp:rsid wsp:val=&quot;000451D6&quot;/&gt;&lt;wsp:rsid wsp:val=&quot;00045759&quot;/&gt;&lt;wsp:rsid wsp:val=&quot;00045A0C&quot;/&gt;&lt;wsp:rsid wsp:val=&quot;00045B6C&quot;/&gt;&lt;wsp:rsid wsp:val=&quot;000462D3&quot;/&gt;&lt;wsp:rsid wsp:val=&quot;0004631C&quot;/&gt;&lt;wsp:rsid wsp:val=&quot;000463D1&quot;/&gt;&lt;wsp:rsid wsp:val=&quot;0004686E&quot;/&gt;&lt;wsp:rsid wsp:val=&quot;00046C7B&quot;/&gt;&lt;wsp:rsid wsp:val=&quot;00046DAC&quot;/&gt;&lt;wsp:rsid wsp:val=&quot;0004712E&quot;/&gt;&lt;wsp:rsid wsp:val=&quot;00047301&quot;/&gt;&lt;wsp:rsid wsp:val=&quot;000474B5&quot;/&gt;&lt;wsp:rsid wsp:val=&quot;00047D0C&quot;/&gt;&lt;wsp:rsid wsp:val=&quot;00047E34&quot;/&gt;&lt;wsp:rsid wsp:val=&quot;00050561&quot;/&gt;&lt;wsp:rsid wsp:val=&quot;0005094A&quot;/&gt;&lt;wsp:rsid wsp:val=&quot;00050D11&quot;/&gt;&lt;wsp:rsid wsp:val=&quot;00050D6A&quot;/&gt;&lt;wsp:rsid wsp:val=&quot;000515CD&quot;/&gt;&lt;wsp:rsid wsp:val=&quot;00051838&quot;/&gt;&lt;wsp:rsid wsp:val=&quot;00051A77&quot;/&gt;&lt;wsp:rsid wsp:val=&quot;0005211F&quot;/&gt;&lt;wsp:rsid wsp:val=&quot;00052F29&quot;/&gt;&lt;wsp:rsid wsp:val=&quot;0005323C&quot;/&gt;&lt;wsp:rsid wsp:val=&quot;000540A4&quot;/&gt;&lt;wsp:rsid wsp:val=&quot;0005422F&quot;/&gt;&lt;wsp:rsid wsp:val=&quot;00054374&quot;/&gt;&lt;wsp:rsid wsp:val=&quot;000543CC&quot;/&gt;&lt;wsp:rsid wsp:val=&quot;00054835&quot;/&gt;&lt;wsp:rsid wsp:val=&quot;00054B5C&quot;/&gt;&lt;wsp:rsid wsp:val=&quot;00054B78&quot;/&gt;&lt;wsp:rsid wsp:val=&quot;00055105&quot;/&gt;&lt;wsp:rsid wsp:val=&quot;00055237&quot;/&gt;&lt;wsp:rsid wsp:val=&quot;000556CB&quot;/&gt;&lt;wsp:rsid wsp:val=&quot;0005573A&quot;/&gt;&lt;wsp:rsid wsp:val=&quot;00055937&quot;/&gt;&lt;wsp:rsid wsp:val=&quot;00055BC7&quot;/&gt;&lt;wsp:rsid wsp:val=&quot;00056413&quot;/&gt;&lt;wsp:rsid wsp:val=&quot;00056646&quot;/&gt;&lt;wsp:rsid wsp:val=&quot;00056C64&quot;/&gt;&lt;wsp:rsid wsp:val=&quot;00056D5A&quot;/&gt;&lt;wsp:rsid wsp:val=&quot;00057295&quot;/&gt;&lt;wsp:rsid wsp:val=&quot;000572E4&quot;/&gt;&lt;wsp:rsid wsp:val=&quot;000579DF&quot;/&gt;&lt;wsp:rsid wsp:val=&quot;00057E8B&quot;/&gt;&lt;wsp:rsid wsp:val=&quot;0006020C&quot;/&gt;&lt;wsp:rsid wsp:val=&quot;0006023D&quot;/&gt;&lt;wsp:rsid wsp:val=&quot;000607D2&quot;/&gt;&lt;wsp:rsid wsp:val=&quot;0006092E&quot;/&gt;&lt;wsp:rsid wsp:val=&quot;00060C90&quot;/&gt;&lt;wsp:rsid wsp:val=&quot;0006138B&quot;/&gt;&lt;wsp:rsid wsp:val=&quot;00061757&quot;/&gt;&lt;wsp:rsid wsp:val=&quot;00062483&quot;/&gt;&lt;wsp:rsid wsp:val=&quot;00062777&quot;/&gt;&lt;wsp:rsid wsp:val=&quot;000627EA&quot;/&gt;&lt;wsp:rsid wsp:val=&quot;00062C40&quot;/&gt;&lt;wsp:rsid wsp:val=&quot;00062E2F&quot;/&gt;&lt;wsp:rsid wsp:val=&quot;00062FAC&quot;/&gt;&lt;wsp:rsid wsp:val=&quot;000633EB&quot;/&gt;&lt;wsp:rsid wsp:val=&quot;000645D0&quot;/&gt;&lt;wsp:rsid wsp:val=&quot;00064954&quot;/&gt;&lt;wsp:rsid wsp:val=&quot;00064C74&quot;/&gt;&lt;wsp:rsid wsp:val=&quot;0006505A&quot;/&gt;&lt;wsp:rsid wsp:val=&quot;0006564E&quot;/&gt;&lt;wsp:rsid wsp:val=&quot;00065A4A&quot;/&gt;&lt;wsp:rsid wsp:val=&quot;000665D0&quot;/&gt;&lt;wsp:rsid wsp:val=&quot;00066A9B&quot;/&gt;&lt;wsp:rsid wsp:val=&quot;00066AEC&quot;/&gt;&lt;wsp:rsid wsp:val=&quot;00066BC2&quot;/&gt;&lt;wsp:rsid wsp:val=&quot;000674EE&quot;/&gt;&lt;wsp:rsid wsp:val=&quot;00070549&quot;/&gt;&lt;wsp:rsid wsp:val=&quot;0007133C&quot;/&gt;&lt;wsp:rsid wsp:val=&quot;0007186E&quot;/&gt;&lt;wsp:rsid wsp:val=&quot;00071B75&quot;/&gt;&lt;wsp:rsid wsp:val=&quot;00071FE6&quot;/&gt;&lt;wsp:rsid wsp:val=&quot;0007224A&quot;/&gt;&lt;wsp:rsid wsp:val=&quot;000725F5&quot;/&gt;&lt;wsp:rsid wsp:val=&quot;00072BFF&quot;/&gt;&lt;wsp:rsid wsp:val=&quot;00072DD1&quot;/&gt;&lt;wsp:rsid wsp:val=&quot;00072E57&quot;/&gt;&lt;wsp:rsid wsp:val=&quot;000737E6&quot;/&gt;&lt;wsp:rsid wsp:val=&quot;00073ADB&quot;/&gt;&lt;wsp:rsid wsp:val=&quot;00073C23&quot;/&gt;&lt;wsp:rsid wsp:val=&quot;00074275&quot;/&gt;&lt;wsp:rsid wsp:val=&quot;000747A4&quot;/&gt;&lt;wsp:rsid wsp:val=&quot;00074E84&quot;/&gt;&lt;wsp:rsid wsp:val=&quot;00075C75&quot;/&gt;&lt;wsp:rsid wsp:val=&quot;00075CA8&quot;/&gt;&lt;wsp:rsid wsp:val=&quot;000764F6&quot;/&gt;&lt;wsp:rsid wsp:val=&quot;00076C0F&quot;/&gt;&lt;wsp:rsid wsp:val=&quot;00076C58&quot;/&gt;&lt;wsp:rsid wsp:val=&quot;0008008D&quot;/&gt;&lt;wsp:rsid wsp:val=&quot;00080170&quot;/&gt;&lt;wsp:rsid wsp:val=&quot;0008048F&quot;/&gt;&lt;wsp:rsid wsp:val=&quot;00080ABD&quot;/&gt;&lt;wsp:rsid wsp:val=&quot;00080AFF&quot;/&gt;&lt;wsp:rsid wsp:val=&quot;00080CEF&quot;/&gt;&lt;wsp:rsid wsp:val=&quot;00080F08&quot;/&gt;&lt;wsp:rsid wsp:val=&quot;00080FC8&quot;/&gt;&lt;wsp:rsid wsp:val=&quot;0008168C&quot;/&gt;&lt;wsp:rsid wsp:val=&quot;00081FF1&quot;/&gt;&lt;wsp:rsid wsp:val=&quot;0008214C&quot;/&gt;&lt;wsp:rsid wsp:val=&quot;00082547&quot;/&gt;&lt;wsp:rsid wsp:val=&quot;0008259A&quot;/&gt;&lt;wsp:rsid wsp:val=&quot;000825F8&quot;/&gt;&lt;wsp:rsid wsp:val=&quot;00082C43&quot;/&gt;&lt;wsp:rsid wsp:val=&quot;0008413E&quot;/&gt;&lt;wsp:rsid wsp:val=&quot;0008436B&quot;/&gt;&lt;wsp:rsid wsp:val=&quot;00084389&quot;/&gt;&lt;wsp:rsid wsp:val=&quot;00084589&quot;/&gt;&lt;wsp:rsid wsp:val=&quot;0008462C&quot;/&gt;&lt;wsp:rsid wsp:val=&quot;00084813&quot;/&gt;&lt;wsp:rsid wsp:val=&quot;00084887&quot;/&gt;&lt;wsp:rsid wsp:val=&quot;00084A08&quot;/&gt;&lt;wsp:rsid wsp:val=&quot;000852AA&quot;/&gt;&lt;wsp:rsid wsp:val=&quot;00085319&quot;/&gt;&lt;wsp:rsid wsp:val=&quot;00085624&quot;/&gt;&lt;wsp:rsid wsp:val=&quot;00085A70&quot;/&gt;&lt;wsp:rsid wsp:val=&quot;00085BF1&quot;/&gt;&lt;wsp:rsid wsp:val=&quot;00086A76&quot;/&gt;&lt;wsp:rsid wsp:val=&quot;00086C64&quot;/&gt;&lt;wsp:rsid wsp:val=&quot;00086D52&quot;/&gt;&lt;wsp:rsid wsp:val=&quot;00086E6F&quot;/&gt;&lt;wsp:rsid wsp:val=&quot;00086E74&quot;/&gt;&lt;wsp:rsid wsp:val=&quot;00087258&quot;/&gt;&lt;wsp:rsid wsp:val=&quot;000872C5&quot;/&gt;&lt;wsp:rsid wsp:val=&quot;000876CE&quot;/&gt;&lt;wsp:rsid wsp:val=&quot;00087806&quot;/&gt;&lt;wsp:rsid wsp:val=&quot;00087C51&quot;/&gt;&lt;wsp:rsid wsp:val=&quot;00087E4F&quot;/&gt;&lt;wsp:rsid wsp:val=&quot;00087FB3&quot;/&gt;&lt;wsp:rsid wsp:val=&quot;0009008A&quot;/&gt;&lt;wsp:rsid wsp:val=&quot;00090176&quot;/&gt;&lt;wsp:rsid wsp:val=&quot;00090457&quot;/&gt;&lt;wsp:rsid wsp:val=&quot;000909A2&quot;/&gt;&lt;wsp:rsid wsp:val=&quot;000912A8&quot;/&gt;&lt;wsp:rsid wsp:val=&quot;0009159D&quot;/&gt;&lt;wsp:rsid wsp:val=&quot;00091926&quot;/&gt;&lt;wsp:rsid wsp:val=&quot;00091DA8&quot;/&gt;&lt;wsp:rsid wsp:val=&quot;0009297A&quot;/&gt;&lt;wsp:rsid wsp:val=&quot;00092AED&quot;/&gt;&lt;wsp:rsid wsp:val=&quot;00093248&quot;/&gt;&lt;wsp:rsid wsp:val=&quot;00093714&quot;/&gt;&lt;wsp:rsid wsp:val=&quot;0009387C&quot;/&gt;&lt;wsp:rsid wsp:val=&quot;0009407B&quot;/&gt;&lt;wsp:rsid wsp:val=&quot;00094D3B&quot;/&gt;&lt;wsp:rsid wsp:val=&quot;000955F6&quot;/&gt;&lt;wsp:rsid wsp:val=&quot;00095D99&quot;/&gt;&lt;wsp:rsid wsp:val=&quot;00095F41&quot;/&gt;&lt;wsp:rsid wsp:val=&quot;000967AB&quot;/&gt;&lt;wsp:rsid wsp:val=&quot;00096DD7&quot;/&gt;&lt;wsp:rsid wsp:val=&quot;00097C64&quot;/&gt;&lt;wsp:rsid wsp:val=&quot;000A023D&quot;/&gt;&lt;wsp:rsid wsp:val=&quot;000A02BA&quot;/&gt;&lt;wsp:rsid wsp:val=&quot;000A0793&quot;/&gt;&lt;wsp:rsid wsp:val=&quot;000A0F58&quot;/&gt;&lt;wsp:rsid wsp:val=&quot;000A1024&quot;/&gt;&lt;wsp:rsid wsp:val=&quot;000A1E19&quot;/&gt;&lt;wsp:rsid wsp:val=&quot;000A1EB9&quot;/&gt;&lt;wsp:rsid wsp:val=&quot;000A20A0&quot;/&gt;&lt;wsp:rsid wsp:val=&quot;000A242E&quot;/&gt;&lt;wsp:rsid wsp:val=&quot;000A2BFA&quot;/&gt;&lt;wsp:rsid wsp:val=&quot;000A2D6A&quot;/&gt;&lt;wsp:rsid wsp:val=&quot;000A3340&quot;/&gt;&lt;wsp:rsid wsp:val=&quot;000A3A40&quot;/&gt;&lt;wsp:rsid wsp:val=&quot;000A3D88&quot;/&gt;&lt;wsp:rsid wsp:val=&quot;000A42B3&quot;/&gt;&lt;wsp:rsid wsp:val=&quot;000A4656&quot;/&gt;&lt;wsp:rsid wsp:val=&quot;000A4A64&quot;/&gt;&lt;wsp:rsid wsp:val=&quot;000A4C57&quot;/&gt;&lt;wsp:rsid wsp:val=&quot;000A4CA2&quot;/&gt;&lt;wsp:rsid wsp:val=&quot;000A4D26&quot;/&gt;&lt;wsp:rsid wsp:val=&quot;000A542D&quot;/&gt;&lt;wsp:rsid wsp:val=&quot;000A54E2&quot;/&gt;&lt;wsp:rsid wsp:val=&quot;000A5DAD&quot;/&gt;&lt;wsp:rsid wsp:val=&quot;000A66E8&quot;/&gt;&lt;wsp:rsid wsp:val=&quot;000A67A7&quot;/&gt;&lt;wsp:rsid wsp:val=&quot;000A7FD9&quot;/&gt;&lt;wsp:rsid wsp:val=&quot;000B027D&quot;/&gt;&lt;wsp:rsid wsp:val=&quot;000B0939&quot;/&gt;&lt;wsp:rsid wsp:val=&quot;000B0B7A&quot;/&gt;&lt;wsp:rsid wsp:val=&quot;000B0C07&quot;/&gt;&lt;wsp:rsid wsp:val=&quot;000B0D22&quot;/&gt;&lt;wsp:rsid wsp:val=&quot;000B0F74&quot;/&gt;&lt;wsp:rsid wsp:val=&quot;000B10E8&quot;/&gt;&lt;wsp:rsid wsp:val=&quot;000B1E94&quot;/&gt;&lt;wsp:rsid wsp:val=&quot;000B2381&quot;/&gt;&lt;wsp:rsid wsp:val=&quot;000B24B1&quot;/&gt;&lt;wsp:rsid wsp:val=&quot;000B2631&quot;/&gt;&lt;wsp:rsid wsp:val=&quot;000B2A57&quot;/&gt;&lt;wsp:rsid wsp:val=&quot;000B2FE1&quot;/&gt;&lt;wsp:rsid wsp:val=&quot;000B331B&quot;/&gt;&lt;wsp:rsid wsp:val=&quot;000B352B&quot;/&gt;&lt;wsp:rsid wsp:val=&quot;000B3677&quot;/&gt;&lt;wsp:rsid wsp:val=&quot;000B3F1A&quot;/&gt;&lt;wsp:rsid wsp:val=&quot;000B4B0A&quot;/&gt;&lt;wsp:rsid wsp:val=&quot;000B5140&quot;/&gt;&lt;wsp:rsid wsp:val=&quot;000B56DD&quot;/&gt;&lt;wsp:rsid wsp:val=&quot;000B5869&quot;/&gt;&lt;wsp:rsid wsp:val=&quot;000B5E86&quot;/&gt;&lt;wsp:rsid wsp:val=&quot;000B6231&quot;/&gt;&lt;wsp:rsid wsp:val=&quot;000B6499&quot;/&gt;&lt;wsp:rsid wsp:val=&quot;000B6507&quot;/&gt;&lt;wsp:rsid wsp:val=&quot;000B672B&quot;/&gt;&lt;wsp:rsid wsp:val=&quot;000B6EF9&quot;/&gt;&lt;wsp:rsid wsp:val=&quot;000B7B15&quot;/&gt;&lt;wsp:rsid wsp:val=&quot;000B7F5D&quot;/&gt;&lt;wsp:rsid wsp:val=&quot;000B7FA5&quot;/&gt;&lt;wsp:rsid wsp:val=&quot;000C012A&quot;/&gt;&lt;wsp:rsid wsp:val=&quot;000C024B&quot;/&gt;&lt;wsp:rsid wsp:val=&quot;000C04AC&quot;/&gt;&lt;wsp:rsid wsp:val=&quot;000C05A3&quot;/&gt;&lt;wsp:rsid wsp:val=&quot;000C0602&quot;/&gt;&lt;wsp:rsid wsp:val=&quot;000C06D5&quot;/&gt;&lt;wsp:rsid wsp:val=&quot;000C079E&quot;/&gt;&lt;wsp:rsid wsp:val=&quot;000C0F24&quot;/&gt;&lt;wsp:rsid wsp:val=&quot;000C144D&quot;/&gt;&lt;wsp:rsid wsp:val=&quot;000C18CC&quot;/&gt;&lt;wsp:rsid wsp:val=&quot;000C191E&quot;/&gt;&lt;wsp:rsid wsp:val=&quot;000C198B&quot;/&gt;&lt;wsp:rsid wsp:val=&quot;000C1E23&quot;/&gt;&lt;wsp:rsid wsp:val=&quot;000C2381&quot;/&gt;&lt;wsp:rsid wsp:val=&quot;000C251B&quot;/&gt;&lt;wsp:rsid wsp:val=&quot;000C2EBB&quot;/&gt;&lt;wsp:rsid wsp:val=&quot;000C32B2&quot;/&gt;&lt;wsp:rsid wsp:val=&quot;000C3544&quot;/&gt;&lt;wsp:rsid wsp:val=&quot;000C455A&quot;/&gt;&lt;wsp:rsid wsp:val=&quot;000C4859&quot;/&gt;&lt;wsp:rsid wsp:val=&quot;000C4A04&quot;/&gt;&lt;wsp:rsid wsp:val=&quot;000C4CEC&quot;/&gt;&lt;wsp:rsid wsp:val=&quot;000C520B&quot;/&gt;&lt;wsp:rsid wsp:val=&quot;000C5427&quot;/&gt;&lt;wsp:rsid wsp:val=&quot;000C55F3&quot;/&gt;&lt;wsp:rsid wsp:val=&quot;000C5608&quot;/&gt;&lt;wsp:rsid wsp:val=&quot;000C5CC8&quot;/&gt;&lt;wsp:rsid wsp:val=&quot;000C5E37&quot;/&gt;&lt;wsp:rsid wsp:val=&quot;000C5EFC&quot;/&gt;&lt;wsp:rsid wsp:val=&quot;000C74EB&quot;/&gt;&lt;wsp:rsid wsp:val=&quot;000C7967&quot;/&gt;&lt;wsp:rsid wsp:val=&quot;000C7AAD&quot;/&gt;&lt;wsp:rsid wsp:val=&quot;000D0087&quot;/&gt;&lt;wsp:rsid wsp:val=&quot;000D01A5&quot;/&gt;&lt;wsp:rsid wsp:val=&quot;000D0590&quot;/&gt;&lt;wsp:rsid wsp:val=&quot;000D0A84&quot;/&gt;&lt;wsp:rsid wsp:val=&quot;000D11FD&quot;/&gt;&lt;wsp:rsid wsp:val=&quot;000D159B&quot;/&gt;&lt;wsp:rsid wsp:val=&quot;000D196A&quot;/&gt;&lt;wsp:rsid wsp:val=&quot;000D1EF7&quot;/&gt;&lt;wsp:rsid wsp:val=&quot;000D2140&quot;/&gt;&lt;wsp:rsid wsp:val=&quot;000D2444&quot;/&gt;&lt;wsp:rsid wsp:val=&quot;000D252E&quot;/&gt;&lt;wsp:rsid wsp:val=&quot;000D3396&quot;/&gt;&lt;wsp:rsid wsp:val=&quot;000D3792&quot;/&gt;&lt;wsp:rsid wsp:val=&quot;000D3BDA&quot;/&gt;&lt;wsp:rsid wsp:val=&quot;000D3C9A&quot;/&gt;&lt;wsp:rsid wsp:val=&quot;000D448D&quot;/&gt;&lt;wsp:rsid wsp:val=&quot;000D4656&quot;/&gt;&lt;wsp:rsid wsp:val=&quot;000D5AD5&quot;/&gt;&lt;wsp:rsid wsp:val=&quot;000D5D8D&quot;/&gt;&lt;wsp:rsid wsp:val=&quot;000D60B1&quot;/&gt;&lt;wsp:rsid wsp:val=&quot;000D6B8B&quot;/&gt;&lt;wsp:rsid wsp:val=&quot;000D6C82&quot;/&gt;&lt;wsp:rsid wsp:val=&quot;000D6D59&quot;/&gt;&lt;wsp:rsid wsp:val=&quot;000D7E4A&quot;/&gt;&lt;wsp:rsid wsp:val=&quot;000D7E96&quot;/&gt;&lt;wsp:rsid wsp:val=&quot;000E016E&quot;/&gt;&lt;wsp:rsid wsp:val=&quot;000E0239&quot;/&gt;&lt;wsp:rsid wsp:val=&quot;000E0374&quot;/&gt;&lt;wsp:rsid wsp:val=&quot;000E0578&quot;/&gt;&lt;wsp:rsid wsp:val=&quot;000E0598&quot;/&gt;&lt;wsp:rsid wsp:val=&quot;000E072C&quot;/&gt;&lt;wsp:rsid wsp:val=&quot;000E077E&quot;/&gt;&lt;wsp:rsid wsp:val=&quot;000E0D28&quot;/&gt;&lt;wsp:rsid wsp:val=&quot;000E0FDE&quot;/&gt;&lt;wsp:rsid wsp:val=&quot;000E12A0&quot;/&gt;&lt;wsp:rsid wsp:val=&quot;000E1F2A&quot;/&gt;&lt;wsp:rsid wsp:val=&quot;000E1F52&quot;/&gt;&lt;wsp:rsid wsp:val=&quot;000E21F3&quot;/&gt;&lt;wsp:rsid wsp:val=&quot;000E2C84&quot;/&gt;&lt;wsp:rsid wsp:val=&quot;000E3120&quot;/&gt;&lt;wsp:rsid wsp:val=&quot;000E3F11&quot;/&gt;&lt;wsp:rsid wsp:val=&quot;000E3FD2&quot;/&gt;&lt;wsp:rsid wsp:val=&quot;000E61E1&quot;/&gt;&lt;wsp:rsid wsp:val=&quot;000E69C6&quot;/&gt;&lt;wsp:rsid wsp:val=&quot;000E6C6D&quot;/&gt;&lt;wsp:rsid wsp:val=&quot;000E6EF5&quot;/&gt;&lt;wsp:rsid wsp:val=&quot;000E7167&quot;/&gt;&lt;wsp:rsid wsp:val=&quot;000E781F&quot;/&gt;&lt;wsp:rsid wsp:val=&quot;000E7AC1&quot;/&gt;&lt;wsp:rsid wsp:val=&quot;000E7F7D&quot;/&gt;&lt;wsp:rsid wsp:val=&quot;000F05AB&quot;/&gt;&lt;wsp:rsid wsp:val=&quot;000F05B5&quot;/&gt;&lt;wsp:rsid wsp:val=&quot;000F0E67&quot;/&gt;&lt;wsp:rsid wsp:val=&quot;000F1037&quot;/&gt;&lt;wsp:rsid wsp:val=&quot;000F17A8&quot;/&gt;&lt;wsp:rsid wsp:val=&quot;000F1DFE&quot;/&gt;&lt;wsp:rsid wsp:val=&quot;000F1EC9&quot;/&gt;&lt;wsp:rsid wsp:val=&quot;000F1ED6&quot;/&gt;&lt;wsp:rsid wsp:val=&quot;000F262B&quot;/&gt;&lt;wsp:rsid wsp:val=&quot;000F32C4&quot;/&gt;&lt;wsp:rsid wsp:val=&quot;000F35BC&quot;/&gt;&lt;wsp:rsid wsp:val=&quot;000F391F&quot;/&gt;&lt;wsp:rsid wsp:val=&quot;000F3AB3&quot;/&gt;&lt;wsp:rsid wsp:val=&quot;000F4024&quot;/&gt;&lt;wsp:rsid wsp:val=&quot;000F4205&quot;/&gt;&lt;wsp:rsid wsp:val=&quot;000F44F4&quot;/&gt;&lt;wsp:rsid wsp:val=&quot;000F48E2&quot;/&gt;&lt;wsp:rsid wsp:val=&quot;000F4EB4&quot;/&gt;&lt;wsp:rsid wsp:val=&quot;000F53DE&quot;/&gt;&lt;wsp:rsid wsp:val=&quot;000F53ED&quot;/&gt;&lt;wsp:rsid wsp:val=&quot;000F55B2&quot;/&gt;&lt;wsp:rsid wsp:val=&quot;000F5E33&quot;/&gt;&lt;wsp:rsid wsp:val=&quot;000F5F42&quot;/&gt;&lt;wsp:rsid wsp:val=&quot;000F68AD&quot;/&gt;&lt;wsp:rsid wsp:val=&quot;000F692E&quot;/&gt;&lt;wsp:rsid wsp:val=&quot;000F6DAE&quot;/&gt;&lt;wsp:rsid wsp:val=&quot;000F78E3&quot;/&gt;&lt;wsp:rsid wsp:val=&quot;000F79B5&quot;/&gt;&lt;wsp:rsid wsp:val=&quot;000F7BF5&quot;/&gt;&lt;wsp:rsid wsp:val=&quot;000F7CF0&quot;/&gt;&lt;wsp:rsid wsp:val=&quot;001009AE&quot;/&gt;&lt;wsp:rsid wsp:val=&quot;00101150&quot;/&gt;&lt;wsp:rsid wsp:val=&quot;00101773&quot;/&gt;&lt;wsp:rsid wsp:val=&quot;00101C15&quot;/&gt;&lt;wsp:rsid wsp:val=&quot;0010240E&quot;/&gt;&lt;wsp:rsid wsp:val=&quot;001026E3&quot;/&gt;&lt;wsp:rsid wsp:val=&quot;00102994&quot;/&gt;&lt;wsp:rsid wsp:val=&quot;00103442&quot;/&gt;&lt;wsp:rsid wsp:val=&quot;00103BD7&quot;/&gt;&lt;wsp:rsid wsp:val=&quot;001041D7&quot;/&gt;&lt;wsp:rsid wsp:val=&quot;00104254&quot;/&gt;&lt;wsp:rsid wsp:val=&quot;00104656&quot;/&gt;&lt;wsp:rsid wsp:val=&quot;00104799&quot;/&gt;&lt;wsp:rsid wsp:val=&quot;00105331&quot;/&gt;&lt;wsp:rsid wsp:val=&quot;0010633C&quot;/&gt;&lt;wsp:rsid wsp:val=&quot;00106758&quot;/&gt;&lt;wsp:rsid wsp:val=&quot;001072F7&quot;/&gt;&lt;wsp:rsid wsp:val=&quot;00107579&quot;/&gt;&lt;wsp:rsid wsp:val=&quot;0010772F&quot;/&gt;&lt;wsp:rsid wsp:val=&quot;00107BA5&quot;/&gt;&lt;wsp:rsid wsp:val=&quot;00107E85&quot;/&gt;&lt;wsp:rsid wsp:val=&quot;0011034A&quot;/&gt;&lt;wsp:rsid wsp:val=&quot;0011040E&quot;/&gt;&lt;wsp:rsid wsp:val=&quot;00110973&quot;/&gt;&lt;wsp:rsid wsp:val=&quot;001115E4&quot;/&gt;&lt;wsp:rsid wsp:val=&quot;001119C0&quot;/&gt;&lt;wsp:rsid wsp:val=&quot;00112439&quot;/&gt;&lt;wsp:rsid wsp:val=&quot;00112807&quot;/&gt;&lt;wsp:rsid wsp:val=&quot;001128B5&quot;/&gt;&lt;wsp:rsid wsp:val=&quot;00112ACA&quot;/&gt;&lt;wsp:rsid wsp:val=&quot;001130F4&quot;/&gt;&lt;wsp:rsid wsp:val=&quot;00113554&quot;/&gt;&lt;wsp:rsid wsp:val=&quot;001136F5&quot;/&gt;&lt;wsp:rsid wsp:val=&quot;001137A5&quot;/&gt;&lt;wsp:rsid wsp:val=&quot;001137E8&quot;/&gt;&lt;wsp:rsid wsp:val=&quot;00113972&quot;/&gt;&lt;wsp:rsid wsp:val=&quot;00113D54&quot;/&gt;&lt;wsp:rsid wsp:val=&quot;0011404D&quot;/&gt;&lt;wsp:rsid wsp:val=&quot;00114056&quot;/&gt;&lt;wsp:rsid wsp:val=&quot;00114671&quot;/&gt;&lt;wsp:rsid wsp:val=&quot;00114B05&quot;/&gt;&lt;wsp:rsid wsp:val=&quot;00114C88&quot;/&gt;&lt;wsp:rsid wsp:val=&quot;00115149&quot;/&gt;&lt;wsp:rsid wsp:val=&quot;0011553E&quot;/&gt;&lt;wsp:rsid wsp:val=&quot;0011601D&quot;/&gt;&lt;wsp:rsid wsp:val=&quot;001163F8&quot;/&gt;&lt;wsp:rsid wsp:val=&quot;001167AB&quot;/&gt;&lt;wsp:rsid wsp:val=&quot;00116F7F&quot;/&gt;&lt;wsp:rsid wsp:val=&quot;0011741C&quot;/&gt;&lt;wsp:rsid wsp:val=&quot;00117449&quot;/&gt;&lt;wsp:rsid wsp:val=&quot;0011747B&quot;/&gt;&lt;wsp:rsid wsp:val=&quot;00117571&quot;/&gt;&lt;wsp:rsid wsp:val=&quot;00117D73&quot;/&gt;&lt;wsp:rsid wsp:val=&quot;00117E16&quot;/&gt;&lt;wsp:rsid wsp:val=&quot;001201A9&quot;/&gt;&lt;wsp:rsid wsp:val=&quot;0012048A&quot;/&gt;&lt;wsp:rsid wsp:val=&quot;001204A5&quot;/&gt;&lt;wsp:rsid wsp:val=&quot;00120A5F&quot;/&gt;&lt;wsp:rsid wsp:val=&quot;00121050&quot;/&gt;&lt;wsp:rsid wsp:val=&quot;0012185A&quot;/&gt;&lt;wsp:rsid wsp:val=&quot;001218FC&quot;/&gt;&lt;wsp:rsid wsp:val=&quot;00121A25&quot;/&gt;&lt;wsp:rsid wsp:val=&quot;00121C3E&quot;/&gt;&lt;wsp:rsid wsp:val=&quot;0012201F&quot;/&gt;&lt;wsp:rsid wsp:val=&quot;00122278&quot;/&gt;&lt;wsp:rsid wsp:val=&quot;00122744&quot;/&gt;&lt;wsp:rsid wsp:val=&quot;00122D23&quot;/&gt;&lt;wsp:rsid wsp:val=&quot;0012334E&quot;/&gt;&lt;wsp:rsid wsp:val=&quot;00123601&quot;/&gt;&lt;wsp:rsid wsp:val=&quot;0012404A&quot;/&gt;&lt;wsp:rsid wsp:val=&quot;00124829&quot;/&gt;&lt;wsp:rsid wsp:val=&quot;00125444&quot;/&gt;&lt;wsp:rsid wsp:val=&quot;001257C2&quot;/&gt;&lt;wsp:rsid wsp:val=&quot;00125ADE&quot;/&gt;&lt;wsp:rsid wsp:val=&quot;00125AF6&quot;/&gt;&lt;wsp:rsid wsp:val=&quot;00125BD2&quot;/&gt;&lt;wsp:rsid wsp:val=&quot;00125E06&quot;/&gt;&lt;wsp:rsid wsp:val=&quot;00125F5A&quot;/&gt;&lt;wsp:rsid wsp:val=&quot;001263C0&quot;/&gt;&lt;wsp:rsid wsp:val=&quot;00126789&quot;/&gt;&lt;wsp:rsid wsp:val=&quot;0012684E&quot;/&gt;&lt;wsp:rsid wsp:val=&quot;00126C59&quot;/&gt;&lt;wsp:rsid wsp:val=&quot;00127975&quot;/&gt;&lt;wsp:rsid wsp:val=&quot;00127CF8&quot;/&gt;&lt;wsp:rsid wsp:val=&quot;00127DAD&quot;/&gt;&lt;wsp:rsid wsp:val=&quot;00127E99&quot;/&gt;&lt;wsp:rsid wsp:val=&quot;00127EF0&quot;/&gt;&lt;wsp:rsid wsp:val=&quot;00127F11&quot;/&gt;&lt;wsp:rsid wsp:val=&quot;00130120&quot;/&gt;&lt;wsp:rsid wsp:val=&quot;00130190&quot;/&gt;&lt;wsp:rsid wsp:val=&quot;0013019D&quot;/&gt;&lt;wsp:rsid wsp:val=&quot;001302B3&quot;/&gt;&lt;wsp:rsid wsp:val=&quot;001314D8&quot;/&gt;&lt;wsp:rsid wsp:val=&quot;0013166B&quot;/&gt;&lt;wsp:rsid wsp:val=&quot;00131850&quot;/&gt;&lt;wsp:rsid wsp:val=&quot;0013199B&quot;/&gt;&lt;wsp:rsid wsp:val=&quot;00131A5B&quot;/&gt;&lt;wsp:rsid wsp:val=&quot;00131F55&quot;/&gt;&lt;wsp:rsid wsp:val=&quot;00132714&quot;/&gt;&lt;wsp:rsid wsp:val=&quot;00132833&quot;/&gt;&lt;wsp:rsid wsp:val=&quot;00132A30&quot;/&gt;&lt;wsp:rsid wsp:val=&quot;00132D20&quot;/&gt;&lt;wsp:rsid wsp:val=&quot;001330DD&quot;/&gt;&lt;wsp:rsid wsp:val=&quot;00133A36&quot;/&gt;&lt;wsp:rsid wsp:val=&quot;00133A73&quot;/&gt;&lt;wsp:rsid wsp:val=&quot;00133AC4&quot;/&gt;&lt;wsp:rsid wsp:val=&quot;00133B58&quot;/&gt;&lt;wsp:rsid wsp:val=&quot;00134591&quot;/&gt;&lt;wsp:rsid wsp:val=&quot;001347D7&quot;/&gt;&lt;wsp:rsid wsp:val=&quot;0013485E&quot;/&gt;&lt;wsp:rsid wsp:val=&quot;00135340&quot;/&gt;&lt;wsp:rsid wsp:val=&quot;00136214&quot;/&gt;&lt;wsp:rsid wsp:val=&quot;00136711&quot;/&gt;&lt;wsp:rsid wsp:val=&quot;00136C3F&quot;/&gt;&lt;wsp:rsid wsp:val=&quot;001373C8&quot;/&gt;&lt;wsp:rsid wsp:val=&quot;00137481&quot;/&gt;&lt;wsp:rsid wsp:val=&quot;00140249&quot;/&gt;&lt;wsp:rsid wsp:val=&quot;00140A69&quot;/&gt;&lt;wsp:rsid wsp:val=&quot;00140D48&quot;/&gt;&lt;wsp:rsid wsp:val=&quot;001413A0&quot;/&gt;&lt;wsp:rsid wsp:val=&quot;001419C9&quot;/&gt;&lt;wsp:rsid wsp:val=&quot;00141A18&quot;/&gt;&lt;wsp:rsid wsp:val=&quot;00141B17&quot;/&gt;&lt;wsp:rsid wsp:val=&quot;00141BFF&quot;/&gt;&lt;wsp:rsid wsp:val=&quot;00141C46&quot;/&gt;&lt;wsp:rsid wsp:val=&quot;001426D9&quot;/&gt;&lt;wsp:rsid wsp:val=&quot;001427EA&quot;/&gt;&lt;wsp:rsid wsp:val=&quot;00142AC7&quot;/&gt;&lt;wsp:rsid wsp:val=&quot;0014306E&quot;/&gt;&lt;wsp:rsid wsp:val=&quot;00143F31&quot;/&gt;&lt;wsp:rsid wsp:val=&quot;00143F9A&quot;/&gt;&lt;wsp:rsid wsp:val=&quot;00144201&quot;/&gt;&lt;wsp:rsid wsp:val=&quot;0014458D&quot;/&gt;&lt;wsp:rsid wsp:val=&quot;00144CEC&quot;/&gt;&lt;wsp:rsid wsp:val=&quot;001453AC&quot;/&gt;&lt;wsp:rsid wsp:val=&quot;00145B32&quot;/&gt;&lt;wsp:rsid wsp:val=&quot;00145C18&quot;/&gt;&lt;wsp:rsid wsp:val=&quot;00145C56&quot;/&gt;&lt;wsp:rsid wsp:val=&quot;00145C82&quot;/&gt;&lt;wsp:rsid wsp:val=&quot;001467B8&quot;/&gt;&lt;wsp:rsid wsp:val=&quot;001468C0&quot;/&gt;&lt;wsp:rsid wsp:val=&quot;00147444&quot;/&gt;&lt;wsp:rsid wsp:val=&quot;001478D8&quot;/&gt;&lt;wsp:rsid wsp:val=&quot;00147E0D&quot;/&gt;&lt;wsp:rsid wsp:val=&quot;00147FC2&quot;/&gt;&lt;wsp:rsid wsp:val=&quot;00150833&quot;/&gt;&lt;wsp:rsid wsp:val=&quot;00152A42&quot;/&gt;&lt;wsp:rsid wsp:val=&quot;0015325B&quot;/&gt;&lt;wsp:rsid wsp:val=&quot;00153FC1&quot;/&gt;&lt;wsp:rsid wsp:val=&quot;00154067&quot;/&gt;&lt;wsp:rsid wsp:val=&quot;0015438C&quot;/&gt;&lt;wsp:rsid wsp:val=&quot;00154830&quot;/&gt;&lt;wsp:rsid wsp:val=&quot;00154D75&quot;/&gt;&lt;wsp:rsid wsp:val=&quot;0015602C&quot;/&gt;&lt;wsp:rsid wsp:val=&quot;0015638D&quot;/&gt;&lt;wsp:rsid wsp:val=&quot;001563E7&quot;/&gt;&lt;wsp:rsid wsp:val=&quot;00156902&quot;/&gt;&lt;wsp:rsid wsp:val=&quot;00156E56&quot;/&gt;&lt;wsp:rsid wsp:val=&quot;00156EC2&quot;/&gt;&lt;wsp:rsid wsp:val=&quot;0015704F&quot;/&gt;&lt;wsp:rsid wsp:val=&quot;001574C4&quot;/&gt;&lt;wsp:rsid wsp:val=&quot;00157569&quot;/&gt;&lt;wsp:rsid wsp:val=&quot;0015759B&quot;/&gt;&lt;wsp:rsid wsp:val=&quot;00157C14&quot;/&gt;&lt;wsp:rsid wsp:val=&quot;00157CA8&quot;/&gt;&lt;wsp:rsid wsp:val=&quot;00160CD4&quot;/&gt;&lt;wsp:rsid wsp:val=&quot;00160FB2&quot;/&gt;&lt;wsp:rsid wsp:val=&quot;001610AE&quot;/&gt;&lt;wsp:rsid wsp:val=&quot;00161770&quot;/&gt;&lt;wsp:rsid wsp:val=&quot;00161B2E&quot;/&gt;&lt;wsp:rsid wsp:val=&quot;00161E44&quot;/&gt;&lt;wsp:rsid wsp:val=&quot;001620F1&quot;/&gt;&lt;wsp:rsid wsp:val=&quot;001621F9&quot;/&gt;&lt;wsp:rsid wsp:val=&quot;00162BCF&quot;/&gt;&lt;wsp:rsid wsp:val=&quot;00163148&quot;/&gt;&lt;wsp:rsid wsp:val=&quot;00163B68&quot;/&gt;&lt;wsp:rsid wsp:val=&quot;00163F27&quot;/&gt;&lt;wsp:rsid wsp:val=&quot;001645AC&quot;/&gt;&lt;wsp:rsid wsp:val=&quot;0016475D&quot;/&gt;&lt;wsp:rsid wsp:val=&quot;00164BA4&quot;/&gt;&lt;wsp:rsid wsp:val=&quot;00164F30&quot;/&gt;&lt;wsp:rsid wsp:val=&quot;001651F8&quot;/&gt;&lt;wsp:rsid wsp:val=&quot;001658B0&quot;/&gt;&lt;wsp:rsid wsp:val=&quot;00165D04&quot;/&gt;&lt;wsp:rsid wsp:val=&quot;00166253&quot;/&gt;&lt;wsp:rsid wsp:val=&quot;00166384&quot;/&gt;&lt;wsp:rsid wsp:val=&quot;00166792&quot;/&gt;&lt;wsp:rsid wsp:val=&quot;0016693B&quot;/&gt;&lt;wsp:rsid wsp:val=&quot;00166DB8&quot;/&gt;&lt;wsp:rsid wsp:val=&quot;00166DFE&quot;/&gt;&lt;wsp:rsid wsp:val=&quot;00166F1A&quot;/&gt;&lt;wsp:rsid wsp:val=&quot;00166FD2&quot;/&gt;&lt;wsp:rsid wsp:val=&quot;0016712D&quot;/&gt;&lt;wsp:rsid wsp:val=&quot;001707FB&quot;/&gt;&lt;wsp:rsid wsp:val=&quot;00170844&quot;/&gt;&lt;wsp:rsid wsp:val=&quot;0017109E&quot;/&gt;&lt;wsp:rsid wsp:val=&quot;0017110B&quot;/&gt;&lt;wsp:rsid wsp:val=&quot;0017111C&quot;/&gt;&lt;wsp:rsid wsp:val=&quot;00171639&quot;/&gt;&lt;wsp:rsid wsp:val=&quot;00171815&quot;/&gt;&lt;wsp:rsid wsp:val=&quot;00171879&quot;/&gt;&lt;wsp:rsid wsp:val=&quot;0017236A&quot;/&gt;&lt;wsp:rsid wsp:val=&quot;00172373&quot;/&gt;&lt;wsp:rsid wsp:val=&quot;0017304A&quot;/&gt;&lt;wsp:rsid wsp:val=&quot;00173832&quot;/&gt;&lt;wsp:rsid wsp:val=&quot;00174EC9&quot;/&gt;&lt;wsp:rsid wsp:val=&quot;00175131&quot;/&gt;&lt;wsp:rsid wsp:val=&quot;0017555E&quot;/&gt;&lt;wsp:rsid wsp:val=&quot;00175B7D&quot;/&gt;&lt;wsp:rsid wsp:val=&quot;00175F2E&quot;/&gt;&lt;wsp:rsid wsp:val=&quot;0017604D&quot;/&gt;&lt;wsp:rsid wsp:val=&quot;001760AA&quot;/&gt;&lt;wsp:rsid wsp:val=&quot;00176270&quot;/&gt;&lt;wsp:rsid wsp:val=&quot;00176428&quot;/&gt;&lt;wsp:rsid wsp:val=&quot;00176566&quot;/&gt;&lt;wsp:rsid wsp:val=&quot;00176876&quot;/&gt;&lt;wsp:rsid wsp:val=&quot;00176930&quot;/&gt;&lt;wsp:rsid wsp:val=&quot;00176B28&quot;/&gt;&lt;wsp:rsid wsp:val=&quot;00176D23&quot;/&gt;&lt;wsp:rsid wsp:val=&quot;00177447&quot;/&gt;&lt;wsp:rsid wsp:val=&quot;001775EB&quot;/&gt;&lt;wsp:rsid wsp:val=&quot;001776CD&quot;/&gt;&lt;wsp:rsid wsp:val=&quot;00177921&quot;/&gt;&lt;wsp:rsid wsp:val=&quot;00177AA2&quot;/&gt;&lt;wsp:rsid wsp:val=&quot;00180353&quot;/&gt;&lt;wsp:rsid wsp:val=&quot;001805A1&quot;/&gt;&lt;wsp:rsid wsp:val=&quot;00180634&quot;/&gt;&lt;wsp:rsid wsp:val=&quot;0018074A&quot;/&gt;&lt;wsp:rsid wsp:val=&quot;00180BD8&quot;/&gt;&lt;wsp:rsid wsp:val=&quot;001816DA&quot;/&gt;&lt;wsp:rsid wsp:val=&quot;001816F5&quot;/&gt;&lt;wsp:rsid wsp:val=&quot;00181BD1&quot;/&gt;&lt;wsp:rsid wsp:val=&quot;00181CEB&quot;/&gt;&lt;wsp:rsid wsp:val=&quot;0018270D&quot;/&gt;&lt;wsp:rsid wsp:val=&quot;00182A99&quot;/&gt;&lt;wsp:rsid wsp:val=&quot;00182D0B&quot;/&gt;&lt;wsp:rsid wsp:val=&quot;00182D84&quot;/&gt;&lt;wsp:rsid wsp:val=&quot;00182FD2&quot;/&gt;&lt;wsp:rsid wsp:val=&quot;00183041&quot;/&gt;&lt;wsp:rsid wsp:val=&quot;00183289&quot;/&gt;&lt;wsp:rsid wsp:val=&quot;00183380&quot;/&gt;&lt;wsp:rsid wsp:val=&quot;0018362B&quot;/&gt;&lt;wsp:rsid wsp:val=&quot;0018379D&quot;/&gt;&lt;wsp:rsid wsp:val=&quot;001841C8&quot;/&gt;&lt;wsp:rsid wsp:val=&quot;00184522&quot;/&gt;&lt;wsp:rsid wsp:val=&quot;001847F2&quot;/&gt;&lt;wsp:rsid wsp:val=&quot;00184B1C&quot;/&gt;&lt;wsp:rsid wsp:val=&quot;001852A7&quot;/&gt;&lt;wsp:rsid wsp:val=&quot;001854AD&quot;/&gt;&lt;wsp:rsid wsp:val=&quot;00185ECC&quot;/&gt;&lt;wsp:rsid wsp:val=&quot;001863F1&quot;/&gt;&lt;wsp:rsid wsp:val=&quot;001867B2&quot;/&gt;&lt;wsp:rsid wsp:val=&quot;00186CEC&quot;/&gt;&lt;wsp:rsid wsp:val=&quot;00186FBA&quot;/&gt;&lt;wsp:rsid wsp:val=&quot;00187062&quot;/&gt;&lt;wsp:rsid wsp:val=&quot;00187718&quot;/&gt;&lt;wsp:rsid wsp:val=&quot;00187B9A&quot;/&gt;&lt;wsp:rsid wsp:val=&quot;001907A7&quot;/&gt;&lt;wsp:rsid wsp:val=&quot;00190F9E&quot;/&gt;&lt;wsp:rsid wsp:val=&quot;00191821&quot;/&gt;&lt;wsp:rsid wsp:val=&quot;00191B06&quot;/&gt;&lt;wsp:rsid wsp:val=&quot;00192CE3&quot;/&gt;&lt;wsp:rsid wsp:val=&quot;00193097&quot;/&gt;&lt;wsp:rsid wsp:val=&quot;001936CA&quot;/&gt;&lt;wsp:rsid wsp:val=&quot;00193DE0&quot;/&gt;&lt;wsp:rsid wsp:val=&quot;0019435B&quot;/&gt;&lt;wsp:rsid wsp:val=&quot;001948C3&quot;/&gt;&lt;wsp:rsid wsp:val=&quot;001949FF&quot;/&gt;&lt;wsp:rsid wsp:val=&quot;0019502B&quot;/&gt;&lt;wsp:rsid wsp:val=&quot;00195167&quot;/&gt;&lt;wsp:rsid wsp:val=&quot;001954D7&quot;/&gt;&lt;wsp:rsid wsp:val=&quot;0019641F&quot;/&gt;&lt;wsp:rsid wsp:val=&quot;00196C1F&quot;/&gt;&lt;wsp:rsid wsp:val=&quot;00196F2C&quot;/&gt;&lt;wsp:rsid wsp:val=&quot;00197002&quot;/&gt;&lt;wsp:rsid wsp:val=&quot;001A08F5&quot;/&gt;&lt;wsp:rsid wsp:val=&quot;001A0E79&quot;/&gt;&lt;wsp:rsid wsp:val=&quot;001A0EFE&quot;/&gt;&lt;wsp:rsid wsp:val=&quot;001A1369&quot;/&gt;&lt;wsp:rsid wsp:val=&quot;001A1A5C&quot;/&gt;&lt;wsp:rsid wsp:val=&quot;001A1A9A&quot;/&gt;&lt;wsp:rsid wsp:val=&quot;001A1BE3&quot;/&gt;&lt;wsp:rsid wsp:val=&quot;001A1D3B&quot;/&gt;&lt;wsp:rsid wsp:val=&quot;001A2599&quot;/&gt;&lt;wsp:rsid wsp:val=&quot;001A2903&quot;/&gt;&lt;wsp:rsid wsp:val=&quot;001A2D51&quot;/&gt;&lt;wsp:rsid wsp:val=&quot;001A316F&quot;/&gt;&lt;wsp:rsid wsp:val=&quot;001A358C&quot;/&gt;&lt;wsp:rsid wsp:val=&quot;001A376B&quot;/&gt;&lt;wsp:rsid wsp:val=&quot;001A38EC&quot;/&gt;&lt;wsp:rsid wsp:val=&quot;001A3A44&quot;/&gt;&lt;wsp:rsid wsp:val=&quot;001A3AF9&quot;/&gt;&lt;wsp:rsid wsp:val=&quot;001A3D03&quot;/&gt;&lt;wsp:rsid wsp:val=&quot;001A4018&quot;/&gt;&lt;wsp:rsid wsp:val=&quot;001A4998&quot;/&gt;&lt;wsp:rsid wsp:val=&quot;001A4A71&quot;/&gt;&lt;wsp:rsid wsp:val=&quot;001A4DE8&quot;/&gt;&lt;wsp:rsid wsp:val=&quot;001A4EE8&quot;/&gt;&lt;wsp:rsid wsp:val=&quot;001A5C77&quot;/&gt;&lt;wsp:rsid wsp:val=&quot;001A5DEE&quot;/&gt;&lt;wsp:rsid wsp:val=&quot;001A6457&quot;/&gt;&lt;wsp:rsid wsp:val=&quot;001A6969&quot;/&gt;&lt;wsp:rsid wsp:val=&quot;001A6F28&quot;/&gt;&lt;wsp:rsid wsp:val=&quot;001A7ACC&quot;/&gt;&lt;wsp:rsid wsp:val=&quot;001A7B31&quot;/&gt;&lt;wsp:rsid wsp:val=&quot;001A7C27&quot;/&gt;&lt;wsp:rsid wsp:val=&quot;001B0646&quot;/&gt;&lt;wsp:rsid wsp:val=&quot;001B11EF&quot;/&gt;&lt;wsp:rsid wsp:val=&quot;001B1435&quot;/&gt;&lt;wsp:rsid wsp:val=&quot;001B183F&quot;/&gt;&lt;wsp:rsid wsp:val=&quot;001B1961&quot;/&gt;&lt;wsp:rsid wsp:val=&quot;001B1976&quot;/&gt;&lt;wsp:rsid wsp:val=&quot;001B1D63&quot;/&gt;&lt;wsp:rsid wsp:val=&quot;001B2396&quot;/&gt;&lt;wsp:rsid wsp:val=&quot;001B2D6F&quot;/&gt;&lt;wsp:rsid wsp:val=&quot;001B3103&quot;/&gt;&lt;wsp:rsid wsp:val=&quot;001B3671&quot;/&gt;&lt;wsp:rsid wsp:val=&quot;001B3910&quot;/&gt;&lt;wsp:rsid wsp:val=&quot;001B3AFF&quot;/&gt;&lt;wsp:rsid wsp:val=&quot;001B3E4A&quot;/&gt;&lt;wsp:rsid wsp:val=&quot;001B490C&quot;/&gt;&lt;wsp:rsid wsp:val=&quot;001B49DB&quot;/&gt;&lt;wsp:rsid wsp:val=&quot;001B57D1&quot;/&gt;&lt;wsp:rsid wsp:val=&quot;001B59E7&quot;/&gt;&lt;wsp:rsid wsp:val=&quot;001B5A3C&quot;/&gt;&lt;wsp:rsid wsp:val=&quot;001B6367&quot;/&gt;&lt;wsp:rsid wsp:val=&quot;001B6FDE&quot;/&gt;&lt;wsp:rsid wsp:val=&quot;001B751F&quot;/&gt;&lt;wsp:rsid wsp:val=&quot;001B7550&quot;/&gt;&lt;wsp:rsid wsp:val=&quot;001B7976&quot;/&gt;&lt;wsp:rsid wsp:val=&quot;001C08A0&quot;/&gt;&lt;wsp:rsid wsp:val=&quot;001C0ACA&quot;/&gt;&lt;wsp:rsid wsp:val=&quot;001C0C7C&quot;/&gt;&lt;wsp:rsid wsp:val=&quot;001C0CB0&quot;/&gt;&lt;wsp:rsid wsp:val=&quot;001C11F4&quot;/&gt;&lt;wsp:rsid wsp:val=&quot;001C14F3&quot;/&gt;&lt;wsp:rsid wsp:val=&quot;001C18C0&quot;/&gt;&lt;wsp:rsid wsp:val=&quot;001C18EC&quot;/&gt;&lt;wsp:rsid wsp:val=&quot;001C259C&quot;/&gt;&lt;wsp:rsid wsp:val=&quot;001C289A&quot;/&gt;&lt;wsp:rsid wsp:val=&quot;001C2E80&quot;/&gt;&lt;wsp:rsid wsp:val=&quot;001C310B&quot;/&gt;&lt;wsp:rsid wsp:val=&quot;001C3335&quot;/&gt;&lt;wsp:rsid wsp:val=&quot;001C3A9C&quot;/&gt;&lt;wsp:rsid wsp:val=&quot;001C3DC3&quot;/&gt;&lt;wsp:rsid wsp:val=&quot;001C4377&quot;/&gt;&lt;wsp:rsid wsp:val=&quot;001C47EC&quot;/&gt;&lt;wsp:rsid wsp:val=&quot;001C4BDE&quot;/&gt;&lt;wsp:rsid wsp:val=&quot;001C4D95&quot;/&gt;&lt;wsp:rsid wsp:val=&quot;001C4E19&quot;/&gt;&lt;wsp:rsid wsp:val=&quot;001C511E&quot;/&gt;&lt;wsp:rsid wsp:val=&quot;001C5470&quot;/&gt;&lt;wsp:rsid wsp:val=&quot;001C605A&quot;/&gt;&lt;wsp:rsid wsp:val=&quot;001C6274&quot;/&gt;&lt;wsp:rsid wsp:val=&quot;001C65A9&quot;/&gt;&lt;wsp:rsid wsp:val=&quot;001C6CB1&quot;/&gt;&lt;wsp:rsid wsp:val=&quot;001C6EC0&quot;/&gt;&lt;wsp:rsid wsp:val=&quot;001C7102&quot;/&gt;&lt;wsp:rsid wsp:val=&quot;001C73E7&quot;/&gt;&lt;wsp:rsid wsp:val=&quot;001C7475&quot;/&gt;&lt;wsp:rsid wsp:val=&quot;001C74A3&quot;/&gt;&lt;wsp:rsid wsp:val=&quot;001D005A&quot;/&gt;&lt;wsp:rsid wsp:val=&quot;001D0516&quot;/&gt;&lt;wsp:rsid wsp:val=&quot;001D0AA7&quot;/&gt;&lt;wsp:rsid wsp:val=&quot;001D0CC6&quot;/&gt;&lt;wsp:rsid wsp:val=&quot;001D1299&quot;/&gt;&lt;wsp:rsid wsp:val=&quot;001D14E5&quot;/&gt;&lt;wsp:rsid wsp:val=&quot;001D15AC&quot;/&gt;&lt;wsp:rsid wsp:val=&quot;001D162D&quot;/&gt;&lt;wsp:rsid wsp:val=&quot;001D197B&quot;/&gt;&lt;wsp:rsid wsp:val=&quot;001D1C19&quot;/&gt;&lt;wsp:rsid wsp:val=&quot;001D1CB4&quot;/&gt;&lt;wsp:rsid wsp:val=&quot;001D2A08&quot;/&gt;&lt;wsp:rsid wsp:val=&quot;001D3457&quot;/&gt;&lt;wsp:rsid wsp:val=&quot;001D3E3D&quot;/&gt;&lt;wsp:rsid wsp:val=&quot;001D3F73&quot;/&gt;&lt;wsp:rsid wsp:val=&quot;001D4129&quot;/&gt;&lt;wsp:rsid wsp:val=&quot;001D4498&quot;/&gt;&lt;wsp:rsid wsp:val=&quot;001D4BDC&quot;/&gt;&lt;wsp:rsid wsp:val=&quot;001D56B7&quot;/&gt;&lt;wsp:rsid wsp:val=&quot;001D6010&quot;/&gt;&lt;wsp:rsid wsp:val=&quot;001D6186&quot;/&gt;&lt;wsp:rsid wsp:val=&quot;001D638F&quot;/&gt;&lt;wsp:rsid wsp:val=&quot;001D668A&quot;/&gt;&lt;wsp:rsid wsp:val=&quot;001D6724&quot;/&gt;&lt;wsp:rsid wsp:val=&quot;001D6803&quot;/&gt;&lt;wsp:rsid wsp:val=&quot;001D6C57&quot;/&gt;&lt;wsp:rsid wsp:val=&quot;001D7BAD&quot;/&gt;&lt;wsp:rsid wsp:val=&quot;001D7D45&quot;/&gt;&lt;wsp:rsid wsp:val=&quot;001E0952&quot;/&gt;&lt;wsp:rsid wsp:val=&quot;001E0D4B&quot;/&gt;&lt;wsp:rsid wsp:val=&quot;001E0FDF&quot;/&gt;&lt;wsp:rsid wsp:val=&quot;001E129D&quot;/&gt;&lt;wsp:rsid wsp:val=&quot;001E148A&quot;/&gt;&lt;wsp:rsid wsp:val=&quot;001E17FA&quot;/&gt;&lt;wsp:rsid wsp:val=&quot;001E1BB6&quot;/&gt;&lt;wsp:rsid wsp:val=&quot;001E1D02&quot;/&gt;&lt;wsp:rsid wsp:val=&quot;001E1DCF&quot;/&gt;&lt;wsp:rsid wsp:val=&quot;001E2259&quot;/&gt;&lt;wsp:rsid wsp:val=&quot;001E28DD&quot;/&gt;&lt;wsp:rsid wsp:val=&quot;001E2A9E&quot;/&gt;&lt;wsp:rsid wsp:val=&quot;001E31E9&quot;/&gt;&lt;wsp:rsid wsp:val=&quot;001E3338&quot;/&gt;&lt;wsp:rsid wsp:val=&quot;001E35AA&quot;/&gt;&lt;wsp:rsid wsp:val=&quot;001E39FA&quot;/&gt;&lt;wsp:rsid wsp:val=&quot;001E434F&quot;/&gt;&lt;wsp:rsid wsp:val=&quot;001E455A&quot;/&gt;&lt;wsp:rsid wsp:val=&quot;001E5616&quot;/&gt;&lt;wsp:rsid wsp:val=&quot;001E56E1&quot;/&gt;&lt;wsp:rsid wsp:val=&quot;001E5900&quot;/&gt;&lt;wsp:rsid wsp:val=&quot;001E5A4D&quot;/&gt;&lt;wsp:rsid wsp:val=&quot;001E6893&quot;/&gt;&lt;wsp:rsid wsp:val=&quot;001E6F86&quot;/&gt;&lt;wsp:rsid wsp:val=&quot;001E7005&quot;/&gt;&lt;wsp:rsid wsp:val=&quot;001E70BE&quot;/&gt;&lt;wsp:rsid wsp:val=&quot;001E71E7&quot;/&gt;&lt;wsp:rsid wsp:val=&quot;001E744E&quot;/&gt;&lt;wsp:rsid wsp:val=&quot;001E77A7&quot;/&gt;&lt;wsp:rsid wsp:val=&quot;001E797B&quot;/&gt;&lt;wsp:rsid wsp:val=&quot;001E7A2B&quot;/&gt;&lt;wsp:rsid wsp:val=&quot;001E7C32&quot;/&gt;&lt;wsp:rsid wsp:val=&quot;001E7D25&quot;/&gt;&lt;wsp:rsid wsp:val=&quot;001E7DAB&quot;/&gt;&lt;wsp:rsid wsp:val=&quot;001E7E25&quot;/&gt;&lt;wsp:rsid wsp:val=&quot;001F03AC&quot;/&gt;&lt;wsp:rsid wsp:val=&quot;001F095B&quot;/&gt;&lt;wsp:rsid wsp:val=&quot;001F10B3&quot;/&gt;&lt;wsp:rsid wsp:val=&quot;001F1254&quot;/&gt;&lt;wsp:rsid wsp:val=&quot;001F1F4B&quot;/&gt;&lt;wsp:rsid wsp:val=&quot;001F211E&quot;/&gt;&lt;wsp:rsid wsp:val=&quot;001F24D7&quot;/&gt;&lt;wsp:rsid wsp:val=&quot;001F2C04&quot;/&gt;&lt;wsp:rsid wsp:val=&quot;001F2D53&quot;/&gt;&lt;wsp:rsid wsp:val=&quot;001F2D7C&quot;/&gt;&lt;wsp:rsid wsp:val=&quot;001F3425&quot;/&gt;&lt;wsp:rsid wsp:val=&quot;001F4384&quot;/&gt;&lt;wsp:rsid wsp:val=&quot;001F5C45&quot;/&gt;&lt;wsp:rsid wsp:val=&quot;001F6076&quot;/&gt;&lt;wsp:rsid wsp:val=&quot;001F7196&quot;/&gt;&lt;wsp:rsid wsp:val=&quot;001F7E06&quot;/&gt;&lt;wsp:rsid wsp:val=&quot;001F7EF9&quot;/&gt;&lt;wsp:rsid wsp:val=&quot;00200033&quot;/&gt;&lt;wsp:rsid wsp:val=&quot;00200234&quot;/&gt;&lt;wsp:rsid wsp:val=&quot;002017FD&quot;/&gt;&lt;wsp:rsid wsp:val=&quot;002018A0&quot;/&gt;&lt;wsp:rsid wsp:val=&quot;00201D6D&quot;/&gt;&lt;wsp:rsid wsp:val=&quot;002022AA&quot;/&gt;&lt;wsp:rsid wsp:val=&quot;00202341&quot;/&gt;&lt;wsp:rsid wsp:val=&quot;002034E4&quot;/&gt;&lt;wsp:rsid wsp:val=&quot;00203873&quot;/&gt;&lt;wsp:rsid wsp:val=&quot;0020391F&quot;/&gt;&lt;wsp:rsid wsp:val=&quot;00203E6F&quot;/&gt;&lt;wsp:rsid wsp:val=&quot;00204572&quot;/&gt;&lt;wsp:rsid wsp:val=&quot;00204F2D&quot;/&gt;&lt;wsp:rsid wsp:val=&quot;00205188&quot;/&gt;&lt;wsp:rsid wsp:val=&quot;00205705&quot;/&gt;&lt;wsp:rsid wsp:val=&quot;00205F49&quot;/&gt;&lt;wsp:rsid wsp:val=&quot;00206143&quot;/&gt;&lt;wsp:rsid wsp:val=&quot;002062AB&quot;/&gt;&lt;wsp:rsid wsp:val=&quot;002064CF&quot;/&gt;&lt;wsp:rsid wsp:val=&quot;00206A32&quot;/&gt;&lt;wsp:rsid wsp:val=&quot;002072C2&quot;/&gt;&lt;wsp:rsid wsp:val=&quot;002076E3&quot;/&gt;&lt;wsp:rsid wsp:val=&quot;002077BC&quot;/&gt;&lt;wsp:rsid wsp:val=&quot;0021042C&quot;/&gt;&lt;wsp:rsid wsp:val=&quot;0021159D&quot;/&gt;&lt;wsp:rsid wsp:val=&quot;002119F7&quot;/&gt;&lt;wsp:rsid wsp:val=&quot;00212203&quot;/&gt;&lt;wsp:rsid wsp:val=&quot;002127F9&quot;/&gt;&lt;wsp:rsid wsp:val=&quot;002129A2&quot;/&gt;&lt;wsp:rsid wsp:val=&quot;00212D08&quot;/&gt;&lt;wsp:rsid wsp:val=&quot;00212EB1&quot;/&gt;&lt;wsp:rsid wsp:val=&quot;00212F70&quot;/&gt;&lt;wsp:rsid wsp:val=&quot;00212FD5&quot;/&gt;&lt;wsp:rsid wsp:val=&quot;002131DC&quot;/&gt;&lt;wsp:rsid wsp:val=&quot;00213AA3&quot;/&gt;&lt;wsp:rsid wsp:val=&quot;00213F70&quot;/&gt;&lt;wsp:rsid wsp:val=&quot;002143BC&quot;/&gt;&lt;wsp:rsid wsp:val=&quot;002144AB&quot;/&gt;&lt;wsp:rsid wsp:val=&quot;00214945&quot;/&gt;&lt;wsp:rsid wsp:val=&quot;00215010&quot;/&gt;&lt;wsp:rsid wsp:val=&quot;00215752&quot;/&gt;&lt;wsp:rsid wsp:val=&quot;00215C88&quot;/&gt;&lt;wsp:rsid wsp:val=&quot;00215CE1&quot;/&gt;&lt;wsp:rsid wsp:val=&quot;00215F04&quot;/&gt;&lt;wsp:rsid wsp:val=&quot;002162EC&quot;/&gt;&lt;wsp:rsid wsp:val=&quot;002169DD&quot;/&gt;&lt;wsp:rsid wsp:val=&quot;002173D2&quot;/&gt;&lt;wsp:rsid wsp:val=&quot;0021774D&quot;/&gt;&lt;wsp:rsid wsp:val=&quot;00217C6A&quot;/&gt;&lt;wsp:rsid wsp:val=&quot;0022006B&quot;/&gt;&lt;wsp:rsid wsp:val=&quot;00220132&quot;/&gt;&lt;wsp:rsid wsp:val=&quot;00220C5D&quot;/&gt;&lt;wsp:rsid wsp:val=&quot;00220FC8&quot;/&gt;&lt;wsp:rsid wsp:val=&quot;00221237&quot;/&gt;&lt;wsp:rsid wsp:val=&quot;002212E5&quot;/&gt;&lt;wsp:rsid wsp:val=&quot;002213D1&quot;/&gt;&lt;wsp:rsid wsp:val=&quot;00221D43&quot;/&gt;&lt;wsp:rsid wsp:val=&quot;002223F8&quot;/&gt;&lt;wsp:rsid wsp:val=&quot;00222F7A&quot;/&gt;&lt;wsp:rsid wsp:val=&quot;00223130&quot;/&gt;&lt;wsp:rsid wsp:val=&quot;00223BC4&quot;/&gt;&lt;wsp:rsid wsp:val=&quot;00224E68&quot;/&gt;&lt;wsp:rsid wsp:val=&quot;00224E8E&quot;/&gt;&lt;wsp:rsid wsp:val=&quot;002251B0&quot;/&gt;&lt;wsp:rsid wsp:val=&quot;002255B3&quot;/&gt;&lt;wsp:rsid wsp:val=&quot;00225609&quot;/&gt;&lt;wsp:rsid wsp:val=&quot;00225889&quot;/&gt;&lt;wsp:rsid wsp:val=&quot;00225E3D&quot;/&gt;&lt;wsp:rsid wsp:val=&quot;0022668B&quot;/&gt;&lt;wsp:rsid wsp:val=&quot;002273FF&quot;/&gt;&lt;wsp:rsid wsp:val=&quot;0022775A&quot;/&gt;&lt;wsp:rsid wsp:val=&quot;0022795C&quot;/&gt;&lt;wsp:rsid wsp:val=&quot;00227E37&quot;/&gt;&lt;wsp:rsid wsp:val=&quot;00230449&quot;/&gt;&lt;wsp:rsid wsp:val=&quot;00230905&quot;/&gt;&lt;wsp:rsid wsp:val=&quot;00230956&quot;/&gt;&lt;wsp:rsid wsp:val=&quot;00230E17&quot;/&gt;&lt;wsp:rsid wsp:val=&quot;00231148&quot;/&gt;&lt;wsp:rsid wsp:val=&quot;0023117A&quot;/&gt;&lt;wsp:rsid wsp:val=&quot;00231675&quot;/&gt;&lt;wsp:rsid wsp:val=&quot;0023175C&quot;/&gt;&lt;wsp:rsid wsp:val=&quot;00231904&quot;/&gt;&lt;wsp:rsid wsp:val=&quot;00231D9C&quot;/&gt;&lt;wsp:rsid wsp:val=&quot;00231E6D&quot;/&gt;&lt;wsp:rsid wsp:val=&quot;00232157&quot;/&gt;&lt;wsp:rsid wsp:val=&quot;00232942&quot;/&gt;&lt;wsp:rsid wsp:val=&quot;00232C7F&quot;/&gt;&lt;wsp:rsid wsp:val=&quot;00232E7E&quot;/&gt;&lt;wsp:rsid wsp:val=&quot;00232FE6&quot;/&gt;&lt;wsp:rsid wsp:val=&quot;00233772&quot;/&gt;&lt;wsp:rsid wsp:val=&quot;002338EE&quot;/&gt;&lt;wsp:rsid wsp:val=&quot;00233911&quot;/&gt;&lt;wsp:rsid wsp:val=&quot;00234049&quot;/&gt;&lt;wsp:rsid wsp:val=&quot;002345AC&quot;/&gt;&lt;wsp:rsid wsp:val=&quot;002350C8&quot;/&gt;&lt;wsp:rsid wsp:val=&quot;00235572&quot;/&gt;&lt;wsp:rsid wsp:val=&quot;002355EC&quot;/&gt;&lt;wsp:rsid wsp:val=&quot;0023568C&quot;/&gt;&lt;wsp:rsid wsp:val=&quot;0023596A&quot;/&gt;&lt;wsp:rsid wsp:val=&quot;00235C60&quot;/&gt;&lt;wsp:rsid wsp:val=&quot;00236A0B&quot;/&gt;&lt;wsp:rsid wsp:val=&quot;002379ED&quot;/&gt;&lt;wsp:rsid wsp:val=&quot;00237ABC&quot;/&gt;&lt;wsp:rsid wsp:val=&quot;00237E12&quot;/&gt;&lt;wsp:rsid wsp:val=&quot;0024016E&quot;/&gt;&lt;wsp:rsid wsp:val=&quot;00240A11&quot;/&gt;&lt;wsp:rsid wsp:val=&quot;00240BA3&quot;/&gt;&lt;wsp:rsid wsp:val=&quot;00240CFC&quot;/&gt;&lt;wsp:rsid wsp:val=&quot;00240E9B&quot;/&gt;&lt;wsp:rsid wsp:val=&quot;0024158C&quot;/&gt;&lt;wsp:rsid wsp:val=&quot;002417D4&quot;/&gt;&lt;wsp:rsid wsp:val=&quot;00241829&quot;/&gt;&lt;wsp:rsid wsp:val=&quot;00241953&quot;/&gt;&lt;wsp:rsid wsp:val=&quot;00241ED4&quot;/&gt;&lt;wsp:rsid wsp:val=&quot;00242586&quot;/&gt;&lt;wsp:rsid wsp:val=&quot;00243133&quot;/&gt;&lt;wsp:rsid wsp:val=&quot;0024340C&quot;/&gt;&lt;wsp:rsid wsp:val=&quot;00244271&quot;/&gt;&lt;wsp:rsid wsp:val=&quot;00244325&quot;/&gt;&lt;wsp:rsid wsp:val=&quot;00244582&quot;/&gt;&lt;wsp:rsid wsp:val=&quot;00244D59&quot;/&gt;&lt;wsp:rsid wsp:val=&quot;00244EBA&quot;/&gt;&lt;wsp:rsid wsp:val=&quot;00245291&quot;/&gt;&lt;wsp:rsid wsp:val=&quot;002453BD&quot;/&gt;&lt;wsp:rsid wsp:val=&quot;002457E6&quot;/&gt;&lt;wsp:rsid wsp:val=&quot;00245BD2&quot;/&gt;&lt;wsp:rsid wsp:val=&quot;00246478&quot;/&gt;&lt;wsp:rsid wsp:val=&quot;00246869&quot;/&gt;&lt;wsp:rsid wsp:val=&quot;00246BE6&quot;/&gt;&lt;wsp:rsid wsp:val=&quot;00246CC6&quot;/&gt;&lt;wsp:rsid wsp:val=&quot;00247035&quot;/&gt;&lt;wsp:rsid wsp:val=&quot;0024749C&quot;/&gt;&lt;wsp:rsid wsp:val=&quot;00247927&quot;/&gt;&lt;wsp:rsid wsp:val=&quot;00247BB3&quot;/&gt;&lt;wsp:rsid wsp:val=&quot;00247D95&quot;/&gt;&lt;wsp:rsid wsp:val=&quot;00247E1E&quot;/&gt;&lt;wsp:rsid wsp:val=&quot;00250181&quot;/&gt;&lt;wsp:rsid wsp:val=&quot;0025018F&quot;/&gt;&lt;wsp:rsid wsp:val=&quot;0025038F&quot;/&gt;&lt;wsp:rsid wsp:val=&quot;002508CA&quot;/&gt;&lt;wsp:rsid wsp:val=&quot;00250A9A&quot;/&gt;&lt;wsp:rsid wsp:val=&quot;0025148F&quot;/&gt;&lt;wsp:rsid wsp:val=&quot;002515EE&quot;/&gt;&lt;wsp:rsid wsp:val=&quot;002516C6&quot;/&gt;&lt;wsp:rsid wsp:val=&quot;00251903&quot;/&gt;&lt;wsp:rsid wsp:val=&quot;00252222&quot;/&gt;&lt;wsp:rsid wsp:val=&quot;00252710&quot;/&gt;&lt;wsp:rsid wsp:val=&quot;00252E2C&quot;/&gt;&lt;wsp:rsid wsp:val=&quot;00253593&quot;/&gt;&lt;wsp:rsid wsp:val=&quot;00253774&quot;/&gt;&lt;wsp:rsid wsp:val=&quot;00253CAB&quot;/&gt;&lt;wsp:rsid wsp:val=&quot;002540E9&quot;/&gt;&lt;wsp:rsid wsp:val=&quot;002541E5&quot;/&gt;&lt;wsp:rsid wsp:val=&quot;002542D5&quot;/&gt;&lt;wsp:rsid wsp:val=&quot;0025475B&quot;/&gt;&lt;wsp:rsid wsp:val=&quot;00254A36&quot;/&gt;&lt;wsp:rsid wsp:val=&quot;00254A3F&quot;/&gt;&lt;wsp:rsid wsp:val=&quot;0025518A&quot;/&gt;&lt;wsp:rsid wsp:val=&quot;00255657&quot;/&gt;&lt;wsp:rsid wsp:val=&quot;0025576A&quot;/&gt;&lt;wsp:rsid wsp:val=&quot;00255C63&quot;/&gt;&lt;wsp:rsid wsp:val=&quot;00255E88&quot;/&gt;&lt;wsp:rsid wsp:val=&quot;0025675C&quot;/&gt;&lt;wsp:rsid wsp:val=&quot;002570AF&quot;/&gt;&lt;wsp:rsid wsp:val=&quot;0025737D&quot;/&gt;&lt;wsp:rsid wsp:val=&quot;0025786C&quot;/&gt;&lt;wsp:rsid wsp:val=&quot;00257C0C&quot;/&gt;&lt;wsp:rsid wsp:val=&quot;00257FCE&quot;/&gt;&lt;wsp:rsid wsp:val=&quot;00260483&quot;/&gt;&lt;wsp:rsid wsp:val=&quot;002609D2&quot;/&gt;&lt;wsp:rsid wsp:val=&quot;00260AEE&quot;/&gt;&lt;wsp:rsid wsp:val=&quot;0026107D&quot;/&gt;&lt;wsp:rsid wsp:val=&quot;0026176D&quot;/&gt;&lt;wsp:rsid wsp:val=&quot;002619D9&quot;/&gt;&lt;wsp:rsid wsp:val=&quot;002623D3&quot;/&gt;&lt;wsp:rsid wsp:val=&quot;00262BA6&quot;/&gt;&lt;wsp:rsid wsp:val=&quot;00263AAE&quot;/&gt;&lt;wsp:rsid wsp:val=&quot;00264452&quot;/&gt;&lt;wsp:rsid wsp:val=&quot;002647E7&quot;/&gt;&lt;wsp:rsid wsp:val=&quot;00265EC4&quot;/&gt;&lt;wsp:rsid wsp:val=&quot;00265EF8&quot;/&gt;&lt;wsp:rsid wsp:val=&quot;002665F7&quot;/&gt;&lt;wsp:rsid wsp:val=&quot;00266692&quot;/&gt;&lt;wsp:rsid wsp:val=&quot;002669C9&quot;/&gt;&lt;wsp:rsid wsp:val=&quot;0026752D&quot;/&gt;&lt;wsp:rsid wsp:val=&quot;0027049B&quot;/&gt;&lt;wsp:rsid wsp:val=&quot;00270595&quot;/&gt;&lt;wsp:rsid wsp:val=&quot;00270811&quot;/&gt;&lt;wsp:rsid wsp:val=&quot;00270B18&quot;/&gt;&lt;wsp:rsid wsp:val=&quot;00270E85&quot;/&gt;&lt;wsp:rsid wsp:val=&quot;002714FD&quot;/&gt;&lt;wsp:rsid wsp:val=&quot;00271757&quot;/&gt;&lt;wsp:rsid wsp:val=&quot;002717E6&quot;/&gt;&lt;wsp:rsid wsp:val=&quot;00271DFE&quot;/&gt;&lt;wsp:rsid wsp:val=&quot;00272147&quot;/&gt;&lt;wsp:rsid wsp:val=&quot;00272326&quot;/&gt;&lt;wsp:rsid wsp:val=&quot;00272E76&quot;/&gt;&lt;wsp:rsid wsp:val=&quot;00273295&quot;/&gt;&lt;wsp:rsid wsp:val=&quot;00273626&quot;/&gt;&lt;wsp:rsid wsp:val=&quot;00273B40&quot;/&gt;&lt;wsp:rsid wsp:val=&quot;00273CD3&quot;/&gt;&lt;wsp:rsid wsp:val=&quot;0027408F&quot;/&gt;&lt;wsp:rsid wsp:val=&quot;0027527A&quot;/&gt;&lt;wsp:rsid wsp:val=&quot;0027548A&quot;/&gt;&lt;wsp:rsid wsp:val=&quot;00275564&quot;/&gt;&lt;wsp:rsid wsp:val=&quot;0027586E&quot;/&gt;&lt;wsp:rsid wsp:val=&quot;00275C33&quot;/&gt;&lt;wsp:rsid wsp:val=&quot;00275FA8&quot;/&gt;&lt;wsp:rsid wsp:val=&quot;00276021&quot;/&gt;&lt;wsp:rsid wsp:val=&quot;0027650D&quot;/&gt;&lt;wsp:rsid wsp:val=&quot;00276517&quot;/&gt;&lt;wsp:rsid wsp:val=&quot;002765FD&quot;/&gt;&lt;wsp:rsid wsp:val=&quot;00276641&quot;/&gt;&lt;wsp:rsid wsp:val=&quot;00276A9C&quot;/&gt;&lt;wsp:rsid wsp:val=&quot;002774E4&quot;/&gt;&lt;wsp:rsid wsp:val=&quot;002776F3&quot;/&gt;&lt;wsp:rsid wsp:val=&quot;00277823&quot;/&gt;&lt;wsp:rsid wsp:val=&quot;00277930&quot;/&gt;&lt;wsp:rsid wsp:val=&quot;002779DE&quot;/&gt;&lt;wsp:rsid wsp:val=&quot;00277A86&quot;/&gt;&lt;wsp:rsid wsp:val=&quot;00277BD0&quot;/&gt;&lt;wsp:rsid wsp:val=&quot;00277D34&quot;/&gt;&lt;wsp:rsid wsp:val=&quot;00280135&quot;/&gt;&lt;wsp:rsid wsp:val=&quot;0028019A&quot;/&gt;&lt;wsp:rsid wsp:val=&quot;002803EF&quot;/&gt;&lt;wsp:rsid wsp:val=&quot;002806BB&quot;/&gt;&lt;wsp:rsid wsp:val=&quot;00281488&quot;/&gt;&lt;wsp:rsid wsp:val=&quot;002816EB&quot;/&gt;&lt;wsp:rsid wsp:val=&quot;0028180D&quot;/&gt;&lt;wsp:rsid wsp:val=&quot;002818A3&quot;/&gt;&lt;wsp:rsid wsp:val=&quot;00281918&quot;/&gt;&lt;wsp:rsid wsp:val=&quot;00281B5A&quot;/&gt;&lt;wsp:rsid wsp:val=&quot;00281F4A&quot;/&gt;&lt;wsp:rsid wsp:val=&quot;002825F7&quot;/&gt;&lt;wsp:rsid wsp:val=&quot;00282716&quot;/&gt;&lt;wsp:rsid wsp:val=&quot;00282E3B&quot;/&gt;&lt;wsp:rsid wsp:val=&quot;0028338E&quot;/&gt;&lt;wsp:rsid wsp:val=&quot;002838EE&quot;/&gt;&lt;wsp:rsid wsp:val=&quot;00283B58&quot;/&gt;&lt;wsp:rsid wsp:val=&quot;00283CA2&quot;/&gt;&lt;wsp:rsid wsp:val=&quot;00284F26&quot;/&gt;&lt;wsp:rsid wsp:val=&quot;00284FF3&quot;/&gt;&lt;wsp:rsid wsp:val=&quot;0028501F&quot;/&gt;&lt;wsp:rsid wsp:val=&quot;00285105&quot;/&gt;&lt;wsp:rsid wsp:val=&quot;002851A3&quot;/&gt;&lt;wsp:rsid wsp:val=&quot;00285949&quot;/&gt;&lt;wsp:rsid wsp:val=&quot;00285AB1&quot;/&gt;&lt;wsp:rsid wsp:val=&quot;0028605C&quot;/&gt;&lt;wsp:rsid wsp:val=&quot;002865B7&quot;/&gt;&lt;wsp:rsid wsp:val=&quot;002866D7&quot;/&gt;&lt;wsp:rsid wsp:val=&quot;00286D02&quot;/&gt;&lt;wsp:rsid wsp:val=&quot;00286D52&quot;/&gt;&lt;wsp:rsid wsp:val=&quot;00286E89&quot;/&gt;&lt;wsp:rsid wsp:val=&quot;002872DD&quot;/&gt;&lt;wsp:rsid wsp:val=&quot;0028765A&quot;/&gt;&lt;wsp:rsid wsp:val=&quot;00287829&quot;/&gt;&lt;wsp:rsid wsp:val=&quot;00290055&quot;/&gt;&lt;wsp:rsid wsp:val=&quot;00290F4B&quot;/&gt;&lt;wsp:rsid wsp:val=&quot;00291068&quot;/&gt;&lt;wsp:rsid wsp:val=&quot;00291229&quot;/&gt;&lt;wsp:rsid wsp:val=&quot;002914AE&quot;/&gt;&lt;wsp:rsid wsp:val=&quot;002916BE&quot;/&gt;&lt;wsp:rsid wsp:val=&quot;00291822&quot;/&gt;&lt;wsp:rsid wsp:val=&quot;00292033&quot;/&gt;&lt;wsp:rsid wsp:val=&quot;00292569&quot;/&gt;&lt;wsp:rsid wsp:val=&quot;002928EB&quot;/&gt;&lt;wsp:rsid wsp:val=&quot;00292CA3&quot;/&gt;&lt;wsp:rsid wsp:val=&quot;00292CDF&quot;/&gt;&lt;wsp:rsid wsp:val=&quot;00293011&quot;/&gt;&lt;wsp:rsid wsp:val=&quot;00294293&quot;/&gt;&lt;wsp:rsid wsp:val=&quot;002944CA&quot;/&gt;&lt;wsp:rsid wsp:val=&quot;00294774&quot;/&gt;&lt;wsp:rsid wsp:val=&quot;00294CE1&quot;/&gt;&lt;wsp:rsid wsp:val=&quot;00295988&quot;/&gt;&lt;wsp:rsid wsp:val=&quot;002970B9&quot;/&gt;&lt;wsp:rsid wsp:val=&quot;00297514&quot;/&gt;&lt;wsp:rsid wsp:val=&quot;002979B8&quot;/&gt;&lt;wsp:rsid wsp:val=&quot;00297B81&quot;/&gt;&lt;wsp:rsid wsp:val=&quot;002A0019&quot;/&gt;&lt;wsp:rsid wsp:val=&quot;002A013A&quot;/&gt;&lt;wsp:rsid wsp:val=&quot;002A0409&quot;/&gt;&lt;wsp:rsid wsp:val=&quot;002A09A3&quot;/&gt;&lt;wsp:rsid wsp:val=&quot;002A0A6A&quot;/&gt;&lt;wsp:rsid wsp:val=&quot;002A0A7C&quot;/&gt;&lt;wsp:rsid wsp:val=&quot;002A0FC0&quot;/&gt;&lt;wsp:rsid wsp:val=&quot;002A130A&quot;/&gt;&lt;wsp:rsid wsp:val=&quot;002A1DC1&quot;/&gt;&lt;wsp:rsid wsp:val=&quot;002A1DF0&quot;/&gt;&lt;wsp:rsid wsp:val=&quot;002A200D&quot;/&gt;&lt;wsp:rsid wsp:val=&quot;002A2AA0&quot;/&gt;&lt;wsp:rsid wsp:val=&quot;002A2F6C&quot;/&gt;&lt;wsp:rsid wsp:val=&quot;002A4512&quot;/&gt;&lt;wsp:rsid wsp:val=&quot;002A4A14&quot;/&gt;&lt;wsp:rsid wsp:val=&quot;002A4FB2&quot;/&gt;&lt;wsp:rsid wsp:val=&quot;002A5317&quot;/&gt;&lt;wsp:rsid wsp:val=&quot;002A561B&quot;/&gt;&lt;wsp:rsid wsp:val=&quot;002A5CD9&quot;/&gt;&lt;wsp:rsid wsp:val=&quot;002A638C&quot;/&gt;&lt;wsp:rsid wsp:val=&quot;002A6455&quot;/&gt;&lt;wsp:rsid wsp:val=&quot;002A6747&quot;/&gt;&lt;wsp:rsid wsp:val=&quot;002A6799&quot;/&gt;&lt;wsp:rsid wsp:val=&quot;002A67CF&quot;/&gt;&lt;wsp:rsid wsp:val=&quot;002A728A&quot;/&gt;&lt;wsp:rsid wsp:val=&quot;002A7445&quot;/&gt;&lt;wsp:rsid wsp:val=&quot;002A7484&quot;/&gt;&lt;wsp:rsid wsp:val=&quot;002A74B5&quot;/&gt;&lt;wsp:rsid wsp:val=&quot;002A7A2D&quot;/&gt;&lt;wsp:rsid wsp:val=&quot;002A7B9C&quot;/&gt;&lt;wsp:rsid wsp:val=&quot;002B024B&quot;/&gt;&lt;wsp:rsid wsp:val=&quot;002B077B&quot;/&gt;&lt;wsp:rsid wsp:val=&quot;002B1177&quot;/&gt;&lt;wsp:rsid wsp:val=&quot;002B14B2&quot;/&gt;&lt;wsp:rsid wsp:val=&quot;002B1EA6&quot;/&gt;&lt;wsp:rsid wsp:val=&quot;002B2543&quot;/&gt;&lt;wsp:rsid wsp:val=&quot;002B2676&quot;/&gt;&lt;wsp:rsid wsp:val=&quot;002B3979&quot;/&gt;&lt;wsp:rsid wsp:val=&quot;002B421C&quot;/&gt;&lt;wsp:rsid wsp:val=&quot;002B429B&quot;/&gt;&lt;wsp:rsid wsp:val=&quot;002B4E48&quot;/&gt;&lt;wsp:rsid wsp:val=&quot;002B50B7&quot;/&gt;&lt;wsp:rsid wsp:val=&quot;002B5233&quot;/&gt;&lt;wsp:rsid wsp:val=&quot;002B5359&quot;/&gt;&lt;wsp:rsid wsp:val=&quot;002B5496&quot;/&gt;&lt;wsp:rsid wsp:val=&quot;002B5582&quot;/&gt;&lt;wsp:rsid wsp:val=&quot;002B5656&quot;/&gt;&lt;wsp:rsid wsp:val=&quot;002B5BF1&quot;/&gt;&lt;wsp:rsid wsp:val=&quot;002B5E26&quot;/&gt;&lt;wsp:rsid wsp:val=&quot;002B730C&quot;/&gt;&lt;wsp:rsid wsp:val=&quot;002B7E9E&quot;/&gt;&lt;wsp:rsid wsp:val=&quot;002C0990&quot;/&gt;&lt;wsp:rsid wsp:val=&quot;002C0A41&quot;/&gt;&lt;wsp:rsid wsp:val=&quot;002C0D48&quot;/&gt;&lt;wsp:rsid wsp:val=&quot;002C1145&quot;/&gt;&lt;wsp:rsid wsp:val=&quot;002C16E7&quot;/&gt;&lt;wsp:rsid wsp:val=&quot;002C1B46&quot;/&gt;&lt;wsp:rsid wsp:val=&quot;002C2555&quot;/&gt;&lt;wsp:rsid wsp:val=&quot;002C258E&quot;/&gt;&lt;wsp:rsid wsp:val=&quot;002C2BAB&quot;/&gt;&lt;wsp:rsid wsp:val=&quot;002C2DD6&quot;/&gt;&lt;wsp:rsid wsp:val=&quot;002C304E&quot;/&gt;&lt;wsp:rsid wsp:val=&quot;002C3EC9&quot;/&gt;&lt;wsp:rsid wsp:val=&quot;002C4283&quot;/&gt;&lt;wsp:rsid wsp:val=&quot;002C4447&quot;/&gt;&lt;wsp:rsid wsp:val=&quot;002C4589&quot;/&gt;&lt;wsp:rsid wsp:val=&quot;002C4959&quot;/&gt;&lt;wsp:rsid wsp:val=&quot;002C4D4E&quot;/&gt;&lt;wsp:rsid wsp:val=&quot;002C549C&quot;/&gt;&lt;wsp:rsid wsp:val=&quot;002C551F&quot;/&gt;&lt;wsp:rsid wsp:val=&quot;002C5661&quot;/&gt;&lt;wsp:rsid wsp:val=&quot;002C5A54&quot;/&gt;&lt;wsp:rsid wsp:val=&quot;002C5D33&quot;/&gt;&lt;wsp:rsid wsp:val=&quot;002C7401&quot;/&gt;&lt;wsp:rsid wsp:val=&quot;002C764C&quot;/&gt;&lt;wsp:rsid wsp:val=&quot;002C7768&quot;/&gt;&lt;wsp:rsid wsp:val=&quot;002C791D&quot;/&gt;&lt;wsp:rsid wsp:val=&quot;002C7C2A&quot;/&gt;&lt;wsp:rsid wsp:val=&quot;002C7C52&quot;/&gt;&lt;wsp:rsid wsp:val=&quot;002C7E47&quot;/&gt;&lt;wsp:rsid wsp:val=&quot;002D02FB&quot;/&gt;&lt;wsp:rsid wsp:val=&quot;002D0F85&quot;/&gt;&lt;wsp:rsid wsp:val=&quot;002D15B7&quot;/&gt;&lt;wsp:rsid wsp:val=&quot;002D17F0&quot;/&gt;&lt;wsp:rsid wsp:val=&quot;002D19DC&quot;/&gt;&lt;wsp:rsid wsp:val=&quot;002D1C94&quot;/&gt;&lt;wsp:rsid wsp:val=&quot;002D23E5&quot;/&gt;&lt;wsp:rsid wsp:val=&quot;002D2413&quot;/&gt;&lt;wsp:rsid wsp:val=&quot;002D253D&quot;/&gt;&lt;wsp:rsid wsp:val=&quot;002D29A8&quot;/&gt;&lt;wsp:rsid wsp:val=&quot;002D2BA5&quot;/&gt;&lt;wsp:rsid wsp:val=&quot;002D2C3D&quot;/&gt;&lt;wsp:rsid wsp:val=&quot;002D2D58&quot;/&gt;&lt;wsp:rsid wsp:val=&quot;002D2D9E&quot;/&gt;&lt;wsp:rsid wsp:val=&quot;002D3051&quot;/&gt;&lt;wsp:rsid wsp:val=&quot;002D3105&quot;/&gt;&lt;wsp:rsid wsp:val=&quot;002D3770&quot;/&gt;&lt;wsp:rsid wsp:val=&quot;002D3B52&quot;/&gt;&lt;wsp:rsid wsp:val=&quot;002D430B&quot;/&gt;&lt;wsp:rsid wsp:val=&quot;002D43F6&quot;/&gt;&lt;wsp:rsid wsp:val=&quot;002D44DB&quot;/&gt;&lt;wsp:rsid wsp:val=&quot;002D4DBB&quot;/&gt;&lt;wsp:rsid wsp:val=&quot;002D4E06&quot;/&gt;&lt;wsp:rsid wsp:val=&quot;002D4F1A&quot;/&gt;&lt;wsp:rsid wsp:val=&quot;002D4F90&quot;/&gt;&lt;wsp:rsid wsp:val=&quot;002D5707&quot;/&gt;&lt;wsp:rsid wsp:val=&quot;002D5DD5&quot;/&gt;&lt;wsp:rsid wsp:val=&quot;002D5DE4&quot;/&gt;&lt;wsp:rsid wsp:val=&quot;002D69D4&quot;/&gt;&lt;wsp:rsid wsp:val=&quot;002D6E0E&quot;/&gt;&lt;wsp:rsid wsp:val=&quot;002D6FF0&quot;/&gt;&lt;wsp:rsid wsp:val=&quot;002D75CE&quot;/&gt;&lt;wsp:rsid wsp:val=&quot;002D796B&quot;/&gt;&lt;wsp:rsid wsp:val=&quot;002D7BD4&quot;/&gt;&lt;wsp:rsid wsp:val=&quot;002D7E89&quot;/&gt;&lt;wsp:rsid wsp:val=&quot;002D7FA8&quot;/&gt;&lt;wsp:rsid wsp:val=&quot;002E0083&quot;/&gt;&lt;wsp:rsid wsp:val=&quot;002E00E7&quot;/&gt;&lt;wsp:rsid wsp:val=&quot;002E0AC5&quot;/&gt;&lt;wsp:rsid wsp:val=&quot;002E0C08&quot;/&gt;&lt;wsp:rsid wsp:val=&quot;002E174C&quot;/&gt;&lt;wsp:rsid wsp:val=&quot;002E1BF4&quot;/&gt;&lt;wsp:rsid wsp:val=&quot;002E1C44&quot;/&gt;&lt;wsp:rsid wsp:val=&quot;002E279C&quot;/&gt;&lt;wsp:rsid wsp:val=&quot;002E2A6E&quot;/&gt;&lt;wsp:rsid wsp:val=&quot;002E2C4C&quot;/&gt;&lt;wsp:rsid wsp:val=&quot;002E2FC0&quot;/&gt;&lt;wsp:rsid wsp:val=&quot;002E310A&quot;/&gt;&lt;wsp:rsid wsp:val=&quot;002E319F&quot;/&gt;&lt;wsp:rsid wsp:val=&quot;002E3410&quot;/&gt;&lt;wsp:rsid wsp:val=&quot;002E36F9&quot;/&gt;&lt;wsp:rsid wsp:val=&quot;002E3853&quot;/&gt;&lt;wsp:rsid wsp:val=&quot;002E3E14&quot;/&gt;&lt;wsp:rsid wsp:val=&quot;002E4501&quot;/&gt;&lt;wsp:rsid wsp:val=&quot;002E468E&quot;/&gt;&lt;wsp:rsid wsp:val=&quot;002E46B1&quot;/&gt;&lt;wsp:rsid wsp:val=&quot;002E4966&quot;/&gt;&lt;wsp:rsid wsp:val=&quot;002E4B93&quot;/&gt;&lt;wsp:rsid wsp:val=&quot;002E501A&quot;/&gt;&lt;wsp:rsid wsp:val=&quot;002E5315&quot;/&gt;&lt;wsp:rsid wsp:val=&quot;002E662C&quot;/&gt;&lt;wsp:rsid wsp:val=&quot;002E6943&quot;/&gt;&lt;wsp:rsid wsp:val=&quot;002E6949&quot;/&gt;&lt;wsp:rsid wsp:val=&quot;002E6C5A&quot;/&gt;&lt;wsp:rsid wsp:val=&quot;002E6CE5&quot;/&gt;&lt;wsp:rsid wsp:val=&quot;002E72F4&quot;/&gt;&lt;wsp:rsid wsp:val=&quot;002E7355&quot;/&gt;&lt;wsp:rsid wsp:val=&quot;002E7C02&quot;/&gt;&lt;wsp:rsid wsp:val=&quot;002E7C25&quot;/&gt;&lt;wsp:rsid wsp:val=&quot;002E7C67&quot;/&gt;&lt;wsp:rsid wsp:val=&quot;002F0057&quot;/&gt;&lt;wsp:rsid wsp:val=&quot;002F0280&quot;/&gt;&lt;wsp:rsid wsp:val=&quot;002F04A5&quot;/&gt;&lt;wsp:rsid wsp:val=&quot;002F0857&quot;/&gt;&lt;wsp:rsid wsp:val=&quot;002F0A1A&quot;/&gt;&lt;wsp:rsid wsp:val=&quot;002F0FCA&quot;/&gt;&lt;wsp:rsid wsp:val=&quot;002F12D6&quot;/&gt;&lt;wsp:rsid wsp:val=&quot;002F18C1&quot;/&gt;&lt;wsp:rsid wsp:val=&quot;002F1D4A&quot;/&gt;&lt;wsp:rsid wsp:val=&quot;002F2CDB&quot;/&gt;&lt;wsp:rsid wsp:val=&quot;002F3875&quot;/&gt;&lt;wsp:rsid wsp:val=&quot;002F4035&quot;/&gt;&lt;wsp:rsid wsp:val=&quot;002F408B&quot;/&gt;&lt;wsp:rsid wsp:val=&quot;002F4374&quot;/&gt;&lt;wsp:rsid wsp:val=&quot;002F4BED&quot;/&gt;&lt;wsp:rsid wsp:val=&quot;002F4DC0&quot;/&gt;&lt;wsp:rsid wsp:val=&quot;002F529D&quot;/&gt;&lt;wsp:rsid wsp:val=&quot;002F5622&quot;/&gt;&lt;wsp:rsid wsp:val=&quot;002F5CC5&quot;/&gt;&lt;wsp:rsid wsp:val=&quot;002F6423&quot;/&gt;&lt;wsp:rsid wsp:val=&quot;002F6A5D&quot;/&gt;&lt;wsp:rsid wsp:val=&quot;002F6AF5&quot;/&gt;&lt;wsp:rsid wsp:val=&quot;002F6D48&quot;/&gt;&lt;wsp:rsid wsp:val=&quot;002F6D9A&quot;/&gt;&lt;wsp:rsid wsp:val=&quot;002F7C37&quot;/&gt;&lt;wsp:rsid wsp:val=&quot;002F7F83&quot;/&gt;&lt;wsp:rsid wsp:val=&quot;00300269&quot;/&gt;&lt;wsp:rsid wsp:val=&quot;0030037D&quot;/&gt;&lt;wsp:rsid wsp:val=&quot;003006E5&quot;/&gt;&lt;wsp:rsid wsp:val=&quot;00300758&quot;/&gt;&lt;wsp:rsid wsp:val=&quot;003007C9&quot;/&gt;&lt;wsp:rsid wsp:val=&quot;00301BDA&quot;/&gt;&lt;wsp:rsid wsp:val=&quot;00301C4C&quot;/&gt;&lt;wsp:rsid wsp:val=&quot;00301CB8&quot;/&gt;&lt;wsp:rsid wsp:val=&quot;00301DE0&quot;/&gt;&lt;wsp:rsid wsp:val=&quot;00301DE5&quot;/&gt;&lt;wsp:rsid wsp:val=&quot;003022D9&quot;/&gt;&lt;wsp:rsid wsp:val=&quot;00302478&quot;/&gt;&lt;wsp:rsid wsp:val=&quot;00302828&quot;/&gt;&lt;wsp:rsid wsp:val=&quot;00302B4C&quot;/&gt;&lt;wsp:rsid wsp:val=&quot;00303BA6&quot;/&gt;&lt;wsp:rsid wsp:val=&quot;00303CBB&quot;/&gt;&lt;wsp:rsid wsp:val=&quot;00303DA4&quot;/&gt;&lt;wsp:rsid wsp:val=&quot;003046F6&quot;/&gt;&lt;wsp:rsid wsp:val=&quot;00304955&quot;/&gt;&lt;wsp:rsid wsp:val=&quot;00304B79&quot;/&gt;&lt;wsp:rsid wsp:val=&quot;003053C5&quot;/&gt;&lt;wsp:rsid wsp:val=&quot;0030548D&quot;/&gt;&lt;wsp:rsid wsp:val=&quot;00305806&quot;/&gt;&lt;wsp:rsid wsp:val=&quot;00306359&quot;/&gt;&lt;wsp:rsid wsp:val=&quot;0030654B&quot;/&gt;&lt;wsp:rsid wsp:val=&quot;00306BAD&quot;/&gt;&lt;wsp:rsid wsp:val=&quot;00306E1B&quot;/&gt;&lt;wsp:rsid wsp:val=&quot;003070DF&quot;/&gt;&lt;wsp:rsid wsp:val=&quot;00307372&quot;/&gt;&lt;wsp:rsid wsp:val=&quot;00307375&quot;/&gt;&lt;wsp:rsid wsp:val=&quot;0030784A&quot;/&gt;&lt;wsp:rsid wsp:val=&quot;003078EC&quot;/&gt;&lt;wsp:rsid wsp:val=&quot;00307E81&quot;/&gt;&lt;wsp:rsid wsp:val=&quot;00307FAF&quot;/&gt;&lt;wsp:rsid wsp:val=&quot;00310382&quot;/&gt;&lt;wsp:rsid wsp:val=&quot;00310AE3&quot;/&gt;&lt;wsp:rsid wsp:val=&quot;00310C28&quot;/&gt;&lt;wsp:rsid wsp:val=&quot;00311494&quot;/&gt;&lt;wsp:rsid wsp:val=&quot;0031183D&quot;/&gt;&lt;wsp:rsid wsp:val=&quot;00311881&quot;/&gt;&lt;wsp:rsid wsp:val=&quot;0031197E&quot;/&gt;&lt;wsp:rsid wsp:val=&quot;00311A43&quot;/&gt;&lt;wsp:rsid wsp:val=&quot;00311C95&quot;/&gt;&lt;wsp:rsid wsp:val=&quot;00311CEC&quot;/&gt;&lt;wsp:rsid wsp:val=&quot;00311E66&quot;/&gt;&lt;wsp:rsid wsp:val=&quot;00312297&quot;/&gt;&lt;wsp:rsid wsp:val=&quot;003123C6&quot;/&gt;&lt;wsp:rsid wsp:val=&quot;00312A2F&quot;/&gt;&lt;wsp:rsid wsp:val=&quot;003135F3&quot;/&gt;&lt;wsp:rsid wsp:val=&quot;00313661&quot;/&gt;&lt;wsp:rsid wsp:val=&quot;00313D10&quot;/&gt;&lt;wsp:rsid wsp:val=&quot;00314993&quot;/&gt;&lt;wsp:rsid wsp:val=&quot;00314CDC&quot;/&gt;&lt;wsp:rsid wsp:val=&quot;00314FF9&quot;/&gt;&lt;wsp:rsid wsp:val=&quot;0031537C&quot;/&gt;&lt;wsp:rsid wsp:val=&quot;0031579B&quot;/&gt;&lt;wsp:rsid wsp:val=&quot;003157BD&quot;/&gt;&lt;wsp:rsid wsp:val=&quot;00315DF4&quot;/&gt;&lt;wsp:rsid wsp:val=&quot;003162B9&quot;/&gt;&lt;wsp:rsid wsp:val=&quot;003163DC&quot;/&gt;&lt;wsp:rsid wsp:val=&quot;0031645A&quot;/&gt;&lt;wsp:rsid wsp:val=&quot;00316C5A&quot;/&gt;&lt;wsp:rsid wsp:val=&quot;003170F7&quot;/&gt;&lt;wsp:rsid wsp:val=&quot;003178C8&quot;/&gt;&lt;wsp:rsid wsp:val=&quot;00317937&quot;/&gt;&lt;wsp:rsid wsp:val=&quot;00317ECB&quot;/&gt;&lt;wsp:rsid wsp:val=&quot;00320085&quot;/&gt;&lt;wsp:rsid wsp:val=&quot;003200CD&quot;/&gt;&lt;wsp:rsid wsp:val=&quot;00320782&quot;/&gt;&lt;wsp:rsid wsp:val=&quot;00320873&quot;/&gt;&lt;wsp:rsid wsp:val=&quot;0032096D&quot;/&gt;&lt;wsp:rsid wsp:val=&quot;00320C02&quot;/&gt;&lt;wsp:rsid wsp:val=&quot;00320C5C&quot;/&gt;&lt;wsp:rsid wsp:val=&quot;00320CB5&quot;/&gt;&lt;wsp:rsid wsp:val=&quot;0032122C&quot;/&gt;&lt;wsp:rsid wsp:val=&quot;003215C6&quot;/&gt;&lt;wsp:rsid wsp:val=&quot;003215C8&quot;/&gt;&lt;wsp:rsid wsp:val=&quot;003215D5&quot;/&gt;&lt;wsp:rsid wsp:val=&quot;00322604&quot;/&gt;&lt;wsp:rsid wsp:val=&quot;00323152&quot;/&gt;&lt;wsp:rsid wsp:val=&quot;0032366B&quot;/&gt;&lt;wsp:rsid wsp:val=&quot;0032390A&quot;/&gt;&lt;wsp:rsid wsp:val=&quot;00323F82&quot;/&gt;&lt;wsp:rsid wsp:val=&quot;003240B9&quot;/&gt;&lt;wsp:rsid wsp:val=&quot;003248E2&quot;/&gt;&lt;wsp:rsid wsp:val=&quot;003252F0&quot;/&gt;&lt;wsp:rsid wsp:val=&quot;003255D9&quot;/&gt;&lt;wsp:rsid wsp:val=&quot;00325661&quot;/&gt;&lt;wsp:rsid wsp:val=&quot;00325800&quot;/&gt;&lt;wsp:rsid wsp:val=&quot;00325A90&quot;/&gt;&lt;wsp:rsid wsp:val=&quot;00325D3A&quot;/&gt;&lt;wsp:rsid wsp:val=&quot;003261AA&quot;/&gt;&lt;wsp:rsid wsp:val=&quot;00327485&quot;/&gt;&lt;wsp:rsid wsp:val=&quot;0032782F&quot;/&gt;&lt;wsp:rsid wsp:val=&quot;00327FA2&quot;/&gt;&lt;wsp:rsid wsp:val=&quot;003300A7&quot;/&gt;&lt;wsp:rsid wsp:val=&quot;00330A0F&quot;/&gt;&lt;wsp:rsid wsp:val=&quot;00330C21&quot;/&gt;&lt;wsp:rsid wsp:val=&quot;00331253&quot;/&gt;&lt;wsp:rsid wsp:val=&quot;0033139B&quot;/&gt;&lt;wsp:rsid wsp:val=&quot;003313E5&quot;/&gt;&lt;wsp:rsid wsp:val=&quot;0033183D&quot;/&gt;&lt;wsp:rsid wsp:val=&quot;00333127&quot;/&gt;&lt;wsp:rsid wsp:val=&quot;00333509&quot;/&gt;&lt;wsp:rsid wsp:val=&quot;00333EC5&quot;/&gt;&lt;wsp:rsid wsp:val=&quot;00333FA2&quot;/&gt;&lt;wsp:rsid wsp:val=&quot;00334332&quot;/&gt;&lt;wsp:rsid wsp:val=&quot;00334523&quot;/&gt;&lt;wsp:rsid wsp:val=&quot;00334B0E&quot;/&gt;&lt;wsp:rsid wsp:val=&quot;003351CE&quot;/&gt;&lt;wsp:rsid wsp:val=&quot;0033537A&quot;/&gt;&lt;wsp:rsid wsp:val=&quot;003353E1&quot;/&gt;&lt;wsp:rsid wsp:val=&quot;00335BB0&quot;/&gt;&lt;wsp:rsid wsp:val=&quot;00335BCE&quot;/&gt;&lt;wsp:rsid wsp:val=&quot;00335C99&quot;/&gt;&lt;wsp:rsid wsp:val=&quot;00336CD4&quot;/&gt;&lt;wsp:rsid wsp:val=&quot;00336EC7&quot;/&gt;&lt;wsp:rsid wsp:val=&quot;00336F7A&quot;/&gt;&lt;wsp:rsid wsp:val=&quot;00336FCA&quot;/&gt;&lt;wsp:rsid wsp:val=&quot;0033723A&quot;/&gt;&lt;wsp:rsid wsp:val=&quot;00337271&quot;/&gt;&lt;wsp:rsid wsp:val=&quot;003376F2&quot;/&gt;&lt;wsp:rsid wsp:val=&quot;003378A8&quot;/&gt;&lt;wsp:rsid wsp:val=&quot;0034055F&quot;/&gt;&lt;wsp:rsid wsp:val=&quot;00340804&quot;/&gt;&lt;wsp:rsid wsp:val=&quot;00340F41&quot;/&gt;&lt;wsp:rsid wsp:val=&quot;0034199A&quot;/&gt;&lt;wsp:rsid wsp:val=&quot;00341BBA&quot;/&gt;&lt;wsp:rsid wsp:val=&quot;003427FD&quot;/&gt;&lt;wsp:rsid wsp:val=&quot;00342A4A&quot;/&gt;&lt;wsp:rsid wsp:val=&quot;0034301F&quot;/&gt;&lt;wsp:rsid wsp:val=&quot;003438A2&quot;/&gt;&lt;wsp:rsid wsp:val=&quot;00343CEE&quot;/&gt;&lt;wsp:rsid wsp:val=&quot;00343D5D&quot;/&gt;&lt;wsp:rsid wsp:val=&quot;003440DE&quot;/&gt;&lt;wsp:rsid wsp:val=&quot;0034417B&quot;/&gt;&lt;wsp:rsid wsp:val=&quot;003442B5&quot;/&gt;&lt;wsp:rsid wsp:val=&quot;00344771&quot;/&gt;&lt;wsp:rsid wsp:val=&quot;003447FC&quot;/&gt;&lt;wsp:rsid wsp:val=&quot;0034500E&quot;/&gt;&lt;wsp:rsid wsp:val=&quot;003450B0&quot;/&gt;&lt;wsp:rsid wsp:val=&quot;00345476&quot;/&gt;&lt;wsp:rsid wsp:val=&quot;003456CE&quot;/&gt;&lt;wsp:rsid wsp:val=&quot;00345789&quot;/&gt;&lt;wsp:rsid wsp:val=&quot;003458F6&quot;/&gt;&lt;wsp:rsid wsp:val=&quot;00345968&quot;/&gt;&lt;wsp:rsid wsp:val=&quot;00345AE3&quot;/&gt;&lt;wsp:rsid wsp:val=&quot;00345B4D&quot;/&gt;&lt;wsp:rsid wsp:val=&quot;00345EFA&quot;/&gt;&lt;wsp:rsid wsp:val=&quot;00346290&quot;/&gt;&lt;wsp:rsid wsp:val=&quot;003463D7&quot;/&gt;&lt;wsp:rsid wsp:val=&quot;00346493&quot;/&gt;&lt;wsp:rsid wsp:val=&quot;00346582&quot;/&gt;&lt;wsp:rsid wsp:val=&quot;00346A6F&quot;/&gt;&lt;wsp:rsid wsp:val=&quot;00346BA9&quot;/&gt;&lt;wsp:rsid wsp:val=&quot;00347731&quot;/&gt;&lt;wsp:rsid wsp:val=&quot;00347870&quot;/&gt;&lt;wsp:rsid wsp:val=&quot;00347E26&quot;/&gt;&lt;wsp:rsid wsp:val=&quot;00347E2D&quot;/&gt;&lt;wsp:rsid wsp:val=&quot;00350103&quot;/&gt;&lt;wsp:rsid wsp:val=&quot;0035012C&quot;/&gt;&lt;wsp:rsid wsp:val=&quot;00350190&quot;/&gt;&lt;wsp:rsid wsp:val=&quot;003502B6&quot;/&gt;&lt;wsp:rsid wsp:val=&quot;003507E6&quot;/&gt;&lt;wsp:rsid wsp:val=&quot;00350DF0&quot;/&gt;&lt;wsp:rsid wsp:val=&quot;00350FEC&quot;/&gt;&lt;wsp:rsid wsp:val=&quot;00351B5B&quot;/&gt;&lt;wsp:rsid wsp:val=&quot;00351E8F&quot;/&gt;&lt;wsp:rsid wsp:val=&quot;0035245B&quot;/&gt;&lt;wsp:rsid wsp:val=&quot;0035282A&quot;/&gt;&lt;wsp:rsid wsp:val=&quot;00352D5B&quot;/&gt;&lt;wsp:rsid wsp:val=&quot;0035383B&quot;/&gt;&lt;wsp:rsid wsp:val=&quot;00353B23&quot;/&gt;&lt;wsp:rsid wsp:val=&quot;00353C91&quot;/&gt;&lt;wsp:rsid wsp:val=&quot;00354371&quot;/&gt;&lt;wsp:rsid wsp:val=&quot;0035559E&quot;/&gt;&lt;wsp:rsid wsp:val=&quot;00355943&quot;/&gt;&lt;wsp:rsid wsp:val=&quot;00355999&quot;/&gt;&lt;wsp:rsid wsp:val=&quot;00356BFE&quot;/&gt;&lt;wsp:rsid wsp:val=&quot;00357381&quot;/&gt;&lt;wsp:rsid wsp:val=&quot;00357721&quot;/&gt;&lt;wsp:rsid wsp:val=&quot;00357CA6&quot;/&gt;&lt;wsp:rsid wsp:val=&quot;00360509&quot;/&gt;&lt;wsp:rsid wsp:val=&quot;00360741&quot;/&gt;&lt;wsp:rsid wsp:val=&quot;003607D3&quot;/&gt;&lt;wsp:rsid wsp:val=&quot;00360CF9&quot;/&gt;&lt;wsp:rsid wsp:val=&quot;00361806&quot;/&gt;&lt;wsp:rsid wsp:val=&quot;00361CF4&quot;/&gt;&lt;wsp:rsid wsp:val=&quot;0036221A&quot;/&gt;&lt;wsp:rsid wsp:val=&quot;0036239E&quot;/&gt;&lt;wsp:rsid wsp:val=&quot;0036241A&quot;/&gt;&lt;wsp:rsid wsp:val=&quot;00363622&quot;/&gt;&lt;wsp:rsid wsp:val=&quot;003645E3&quot;/&gt;&lt;wsp:rsid wsp:val=&quot;00364626&quot;/&gt;&lt;wsp:rsid wsp:val=&quot;003646E4&quot;/&gt;&lt;wsp:rsid wsp:val=&quot;00364A73&quot;/&gt;&lt;wsp:rsid wsp:val=&quot;00365617&quot;/&gt;&lt;wsp:rsid wsp:val=&quot;0036566A&quot;/&gt;&lt;wsp:rsid wsp:val=&quot;003657A7&quot;/&gt;&lt;wsp:rsid wsp:val=&quot;0036594C&quot;/&gt;&lt;wsp:rsid wsp:val=&quot;00365BEC&quot;/&gt;&lt;wsp:rsid wsp:val=&quot;00365DEA&quot;/&gt;&lt;wsp:rsid wsp:val=&quot;00365EB6&quot;/&gt;&lt;wsp:rsid wsp:val=&quot;00366353&quot;/&gt;&lt;wsp:rsid wsp:val=&quot;003663C1&quot;/&gt;&lt;wsp:rsid wsp:val=&quot;00366467&quot;/&gt;&lt;wsp:rsid wsp:val=&quot;003666DD&quot;/&gt;&lt;wsp:rsid wsp:val=&quot;0036784F&quot;/&gt;&lt;wsp:rsid wsp:val=&quot;00367AD2&quot;/&gt;&lt;wsp:rsid wsp:val=&quot;00367CA1&quot;/&gt;&lt;wsp:rsid wsp:val=&quot;003701F5&quot;/&gt;&lt;wsp:rsid wsp:val=&quot;0037037B&quot;/&gt;&lt;wsp:rsid wsp:val=&quot;00370794&quot;/&gt;&lt;wsp:rsid wsp:val=&quot;00370B84&quot;/&gt;&lt;wsp:rsid wsp:val=&quot;003713CD&quot;/&gt;&lt;wsp:rsid wsp:val=&quot;003717B3&quot;/&gt;&lt;wsp:rsid wsp:val=&quot;00371AFA&quot;/&gt;&lt;wsp:rsid wsp:val=&quot;003723B9&quot;/&gt;&lt;wsp:rsid wsp:val=&quot;00372DCB&quot;/&gt;&lt;wsp:rsid wsp:val=&quot;003738AC&quot;/&gt;&lt;wsp:rsid wsp:val=&quot;003739CD&quot;/&gt;&lt;wsp:rsid wsp:val=&quot;00373A7E&quot;/&gt;&lt;wsp:rsid wsp:val=&quot;00373AD5&quot;/&gt;&lt;wsp:rsid wsp:val=&quot;00373C3F&quot;/&gt;&lt;wsp:rsid wsp:val=&quot;00373E88&quot;/&gt;&lt;wsp:rsid wsp:val=&quot;00373EE3&quot;/&gt;&lt;wsp:rsid wsp:val=&quot;003741FE&quot;/&gt;&lt;wsp:rsid wsp:val=&quot;00374403&quot;/&gt;&lt;wsp:rsid wsp:val=&quot;003748C6&quot;/&gt;&lt;wsp:rsid wsp:val=&quot;003751E8&quot;/&gt;&lt;wsp:rsid wsp:val=&quot;00375562&quot;/&gt;&lt;wsp:rsid wsp:val=&quot;003755A5&quot;/&gt;&lt;wsp:rsid wsp:val=&quot;00375CAD&quot;/&gt;&lt;wsp:rsid wsp:val=&quot;00375EEB&quot;/&gt;&lt;wsp:rsid wsp:val=&quot;0037640D&quot;/&gt;&lt;wsp:rsid wsp:val=&quot;003765B7&quot;/&gt;&lt;wsp:rsid wsp:val=&quot;00376854&quot;/&gt;&lt;wsp:rsid wsp:val=&quot;00376DFF&quot;/&gt;&lt;wsp:rsid wsp:val=&quot;003773E7&quot;/&gt;&lt;wsp:rsid wsp:val=&quot;00377914&quot;/&gt;&lt;wsp:rsid wsp:val=&quot;003779DE&quot;/&gt;&lt;wsp:rsid wsp:val=&quot;00377C79&quot;/&gt;&lt;wsp:rsid wsp:val=&quot;00377D79&quot;/&gt;&lt;wsp:rsid wsp:val=&quot;003802AA&quot;/&gt;&lt;wsp:rsid wsp:val=&quot;003806F4&quot;/&gt;&lt;wsp:rsid wsp:val=&quot;00381031&quot;/&gt;&lt;wsp:rsid wsp:val=&quot;003813BA&quot;/&gt;&lt;wsp:rsid wsp:val=&quot;00381605&quot;/&gt;&lt;wsp:rsid wsp:val=&quot;00381E59&quot;/&gt;&lt;wsp:rsid wsp:val=&quot;00382915&quot;/&gt;&lt;wsp:rsid wsp:val=&quot;00382A2E&quot;/&gt;&lt;wsp:rsid wsp:val=&quot;00383445&quot;/&gt;&lt;wsp:rsid wsp:val=&quot;0038355D&quot;/&gt;&lt;wsp:rsid wsp:val=&quot;00383C62&quot;/&gt;&lt;wsp:rsid wsp:val=&quot;0038424C&quot;/&gt;&lt;wsp:rsid wsp:val=&quot;003842F7&quot;/&gt;&lt;wsp:rsid wsp:val=&quot;003853B3&quot;/&gt;&lt;wsp:rsid wsp:val=&quot;00385BA9&quot;/&gt;&lt;wsp:rsid wsp:val=&quot;00385C88&quot;/&gt;&lt;wsp:rsid wsp:val=&quot;003862A0&quot;/&gt;&lt;wsp:rsid wsp:val=&quot;00386431&quot;/&gt;&lt;wsp:rsid wsp:val=&quot;00386549&quot;/&gt;&lt;wsp:rsid wsp:val=&quot;00386F6B&quot;/&gt;&lt;wsp:rsid wsp:val=&quot;00387830&quot;/&gt;&lt;wsp:rsid wsp:val=&quot;0038796C&quot;/&gt;&lt;wsp:rsid wsp:val=&quot;00387FE2&quot;/&gt;&lt;wsp:rsid wsp:val=&quot;00390172&quot;/&gt;&lt;wsp:rsid wsp:val=&quot;003906FF&quot;/&gt;&lt;wsp:rsid wsp:val=&quot;0039153F&quot;/&gt;&lt;wsp:rsid wsp:val=&quot;00391652&quot;/&gt;&lt;wsp:rsid wsp:val=&quot;00392391&quot;/&gt;&lt;wsp:rsid wsp:val=&quot;00392D0F&quot;/&gt;&lt;wsp:rsid wsp:val=&quot;0039342B&quot;/&gt;&lt;wsp:rsid wsp:val=&quot;0039344B&quot;/&gt;&lt;wsp:rsid wsp:val=&quot;0039366E&quot;/&gt;&lt;wsp:rsid wsp:val=&quot;0039483D&quot;/&gt;&lt;wsp:rsid wsp:val=&quot;00394916&quot;/&gt;&lt;wsp:rsid wsp:val=&quot;003949E4&quot;/&gt;&lt;wsp:rsid wsp:val=&quot;00394CED&quot;/&gt;&lt;wsp:rsid wsp:val=&quot;00394F8C&quot;/&gt;&lt;wsp:rsid wsp:val=&quot;00395069&quot;/&gt;&lt;wsp:rsid wsp:val=&quot;0039526B&quot;/&gt;&lt;wsp:rsid wsp:val=&quot;0039554B&quot;/&gt;&lt;wsp:rsid wsp:val=&quot;003955B2&quot;/&gt;&lt;wsp:rsid wsp:val=&quot;00395688&quot;/&gt;&lt;wsp:rsid wsp:val=&quot;00395CBD&quot;/&gt;&lt;wsp:rsid wsp:val=&quot;00395DA4&quot;/&gt;&lt;wsp:rsid wsp:val=&quot;00395EC4&quot;/&gt;&lt;wsp:rsid wsp:val=&quot;003962A8&quot;/&gt;&lt;wsp:rsid wsp:val=&quot;00396871&quot;/&gt;&lt;wsp:rsid wsp:val=&quot;00397C4F&quot;/&gt;&lt;wsp:rsid wsp:val=&quot;00397FD3&quot;/&gt;&lt;wsp:rsid wsp:val=&quot;003A01D0&quot;/&gt;&lt;wsp:rsid wsp:val=&quot;003A0596&quot;/&gt;&lt;wsp:rsid wsp:val=&quot;003A0768&quot;/&gt;&lt;wsp:rsid wsp:val=&quot;003A0820&quot;/&gt;&lt;wsp:rsid wsp:val=&quot;003A14B7&quot;/&gt;&lt;wsp:rsid wsp:val=&quot;003A17CC&quot;/&gt;&lt;wsp:rsid wsp:val=&quot;003A1910&quot;/&gt;&lt;wsp:rsid wsp:val=&quot;003A1997&quot;/&gt;&lt;wsp:rsid wsp:val=&quot;003A1EC8&quot;/&gt;&lt;wsp:rsid wsp:val=&quot;003A2490&quot;/&gt;&lt;wsp:rsid wsp:val=&quot;003A27D9&quot;/&gt;&lt;wsp:rsid wsp:val=&quot;003A2CED&quot;/&gt;&lt;wsp:rsid wsp:val=&quot;003A2F2D&quot;/&gt;&lt;wsp:rsid wsp:val=&quot;003A2FA0&quot;/&gt;&lt;wsp:rsid wsp:val=&quot;003A32D1&quot;/&gt;&lt;wsp:rsid wsp:val=&quot;003A34C4&quot;/&gt;&lt;wsp:rsid wsp:val=&quot;003A378B&quot;/&gt;&lt;wsp:rsid wsp:val=&quot;003A3B1A&quot;/&gt;&lt;wsp:rsid wsp:val=&quot;003A3E5D&quot;/&gt;&lt;wsp:rsid wsp:val=&quot;003A4101&quot;/&gt;&lt;wsp:rsid wsp:val=&quot;003A4658&quot;/&gt;&lt;wsp:rsid wsp:val=&quot;003A469E&quot;/&gt;&lt;wsp:rsid wsp:val=&quot;003A477C&quot;/&gt;&lt;wsp:rsid wsp:val=&quot;003A4E04&quot;/&gt;&lt;wsp:rsid wsp:val=&quot;003A53E8&quot;/&gt;&lt;wsp:rsid wsp:val=&quot;003A57D5&quot;/&gt;&lt;wsp:rsid wsp:val=&quot;003A5A42&quot;/&gt;&lt;wsp:rsid wsp:val=&quot;003A5ADE&quot;/&gt;&lt;wsp:rsid wsp:val=&quot;003A5E54&quot;/&gt;&lt;wsp:rsid wsp:val=&quot;003A61AC&quot;/&gt;&lt;wsp:rsid wsp:val=&quot;003A69BD&quot;/&gt;&lt;wsp:rsid wsp:val=&quot;003A71E0&quot;/&gt;&lt;wsp:rsid wsp:val=&quot;003A752F&quot;/&gt;&lt;wsp:rsid wsp:val=&quot;003A7805&quot;/&gt;&lt;wsp:rsid wsp:val=&quot;003A7926&quot;/&gt;&lt;wsp:rsid wsp:val=&quot;003A7D6D&quot;/&gt;&lt;wsp:rsid wsp:val=&quot;003B035A&quot;/&gt;&lt;wsp:rsid wsp:val=&quot;003B0469&quot;/&gt;&lt;wsp:rsid wsp:val=&quot;003B0516&quot;/&gt;&lt;wsp:rsid wsp:val=&quot;003B0B90&quot;/&gt;&lt;wsp:rsid wsp:val=&quot;003B123C&quot;/&gt;&lt;wsp:rsid wsp:val=&quot;003B136C&quot;/&gt;&lt;wsp:rsid wsp:val=&quot;003B196F&quot;/&gt;&lt;wsp:rsid wsp:val=&quot;003B19C2&quot;/&gt;&lt;wsp:rsid wsp:val=&quot;003B24D9&quot;/&gt;&lt;wsp:rsid wsp:val=&quot;003B2D38&quot;/&gt;&lt;wsp:rsid wsp:val=&quot;003B3093&quot;/&gt;&lt;wsp:rsid wsp:val=&quot;003B32E3&quot;/&gt;&lt;wsp:rsid wsp:val=&quot;003B342E&quot;/&gt;&lt;wsp:rsid wsp:val=&quot;003B34F5&quot;/&gt;&lt;wsp:rsid wsp:val=&quot;003B401F&quot;/&gt;&lt;wsp:rsid wsp:val=&quot;003B4781&quot;/&gt;&lt;wsp:rsid wsp:val=&quot;003B48DE&quot;/&gt;&lt;wsp:rsid wsp:val=&quot;003B4D2E&quot;/&gt;&lt;wsp:rsid wsp:val=&quot;003B4F6F&quot;/&gt;&lt;wsp:rsid wsp:val=&quot;003B51C4&quot;/&gt;&lt;wsp:rsid wsp:val=&quot;003B533B&quot;/&gt;&lt;wsp:rsid wsp:val=&quot;003B58EC&quot;/&gt;&lt;wsp:rsid wsp:val=&quot;003B5A1D&quot;/&gt;&lt;wsp:rsid wsp:val=&quot;003B5F0B&quot;/&gt;&lt;wsp:rsid wsp:val=&quot;003B5F46&quot;/&gt;&lt;wsp:rsid wsp:val=&quot;003B6756&quot;/&gt;&lt;wsp:rsid wsp:val=&quot;003B6868&quot;/&gt;&lt;wsp:rsid wsp:val=&quot;003B6FF0&quot;/&gt;&lt;wsp:rsid wsp:val=&quot;003B738E&quot;/&gt;&lt;wsp:rsid wsp:val=&quot;003B75AC&quot;/&gt;&lt;wsp:rsid wsp:val=&quot;003B7D80&quot;/&gt;&lt;wsp:rsid wsp:val=&quot;003B7E55&quot;/&gt;&lt;wsp:rsid wsp:val=&quot;003C0B4F&quot;/&gt;&lt;wsp:rsid wsp:val=&quot;003C0CD3&quot;/&gt;&lt;wsp:rsid wsp:val=&quot;003C1200&quot;/&gt;&lt;wsp:rsid wsp:val=&quot;003C124E&quot;/&gt;&lt;wsp:rsid wsp:val=&quot;003C127D&quot;/&gt;&lt;wsp:rsid wsp:val=&quot;003C1C7A&quot;/&gt;&lt;wsp:rsid wsp:val=&quot;003C1CFF&quot;/&gt;&lt;wsp:rsid wsp:val=&quot;003C1D5D&quot;/&gt;&lt;wsp:rsid wsp:val=&quot;003C21E9&quot;/&gt;&lt;wsp:rsid wsp:val=&quot;003C221B&quot;/&gt;&lt;wsp:rsid wsp:val=&quot;003C2806&quot;/&gt;&lt;wsp:rsid wsp:val=&quot;003C29FB&quot;/&gt;&lt;wsp:rsid wsp:val=&quot;003C2B75&quot;/&gt;&lt;wsp:rsid wsp:val=&quot;003C2C95&quot;/&gt;&lt;wsp:rsid wsp:val=&quot;003C2C9F&quot;/&gt;&lt;wsp:rsid wsp:val=&quot;003C2E2A&quot;/&gt;&lt;wsp:rsid wsp:val=&quot;003C3748&quot;/&gt;&lt;wsp:rsid wsp:val=&quot;003C3EA8&quot;/&gt;&lt;wsp:rsid wsp:val=&quot;003C40A0&quot;/&gt;&lt;wsp:rsid wsp:val=&quot;003C4278&quot;/&gt;&lt;wsp:rsid wsp:val=&quot;003C4300&quot;/&gt;&lt;wsp:rsid wsp:val=&quot;003C475F&quot;/&gt;&lt;wsp:rsid wsp:val=&quot;003C49BC&quot;/&gt;&lt;wsp:rsid wsp:val=&quot;003C4D85&quot;/&gt;&lt;wsp:rsid wsp:val=&quot;003C4EC4&quot;/&gt;&lt;wsp:rsid wsp:val=&quot;003C55AA&quot;/&gt;&lt;wsp:rsid wsp:val=&quot;003C6335&quot;/&gt;&lt;wsp:rsid wsp:val=&quot;003C656F&quot;/&gt;&lt;wsp:rsid wsp:val=&quot;003C6FEB&quot;/&gt;&lt;wsp:rsid wsp:val=&quot;003C7595&quot;/&gt;&lt;wsp:rsid wsp:val=&quot;003C7764&quot;/&gt;&lt;wsp:rsid wsp:val=&quot;003C7AFF&quot;/&gt;&lt;wsp:rsid wsp:val=&quot;003C7E63&quot;/&gt;&lt;wsp:rsid wsp:val=&quot;003C7ECD&quot;/&gt;&lt;wsp:rsid wsp:val=&quot;003D045D&quot;/&gt;&lt;wsp:rsid wsp:val=&quot;003D08A6&quot;/&gt;&lt;wsp:rsid wsp:val=&quot;003D09FE&quot;/&gt;&lt;wsp:rsid wsp:val=&quot;003D1255&quot;/&gt;&lt;wsp:rsid wsp:val=&quot;003D137F&quot;/&gt;&lt;wsp:rsid wsp:val=&quot;003D18FC&quot;/&gt;&lt;wsp:rsid wsp:val=&quot;003D194F&quot;/&gt;&lt;wsp:rsid wsp:val=&quot;003D2AB5&quot;/&gt;&lt;wsp:rsid wsp:val=&quot;003D308D&quot;/&gt;&lt;wsp:rsid wsp:val=&quot;003D370F&quot;/&gt;&lt;wsp:rsid wsp:val=&quot;003D3A18&quot;/&gt;&lt;wsp:rsid wsp:val=&quot;003D3D0C&quot;/&gt;&lt;wsp:rsid wsp:val=&quot;003D3D66&quot;/&gt;&lt;wsp:rsid wsp:val=&quot;003D4097&quot;/&gt;&lt;wsp:rsid wsp:val=&quot;003D4823&quot;/&gt;&lt;wsp:rsid wsp:val=&quot;003D4850&quot;/&gt;&lt;wsp:rsid wsp:val=&quot;003D4973&quot;/&gt;&lt;wsp:rsid wsp:val=&quot;003D5C10&quot;/&gt;&lt;wsp:rsid wsp:val=&quot;003D6227&quot;/&gt;&lt;wsp:rsid wsp:val=&quot;003D6534&quot;/&gt;&lt;wsp:rsid wsp:val=&quot;003D6758&quot;/&gt;&lt;wsp:rsid wsp:val=&quot;003D6E1D&quot;/&gt;&lt;wsp:rsid wsp:val=&quot;003D6F45&quot;/&gt;&lt;wsp:rsid wsp:val=&quot;003D7707&quot;/&gt;&lt;wsp:rsid wsp:val=&quot;003D7749&quot;/&gt;&lt;wsp:rsid wsp:val=&quot;003D7BEB&quot;/&gt;&lt;wsp:rsid wsp:val=&quot;003E04D7&quot;/&gt;&lt;wsp:rsid wsp:val=&quot;003E0CF3&quot;/&gt;&lt;wsp:rsid wsp:val=&quot;003E12B0&quot;/&gt;&lt;wsp:rsid wsp:val=&quot;003E1825&quot;/&gt;&lt;wsp:rsid wsp:val=&quot;003E1A9A&quot;/&gt;&lt;wsp:rsid wsp:val=&quot;003E1BC9&quot;/&gt;&lt;wsp:rsid wsp:val=&quot;003E28AC&quot;/&gt;&lt;wsp:rsid wsp:val=&quot;003E2B62&quot;/&gt;&lt;wsp:rsid wsp:val=&quot;003E3977&quot;/&gt;&lt;wsp:rsid wsp:val=&quot;003E39A7&quot;/&gt;&lt;wsp:rsid wsp:val=&quot;003E3F30&quot;/&gt;&lt;wsp:rsid wsp:val=&quot;003E40F2&quot;/&gt;&lt;wsp:rsid wsp:val=&quot;003E423B&quot;/&gt;&lt;wsp:rsid wsp:val=&quot;003E4288&quot;/&gt;&lt;wsp:rsid wsp:val=&quot;003E42B4&quot;/&gt;&lt;wsp:rsid wsp:val=&quot;003E44F5&quot;/&gt;&lt;wsp:rsid wsp:val=&quot;003E44F6&quot;/&gt;&lt;wsp:rsid wsp:val=&quot;003E56DD&quot;/&gt;&lt;wsp:rsid wsp:val=&quot;003E585B&quot;/&gt;&lt;wsp:rsid wsp:val=&quot;003E5950&quot;/&gt;&lt;wsp:rsid wsp:val=&quot;003E5E26&quot;/&gt;&lt;wsp:rsid wsp:val=&quot;003E6366&quot;/&gt;&lt;wsp:rsid wsp:val=&quot;003E6672&quot;/&gt;&lt;wsp:rsid wsp:val=&quot;003E6BB3&quot;/&gt;&lt;wsp:rsid wsp:val=&quot;003E72B7&quot;/&gt;&lt;wsp:rsid wsp:val=&quot;003E74C8&quot;/&gt;&lt;wsp:rsid wsp:val=&quot;003F1CC6&quot;/&gt;&lt;wsp:rsid wsp:val=&quot;003F1DE3&quot;/&gt;&lt;wsp:rsid wsp:val=&quot;003F2377&quot;/&gt;&lt;wsp:rsid wsp:val=&quot;003F253B&quot;/&gt;&lt;wsp:rsid wsp:val=&quot;003F27F7&quot;/&gt;&lt;wsp:rsid wsp:val=&quot;003F2A4E&quot;/&gt;&lt;wsp:rsid wsp:val=&quot;003F2AC6&quot;/&gt;&lt;wsp:rsid wsp:val=&quot;003F2CCF&quot;/&gt;&lt;wsp:rsid wsp:val=&quot;003F3902&quot;/&gt;&lt;wsp:rsid wsp:val=&quot;003F3CCE&quot;/&gt;&lt;wsp:rsid wsp:val=&quot;003F3F8A&quot;/&gt;&lt;wsp:rsid wsp:val=&quot;003F4189&quot;/&gt;&lt;wsp:rsid wsp:val=&quot;003F422B&quot;/&gt;&lt;wsp:rsid wsp:val=&quot;003F4997&quot;/&gt;&lt;wsp:rsid wsp:val=&quot;003F4BA8&quot;/&gt;&lt;wsp:rsid wsp:val=&quot;003F514F&quot;/&gt;&lt;wsp:rsid wsp:val=&quot;003F58AF&quot;/&gt;&lt;wsp:rsid wsp:val=&quot;003F5B8D&quot;/&gt;&lt;wsp:rsid wsp:val=&quot;003F5C47&quot;/&gt;&lt;wsp:rsid wsp:val=&quot;003F619E&quot;/&gt;&lt;wsp:rsid wsp:val=&quot;003F61B9&quot;/&gt;&lt;wsp:rsid wsp:val=&quot;003F643E&quot;/&gt;&lt;wsp:rsid wsp:val=&quot;003F66FB&quot;/&gt;&lt;wsp:rsid wsp:val=&quot;003F6C03&quot;/&gt;&lt;wsp:rsid wsp:val=&quot;003F6D42&quot;/&gt;&lt;wsp:rsid wsp:val=&quot;003F6D91&quot;/&gt;&lt;wsp:rsid wsp:val=&quot;003F70E7&quot;/&gt;&lt;wsp:rsid wsp:val=&quot;003F7650&quot;/&gt;&lt;wsp:rsid wsp:val=&quot;003F7722&quot;/&gt;&lt;wsp:rsid wsp:val=&quot;003F7F15&quot;/&gt;&lt;wsp:rsid wsp:val=&quot;003F7F4C&quot;/&gt;&lt;wsp:rsid wsp:val=&quot;0040000E&quot;/&gt;&lt;wsp:rsid wsp:val=&quot;004001C7&quot;/&gt;&lt;wsp:rsid wsp:val=&quot;00400BDA&quot;/&gt;&lt;wsp:rsid wsp:val=&quot;00400EA8&quot;/&gt;&lt;wsp:rsid wsp:val=&quot;00401374&quot;/&gt;&lt;wsp:rsid wsp:val=&quot;004013BC&quot;/&gt;&lt;wsp:rsid wsp:val=&quot;00401AA4&quot;/&gt;&lt;wsp:rsid wsp:val=&quot;00402305&quot;/&gt;&lt;wsp:rsid wsp:val=&quot;00402F6B&quot;/&gt;&lt;wsp:rsid wsp:val=&quot;004030F6&quot;/&gt;&lt;wsp:rsid wsp:val=&quot;00403112&quot;/&gt;&lt;wsp:rsid wsp:val=&quot;0040318C&quot;/&gt;&lt;wsp:rsid wsp:val=&quot;004031BC&quot;/&gt;&lt;wsp:rsid wsp:val=&quot;00403653&quot;/&gt;&lt;wsp:rsid wsp:val=&quot;00403977&quot;/&gt;&lt;wsp:rsid wsp:val=&quot;00404331&quot;/&gt;&lt;wsp:rsid wsp:val=&quot;004046A7&quot;/&gt;&lt;wsp:rsid wsp:val=&quot;00404DFC&quot;/&gt;&lt;wsp:rsid wsp:val=&quot;004050C4&quot;/&gt;&lt;wsp:rsid wsp:val=&quot;00405392&quot;/&gt;&lt;wsp:rsid wsp:val=&quot;004053B6&quot;/&gt;&lt;wsp:rsid wsp:val=&quot;004055B8&quot;/&gt;&lt;wsp:rsid wsp:val=&quot;00405CC5&quot;/&gt;&lt;wsp:rsid wsp:val=&quot;00406368&quot;/&gt;&lt;wsp:rsid wsp:val=&quot;00406417&quot;/&gt;&lt;wsp:rsid wsp:val=&quot;004068A5&quot;/&gt;&lt;wsp:rsid wsp:val=&quot;00406937&quot;/&gt;&lt;wsp:rsid wsp:val=&quot;00406950&quot;/&gt;&lt;wsp:rsid wsp:val=&quot;00406D89&quot;/&gt;&lt;wsp:rsid wsp:val=&quot;00407532&quot;/&gt;&lt;wsp:rsid wsp:val=&quot;004076BA&quot;/&gt;&lt;wsp:rsid wsp:val=&quot;0040789D&quot;/&gt;&lt;wsp:rsid wsp:val=&quot;00407956&quot;/&gt;&lt;wsp:rsid wsp:val=&quot;00407F03&quot;/&gt;&lt;wsp:rsid wsp:val=&quot;004100B7&quot;/&gt;&lt;wsp:rsid wsp:val=&quot;00410A94&quot;/&gt;&lt;wsp:rsid wsp:val=&quot;00411CBC&quot;/&gt;&lt;wsp:rsid wsp:val=&quot;0041228F&quot;/&gt;&lt;wsp:rsid wsp:val=&quot;004125BF&quot;/&gt;&lt;wsp:rsid wsp:val=&quot;00412611&quot;/&gt;&lt;wsp:rsid wsp:val=&quot;0041261B&quot;/&gt;&lt;wsp:rsid wsp:val=&quot;00412D84&quot;/&gt;&lt;wsp:rsid wsp:val=&quot;00412F7B&quot;/&gt;&lt;wsp:rsid wsp:val=&quot;004131F8&quot;/&gt;&lt;wsp:rsid wsp:val=&quot;00413280&quot;/&gt;&lt;wsp:rsid wsp:val=&quot;00413538&quot;/&gt;&lt;wsp:rsid wsp:val=&quot;0041359D&quot;/&gt;&lt;wsp:rsid wsp:val=&quot;00413A1F&quot;/&gt;&lt;wsp:rsid wsp:val=&quot;00413A55&quot;/&gt;&lt;wsp:rsid wsp:val=&quot;00413BF6&quot;/&gt;&lt;wsp:rsid wsp:val=&quot;00413EF1&quot;/&gt;&lt;wsp:rsid wsp:val=&quot;00414283&quot;/&gt;&lt;wsp:rsid wsp:val=&quot;004149A5&quot;/&gt;&lt;wsp:rsid wsp:val=&quot;00415025&quot;/&gt;&lt;wsp:rsid wsp:val=&quot;0041503A&quot;/&gt;&lt;wsp:rsid wsp:val=&quot;00415973&quot;/&gt;&lt;wsp:rsid wsp:val=&quot;0041602B&quot;/&gt;&lt;wsp:rsid wsp:val=&quot;00416250&quot;/&gt;&lt;wsp:rsid wsp:val=&quot;004163F2&quot;/&gt;&lt;wsp:rsid wsp:val=&quot;004167EC&quot;/&gt;&lt;wsp:rsid wsp:val=&quot;00416883&quot;/&gt;&lt;wsp:rsid wsp:val=&quot;00416DFE&quot;/&gt;&lt;wsp:rsid wsp:val=&quot;00416F49&quot;/&gt;&lt;wsp:rsid wsp:val=&quot;00417041&quot;/&gt;&lt;wsp:rsid wsp:val=&quot;00417337&quot;/&gt;&lt;wsp:rsid wsp:val=&quot;00417BF4&quot;/&gt;&lt;wsp:rsid wsp:val=&quot;004203B2&quot;/&gt;&lt;wsp:rsid wsp:val=&quot;00420511&quot;/&gt;&lt;wsp:rsid wsp:val=&quot;00420B7C&quot;/&gt;&lt;wsp:rsid wsp:val=&quot;004211F3&quot;/&gt;&lt;wsp:rsid wsp:val=&quot;004215A3&quot;/&gt;&lt;wsp:rsid wsp:val=&quot;00421814&quot;/&gt;&lt;wsp:rsid wsp:val=&quot;004219EC&quot;/&gt;&lt;wsp:rsid wsp:val=&quot;00421D91&quot;/&gt;&lt;wsp:rsid wsp:val=&quot;00421F5D&quot;/&gt;&lt;wsp:rsid wsp:val=&quot;004220E5&quot;/&gt;&lt;wsp:rsid wsp:val=&quot;004222A2&quot;/&gt;&lt;wsp:rsid wsp:val=&quot;0042338A&quot;/&gt;&lt;wsp:rsid wsp:val=&quot;0042375F&quot;/&gt;&lt;wsp:rsid wsp:val=&quot;0042396F&quot;/&gt;&lt;wsp:rsid wsp:val=&quot;00423B44&quot;/&gt;&lt;wsp:rsid wsp:val=&quot;00423E10&quot;/&gt;&lt;wsp:rsid wsp:val=&quot;004241E3&quot;/&gt;&lt;wsp:rsid wsp:val=&quot;004244C1&quot;/&gt;&lt;wsp:rsid wsp:val=&quot;00424551&quot;/&gt;&lt;wsp:rsid wsp:val=&quot;00424868&quot;/&gt;&lt;wsp:rsid wsp:val=&quot;00424B55&quot;/&gt;&lt;wsp:rsid wsp:val=&quot;00424B6D&quot;/&gt;&lt;wsp:rsid wsp:val=&quot;00424B6F&quot;/&gt;&lt;wsp:rsid wsp:val=&quot;00424BA4&quot;/&gt;&lt;wsp:rsid wsp:val=&quot;00424DC3&quot;/&gt;&lt;wsp:rsid wsp:val=&quot;00425106&quot;/&gt;&lt;wsp:rsid wsp:val=&quot;0042521E&quot;/&gt;&lt;wsp:rsid wsp:val=&quot;0042527A&quot;/&gt;&lt;wsp:rsid wsp:val=&quot;0042578C&quot;/&gt;&lt;wsp:rsid wsp:val=&quot;0042579D&quot;/&gt;&lt;wsp:rsid wsp:val=&quot;00425B19&quot;/&gt;&lt;wsp:rsid wsp:val=&quot;00426310&quot;/&gt;&lt;wsp:rsid wsp:val=&quot;004268F6&quot;/&gt;&lt;wsp:rsid wsp:val=&quot;00426F5F&quot;/&gt;&lt;wsp:rsid wsp:val=&quot;0042708D&quot;/&gt;&lt;wsp:rsid wsp:val=&quot;004271C8&quot;/&gt;&lt;wsp:rsid wsp:val=&quot;004273E3&quot;/&gt;&lt;wsp:rsid wsp:val=&quot;004276D2&quot;/&gt;&lt;wsp:rsid wsp:val=&quot;00427B2A&quot;/&gt;&lt;wsp:rsid wsp:val=&quot;00427D6F&quot;/&gt;&lt;wsp:rsid wsp:val=&quot;00427DA8&quot;/&gt;&lt;wsp:rsid wsp:val=&quot;00427E1E&quot;/&gt;&lt;wsp:rsid wsp:val=&quot;004302DD&quot;/&gt;&lt;wsp:rsid wsp:val=&quot;00430873&quot;/&gt;&lt;wsp:rsid wsp:val=&quot;00430D7F&quot;/&gt;&lt;wsp:rsid wsp:val=&quot;00430FA9&quot;/&gt;&lt;wsp:rsid wsp:val=&quot;00431317&quot;/&gt;&lt;wsp:rsid wsp:val=&quot;004314DB&quot;/&gt;&lt;wsp:rsid wsp:val=&quot;00431B25&quot;/&gt;&lt;wsp:rsid wsp:val=&quot;00431D57&quot;/&gt;&lt;wsp:rsid wsp:val=&quot;00432896&quot;/&gt;&lt;wsp:rsid wsp:val=&quot;00432F88&quot;/&gt;&lt;wsp:rsid wsp:val=&quot;004331E1&quot;/&gt;&lt;wsp:rsid wsp:val=&quot;00433717&quot;/&gt;&lt;wsp:rsid wsp:val=&quot;00433D2C&quot;/&gt;&lt;wsp:rsid wsp:val=&quot;00433EAB&quot;/&gt;&lt;wsp:rsid wsp:val=&quot;00434A40&quot;/&gt;&lt;wsp:rsid wsp:val=&quot;004357AA&quot;/&gt;&lt;wsp:rsid wsp:val=&quot;004358D3&quot;/&gt;&lt;wsp:rsid wsp:val=&quot;00435C4C&quot;/&gt;&lt;wsp:rsid wsp:val=&quot;00436097&quot;/&gt;&lt;wsp:rsid wsp:val=&quot;004369B2&quot;/&gt;&lt;wsp:rsid wsp:val=&quot;00436A98&quot;/&gt;&lt;wsp:rsid wsp:val=&quot;00436BD4&quot;/&gt;&lt;wsp:rsid wsp:val=&quot;00436E0E&quot;/&gt;&lt;wsp:rsid wsp:val=&quot;00436EE4&quot;/&gt;&lt;wsp:rsid wsp:val=&quot;004404C3&quot;/&gt;&lt;wsp:rsid wsp:val=&quot;00440F2D&quot;/&gt;&lt;wsp:rsid wsp:val=&quot;004419C5&quot;/&gt;&lt;wsp:rsid wsp:val=&quot;00441B0D&quot;/&gt;&lt;wsp:rsid wsp:val=&quot;00441E08&quot;/&gt;&lt;wsp:rsid wsp:val=&quot;0044225E&quot;/&gt;&lt;wsp:rsid wsp:val=&quot;00442485&quot;/&gt;&lt;wsp:rsid wsp:val=&quot;004425D0&quot;/&gt;&lt;wsp:rsid wsp:val=&quot;0044325F&quot;/&gt;&lt;wsp:rsid wsp:val=&quot;004433D0&quot;/&gt;&lt;wsp:rsid wsp:val=&quot;00443E2F&quot;/&gt;&lt;wsp:rsid wsp:val=&quot;00444A5B&quot;/&gt;&lt;wsp:rsid wsp:val=&quot;00444A7E&quot;/&gt;&lt;wsp:rsid wsp:val=&quot;00444B2A&quot;/&gt;&lt;wsp:rsid wsp:val=&quot;00444D99&quot;/&gt;&lt;wsp:rsid wsp:val=&quot;004453DE&quot;/&gt;&lt;wsp:rsid wsp:val=&quot;0044559D&quot;/&gt;&lt;wsp:rsid wsp:val=&quot;00445737&quot;/&gt;&lt;wsp:rsid wsp:val=&quot;004458EB&quot;/&gt;&lt;wsp:rsid wsp:val=&quot;00445D47&quot;/&gt;&lt;wsp:rsid wsp:val=&quot;004465E4&quot;/&gt;&lt;wsp:rsid wsp:val=&quot;0044688F&quot;/&gt;&lt;wsp:rsid wsp:val=&quot;0044693A&quot;/&gt;&lt;wsp:rsid wsp:val=&quot;00446CDE&quot;/&gt;&lt;wsp:rsid wsp:val=&quot;00446D01&quot;/&gt;&lt;wsp:rsid wsp:val=&quot;0044742D&quot;/&gt;&lt;wsp:rsid wsp:val=&quot;00447EAF&quot;/&gt;&lt;wsp:rsid wsp:val=&quot;004500DA&quot;/&gt;&lt;wsp:rsid wsp:val=&quot;0045055A&quot;/&gt;&lt;wsp:rsid wsp:val=&quot;004507FD&quot;/&gt;&lt;wsp:rsid wsp:val=&quot;00450A2B&quot;/&gt;&lt;wsp:rsid wsp:val=&quot;00451205&quot;/&gt;&lt;wsp:rsid wsp:val=&quot;00451255&quot;/&gt;&lt;wsp:rsid wsp:val=&quot;00451744&quot;/&gt;&lt;wsp:rsid wsp:val=&quot;00451C6F&quot;/&gt;&lt;wsp:rsid wsp:val=&quot;00451EE4&quot;/&gt;&lt;wsp:rsid wsp:val=&quot;004524AA&quot;/&gt;&lt;wsp:rsid wsp:val=&quot;004524AB&quot;/&gt;&lt;wsp:rsid wsp:val=&quot;0045280C&quot;/&gt;&lt;wsp:rsid wsp:val=&quot;00452880&quot;/&gt;&lt;wsp:rsid wsp:val=&quot;00452C8D&quot;/&gt;&lt;wsp:rsid wsp:val=&quot;0045363F&quot;/&gt;&lt;wsp:rsid wsp:val=&quot;004536AD&quot;/&gt;&lt;wsp:rsid wsp:val=&quot;00453D53&quot;/&gt;&lt;wsp:rsid wsp:val=&quot;00453D60&quot;/&gt;&lt;wsp:rsid wsp:val=&quot;00453E18&quot;/&gt;&lt;wsp:rsid wsp:val=&quot;00454D90&quot;/&gt;&lt;wsp:rsid wsp:val=&quot;00454F1E&quot;/&gt;&lt;wsp:rsid wsp:val=&quot;00454FAC&quot;/&gt;&lt;wsp:rsid wsp:val=&quot;0045608C&quot;/&gt;&lt;wsp:rsid wsp:val=&quot;0045692A&quot;/&gt;&lt;wsp:rsid wsp:val=&quot;004575C7&quot;/&gt;&lt;wsp:rsid wsp:val=&quot;00457665&quot;/&gt;&lt;wsp:rsid wsp:val=&quot;0045796B&quot;/&gt;&lt;wsp:rsid wsp:val=&quot;00457A92&quot;/&gt;&lt;wsp:rsid wsp:val=&quot;00457CDA&quot;/&gt;&lt;wsp:rsid wsp:val=&quot;0046014C&quot;/&gt;&lt;wsp:rsid wsp:val=&quot;004607BD&quot;/&gt;&lt;wsp:rsid wsp:val=&quot;00460D0D&quot;/&gt;&lt;wsp:rsid wsp:val=&quot;00461029&quot;/&gt;&lt;wsp:rsid wsp:val=&quot;00461236&quot;/&gt;&lt;wsp:rsid wsp:val=&quot;00461543&quot;/&gt;&lt;wsp:rsid wsp:val=&quot;004619CC&quot;/&gt;&lt;wsp:rsid wsp:val=&quot;00461DA9&quot;/&gt;&lt;wsp:rsid wsp:val=&quot;00462293&quot;/&gt;&lt;wsp:rsid wsp:val=&quot;00462798&quot;/&gt;&lt;wsp:rsid wsp:val=&quot;00462ADB&quot;/&gt;&lt;wsp:rsid wsp:val=&quot;00462B19&quot;/&gt;&lt;wsp:rsid wsp:val=&quot;00462B49&quot;/&gt;&lt;wsp:rsid wsp:val=&quot;0046304A&quot;/&gt;&lt;wsp:rsid wsp:val=&quot;004634B4&quot;/&gt;&lt;wsp:rsid wsp:val=&quot;00463504&quot;/&gt;&lt;wsp:rsid wsp:val=&quot;00463561&quot;/&gt;&lt;wsp:rsid wsp:val=&quot;00463929&quot;/&gt;&lt;wsp:rsid wsp:val=&quot;00463A15&quot;/&gt;&lt;wsp:rsid wsp:val=&quot;00463D30&quot;/&gt;&lt;wsp:rsid wsp:val=&quot;0046400F&quot;/&gt;&lt;wsp:rsid wsp:val=&quot;004649F7&quot;/&gt;&lt;wsp:rsid wsp:val=&quot;00465139&quot;/&gt;&lt;wsp:rsid wsp:val=&quot;00465365&quot;/&gt;&lt;wsp:rsid wsp:val=&quot;004653E2&quot;/&gt;&lt;wsp:rsid wsp:val=&quot;00465595&quot;/&gt;&lt;wsp:rsid wsp:val=&quot;0046575D&quot;/&gt;&lt;wsp:rsid wsp:val=&quot;00465AD5&quot;/&gt;&lt;wsp:rsid wsp:val=&quot;00465D29&quot;/&gt;&lt;wsp:rsid wsp:val=&quot;00465ED2&quot;/&gt;&lt;wsp:rsid wsp:val=&quot;00466B98&quot;/&gt;&lt;wsp:rsid wsp:val=&quot;00466E13&quot;/&gt;&lt;wsp:rsid wsp:val=&quot;00466F51&quot;/&gt;&lt;wsp:rsid wsp:val=&quot;00466FA2&quot;/&gt;&lt;wsp:rsid wsp:val=&quot;004673C0&quot;/&gt;&lt;wsp:rsid wsp:val=&quot;0046777A&quot;/&gt;&lt;wsp:rsid wsp:val=&quot;00467E53&quot;/&gt;&lt;wsp:rsid wsp:val=&quot;004702FC&quot;/&gt;&lt;wsp:rsid wsp:val=&quot;00470765&quot;/&gt;&lt;wsp:rsid wsp:val=&quot;00470970&quot;/&gt;&lt;wsp:rsid wsp:val=&quot;00471355&quot;/&gt;&lt;wsp:rsid wsp:val=&quot;004713E2&quot;/&gt;&lt;wsp:rsid wsp:val=&quot;00471A7E&quot;/&gt;&lt;wsp:rsid wsp:val=&quot;00471B18&quot;/&gt;&lt;wsp:rsid wsp:val=&quot;004723A4&quot;/&gt;&lt;wsp:rsid wsp:val=&quot;00472806&quot;/&gt;&lt;wsp:rsid wsp:val=&quot;00472ABB&quot;/&gt;&lt;wsp:rsid wsp:val=&quot;004734E8&quot;/&gt;&lt;wsp:rsid wsp:val=&quot;00473A78&quot;/&gt;&lt;wsp:rsid wsp:val=&quot;00473DF8&quot;/&gt;&lt;wsp:rsid wsp:val=&quot;00473EB5&quot;/&gt;&lt;wsp:rsid wsp:val=&quot;00475199&quot;/&gt;&lt;wsp:rsid wsp:val=&quot;004758AB&quot;/&gt;&lt;wsp:rsid wsp:val=&quot;00475A54&quot;/&gt;&lt;wsp:rsid wsp:val=&quot;00475D31&quot;/&gt;&lt;wsp:rsid wsp:val=&quot;004764D1&quot;/&gt;&lt;wsp:rsid wsp:val=&quot;00476771&quot;/&gt;&lt;wsp:rsid wsp:val=&quot;0047688F&quot;/&gt;&lt;wsp:rsid wsp:val=&quot;00476AF1&quot;/&gt;&lt;wsp:rsid wsp:val=&quot;00476C5A&quot;/&gt;&lt;wsp:rsid wsp:val=&quot;00476D0A&quot;/&gt;&lt;wsp:rsid wsp:val=&quot;00477364&quot;/&gt;&lt;wsp:rsid wsp:val=&quot;004779F7&quot;/&gt;&lt;wsp:rsid wsp:val=&quot;00477ACD&quot;/&gt;&lt;wsp:rsid wsp:val=&quot;00477B16&quot;/&gt;&lt;wsp:rsid wsp:val=&quot;0048031E&quot;/&gt;&lt;wsp:rsid wsp:val=&quot;004810E1&quot;/&gt;&lt;wsp:rsid wsp:val=&quot;00481152&quot;/&gt;&lt;wsp:rsid wsp:val=&quot;00481281&quot;/&gt;&lt;wsp:rsid wsp:val=&quot;0048197A&quot;/&gt;&lt;wsp:rsid wsp:val=&quot;004823F3&quot;/&gt;&lt;wsp:rsid wsp:val=&quot;00482681&quot;/&gt;&lt;wsp:rsid wsp:val=&quot;00482718&quot;/&gt;&lt;wsp:rsid wsp:val=&quot;004829EE&quot;/&gt;&lt;wsp:rsid wsp:val=&quot;0048317A&quot;/&gt;&lt;wsp:rsid wsp:val=&quot;00483263&quot;/&gt;&lt;wsp:rsid wsp:val=&quot;004833F9&quot;/&gt;&lt;wsp:rsid wsp:val=&quot;00483501&quot;/&gt;&lt;wsp:rsid wsp:val=&quot;00483566&quot;/&gt;&lt;wsp:rsid wsp:val=&quot;0048388E&quot;/&gt;&lt;wsp:rsid wsp:val=&quot;00483CE8&quot;/&gt;&lt;wsp:rsid wsp:val=&quot;004842BA&quot;/&gt;&lt;wsp:rsid wsp:val=&quot;00484408&quot;/&gt;&lt;wsp:rsid wsp:val=&quot;004846AA&quot;/&gt;&lt;wsp:rsid wsp:val=&quot;00484A66&quot;/&gt;&lt;wsp:rsid wsp:val=&quot;00484AB5&quot;/&gt;&lt;wsp:rsid wsp:val=&quot;00484DE9&quot;/&gt;&lt;wsp:rsid wsp:val=&quot;00485487&quot;/&gt;&lt;wsp:rsid wsp:val=&quot;00485CB8&quot;/&gt;&lt;wsp:rsid wsp:val=&quot;00485F09&quot;/&gt;&lt;wsp:rsid wsp:val=&quot;00485F0D&quot;/&gt;&lt;wsp:rsid wsp:val=&quot;0048618B&quot;/&gt;&lt;wsp:rsid wsp:val=&quot;004862AA&quot;/&gt;&lt;wsp:rsid wsp:val=&quot;00486356&quot;/&gt;&lt;wsp:rsid wsp:val=&quot;004866AD&quot;/&gt;&lt;wsp:rsid wsp:val=&quot;004867DD&quot;/&gt;&lt;wsp:rsid wsp:val=&quot;00486AD0&quot;/&gt;&lt;wsp:rsid wsp:val=&quot;00487522&quot;/&gt;&lt;wsp:rsid wsp:val=&quot;0049000B&quot;/&gt;&lt;wsp:rsid wsp:val=&quot;00490441&quot;/&gt;&lt;wsp:rsid wsp:val=&quot;00490484&quot;/&gt;&lt;wsp:rsid wsp:val=&quot;00490623&quot;/&gt;&lt;wsp:rsid wsp:val=&quot;004907EA&quot;/&gt;&lt;wsp:rsid wsp:val=&quot;00491CDA&quot;/&gt;&lt;wsp:rsid wsp:val=&quot;00492703&quot;/&gt;&lt;wsp:rsid wsp:val=&quot;004927E1&quot;/&gt;&lt;wsp:rsid wsp:val=&quot;00492D91&quot;/&gt;&lt;wsp:rsid wsp:val=&quot;004930A9&quot;/&gt;&lt;wsp:rsid wsp:val=&quot;00493387&quot;/&gt;&lt;wsp:rsid wsp:val=&quot;0049428B&quot;/&gt;&lt;wsp:rsid wsp:val=&quot;004946B6&quot;/&gt;&lt;wsp:rsid wsp:val=&quot;00494A65&quot;/&gt;&lt;wsp:rsid wsp:val=&quot;004956E6&quot;/&gt;&lt;wsp:rsid wsp:val=&quot;00495ABD&quot;/&gt;&lt;wsp:rsid wsp:val=&quot;00495F9B&quot;/&gt;&lt;wsp:rsid wsp:val=&quot;004963E7&quot;/&gt;&lt;wsp:rsid wsp:val=&quot;00496A96&quot;/&gt;&lt;wsp:rsid wsp:val=&quot;00496BA8&quot;/&gt;&lt;wsp:rsid wsp:val=&quot;00496D0B&quot;/&gt;&lt;wsp:rsid wsp:val=&quot;0049727F&quot;/&gt;&lt;wsp:rsid wsp:val=&quot;0049746B&quot;/&gt;&lt;wsp:rsid wsp:val=&quot;00497AE2&quot;/&gt;&lt;wsp:rsid wsp:val=&quot;004A0094&quot;/&gt;&lt;wsp:rsid wsp:val=&quot;004A01EC&quot;/&gt;&lt;wsp:rsid wsp:val=&quot;004A0756&quot;/&gt;&lt;wsp:rsid wsp:val=&quot;004A076C&quot;/&gt;&lt;wsp:rsid wsp:val=&quot;004A145B&quot;/&gt;&lt;wsp:rsid wsp:val=&quot;004A14DF&quot;/&gt;&lt;wsp:rsid wsp:val=&quot;004A1978&quot;/&gt;&lt;wsp:rsid wsp:val=&quot;004A1A75&quot;/&gt;&lt;wsp:rsid wsp:val=&quot;004A2234&quot;/&gt;&lt;wsp:rsid wsp:val=&quot;004A26D0&quot;/&gt;&lt;wsp:rsid wsp:val=&quot;004A2947&quot;/&gt;&lt;wsp:rsid wsp:val=&quot;004A295B&quot;/&gt;&lt;wsp:rsid wsp:val=&quot;004A2F95&quot;/&gt;&lt;wsp:rsid wsp:val=&quot;004A35DD&quot;/&gt;&lt;wsp:rsid wsp:val=&quot;004A3A0B&quot;/&gt;&lt;wsp:rsid wsp:val=&quot;004A42CA&quot;/&gt;&lt;wsp:rsid wsp:val=&quot;004A47EE&quot;/&gt;&lt;wsp:rsid wsp:val=&quot;004A4EB8&quot;/&gt;&lt;wsp:rsid wsp:val=&quot;004A4F64&quot;/&gt;&lt;wsp:rsid wsp:val=&quot;004A55C8&quot;/&gt;&lt;wsp:rsid wsp:val=&quot;004A5620&quot;/&gt;&lt;wsp:rsid wsp:val=&quot;004A57C4&quot;/&gt;&lt;wsp:rsid wsp:val=&quot;004A5EE8&quot;/&gt;&lt;wsp:rsid wsp:val=&quot;004A5F83&quot;/&gt;&lt;wsp:rsid wsp:val=&quot;004A6E01&quot;/&gt;&lt;wsp:rsid wsp:val=&quot;004A704E&quot;/&gt;&lt;wsp:rsid wsp:val=&quot;004A775E&quot;/&gt;&lt;wsp:rsid wsp:val=&quot;004A77C1&quot;/&gt;&lt;wsp:rsid wsp:val=&quot;004B0414&quot;/&gt;&lt;wsp:rsid wsp:val=&quot;004B0911&quot;/&gt;&lt;wsp:rsid wsp:val=&quot;004B0B74&quot;/&gt;&lt;wsp:rsid wsp:val=&quot;004B0E9E&quot;/&gt;&lt;wsp:rsid wsp:val=&quot;004B0EA4&quot;/&gt;&lt;wsp:rsid wsp:val=&quot;004B20C4&quot;/&gt;&lt;wsp:rsid wsp:val=&quot;004B2516&quot;/&gt;&lt;wsp:rsid wsp:val=&quot;004B26EA&quot;/&gt;&lt;wsp:rsid wsp:val=&quot;004B2C32&quot;/&gt;&lt;wsp:rsid wsp:val=&quot;004B318F&quot;/&gt;&lt;wsp:rsid wsp:val=&quot;004B35F2&quot;/&gt;&lt;wsp:rsid wsp:val=&quot;004B379F&quot;/&gt;&lt;wsp:rsid wsp:val=&quot;004B383E&quot;/&gt;&lt;wsp:rsid wsp:val=&quot;004B3B88&quot;/&gt;&lt;wsp:rsid wsp:val=&quot;004B41F8&quot;/&gt;&lt;wsp:rsid wsp:val=&quot;004B44FB&quot;/&gt;&lt;wsp:rsid wsp:val=&quot;004B4633&quot;/&gt;&lt;wsp:rsid wsp:val=&quot;004B4AAC&quot;/&gt;&lt;wsp:rsid wsp:val=&quot;004B5012&quot;/&gt;&lt;wsp:rsid wsp:val=&quot;004B50D4&quot;/&gt;&lt;wsp:rsid wsp:val=&quot;004B50E4&quot;/&gt;&lt;wsp:rsid wsp:val=&quot;004B565B&quot;/&gt;&lt;wsp:rsid wsp:val=&quot;004B5771&quot;/&gt;&lt;wsp:rsid wsp:val=&quot;004B6183&quot;/&gt;&lt;wsp:rsid wsp:val=&quot;004B6226&quot;/&gt;&lt;wsp:rsid wsp:val=&quot;004B6F7B&quot;/&gt;&lt;wsp:rsid wsp:val=&quot;004B710C&quot;/&gt;&lt;wsp:rsid wsp:val=&quot;004B769F&quot;/&gt;&lt;wsp:rsid wsp:val=&quot;004B79C8&quot;/&gt;&lt;wsp:rsid wsp:val=&quot;004B7B4E&quot;/&gt;&lt;wsp:rsid wsp:val=&quot;004B7F89&quot;/&gt;&lt;wsp:rsid wsp:val=&quot;004B7FC4&quot;/&gt;&lt;wsp:rsid wsp:val=&quot;004C0205&quot;/&gt;&lt;wsp:rsid wsp:val=&quot;004C05B7&quot;/&gt;&lt;wsp:rsid wsp:val=&quot;004C06DD&quot;/&gt;&lt;wsp:rsid wsp:val=&quot;004C0873&quot;/&gt;&lt;wsp:rsid wsp:val=&quot;004C09CB&quot;/&gt;&lt;wsp:rsid wsp:val=&quot;004C0B23&quot;/&gt;&lt;wsp:rsid wsp:val=&quot;004C0EEA&quot;/&gt;&lt;wsp:rsid wsp:val=&quot;004C0FC1&quot;/&gt;&lt;wsp:rsid wsp:val=&quot;004C1286&quot;/&gt;&lt;wsp:rsid wsp:val=&quot;004C157D&quot;/&gt;&lt;wsp:rsid wsp:val=&quot;004C17AA&quot;/&gt;&lt;wsp:rsid wsp:val=&quot;004C21B4&quot;/&gt;&lt;wsp:rsid wsp:val=&quot;004C29DD&quot;/&gt;&lt;wsp:rsid wsp:val=&quot;004C2D9F&quot;/&gt;&lt;wsp:rsid wsp:val=&quot;004C30F1&quot;/&gt;&lt;wsp:rsid wsp:val=&quot;004C3224&quot;/&gt;&lt;wsp:rsid wsp:val=&quot;004C3756&quot;/&gt;&lt;wsp:rsid wsp:val=&quot;004C3994&quot;/&gt;&lt;wsp:rsid wsp:val=&quot;004C430B&quot;/&gt;&lt;wsp:rsid wsp:val=&quot;004C4648&quot;/&gt;&lt;wsp:rsid wsp:val=&quot;004C4837&quot;/&gt;&lt;wsp:rsid wsp:val=&quot;004C49F8&quot;/&gt;&lt;wsp:rsid wsp:val=&quot;004C4A84&quot;/&gt;&lt;wsp:rsid wsp:val=&quot;004C5203&quot;/&gt;&lt;wsp:rsid wsp:val=&quot;004C5E09&quot;/&gt;&lt;wsp:rsid wsp:val=&quot;004C5E1C&quot;/&gt;&lt;wsp:rsid wsp:val=&quot;004C6033&quot;/&gt;&lt;wsp:rsid wsp:val=&quot;004C6EC4&quot;/&gt;&lt;wsp:rsid wsp:val=&quot;004C6F64&quot;/&gt;&lt;wsp:rsid wsp:val=&quot;004C7873&quot;/&gt;&lt;wsp:rsid wsp:val=&quot;004C7E44&quot;/&gt;&lt;wsp:rsid wsp:val=&quot;004D026F&quot;/&gt;&lt;wsp:rsid wsp:val=&quot;004D0396&quot;/&gt;&lt;wsp:rsid wsp:val=&quot;004D084D&quot;/&gt;&lt;wsp:rsid wsp:val=&quot;004D138E&quot;/&gt;&lt;wsp:rsid wsp:val=&quot;004D1B28&quot;/&gt;&lt;wsp:rsid wsp:val=&quot;004D1DFA&quot;/&gt;&lt;wsp:rsid wsp:val=&quot;004D2AE7&quot;/&gt;&lt;wsp:rsid wsp:val=&quot;004D2EDA&quot;/&gt;&lt;wsp:rsid wsp:val=&quot;004D3490&quot;/&gt;&lt;wsp:rsid wsp:val=&quot;004D363F&quot;/&gt;&lt;wsp:rsid wsp:val=&quot;004D3E14&quot;/&gt;&lt;wsp:rsid wsp:val=&quot;004D401D&quot;/&gt;&lt;wsp:rsid wsp:val=&quot;004D469F&quot;/&gt;&lt;wsp:rsid wsp:val=&quot;004D49B5&quot;/&gt;&lt;wsp:rsid wsp:val=&quot;004D5903&quot;/&gt;&lt;wsp:rsid wsp:val=&quot;004D5B7D&quot;/&gt;&lt;wsp:rsid wsp:val=&quot;004D5E0E&quot;/&gt;&lt;wsp:rsid wsp:val=&quot;004D5F54&quot;/&gt;&lt;wsp:rsid wsp:val=&quot;004D6517&quot;/&gt;&lt;wsp:rsid wsp:val=&quot;004D6817&quot;/&gt;&lt;wsp:rsid wsp:val=&quot;004D68B0&quot;/&gt;&lt;wsp:rsid wsp:val=&quot;004D6945&quot;/&gt;&lt;wsp:rsid wsp:val=&quot;004D6A97&quot;/&gt;&lt;wsp:rsid wsp:val=&quot;004D706D&quot;/&gt;&lt;wsp:rsid wsp:val=&quot;004D7638&quot;/&gt;&lt;wsp:rsid wsp:val=&quot;004E0169&quot;/&gt;&lt;wsp:rsid wsp:val=&quot;004E0422&quot;/&gt;&lt;wsp:rsid wsp:val=&quot;004E0447&quot;/&gt;&lt;wsp:rsid wsp:val=&quot;004E0717&quot;/&gt;&lt;wsp:rsid wsp:val=&quot;004E0832&quot;/&gt;&lt;wsp:rsid wsp:val=&quot;004E08C1&quot;/&gt;&lt;wsp:rsid wsp:val=&quot;004E0D19&quot;/&gt;&lt;wsp:rsid wsp:val=&quot;004E0DA8&quot;/&gt;&lt;wsp:rsid wsp:val=&quot;004E0F0D&quot;/&gt;&lt;wsp:rsid wsp:val=&quot;004E1368&quot;/&gt;&lt;wsp:rsid wsp:val=&quot;004E14B9&quot;/&gt;&lt;wsp:rsid wsp:val=&quot;004E17AB&quot;/&gt;&lt;wsp:rsid wsp:val=&quot;004E17CE&quot;/&gt;&lt;wsp:rsid wsp:val=&quot;004E19B3&quot;/&gt;&lt;wsp:rsid wsp:val=&quot;004E1C8A&quot;/&gt;&lt;wsp:rsid wsp:val=&quot;004E2107&quot;/&gt;&lt;wsp:rsid wsp:val=&quot;004E2744&quot;/&gt;&lt;wsp:rsid wsp:val=&quot;004E2787&quot;/&gt;&lt;wsp:rsid wsp:val=&quot;004E2E2D&quot;/&gt;&lt;wsp:rsid wsp:val=&quot;004E3174&quot;/&gt;&lt;wsp:rsid wsp:val=&quot;004E34E1&quot;/&gt;&lt;wsp:rsid wsp:val=&quot;004E4054&quot;/&gt;&lt;wsp:rsid wsp:val=&quot;004E4C7F&quot;/&gt;&lt;wsp:rsid wsp:val=&quot;004E4D16&quot;/&gt;&lt;wsp:rsid wsp:val=&quot;004E571C&quot;/&gt;&lt;wsp:rsid wsp:val=&quot;004E5DE2&quot;/&gt;&lt;wsp:rsid wsp:val=&quot;004E6225&quot;/&gt;&lt;wsp:rsid wsp:val=&quot;004E63D8&quot;/&gt;&lt;wsp:rsid wsp:val=&quot;004E676C&quot;/&gt;&lt;wsp:rsid wsp:val=&quot;004E6B09&quot;/&gt;&lt;wsp:rsid wsp:val=&quot;004E7E57&quot;/&gt;&lt;wsp:rsid wsp:val=&quot;004E7EE9&quot;/&gt;&lt;wsp:rsid wsp:val=&quot;004F04C6&quot;/&gt;&lt;wsp:rsid wsp:val=&quot;004F128F&quot;/&gt;&lt;wsp:rsid wsp:val=&quot;004F1535&quot;/&gt;&lt;wsp:rsid wsp:val=&quot;004F1CBC&quot;/&gt;&lt;wsp:rsid wsp:val=&quot;004F229D&quot;/&gt;&lt;wsp:rsid wsp:val=&quot;004F28D3&quot;/&gt;&lt;wsp:rsid wsp:val=&quot;004F2DA5&quot;/&gt;&lt;wsp:rsid wsp:val=&quot;004F304E&quot;/&gt;&lt;wsp:rsid wsp:val=&quot;004F396E&quot;/&gt;&lt;wsp:rsid wsp:val=&quot;004F3B0A&quot;/&gt;&lt;wsp:rsid wsp:val=&quot;004F3D7E&quot;/&gt;&lt;wsp:rsid wsp:val=&quot;004F45DC&quot;/&gt;&lt;wsp:rsid wsp:val=&quot;004F4761&quot;/&gt;&lt;wsp:rsid wsp:val=&quot;004F4BB8&quot;/&gt;&lt;wsp:rsid wsp:val=&quot;004F4DD3&quot;/&gt;&lt;wsp:rsid wsp:val=&quot;004F51F0&quot;/&gt;&lt;wsp:rsid wsp:val=&quot;004F52A1&quot;/&gt;&lt;wsp:rsid wsp:val=&quot;004F565E&quot;/&gt;&lt;wsp:rsid wsp:val=&quot;004F64D9&quot;/&gt;&lt;wsp:rsid wsp:val=&quot;004F6683&quot;/&gt;&lt;wsp:rsid wsp:val=&quot;004F67C7&quot;/&gt;&lt;wsp:rsid wsp:val=&quot;004F67E8&quot;/&gt;&lt;wsp:rsid wsp:val=&quot;004F69BE&quot;/&gt;&lt;wsp:rsid wsp:val=&quot;004F6A6F&quot;/&gt;&lt;wsp:rsid wsp:val=&quot;004F6BC4&quot;/&gt;&lt;wsp:rsid wsp:val=&quot;004F7188&quot;/&gt;&lt;wsp:rsid wsp:val=&quot;004F7337&quot;/&gt;&lt;wsp:rsid wsp:val=&quot;004F734E&quot;/&gt;&lt;wsp:rsid wsp:val=&quot;004F7525&quot;/&gt;&lt;wsp:rsid wsp:val=&quot;004F7F67&quot;/&gt;&lt;wsp:rsid wsp:val=&quot;005000B9&quot;/&gt;&lt;wsp:rsid wsp:val=&quot;00500673&quot;/&gt;&lt;wsp:rsid wsp:val=&quot;00500A0D&quot;/&gt;&lt;wsp:rsid wsp:val=&quot;00501591&quot;/&gt;&lt;wsp:rsid wsp:val=&quot;005018B8&quot;/&gt;&lt;wsp:rsid wsp:val=&quot;00501A86&quot;/&gt;&lt;wsp:rsid wsp:val=&quot;00501C97&quot;/&gt;&lt;wsp:rsid wsp:val=&quot;005029F1&quot;/&gt;&lt;wsp:rsid wsp:val=&quot;00503389&quot;/&gt;&lt;wsp:rsid wsp:val=&quot;005034A7&quot;/&gt;&lt;wsp:rsid wsp:val=&quot;00504578&quot;/&gt;&lt;wsp:rsid wsp:val=&quot;005046E1&quot;/&gt;&lt;wsp:rsid wsp:val=&quot;005049B5&quot;/&gt;&lt;wsp:rsid wsp:val=&quot;00504BCC&quot;/&gt;&lt;wsp:rsid wsp:val=&quot;005052FF&quot;/&gt;&lt;wsp:rsid wsp:val=&quot;0050544B&quot;/&gt;&lt;wsp:rsid wsp:val=&quot;005057A4&quot;/&gt;&lt;wsp:rsid wsp:val=&quot;00505992&quot;/&gt;&lt;wsp:rsid wsp:val=&quot;00505C46&quot;/&gt;&lt;wsp:rsid wsp:val=&quot;005066BE&quot;/&gt;&lt;wsp:rsid wsp:val=&quot;00506852&quot;/&gt;&lt;wsp:rsid wsp:val=&quot;00506913&quot;/&gt;&lt;wsp:rsid wsp:val=&quot;00506ABB&quot;/&gt;&lt;wsp:rsid wsp:val=&quot;00506FDE&quot;/&gt;&lt;wsp:rsid wsp:val=&quot;00507686&quot;/&gt;&lt;wsp:rsid wsp:val=&quot;00507C7E&quot;/&gt;&lt;wsp:rsid wsp:val=&quot;00507E65&quot;/&gt;&lt;wsp:rsid wsp:val=&quot;00510028&quot;/&gt;&lt;wsp:rsid wsp:val=&quot;00510685&quot;/&gt;&lt;wsp:rsid wsp:val=&quot;00510A02&quot;/&gt;&lt;wsp:rsid wsp:val=&quot;00511421&quot;/&gt;&lt;wsp:rsid wsp:val=&quot;00511485&quot;/&gt;&lt;wsp:rsid wsp:val=&quot;00511503&quot;/&gt;&lt;wsp:rsid wsp:val=&quot;00511690&quot;/&gt;&lt;wsp:rsid wsp:val=&quot;005116D5&quot;/&gt;&lt;wsp:rsid wsp:val=&quot;0051198C&quot;/&gt;&lt;wsp:rsid wsp:val=&quot;00511EA7&quot;/&gt;&lt;wsp:rsid wsp:val=&quot;00511FBB&quot;/&gt;&lt;wsp:rsid wsp:val=&quot;00511FCE&quot;/&gt;&lt;wsp:rsid wsp:val=&quot;0051234A&quot;/&gt;&lt;wsp:rsid wsp:val=&quot;00512BB6&quot;/&gt;&lt;wsp:rsid wsp:val=&quot;00512FD8&quot;/&gt;&lt;wsp:rsid wsp:val=&quot;00513324&quot;/&gt;&lt;wsp:rsid wsp:val=&quot;0051374C&quot;/&gt;&lt;wsp:rsid wsp:val=&quot;0051383D&quot;/&gt;&lt;wsp:rsid wsp:val=&quot;00513FA4&quot;/&gt;&lt;wsp:rsid wsp:val=&quot;00514400&quot;/&gt;&lt;wsp:rsid wsp:val=&quot;00514D4E&quot;/&gt;&lt;wsp:rsid wsp:val=&quot;005154E4&quot;/&gt;&lt;wsp:rsid wsp:val=&quot;005155FA&quot;/&gt;&lt;wsp:rsid wsp:val=&quot;00515ADA&quot;/&gt;&lt;wsp:rsid wsp:val=&quot;00515D2C&quot;/&gt;&lt;wsp:rsid wsp:val=&quot;00515D4C&quot;/&gt;&lt;wsp:rsid wsp:val=&quot;005160D8&quot;/&gt;&lt;wsp:rsid wsp:val=&quot;005161B6&quot;/&gt;&lt;wsp:rsid wsp:val=&quot;005163DF&quot;/&gt;&lt;wsp:rsid wsp:val=&quot;00516DF1&quot;/&gt;&lt;wsp:rsid wsp:val=&quot;00517152&quot;/&gt;&lt;wsp:rsid wsp:val=&quot;005172DF&quot;/&gt;&lt;wsp:rsid wsp:val=&quot;005177AA&quot;/&gt;&lt;wsp:rsid wsp:val=&quot;0052006D&quot;/&gt;&lt;wsp:rsid wsp:val=&quot;005201C2&quot;/&gt;&lt;wsp:rsid wsp:val=&quot;00520351&quot;/&gt;&lt;wsp:rsid wsp:val=&quot;00520ADC&quot;/&gt;&lt;wsp:rsid wsp:val=&quot;005210BA&quot;/&gt;&lt;wsp:rsid wsp:val=&quot;005217D0&quot;/&gt;&lt;wsp:rsid wsp:val=&quot;00521889&quot;/&gt;&lt;wsp:rsid wsp:val=&quot;00521B4E&quot;/&gt;&lt;wsp:rsid wsp:val=&quot;005220FF&quot;/&gt;&lt;wsp:rsid wsp:val=&quot;00522530&quot;/&gt;&lt;wsp:rsid wsp:val=&quot;0052265C&quot;/&gt;&lt;wsp:rsid wsp:val=&quot;00522AC2&quot;/&gt;&lt;wsp:rsid wsp:val=&quot;00522B68&quot;/&gt;&lt;wsp:rsid wsp:val=&quot;00522E96&quot;/&gt;&lt;wsp:rsid wsp:val=&quot;00522F01&quot;/&gt;&lt;wsp:rsid wsp:val=&quot;0052306E&quot;/&gt;&lt;wsp:rsid wsp:val=&quot;00523087&quot;/&gt;&lt;wsp:rsid wsp:val=&quot;005232B4&quot;/&gt;&lt;wsp:rsid wsp:val=&quot;00523897&quot;/&gt;&lt;wsp:rsid wsp:val=&quot;005238B7&quot;/&gt;&lt;wsp:rsid wsp:val=&quot;00523F9C&quot;/&gt;&lt;wsp:rsid wsp:val=&quot;00523FE9&quot;/&gt;&lt;wsp:rsid wsp:val=&quot;00524F9F&quot;/&gt;&lt;wsp:rsid wsp:val=&quot;00524FB5&quot;/&gt;&lt;wsp:rsid wsp:val=&quot;005250B5&quot;/&gt;&lt;wsp:rsid wsp:val=&quot;00525355&quot;/&gt;&lt;wsp:rsid wsp:val=&quot;00525772&quot;/&gt;&lt;wsp:rsid wsp:val=&quot;00525F53&quot;/&gt;&lt;wsp:rsid wsp:val=&quot;0052645A&quot;/&gt;&lt;wsp:rsid wsp:val=&quot;005269D2&quot;/&gt;&lt;wsp:rsid wsp:val=&quot;00526A8F&quot;/&gt;&lt;wsp:rsid wsp:val=&quot;00526EB2&quot;/&gt;&lt;wsp:rsid wsp:val=&quot;00526FFB&quot;/&gt;&lt;wsp:rsid wsp:val=&quot;00527045&quot;/&gt;&lt;wsp:rsid wsp:val=&quot;0052715F&quot;/&gt;&lt;wsp:rsid wsp:val=&quot;00527837&quot;/&gt;&lt;wsp:rsid wsp:val=&quot;005278BC&quot;/&gt;&lt;wsp:rsid wsp:val=&quot;00527F76&quot;/&gt;&lt;wsp:rsid wsp:val=&quot;00527F7A&quot;/&gt;&lt;wsp:rsid wsp:val=&quot;00530415&quot;/&gt;&lt;wsp:rsid wsp:val=&quot;00530898&quot;/&gt;&lt;wsp:rsid wsp:val=&quot;00530B3C&quot;/&gt;&lt;wsp:rsid wsp:val=&quot;00531061&quot;/&gt;&lt;wsp:rsid wsp:val=&quot;005318C5&quot;/&gt;&lt;wsp:rsid wsp:val=&quot;00531A3B&quot;/&gt;&lt;wsp:rsid wsp:val=&quot;005327D2&quot;/&gt;&lt;wsp:rsid wsp:val=&quot;00532C13&quot;/&gt;&lt;wsp:rsid wsp:val=&quot;00533370&quot;/&gt;&lt;wsp:rsid wsp:val=&quot;00534107&quot;/&gt;&lt;wsp:rsid wsp:val=&quot;0053539C&quot;/&gt;&lt;wsp:rsid wsp:val=&quot;005354BA&quot;/&gt;&lt;wsp:rsid wsp:val=&quot;00535532&quot;/&gt;&lt;wsp:rsid wsp:val=&quot;00535E42&quot;/&gt;&lt;wsp:rsid wsp:val=&quot;00536268&quot;/&gt;&lt;wsp:rsid wsp:val=&quot;005362D8&quot;/&gt;&lt;wsp:rsid wsp:val=&quot;00536350&quot;/&gt;&lt;wsp:rsid wsp:val=&quot;00536761&quot;/&gt;&lt;wsp:rsid wsp:val=&quot;00537367&quot;/&gt;&lt;wsp:rsid wsp:val=&quot;0053769F&quot;/&gt;&lt;wsp:rsid wsp:val=&quot;005376F7&quot;/&gt;&lt;wsp:rsid wsp:val=&quot;00537FEA&quot;/&gt;&lt;wsp:rsid wsp:val=&quot;00540021&quot;/&gt;&lt;wsp:rsid wsp:val=&quot;00540ED3&quot;/&gt;&lt;wsp:rsid wsp:val=&quot;00540F86&quot;/&gt;&lt;wsp:rsid wsp:val=&quot;00540FA6&quot;/&gt;&lt;wsp:rsid wsp:val=&quot;005415A9&quot;/&gt;&lt;wsp:rsid wsp:val=&quot;0054187E&quot;/&gt;&lt;wsp:rsid wsp:val=&quot;00541974&quot;/&gt;&lt;wsp:rsid wsp:val=&quot;005419B7&quot;/&gt;&lt;wsp:rsid wsp:val=&quot;00541BA3&quot;/&gt;&lt;wsp:rsid wsp:val=&quot;00541BFF&quot;/&gt;&lt;wsp:rsid wsp:val=&quot;00541E07&quot;/&gt;&lt;wsp:rsid wsp:val=&quot;005420FB&quot;/&gt;&lt;wsp:rsid wsp:val=&quot;005427D9&quot;/&gt;&lt;wsp:rsid wsp:val=&quot;005429F0&quot;/&gt;&lt;wsp:rsid wsp:val=&quot;00542C94&quot;/&gt;&lt;wsp:rsid wsp:val=&quot;0054313E&quot;/&gt;&lt;wsp:rsid wsp:val=&quot;00543202&quot;/&gt;&lt;wsp:rsid wsp:val=&quot;0054349E&quot;/&gt;&lt;wsp:rsid wsp:val=&quot;005435FF&quot;/&gt;&lt;wsp:rsid wsp:val=&quot;00544054&quot;/&gt;&lt;wsp:rsid wsp:val=&quot;0054413A&quot;/&gt;&lt;wsp:rsid wsp:val=&quot;00544175&quot;/&gt;&lt;wsp:rsid wsp:val=&quot;00544A2D&quot;/&gt;&lt;wsp:rsid wsp:val=&quot;00544B35&quot;/&gt;&lt;wsp:rsid wsp:val=&quot;005452E9&quot;/&gt;&lt;wsp:rsid wsp:val=&quot;005455D3&quot;/&gt;&lt;wsp:rsid wsp:val=&quot;00545672&quot;/&gt;&lt;wsp:rsid wsp:val=&quot;00545B3F&quot;/&gt;&lt;wsp:rsid wsp:val=&quot;00545C7C&quot;/&gt;&lt;wsp:rsid wsp:val=&quot;005465A8&quot;/&gt;&lt;wsp:rsid wsp:val=&quot;00546DC6&quot;/&gt;&lt;wsp:rsid wsp:val=&quot;00546EB4&quot;/&gt;&lt;wsp:rsid wsp:val=&quot;00547404&quot;/&gt;&lt;wsp:rsid wsp:val=&quot;00547CE2&quot;/&gt;&lt;wsp:rsid wsp:val=&quot;00550120&quot;/&gt;&lt;wsp:rsid wsp:val=&quot;00550AC8&quot;/&gt;&lt;wsp:rsid wsp:val=&quot;00551029&quot;/&gt;&lt;wsp:rsid wsp:val=&quot;00551222&quot;/&gt;&lt;wsp:rsid wsp:val=&quot;005514AC&quot;/&gt;&lt;wsp:rsid wsp:val=&quot;0055166F&quot;/&gt;&lt;wsp:rsid wsp:val=&quot;0055172F&quot;/&gt;&lt;wsp:rsid wsp:val=&quot;0055178F&quot;/&gt;&lt;wsp:rsid wsp:val=&quot;00551B23&quot;/&gt;&lt;wsp:rsid wsp:val=&quot;00552951&quot;/&gt;&lt;wsp:rsid wsp:val=&quot;00552E12&quot;/&gt;&lt;wsp:rsid wsp:val=&quot;00553073&quot;/&gt;&lt;wsp:rsid wsp:val=&quot;00553660&quot;/&gt;&lt;wsp:rsid wsp:val=&quot;005539B7&quot;/&gt;&lt;wsp:rsid wsp:val=&quot;005546C4&quot;/&gt;&lt;wsp:rsid wsp:val=&quot;00554C03&quot;/&gt;&lt;wsp:rsid wsp:val=&quot;005552F6&quot;/&gt;&lt;wsp:rsid wsp:val=&quot;00555654&quot;/&gt;&lt;wsp:rsid wsp:val=&quot;0055588C&quot;/&gt;&lt;wsp:rsid wsp:val=&quot;00555976&quot;/&gt;&lt;wsp:rsid wsp:val=&quot;005559C9&quot;/&gt;&lt;wsp:rsid wsp:val=&quot;00555DF8&quot;/&gt;&lt;wsp:rsid wsp:val=&quot;00556014&quot;/&gt;&lt;wsp:rsid wsp:val=&quot;005562E2&quot;/&gt;&lt;wsp:rsid wsp:val=&quot;005565DB&quot;/&gt;&lt;wsp:rsid wsp:val=&quot;00556E18&quot;/&gt;&lt;wsp:rsid wsp:val=&quot;00556F27&quot;/&gt;&lt;wsp:rsid wsp:val=&quot;00556FB4&quot;/&gt;&lt;wsp:rsid wsp:val=&quot;00557513&quot;/&gt;&lt;wsp:rsid wsp:val=&quot;005577B8&quot;/&gt;&lt;wsp:rsid wsp:val=&quot;00557AD0&quot;/&gt;&lt;wsp:rsid wsp:val=&quot;00557BA8&quot;/&gt;&lt;wsp:rsid wsp:val=&quot;0056092E&quot;/&gt;&lt;wsp:rsid wsp:val=&quot;00561017&quot;/&gt;&lt;wsp:rsid wsp:val=&quot;0056167C&quot;/&gt;&lt;wsp:rsid wsp:val=&quot;00561706&quot;/&gt;&lt;wsp:rsid wsp:val=&quot;00561DA1&quot;/&gt;&lt;wsp:rsid wsp:val=&quot;00561F95&quot;/&gt;&lt;wsp:rsid wsp:val=&quot;0056285A&quot;/&gt;&lt;wsp:rsid wsp:val=&quot;00562E0B&quot;/&gt;&lt;wsp:rsid wsp:val=&quot;0056337D&quot;/&gt;&lt;wsp:rsid wsp:val=&quot;00563832&quot;/&gt;&lt;wsp:rsid wsp:val=&quot;005638F7&quot;/&gt;&lt;wsp:rsid wsp:val=&quot;00563A6B&quot;/&gt;&lt;wsp:rsid wsp:val=&quot;00563DE8&quot;/&gt;&lt;wsp:rsid wsp:val=&quot;0056411C&quot;/&gt;&lt;wsp:rsid wsp:val=&quot;00564210&quot;/&gt;&lt;wsp:rsid wsp:val=&quot;005653BB&quot;/&gt;&lt;wsp:rsid wsp:val=&quot;00565427&quot;/&gt;&lt;wsp:rsid wsp:val=&quot;0056562D&quot;/&gt;&lt;wsp:rsid wsp:val=&quot;00565883&quot;/&gt;&lt;wsp:rsid wsp:val=&quot;005662E7&quot;/&gt;&lt;wsp:rsid wsp:val=&quot;005663FA&quot;/&gt;&lt;wsp:rsid wsp:val=&quot;00566B7F&quot;/&gt;&lt;wsp:rsid wsp:val=&quot;00566C9D&quot;/&gt;&lt;wsp:rsid wsp:val=&quot;00566D0C&quot;/&gt;&lt;wsp:rsid wsp:val=&quot;00566F97&quot;/&gt;&lt;wsp:rsid wsp:val=&quot;0056761A&quot;/&gt;&lt;wsp:rsid wsp:val=&quot;00567E12&quot;/&gt;&lt;wsp:rsid wsp:val=&quot;00567F32&quot;/&gt;&lt;wsp:rsid wsp:val=&quot;00570150&quot;/&gt;&lt;wsp:rsid wsp:val=&quot;00570615&quot;/&gt;&lt;wsp:rsid wsp:val=&quot;005708C0&quot;/&gt;&lt;wsp:rsid wsp:val=&quot;005713EF&quot;/&gt;&lt;wsp:rsid wsp:val=&quot;00571C16&quot;/&gt;&lt;wsp:rsid wsp:val=&quot;00571CDC&quot;/&gt;&lt;wsp:rsid wsp:val=&quot;00572412&quot;/&gt;&lt;wsp:rsid wsp:val=&quot;005725AA&quot;/&gt;&lt;wsp:rsid wsp:val=&quot;00572C59&quot;/&gt;&lt;wsp:rsid wsp:val=&quot;005736DF&quot;/&gt;&lt;wsp:rsid wsp:val=&quot;005738C4&quot;/&gt;&lt;wsp:rsid wsp:val=&quot;0057453C&quot;/&gt;&lt;wsp:rsid wsp:val=&quot;005746A5&quot;/&gt;&lt;wsp:rsid wsp:val=&quot;00574E9F&quot;/&gt;&lt;wsp:rsid wsp:val=&quot;00574EB2&quot;/&gt;&lt;wsp:rsid wsp:val=&quot;005750FF&quot;/&gt;&lt;wsp:rsid wsp:val=&quot;00575781&quot;/&gt;&lt;wsp:rsid wsp:val=&quot;00575986&quot;/&gt;&lt;wsp:rsid wsp:val=&quot;005762FE&quot;/&gt;&lt;wsp:rsid wsp:val=&quot;005765AB&quot;/&gt;&lt;wsp:rsid wsp:val=&quot;00576679&quot;/&gt;&lt;wsp:rsid wsp:val=&quot;005766D0&quot;/&gt;&lt;wsp:rsid wsp:val=&quot;0057677F&quot;/&gt;&lt;wsp:rsid wsp:val=&quot;00576BC9&quot;/&gt;&lt;wsp:rsid wsp:val=&quot;005770B6&quot;/&gt;&lt;wsp:rsid wsp:val=&quot;00577A78&quot;/&gt;&lt;wsp:rsid wsp:val=&quot;00577E31&quot;/&gt;&lt;wsp:rsid wsp:val=&quot;0058063A&quot;/&gt;&lt;wsp:rsid wsp:val=&quot;00580E4D&quot;/&gt;&lt;wsp:rsid wsp:val=&quot;00581A0A&quot;/&gt;&lt;wsp:rsid wsp:val=&quot;00581DA5&quot;/&gt;&lt;wsp:rsid wsp:val=&quot;00581EAA&quot;/&gt;&lt;wsp:rsid wsp:val=&quot;005823CA&quot;/&gt;&lt;wsp:rsid wsp:val=&quot;0058267A&quot;/&gt;&lt;wsp:rsid wsp:val=&quot;00582928&quot;/&gt;&lt;wsp:rsid wsp:val=&quot;00582C0C&quot;/&gt;&lt;wsp:rsid wsp:val=&quot;00582D4D&quot;/&gt;&lt;wsp:rsid wsp:val=&quot;005837DF&quot;/&gt;&lt;wsp:rsid wsp:val=&quot;005838F8&quot;/&gt;&lt;wsp:rsid wsp:val=&quot;005849CA&quot;/&gt;&lt;wsp:rsid wsp:val=&quot;00584EF9&quot;/&gt;&lt;wsp:rsid wsp:val=&quot;0058500A&quot;/&gt;&lt;wsp:rsid wsp:val=&quot;00585304&quot;/&gt;&lt;wsp:rsid wsp:val=&quot;00585453&quot;/&gt;&lt;wsp:rsid wsp:val=&quot;00585765&quot;/&gt;&lt;wsp:rsid wsp:val=&quot;00585C38&quot;/&gt;&lt;wsp:rsid wsp:val=&quot;0058625F&quot;/&gt;&lt;wsp:rsid wsp:val=&quot;0058626E&quot;/&gt;&lt;wsp:rsid wsp:val=&quot;00586689&quot;/&gt;&lt;wsp:rsid wsp:val=&quot;00586DE9&quot;/&gt;&lt;wsp:rsid wsp:val=&quot;00587252&quot;/&gt;&lt;wsp:rsid wsp:val=&quot;00587373&quot;/&gt;&lt;wsp:rsid wsp:val=&quot;00587A4E&quot;/&gt;&lt;wsp:rsid wsp:val=&quot;00587C62&quot;/&gt;&lt;wsp:rsid wsp:val=&quot;00587CD8&quot;/&gt;&lt;wsp:rsid wsp:val=&quot;00587CEE&quot;/&gt;&lt;wsp:rsid wsp:val=&quot;005902D2&quot;/&gt;&lt;wsp:rsid wsp:val=&quot;00590B52&quot;/&gt;&lt;wsp:rsid wsp:val=&quot;0059103B&quot;/&gt;&lt;wsp:rsid wsp:val=&quot;0059196C&quot;/&gt;&lt;wsp:rsid wsp:val=&quot;00591C75&quot;/&gt;&lt;wsp:rsid wsp:val=&quot;005920AF&quot;/&gt;&lt;wsp:rsid wsp:val=&quot;005923E0&quot;/&gt;&lt;wsp:rsid wsp:val=&quot;005929DF&quot;/&gt;&lt;wsp:rsid wsp:val=&quot;00592B20&quot;/&gt;&lt;wsp:rsid wsp:val=&quot;0059338E&quot;/&gt;&lt;wsp:rsid wsp:val=&quot;00593474&quot;/&gt;&lt;wsp:rsid wsp:val=&quot;005935B7&quot;/&gt;&lt;wsp:rsid wsp:val=&quot;005936A9&quot;/&gt;&lt;wsp:rsid wsp:val=&quot;00593982&quot;/&gt;&lt;wsp:rsid wsp:val=&quot;00593BC6&quot;/&gt;&lt;wsp:rsid wsp:val=&quot;00594137&quot;/&gt;&lt;wsp:rsid wsp:val=&quot;00594373&quot;/&gt;&lt;wsp:rsid wsp:val=&quot;005946C3&quot;/&gt;&lt;wsp:rsid wsp:val=&quot;00594899&quot;/&gt;&lt;wsp:rsid wsp:val=&quot;005949EA&quot;/&gt;&lt;wsp:rsid wsp:val=&quot;00594EA5&quot;/&gt;&lt;wsp:rsid wsp:val=&quot;005951C3&quot;/&gt;&lt;wsp:rsid wsp:val=&quot;005954DD&quot;/&gt;&lt;wsp:rsid wsp:val=&quot;00595733&quot;/&gt;&lt;wsp:rsid wsp:val=&quot;00595BDA&quot;/&gt;&lt;wsp:rsid wsp:val=&quot;00595E0E&quot;/&gt;&lt;wsp:rsid wsp:val=&quot;00596139&quot;/&gt;&lt;wsp:rsid wsp:val=&quot;0059676F&quot;/&gt;&lt;wsp:rsid wsp:val=&quot;005969AE&quot;/&gt;&lt;wsp:rsid wsp:val=&quot;00596A76&quot;/&gt;&lt;wsp:rsid wsp:val=&quot;00596C06&quot;/&gt;&lt;wsp:rsid wsp:val=&quot;0059713C&quot;/&gt;&lt;wsp:rsid wsp:val=&quot;00597255&quot;/&gt;&lt;wsp:rsid wsp:val=&quot;0059748C&quot;/&gt;&lt;wsp:rsid wsp:val=&quot;00597572&quot;/&gt;&lt;wsp:rsid wsp:val=&quot;005A041B&quot;/&gt;&lt;wsp:rsid wsp:val=&quot;005A0436&quot;/&gt;&lt;wsp:rsid wsp:val=&quot;005A0ACC&quot;/&gt;&lt;wsp:rsid wsp:val=&quot;005A0FE6&quot;/&gt;&lt;wsp:rsid wsp:val=&quot;005A10A9&quot;/&gt;&lt;wsp:rsid wsp:val=&quot;005A1168&quot;/&gt;&lt;wsp:rsid wsp:val=&quot;005A11D8&quot;/&gt;&lt;wsp:rsid wsp:val=&quot;005A13C8&quot;/&gt;&lt;wsp:rsid wsp:val=&quot;005A172C&quot;/&gt;&lt;wsp:rsid wsp:val=&quot;005A1920&quot;/&gt;&lt;wsp:rsid wsp:val=&quot;005A1A58&quot;/&gt;&lt;wsp:rsid wsp:val=&quot;005A1BA4&quot;/&gt;&lt;wsp:rsid wsp:val=&quot;005A275F&quot;/&gt;&lt;wsp:rsid wsp:val=&quot;005A2777&quot;/&gt;&lt;wsp:rsid wsp:val=&quot;005A2BD9&quot;/&gt;&lt;wsp:rsid wsp:val=&quot;005A30E7&quot;/&gt;&lt;wsp:rsid wsp:val=&quot;005A35C6&quot;/&gt;&lt;wsp:rsid wsp:val=&quot;005A4122&quot;/&gt;&lt;wsp:rsid wsp:val=&quot;005A416E&quot;/&gt;&lt;wsp:rsid wsp:val=&quot;005A4799&quot;/&gt;&lt;wsp:rsid wsp:val=&quot;005A4BA9&quot;/&gt;&lt;wsp:rsid wsp:val=&quot;005A4EB6&quot;/&gt;&lt;wsp:rsid wsp:val=&quot;005A5C75&quot;/&gt;&lt;wsp:rsid wsp:val=&quot;005A5D0A&quot;/&gt;&lt;wsp:rsid wsp:val=&quot;005A6A87&quot;/&gt;&lt;wsp:rsid wsp:val=&quot;005A75E7&quot;/&gt;&lt;wsp:rsid wsp:val=&quot;005A78D9&quot;/&gt;&lt;wsp:rsid wsp:val=&quot;005A7988&quot;/&gt;&lt;wsp:rsid wsp:val=&quot;005A7AAA&quot;/&gt;&lt;wsp:rsid wsp:val=&quot;005A7D19&quot;/&gt;&lt;wsp:rsid wsp:val=&quot;005B0C80&quot;/&gt;&lt;wsp:rsid wsp:val=&quot;005B0DAB&quot;/&gt;&lt;wsp:rsid wsp:val=&quot;005B0ED5&quot;/&gt;&lt;wsp:rsid wsp:val=&quot;005B0FB4&quot;/&gt;&lt;wsp:rsid wsp:val=&quot;005B14A2&quot;/&gt;&lt;wsp:rsid wsp:val=&quot;005B20A8&quot;/&gt;&lt;wsp:rsid wsp:val=&quot;005B23E4&quot;/&gt;&lt;wsp:rsid wsp:val=&quot;005B267B&quot;/&gt;&lt;wsp:rsid wsp:val=&quot;005B2F77&quot;/&gt;&lt;wsp:rsid wsp:val=&quot;005B32BC&quot;/&gt;&lt;wsp:rsid wsp:val=&quot;005B3563&quot;/&gt;&lt;wsp:rsid wsp:val=&quot;005B3883&quot;/&gt;&lt;wsp:rsid wsp:val=&quot;005B46F0&quot;/&gt;&lt;wsp:rsid wsp:val=&quot;005B47BB&quot;/&gt;&lt;wsp:rsid wsp:val=&quot;005B48C2&quot;/&gt;&lt;wsp:rsid wsp:val=&quot;005B4AD6&quot;/&gt;&lt;wsp:rsid wsp:val=&quot;005B4DCF&quot;/&gt;&lt;wsp:rsid wsp:val=&quot;005B5254&quot;/&gt;&lt;wsp:rsid wsp:val=&quot;005B5822&quot;/&gt;&lt;wsp:rsid wsp:val=&quot;005B5889&quot;/&gt;&lt;wsp:rsid wsp:val=&quot;005B5A31&quot;/&gt;&lt;wsp:rsid wsp:val=&quot;005B5B83&quot;/&gt;&lt;wsp:rsid wsp:val=&quot;005B5CC5&quot;/&gt;&lt;wsp:rsid wsp:val=&quot;005B6747&quot;/&gt;&lt;wsp:rsid wsp:val=&quot;005B69BF&quot;/&gt;&lt;wsp:rsid wsp:val=&quot;005B6D69&quot;/&gt;&lt;wsp:rsid wsp:val=&quot;005B7683&quot;/&gt;&lt;wsp:rsid wsp:val=&quot;005B78FF&quot;/&gt;&lt;wsp:rsid wsp:val=&quot;005B7967&quot;/&gt;&lt;wsp:rsid wsp:val=&quot;005B7BE2&quot;/&gt;&lt;wsp:rsid wsp:val=&quot;005B7C3A&quot;/&gt;&lt;wsp:rsid wsp:val=&quot;005C0637&quot;/&gt;&lt;wsp:rsid wsp:val=&quot;005C0742&quot;/&gt;&lt;wsp:rsid wsp:val=&quot;005C0A88&quot;/&gt;&lt;wsp:rsid wsp:val=&quot;005C13D3&quot;/&gt;&lt;wsp:rsid wsp:val=&quot;005C1AAE&quot;/&gt;&lt;wsp:rsid wsp:val=&quot;005C2F23&quot;/&gt;&lt;wsp:rsid wsp:val=&quot;005C3016&quot;/&gt;&lt;wsp:rsid wsp:val=&quot;005C3162&quot;/&gt;&lt;wsp:rsid wsp:val=&quot;005C3C3A&quot;/&gt;&lt;wsp:rsid wsp:val=&quot;005C433D&quot;/&gt;&lt;wsp:rsid wsp:val=&quot;005C439B&quot;/&gt;&lt;wsp:rsid wsp:val=&quot;005C443B&quot;/&gt;&lt;wsp:rsid wsp:val=&quot;005C475E&quot;/&gt;&lt;wsp:rsid wsp:val=&quot;005C4988&quot;/&gt;&lt;wsp:rsid wsp:val=&quot;005C49ED&quot;/&gt;&lt;wsp:rsid wsp:val=&quot;005C4AA5&quot;/&gt;&lt;wsp:rsid wsp:val=&quot;005C5010&quot;/&gt;&lt;wsp:rsid wsp:val=&quot;005C5233&quot;/&gt;&lt;wsp:rsid wsp:val=&quot;005C59DE&quot;/&gt;&lt;wsp:rsid wsp:val=&quot;005C5ADF&quot;/&gt;&lt;wsp:rsid wsp:val=&quot;005C5E60&quot;/&gt;&lt;wsp:rsid wsp:val=&quot;005C6CA4&quot;/&gt;&lt;wsp:rsid wsp:val=&quot;005C6D6E&quot;/&gt;&lt;wsp:rsid wsp:val=&quot;005C6DC4&quot;/&gt;&lt;wsp:rsid wsp:val=&quot;005C7E2E&quot;/&gt;&lt;wsp:rsid wsp:val=&quot;005D03E7&quot;/&gt;&lt;wsp:rsid wsp:val=&quot;005D0A95&quot;/&gt;&lt;wsp:rsid wsp:val=&quot;005D11F8&quot;/&gt;&lt;wsp:rsid wsp:val=&quot;005D144F&quot;/&gt;&lt;wsp:rsid wsp:val=&quot;005D1605&quot;/&gt;&lt;wsp:rsid wsp:val=&quot;005D1E78&quot;/&gt;&lt;wsp:rsid wsp:val=&quot;005D1FA8&quot;/&gt;&lt;wsp:rsid wsp:val=&quot;005D2652&quot;/&gt;&lt;wsp:rsid wsp:val=&quot;005D2710&quot;/&gt;&lt;wsp:rsid wsp:val=&quot;005D3121&quot;/&gt;&lt;wsp:rsid wsp:val=&quot;005D36D8&quot;/&gt;&lt;wsp:rsid wsp:val=&quot;005D37DC&quot;/&gt;&lt;wsp:rsid wsp:val=&quot;005D383C&quot;/&gt;&lt;wsp:rsid wsp:val=&quot;005D39EA&quot;/&gt;&lt;wsp:rsid wsp:val=&quot;005D3A34&quot;/&gt;&lt;wsp:rsid wsp:val=&quot;005D3CBF&quot;/&gt;&lt;wsp:rsid wsp:val=&quot;005D4569&quot;/&gt;&lt;wsp:rsid wsp:val=&quot;005D49CB&quot;/&gt;&lt;wsp:rsid wsp:val=&quot;005D4DD2&quot;/&gt;&lt;wsp:rsid wsp:val=&quot;005D509D&quot;/&gt;&lt;wsp:rsid wsp:val=&quot;005D51B2&quot;/&gt;&lt;wsp:rsid wsp:val=&quot;005D51BA&quot;/&gt;&lt;wsp:rsid wsp:val=&quot;005D5C4A&quot;/&gt;&lt;wsp:rsid wsp:val=&quot;005D5F4A&quot;/&gt;&lt;wsp:rsid wsp:val=&quot;005D64BE&quot;/&gt;&lt;wsp:rsid wsp:val=&quot;005D6BED&quot;/&gt;&lt;wsp:rsid wsp:val=&quot;005D6D6A&quot;/&gt;&lt;wsp:rsid wsp:val=&quot;005D7240&quot;/&gt;&lt;wsp:rsid wsp:val=&quot;005D7B5D&quot;/&gt;&lt;wsp:rsid wsp:val=&quot;005D7DA5&quot;/&gt;&lt;wsp:rsid wsp:val=&quot;005E0705&quot;/&gt;&lt;wsp:rsid wsp:val=&quot;005E0864&quot;/&gt;&lt;wsp:rsid wsp:val=&quot;005E0BCA&quot;/&gt;&lt;wsp:rsid wsp:val=&quot;005E0C66&quot;/&gt;&lt;wsp:rsid wsp:val=&quot;005E0FAA&quot;/&gt;&lt;wsp:rsid wsp:val=&quot;005E13FE&quot;/&gt;&lt;wsp:rsid wsp:val=&quot;005E176B&quot;/&gt;&lt;wsp:rsid wsp:val=&quot;005E1BB6&quot;/&gt;&lt;wsp:rsid wsp:val=&quot;005E26E7&quot;/&gt;&lt;wsp:rsid wsp:val=&quot;005E2C4C&quot;/&gt;&lt;wsp:rsid wsp:val=&quot;005E33A1&quot;/&gt;&lt;wsp:rsid wsp:val=&quot;005E383D&quot;/&gt;&lt;wsp:rsid wsp:val=&quot;005E3A01&quot;/&gt;&lt;wsp:rsid wsp:val=&quot;005E410C&quot;/&gt;&lt;wsp:rsid wsp:val=&quot;005E4144&quot;/&gt;&lt;wsp:rsid wsp:val=&quot;005E4284&quot;/&gt;&lt;wsp:rsid wsp:val=&quot;005E4369&quot;/&gt;&lt;wsp:rsid wsp:val=&quot;005E43DC&quot;/&gt;&lt;wsp:rsid wsp:val=&quot;005E49C2&quot;/&gt;&lt;wsp:rsid wsp:val=&quot;005E4E91&quot;/&gt;&lt;wsp:rsid wsp:val=&quot;005E4EA3&quot;/&gt;&lt;wsp:rsid wsp:val=&quot;005E4F31&quot;/&gt;&lt;wsp:rsid wsp:val=&quot;005E573F&quot;/&gt;&lt;wsp:rsid wsp:val=&quot;005E5D90&quot;/&gt;&lt;wsp:rsid wsp:val=&quot;005E5D9C&quot;/&gt;&lt;wsp:rsid wsp:val=&quot;005E6424&quot;/&gt;&lt;wsp:rsid wsp:val=&quot;005E6D47&quot;/&gt;&lt;wsp:rsid wsp:val=&quot;005E72E6&quot;/&gt;&lt;wsp:rsid wsp:val=&quot;005E7AA1&quot;/&gt;&lt;wsp:rsid wsp:val=&quot;005E7E68&quot;/&gt;&lt;wsp:rsid wsp:val=&quot;005F1770&quot;/&gt;&lt;wsp:rsid wsp:val=&quot;005F239C&quot;/&gt;&lt;wsp:rsid wsp:val=&quot;005F23C1&quot;/&gt;&lt;wsp:rsid wsp:val=&quot;005F23C9&quot;/&gt;&lt;wsp:rsid wsp:val=&quot;005F24DF&quot;/&gt;&lt;wsp:rsid wsp:val=&quot;005F27C9&quot;/&gt;&lt;wsp:rsid wsp:val=&quot;005F2888&quot;/&gt;&lt;wsp:rsid wsp:val=&quot;005F2DBF&quot;/&gt;&lt;wsp:rsid wsp:val=&quot;005F3ABA&quot;/&gt;&lt;wsp:rsid wsp:val=&quot;005F4B22&quot;/&gt;&lt;wsp:rsid wsp:val=&quot;005F5810&quot;/&gt;&lt;wsp:rsid wsp:val=&quot;005F59D3&quot;/&gt;&lt;wsp:rsid wsp:val=&quot;005F5DF3&quot;/&gt;&lt;wsp:rsid wsp:val=&quot;005F691D&quot;/&gt;&lt;wsp:rsid wsp:val=&quot;005F6C83&quot;/&gt;&lt;wsp:rsid wsp:val=&quot;00600504&quot;/&gt;&lt;wsp:rsid wsp:val=&quot;00600829&quot;/&gt;&lt;wsp:rsid wsp:val=&quot;00600BEB&quot;/&gt;&lt;wsp:rsid wsp:val=&quot;0060170E&quot;/&gt;&lt;wsp:rsid wsp:val=&quot;006019FF&quot;/&gt;&lt;wsp:rsid wsp:val=&quot;00601CC9&quot;/&gt;&lt;wsp:rsid wsp:val=&quot;00602E33&quot;/&gt;&lt;wsp:rsid wsp:val=&quot;00602EBB&quot;/&gt;&lt;wsp:rsid wsp:val=&quot;00602ED2&quot;/&gt;&lt;wsp:rsid wsp:val=&quot;00603786&quot;/&gt;&lt;wsp:rsid wsp:val=&quot;00603D52&quot;/&gt;&lt;wsp:rsid wsp:val=&quot;0060448F&quot;/&gt;&lt;wsp:rsid wsp:val=&quot;0060460D&quot;/&gt;&lt;wsp:rsid wsp:val=&quot;00604A67&quot;/&gt;&lt;wsp:rsid wsp:val=&quot;00604DD2&quot;/&gt;&lt;wsp:rsid wsp:val=&quot;0060520D&quot;/&gt;&lt;wsp:rsid wsp:val=&quot;00605223&quot;/&gt;&lt;wsp:rsid wsp:val=&quot;0060558E&quot;/&gt;&lt;wsp:rsid wsp:val=&quot;0060575A&quot;/&gt;&lt;wsp:rsid wsp:val=&quot;006058DD&quot;/&gt;&lt;wsp:rsid wsp:val=&quot;00605B68&quot;/&gt;&lt;wsp:rsid wsp:val=&quot;00605BA4&quot;/&gt;&lt;wsp:rsid wsp:val=&quot;00605D37&quot;/&gt;&lt;wsp:rsid wsp:val=&quot;00606140&quot;/&gt;&lt;wsp:rsid wsp:val=&quot;00606DD1&quot;/&gt;&lt;wsp:rsid wsp:val=&quot;00607650&quot;/&gt;&lt;wsp:rsid wsp:val=&quot;0061049C&quot;/&gt;&lt;wsp:rsid wsp:val=&quot;00610953&quot;/&gt;&lt;wsp:rsid wsp:val=&quot;00610D35&quot;/&gt;&lt;wsp:rsid wsp:val=&quot;00610F4C&quot;/&gt;&lt;wsp:rsid wsp:val=&quot;006110B0&quot;/&gt;&lt;wsp:rsid wsp:val=&quot;00611558&quot;/&gt;&lt;wsp:rsid wsp:val=&quot;006117A4&quot;/&gt;&lt;wsp:rsid wsp:val=&quot;00612707&quot;/&gt;&lt;wsp:rsid wsp:val=&quot;00614632&quot;/&gt;&lt;wsp:rsid wsp:val=&quot;00614BDC&quot;/&gt;&lt;wsp:rsid wsp:val=&quot;00614FB4&quot;/&gt;&lt;wsp:rsid wsp:val=&quot;006155A8&quot;/&gt;&lt;wsp:rsid wsp:val=&quot;00615D4C&quot;/&gt;&lt;wsp:rsid wsp:val=&quot;00615E3E&quot;/&gt;&lt;wsp:rsid wsp:val=&quot;0061672C&quot;/&gt;&lt;wsp:rsid wsp:val=&quot;006168DA&quot;/&gt;&lt;wsp:rsid wsp:val=&quot;00616DEF&quot;/&gt;&lt;wsp:rsid wsp:val=&quot;00616F4C&quot;/&gt;&lt;wsp:rsid wsp:val=&quot;00617030&quot;/&gt;&lt;wsp:rsid wsp:val=&quot;006203E4&quot;/&gt;&lt;wsp:rsid wsp:val=&quot;00620684&quot;/&gt;&lt;wsp:rsid wsp:val=&quot;00620AF3&quot;/&gt;&lt;wsp:rsid wsp:val=&quot;00620B05&quot;/&gt;&lt;wsp:rsid wsp:val=&quot;006210BA&quot;/&gt;&lt;wsp:rsid wsp:val=&quot;00621306&quot;/&gt;&lt;wsp:rsid wsp:val=&quot;0062164F&quot;/&gt;&lt;wsp:rsid wsp:val=&quot;00622EFB&quot;/&gt;&lt;wsp:rsid wsp:val=&quot;006232B5&quot;/&gt;&lt;wsp:rsid wsp:val=&quot;006233D1&quot;/&gt;&lt;wsp:rsid wsp:val=&quot;00623500&quot;/&gt;&lt;wsp:rsid wsp:val=&quot;00623733&quot;/&gt;&lt;wsp:rsid wsp:val=&quot;00623B03&quot;/&gt;&lt;wsp:rsid wsp:val=&quot;006241D2&quot;/&gt;&lt;wsp:rsid wsp:val=&quot;006242B8&quot;/&gt;&lt;wsp:rsid wsp:val=&quot;00624524&quot;/&gt;&lt;wsp:rsid wsp:val=&quot;0062463F&quot;/&gt;&lt;wsp:rsid wsp:val=&quot;0062492E&quot;/&gt;&lt;wsp:rsid wsp:val=&quot;00624C83&quot;/&gt;&lt;wsp:rsid wsp:val=&quot;00624DE0&quot;/&gt;&lt;wsp:rsid wsp:val=&quot;00624E0D&quot;/&gt;&lt;wsp:rsid wsp:val=&quot;00624FC3&quot;/&gt;&lt;wsp:rsid wsp:val=&quot;00625426&quot;/&gt;&lt;wsp:rsid wsp:val=&quot;006255FE&quot;/&gt;&lt;wsp:rsid wsp:val=&quot;00625AD6&quot;/&gt;&lt;wsp:rsid wsp:val=&quot;006261E2&quot;/&gt;&lt;wsp:rsid wsp:val=&quot;00626959&quot;/&gt;&lt;wsp:rsid wsp:val=&quot;00626C5A&quot;/&gt;&lt;wsp:rsid wsp:val=&quot;00626D0C&quot;/&gt;&lt;wsp:rsid wsp:val=&quot;00627654&quot;/&gt;&lt;wsp:rsid wsp:val=&quot;00627812&quot;/&gt;&lt;wsp:rsid wsp:val=&quot;006301DA&quot;/&gt;&lt;wsp:rsid wsp:val=&quot;00630600&quot;/&gt;&lt;wsp:rsid wsp:val=&quot;00630C33&quot;/&gt;&lt;wsp:rsid wsp:val=&quot;0063223F&quot;/&gt;&lt;wsp:rsid wsp:val=&quot;006322D3&quot;/&gt;&lt;wsp:rsid wsp:val=&quot;00632327&quot;/&gt;&lt;wsp:rsid wsp:val=&quot;00632707&quot;/&gt;&lt;wsp:rsid wsp:val=&quot;00632746&quot;/&gt;&lt;wsp:rsid wsp:val=&quot;006327CA&quot;/&gt;&lt;wsp:rsid wsp:val=&quot;00632E5D&quot;/&gt;&lt;wsp:rsid wsp:val=&quot;00632EE4&quot;/&gt;&lt;wsp:rsid wsp:val=&quot;00633262&quot;/&gt;&lt;wsp:rsid wsp:val=&quot;00633871&quot;/&gt;&lt;wsp:rsid wsp:val=&quot;006338CE&quot;/&gt;&lt;wsp:rsid wsp:val=&quot;00633AB4&quot;/&gt;&lt;wsp:rsid wsp:val=&quot;00633CFF&quot;/&gt;&lt;wsp:rsid wsp:val=&quot;00634136&quot;/&gt;&lt;wsp:rsid wsp:val=&quot;00635450&quot;/&gt;&lt;wsp:rsid wsp:val=&quot;00636172&quot;/&gt;&lt;wsp:rsid wsp:val=&quot;00636823&quot;/&gt;&lt;wsp:rsid wsp:val=&quot;00636DDD&quot;/&gt;&lt;wsp:rsid wsp:val=&quot;00636F9A&quot;/&gt;&lt;wsp:rsid wsp:val=&quot;006373B9&quot;/&gt;&lt;wsp:rsid wsp:val=&quot;006374DA&quot;/&gt;&lt;wsp:rsid wsp:val=&quot;00637BF0&quot;/&gt;&lt;wsp:rsid wsp:val=&quot;00637DFB&quot;/&gt;&lt;wsp:rsid wsp:val=&quot;00637E3D&quot;/&gt;&lt;wsp:rsid wsp:val=&quot;00640693&quot;/&gt;&lt;wsp:rsid wsp:val=&quot;006409F2&quot;/&gt;&lt;wsp:rsid wsp:val=&quot;00640AAD&quot;/&gt;&lt;wsp:rsid wsp:val=&quot;00640FB8&quot;/&gt;&lt;wsp:rsid wsp:val=&quot;00641AF2&quot;/&gt;&lt;wsp:rsid wsp:val=&quot;00641E91&quot;/&gt;&lt;wsp:rsid wsp:val=&quot;00642073&quot;/&gt;&lt;wsp:rsid wsp:val=&quot;006421F4&quot;/&gt;&lt;wsp:rsid wsp:val=&quot;00642510&quot;/&gt;&lt;wsp:rsid wsp:val=&quot;0064263A&quot;/&gt;&lt;wsp:rsid wsp:val=&quot;00642883&quot;/&gt;&lt;wsp:rsid wsp:val=&quot;0064288A&quot;/&gt;&lt;wsp:rsid wsp:val=&quot;00642F02&quot;/&gt;&lt;wsp:rsid wsp:val=&quot;00642F92&quot;/&gt;&lt;wsp:rsid wsp:val=&quot;006432C2&quot;/&gt;&lt;wsp:rsid wsp:val=&quot;0064357D&quot;/&gt;&lt;wsp:rsid wsp:val=&quot;0064360E&quot;/&gt;&lt;wsp:rsid wsp:val=&quot;0064371F&quot;/&gt;&lt;wsp:rsid wsp:val=&quot;0064377B&quot;/&gt;&lt;wsp:rsid wsp:val=&quot;00644366&quot;/&gt;&lt;wsp:rsid wsp:val=&quot;00644637&quot;/&gt;&lt;wsp:rsid wsp:val=&quot;00644728&quot;/&gt;&lt;wsp:rsid wsp:val=&quot;00644802&quot;/&gt;&lt;wsp:rsid wsp:val=&quot;0064561F&quot;/&gt;&lt;wsp:rsid wsp:val=&quot;00645758&quot;/&gt;&lt;wsp:rsid wsp:val=&quot;00645B4B&quot;/&gt;&lt;wsp:rsid wsp:val=&quot;00645DD9&quot;/&gt;&lt;wsp:rsid wsp:val=&quot;0064673E&quot;/&gt;&lt;wsp:rsid wsp:val=&quot;00646B22&quot;/&gt;&lt;wsp:rsid wsp:val=&quot;00646CD2&quot;/&gt;&lt;wsp:rsid wsp:val=&quot;00646F90&quot;/&gt;&lt;wsp:rsid wsp:val=&quot;006470FB&quot;/&gt;&lt;wsp:rsid wsp:val=&quot;0064743E&quot;/&gt;&lt;wsp:rsid wsp:val=&quot;006479F6&quot;/&gt;&lt;wsp:rsid wsp:val=&quot;00647AE0&quot;/&gt;&lt;wsp:rsid wsp:val=&quot;00647C35&quot;/&gt;&lt;wsp:rsid wsp:val=&quot;00650F44&quot;/&gt;&lt;wsp:rsid wsp:val=&quot;00651251&quot;/&gt;&lt;wsp:rsid wsp:val=&quot;0065137A&quot;/&gt;&lt;wsp:rsid wsp:val=&quot;006513D5&quot;/&gt;&lt;wsp:rsid wsp:val=&quot;00651B3C&quot;/&gt;&lt;wsp:rsid wsp:val=&quot;00652714&quot;/&gt;&lt;wsp:rsid wsp:val=&quot;006527BF&quot;/&gt;&lt;wsp:rsid wsp:val=&quot;006529E8&quot;/&gt;&lt;wsp:rsid wsp:val=&quot;006532EF&quot;/&gt;&lt;wsp:rsid wsp:val=&quot;006539EF&quot;/&gt;&lt;wsp:rsid wsp:val=&quot;00654685&quot;/&gt;&lt;wsp:rsid wsp:val=&quot;00654986&quot;/&gt;&lt;wsp:rsid wsp:val=&quot;00654D98&quot;/&gt;&lt;wsp:rsid wsp:val=&quot;006551BF&quot;/&gt;&lt;wsp:rsid wsp:val=&quot;00655789&quot;/&gt;&lt;wsp:rsid wsp:val=&quot;00655912&quot;/&gt;&lt;wsp:rsid wsp:val=&quot;006559E6&quot;/&gt;&lt;wsp:rsid wsp:val=&quot;00655C95&quot;/&gt;&lt;wsp:rsid wsp:val=&quot;00655CE2&quot;/&gt;&lt;wsp:rsid wsp:val=&quot;00655DCA&quot;/&gt;&lt;wsp:rsid wsp:val=&quot;006566D8&quot;/&gt;&lt;wsp:rsid wsp:val=&quot;006571D0&quot;/&gt;&lt;wsp:rsid wsp:val=&quot;006578FA&quot;/&gt;&lt;wsp:rsid wsp:val=&quot;00657A7C&quot;/&gt;&lt;wsp:rsid wsp:val=&quot;00657C73&quot;/&gt;&lt;wsp:rsid wsp:val=&quot;00657CA7&quot;/&gt;&lt;wsp:rsid wsp:val=&quot;00657E5E&quot;/&gt;&lt;wsp:rsid wsp:val=&quot;0066078B&quot;/&gt;&lt;wsp:rsid wsp:val=&quot;00661B89&quot;/&gt;&lt;wsp:rsid wsp:val=&quot;00661CF9&quot;/&gt;&lt;wsp:rsid wsp:val=&quot;00661DEE&quot;/&gt;&lt;wsp:rsid wsp:val=&quot;00662747&quot;/&gt;&lt;wsp:rsid wsp:val=&quot;006629AC&quot;/&gt;&lt;wsp:rsid wsp:val=&quot;00662F64&quot;/&gt;&lt;wsp:rsid wsp:val=&quot;00663307&quot;/&gt;&lt;wsp:rsid wsp:val=&quot;00663825&quot;/&gt;&lt;wsp:rsid wsp:val=&quot;00663898&quot;/&gt;&lt;wsp:rsid wsp:val=&quot;00663EB3&quot;/&gt;&lt;wsp:rsid wsp:val=&quot;00663EF8&quot;/&gt;&lt;wsp:rsid wsp:val=&quot;0066439C&quot;/&gt;&lt;wsp:rsid wsp:val=&quot;006643EE&quot;/&gt;&lt;wsp:rsid wsp:val=&quot;0066464A&quot;/&gt;&lt;wsp:rsid wsp:val=&quot;00665264&quot;/&gt;&lt;wsp:rsid wsp:val=&quot;006656BA&quot;/&gt;&lt;wsp:rsid wsp:val=&quot;00665BD7&quot;/&gt;&lt;wsp:rsid wsp:val=&quot;00665C26&quot;/&gt;&lt;wsp:rsid wsp:val=&quot;00665F82&quot;/&gt;&lt;wsp:rsid wsp:val=&quot;00667788&quot;/&gt;&lt;wsp:rsid wsp:val=&quot;00667A66&quot;/&gt;&lt;wsp:rsid wsp:val=&quot;00667E10&quot;/&gt;&lt;wsp:rsid wsp:val=&quot;0067003F&quot;/&gt;&lt;wsp:rsid wsp:val=&quot;00670597&quot;/&gt;&lt;wsp:rsid wsp:val=&quot;0067095A&quot;/&gt;&lt;wsp:rsid wsp:val=&quot;006710B5&quot;/&gt;&lt;wsp:rsid wsp:val=&quot;00671532&quot;/&gt;&lt;wsp:rsid wsp:val=&quot;0067154A&quot;/&gt;&lt;wsp:rsid wsp:val=&quot;006715F5&quot;/&gt;&lt;wsp:rsid wsp:val=&quot;0067237F&quot;/&gt;&lt;wsp:rsid wsp:val=&quot;0067264C&quot;/&gt;&lt;wsp:rsid wsp:val=&quot;006729A4&quot;/&gt;&lt;wsp:rsid wsp:val=&quot;006729AE&quot;/&gt;&lt;wsp:rsid wsp:val=&quot;00672AB5&quot;/&gt;&lt;wsp:rsid wsp:val=&quot;00673005&quot;/&gt;&lt;wsp:rsid wsp:val=&quot;00673FB1&quot;/&gt;&lt;wsp:rsid wsp:val=&quot;006747D0&quot;/&gt;&lt;wsp:rsid wsp:val=&quot;00674A54&quot;/&gt;&lt;wsp:rsid wsp:val=&quot;00674AF3&quot;/&gt;&lt;wsp:rsid wsp:val=&quot;00674B2E&quot;/&gt;&lt;wsp:rsid wsp:val=&quot;00674C1B&quot;/&gt;&lt;wsp:rsid wsp:val=&quot;006756F4&quot;/&gt;&lt;wsp:rsid wsp:val=&quot;00675A1D&quot;/&gt;&lt;wsp:rsid wsp:val=&quot;00675C08&quot;/&gt;&lt;wsp:rsid wsp:val=&quot;0067691B&quot;/&gt;&lt;wsp:rsid wsp:val=&quot;00676B58&quot;/&gt;&lt;wsp:rsid wsp:val=&quot;00676BC8&quot;/&gt;&lt;wsp:rsid wsp:val=&quot;006778CC&quot;/&gt;&lt;wsp:rsid wsp:val=&quot;00677A7D&quot;/&gt;&lt;wsp:rsid wsp:val=&quot;00677D82&quot;/&gt;&lt;wsp:rsid wsp:val=&quot;00677DDD&quot;/&gt;&lt;wsp:rsid wsp:val=&quot;00680023&quot;/&gt;&lt;wsp:rsid wsp:val=&quot;00680103&quot;/&gt;&lt;wsp:rsid wsp:val=&quot;006804BC&quot;/&gt;&lt;wsp:rsid wsp:val=&quot;006805AF&quot;/&gt;&lt;wsp:rsid wsp:val=&quot;00680918&quot;/&gt;&lt;wsp:rsid wsp:val=&quot;00680971&quot;/&gt;&lt;wsp:rsid wsp:val=&quot;00681701&quot;/&gt;&lt;wsp:rsid wsp:val=&quot;00682612&quot;/&gt;&lt;wsp:rsid wsp:val=&quot;00682915&quot;/&gt;&lt;wsp:rsid wsp:val=&quot;00683066&quot;/&gt;&lt;wsp:rsid wsp:val=&quot;006830FC&quot;/&gt;&lt;wsp:rsid wsp:val=&quot;00683454&quot;/&gt;&lt;wsp:rsid wsp:val=&quot;0068358C&quot;/&gt;&lt;wsp:rsid wsp:val=&quot;006835D5&quot;/&gt;&lt;wsp:rsid wsp:val=&quot;00683B3C&quot;/&gt;&lt;wsp:rsid wsp:val=&quot;00684216&quot;/&gt;&lt;wsp:rsid wsp:val=&quot;00684236&quot;/&gt;&lt;wsp:rsid wsp:val=&quot;0068441A&quot;/&gt;&lt;wsp:rsid wsp:val=&quot;006852D6&quot;/&gt;&lt;wsp:rsid wsp:val=&quot;00685956&quot;/&gt;&lt;wsp:rsid wsp:val=&quot;00685B94&quot;/&gt;&lt;wsp:rsid wsp:val=&quot;006869B7&quot;/&gt;&lt;wsp:rsid wsp:val=&quot;0068763F&quot;/&gt;&lt;wsp:rsid wsp:val=&quot;00687C12&quot;/&gt;&lt;wsp:rsid wsp:val=&quot;006916ED&quot;/&gt;&lt;wsp:rsid wsp:val=&quot;00691743&quot;/&gt;&lt;wsp:rsid wsp:val=&quot;006918AF&quot;/&gt;&lt;wsp:rsid wsp:val=&quot;00691E3F&quot;/&gt;&lt;wsp:rsid wsp:val=&quot;006925D0&quot;/&gt;&lt;wsp:rsid wsp:val=&quot;0069260E&quot;/&gt;&lt;wsp:rsid wsp:val=&quot;0069272B&quot;/&gt;&lt;wsp:rsid wsp:val=&quot;006927A8&quot;/&gt;&lt;wsp:rsid wsp:val=&quot;0069292F&quot;/&gt;&lt;wsp:rsid wsp:val=&quot;00692B41&quot;/&gt;&lt;wsp:rsid wsp:val=&quot;00692B72&quot;/&gt;&lt;wsp:rsid wsp:val=&quot;00692C56&quot;/&gt;&lt;wsp:rsid wsp:val=&quot;00692DA5&quot;/&gt;&lt;wsp:rsid wsp:val=&quot;00693428&quot;/&gt;&lt;wsp:rsid wsp:val=&quot;0069391E&quot;/&gt;&lt;wsp:rsid wsp:val=&quot;00693D87&quot;/&gt;&lt;wsp:rsid wsp:val=&quot;0069411F&quot;/&gt;&lt;wsp:rsid wsp:val=&quot;006945C8&quot;/&gt;&lt;wsp:rsid wsp:val=&quot;006949DD&quot;/&gt;&lt;wsp:rsid wsp:val=&quot;00694AE0&quot;/&gt;&lt;wsp:rsid wsp:val=&quot;00694F3A&quot;/&gt;&lt;wsp:rsid wsp:val=&quot;0069520E&quot;/&gt;&lt;wsp:rsid wsp:val=&quot;00695742&quot;/&gt;&lt;wsp:rsid wsp:val=&quot;006957B6&quot;/&gt;&lt;wsp:rsid wsp:val=&quot;00695A62&quot;/&gt;&lt;wsp:rsid wsp:val=&quot;006961EB&quot;/&gt;&lt;wsp:rsid wsp:val=&quot;00696553&quot;/&gt;&lt;wsp:rsid wsp:val=&quot;0069679A&quot;/&gt;&lt;wsp:rsid wsp:val=&quot;00696DC0&quot;/&gt;&lt;wsp:rsid wsp:val=&quot;00697082&quot;/&gt;&lt;wsp:rsid wsp:val=&quot;0069784D&quot;/&gt;&lt;wsp:rsid wsp:val=&quot;006978F3&quot;/&gt;&lt;wsp:rsid wsp:val=&quot;006979AD&quot;/&gt;&lt;wsp:rsid wsp:val=&quot;00697C58&quot;/&gt;&lt;wsp:rsid wsp:val=&quot;006A09DE&quot;/&gt;&lt;wsp:rsid wsp:val=&quot;006A0A62&quot;/&gt;&lt;wsp:rsid wsp:val=&quot;006A1258&quot;/&gt;&lt;wsp:rsid wsp:val=&quot;006A1361&quot;/&gt;&lt;wsp:rsid wsp:val=&quot;006A1B09&quot;/&gt;&lt;wsp:rsid wsp:val=&quot;006A1BBC&quot;/&gt;&lt;wsp:rsid wsp:val=&quot;006A1FAA&quot;/&gt;&lt;wsp:rsid wsp:val=&quot;006A21E6&quot;/&gt;&lt;wsp:rsid wsp:val=&quot;006A2725&quot;/&gt;&lt;wsp:rsid wsp:val=&quot;006A2938&quot;/&gt;&lt;wsp:rsid wsp:val=&quot;006A29BE&quot;/&gt;&lt;wsp:rsid wsp:val=&quot;006A29E0&quot;/&gt;&lt;wsp:rsid wsp:val=&quot;006A2C99&quot;/&gt;&lt;wsp:rsid wsp:val=&quot;006A2D0F&quot;/&gt;&lt;wsp:rsid wsp:val=&quot;006A2D27&quot;/&gt;&lt;wsp:rsid wsp:val=&quot;006A2FF4&quot;/&gt;&lt;wsp:rsid wsp:val=&quot;006A3164&quot;/&gt;&lt;wsp:rsid wsp:val=&quot;006A34D7&quot;/&gt;&lt;wsp:rsid wsp:val=&quot;006A3560&quot;/&gt;&lt;wsp:rsid wsp:val=&quot;006A4A6A&quot;/&gt;&lt;wsp:rsid wsp:val=&quot;006A4C87&quot;/&gt;&lt;wsp:rsid wsp:val=&quot;006A5395&quot;/&gt;&lt;wsp:rsid wsp:val=&quot;006A5B1C&quot;/&gt;&lt;wsp:rsid wsp:val=&quot;006A5CFA&quot;/&gt;&lt;wsp:rsid wsp:val=&quot;006A6AA4&quot;/&gt;&lt;wsp:rsid wsp:val=&quot;006A6B6F&quot;/&gt;&lt;wsp:rsid wsp:val=&quot;006A6B8B&quot;/&gt;&lt;wsp:rsid wsp:val=&quot;006A6E99&quot;/&gt;&lt;wsp:rsid wsp:val=&quot;006A76ED&quot;/&gt;&lt;wsp:rsid wsp:val=&quot;006A777F&quot;/&gt;&lt;wsp:rsid wsp:val=&quot;006A79DA&quot;/&gt;&lt;wsp:rsid wsp:val=&quot;006B0312&quot;/&gt;&lt;wsp:rsid wsp:val=&quot;006B071C&quot;/&gt;&lt;wsp:rsid wsp:val=&quot;006B08A3&quot;/&gt;&lt;wsp:rsid wsp:val=&quot;006B08CD&quot;/&gt;&lt;wsp:rsid wsp:val=&quot;006B0BFB&quot;/&gt;&lt;wsp:rsid wsp:val=&quot;006B0FDE&quot;/&gt;&lt;wsp:rsid wsp:val=&quot;006B1196&quot;/&gt;&lt;wsp:rsid wsp:val=&quot;006B1229&quot;/&gt;&lt;wsp:rsid wsp:val=&quot;006B149C&quot;/&gt;&lt;wsp:rsid wsp:val=&quot;006B169E&quot;/&gt;&lt;wsp:rsid wsp:val=&quot;006B186C&quot;/&gt;&lt;wsp:rsid wsp:val=&quot;006B1A90&quot;/&gt;&lt;wsp:rsid wsp:val=&quot;006B2A69&quot;/&gt;&lt;wsp:rsid wsp:val=&quot;006B35C9&quot;/&gt;&lt;wsp:rsid wsp:val=&quot;006B41E6&quot;/&gt;&lt;wsp:rsid wsp:val=&quot;006B430E&quot;/&gt;&lt;wsp:rsid wsp:val=&quot;006B4457&quot;/&gt;&lt;wsp:rsid wsp:val=&quot;006B4AEC&quot;/&gt;&lt;wsp:rsid wsp:val=&quot;006B5047&quot;/&gt;&lt;wsp:rsid wsp:val=&quot;006B5451&quot;/&gt;&lt;wsp:rsid wsp:val=&quot;006B56C5&quot;/&gt;&lt;wsp:rsid wsp:val=&quot;006B591E&quot;/&gt;&lt;wsp:rsid wsp:val=&quot;006B5B30&quot;/&gt;&lt;wsp:rsid wsp:val=&quot;006B5F3A&quot;/&gt;&lt;wsp:rsid wsp:val=&quot;006B60DE&quot;/&gt;&lt;wsp:rsid wsp:val=&quot;006B656F&quot;/&gt;&lt;wsp:rsid wsp:val=&quot;006B6B9C&quot;/&gt;&lt;wsp:rsid wsp:val=&quot;006B6F13&quot;/&gt;&lt;wsp:rsid wsp:val=&quot;006B716B&quot;/&gt;&lt;wsp:rsid wsp:val=&quot;006B727D&quot;/&gt;&lt;wsp:rsid wsp:val=&quot;006B73BF&quot;/&gt;&lt;wsp:rsid wsp:val=&quot;006B7AE9&quot;/&gt;&lt;wsp:rsid wsp:val=&quot;006B7DB5&quot;/&gt;&lt;wsp:rsid wsp:val=&quot;006C0021&quot;/&gt;&lt;wsp:rsid wsp:val=&quot;006C0030&quot;/&gt;&lt;wsp:rsid wsp:val=&quot;006C04E9&quot;/&gt;&lt;wsp:rsid wsp:val=&quot;006C0770&quot;/&gt;&lt;wsp:rsid wsp:val=&quot;006C09BC&quot;/&gt;&lt;wsp:rsid wsp:val=&quot;006C0D78&quot;/&gt;&lt;wsp:rsid wsp:val=&quot;006C131A&quot;/&gt;&lt;wsp:rsid wsp:val=&quot;006C1696&quot;/&gt;&lt;wsp:rsid wsp:val=&quot;006C1B7D&quot;/&gt;&lt;wsp:rsid wsp:val=&quot;006C1FE3&quot;/&gt;&lt;wsp:rsid wsp:val=&quot;006C2084&quot;/&gt;&lt;wsp:rsid wsp:val=&quot;006C2334&quot;/&gt;&lt;wsp:rsid wsp:val=&quot;006C289A&quot;/&gt;&lt;wsp:rsid wsp:val=&quot;006C2D49&quot;/&gt;&lt;wsp:rsid wsp:val=&quot;006C2F1C&quot;/&gt;&lt;wsp:rsid wsp:val=&quot;006C2F91&quot;/&gt;&lt;wsp:rsid wsp:val=&quot;006C2FA1&quot;/&gt;&lt;wsp:rsid wsp:val=&quot;006C32AB&quot;/&gt;&lt;wsp:rsid wsp:val=&quot;006C3349&quot;/&gt;&lt;wsp:rsid wsp:val=&quot;006C33A5&quot;/&gt;&lt;wsp:rsid wsp:val=&quot;006C36D1&quot;/&gt;&lt;wsp:rsid wsp:val=&quot;006C3A9F&quot;/&gt;&lt;wsp:rsid wsp:val=&quot;006C3AE5&quot;/&gt;&lt;wsp:rsid wsp:val=&quot;006C3E1F&quot;/&gt;&lt;wsp:rsid wsp:val=&quot;006C3FAC&quot;/&gt;&lt;wsp:rsid wsp:val=&quot;006C41A5&quot;/&gt;&lt;wsp:rsid wsp:val=&quot;006C47BA&quot;/&gt;&lt;wsp:rsid wsp:val=&quot;006C4D82&quot;/&gt;&lt;wsp:rsid wsp:val=&quot;006C53E1&quot;/&gt;&lt;wsp:rsid wsp:val=&quot;006C5741&quot;/&gt;&lt;wsp:rsid wsp:val=&quot;006C5AB9&quot;/&gt;&lt;wsp:rsid wsp:val=&quot;006C5BC7&quot;/&gt;&lt;wsp:rsid wsp:val=&quot;006C603E&quot;/&gt;&lt;wsp:rsid wsp:val=&quot;006C617C&quot;/&gt;&lt;wsp:rsid wsp:val=&quot;006C61DF&quot;/&gt;&lt;wsp:rsid wsp:val=&quot;006C6804&quot;/&gt;&lt;wsp:rsid wsp:val=&quot;006C6925&quot;/&gt;&lt;wsp:rsid wsp:val=&quot;006C7152&quot;/&gt;&lt;wsp:rsid wsp:val=&quot;006C7D2A&quot;/&gt;&lt;wsp:rsid wsp:val=&quot;006C7D59&quot;/&gt;&lt;wsp:rsid wsp:val=&quot;006C7D8D&quot;/&gt;&lt;wsp:rsid wsp:val=&quot;006C7F1C&quot;/&gt;&lt;wsp:rsid wsp:val=&quot;006D049A&quot;/&gt;&lt;wsp:rsid wsp:val=&quot;006D0784&quot;/&gt;&lt;wsp:rsid wsp:val=&quot;006D0975&quot;/&gt;&lt;wsp:rsid wsp:val=&quot;006D0BC5&quot;/&gt;&lt;wsp:rsid wsp:val=&quot;006D12BD&quot;/&gt;&lt;wsp:rsid wsp:val=&quot;006D1968&quot;/&gt;&lt;wsp:rsid wsp:val=&quot;006D1A85&quot;/&gt;&lt;wsp:rsid wsp:val=&quot;006D234A&quot;/&gt;&lt;wsp:rsid wsp:val=&quot;006D2600&quot;/&gt;&lt;wsp:rsid wsp:val=&quot;006D2624&quot;/&gt;&lt;wsp:rsid wsp:val=&quot;006D26C2&quot;/&gt;&lt;wsp:rsid wsp:val=&quot;006D2C38&quot;/&gt;&lt;wsp:rsid wsp:val=&quot;006D2D75&quot;/&gt;&lt;wsp:rsid wsp:val=&quot;006D2DC6&quot;/&gt;&lt;wsp:rsid wsp:val=&quot;006D33B1&quot;/&gt;&lt;wsp:rsid wsp:val=&quot;006D3816&quot;/&gt;&lt;wsp:rsid wsp:val=&quot;006D38AB&quot;/&gt;&lt;wsp:rsid wsp:val=&quot;006D3BEA&quot;/&gt;&lt;wsp:rsid wsp:val=&quot;006D3DA5&quot;/&gt;&lt;wsp:rsid wsp:val=&quot;006D4178&quot;/&gt;&lt;wsp:rsid wsp:val=&quot;006D41E1&quot;/&gt;&lt;wsp:rsid wsp:val=&quot;006D4307&quot;/&gt;&lt;wsp:rsid wsp:val=&quot;006D4623&quot;/&gt;&lt;wsp:rsid wsp:val=&quot;006D46E2&quot;/&gt;&lt;wsp:rsid wsp:val=&quot;006D53FB&quot;/&gt;&lt;wsp:rsid wsp:val=&quot;006D54E4&quot;/&gt;&lt;wsp:rsid wsp:val=&quot;006D55ED&quot;/&gt;&lt;wsp:rsid wsp:val=&quot;006D5D8E&quot;/&gt;&lt;wsp:rsid wsp:val=&quot;006D5FEF&quot;/&gt;&lt;wsp:rsid wsp:val=&quot;006D6608&quot;/&gt;&lt;wsp:rsid wsp:val=&quot;006D67D8&quot;/&gt;&lt;wsp:rsid wsp:val=&quot;006D6B23&quot;/&gt;&lt;wsp:rsid wsp:val=&quot;006D6CAF&quot;/&gt;&lt;wsp:rsid wsp:val=&quot;006D756D&quot;/&gt;&lt;wsp:rsid wsp:val=&quot;006D7615&quot;/&gt;&lt;wsp:rsid wsp:val=&quot;006D7DA3&quot;/&gt;&lt;wsp:rsid wsp:val=&quot;006E1102&quot;/&gt;&lt;wsp:rsid wsp:val=&quot;006E1418&quot;/&gt;&lt;wsp:rsid wsp:val=&quot;006E1479&quot;/&gt;&lt;wsp:rsid wsp:val=&quot;006E158C&quot;/&gt;&lt;wsp:rsid wsp:val=&quot;006E1C1E&quot;/&gt;&lt;wsp:rsid wsp:val=&quot;006E1CAA&quot;/&gt;&lt;wsp:rsid wsp:val=&quot;006E2642&quot;/&gt;&lt;wsp:rsid wsp:val=&quot;006E30C1&quot;/&gt;&lt;wsp:rsid wsp:val=&quot;006E386A&quot;/&gt;&lt;wsp:rsid wsp:val=&quot;006E3CC9&quot;/&gt;&lt;wsp:rsid wsp:val=&quot;006E4237&quot;/&gt;&lt;wsp:rsid wsp:val=&quot;006E43F0&quot;/&gt;&lt;wsp:rsid wsp:val=&quot;006E53F0&quot;/&gt;&lt;wsp:rsid wsp:val=&quot;006E5415&quot;/&gt;&lt;wsp:rsid wsp:val=&quot;006E5992&quot;/&gt;&lt;wsp:rsid wsp:val=&quot;006E5ABF&quot;/&gt;&lt;wsp:rsid wsp:val=&quot;006E6461&quot;/&gt;&lt;wsp:rsid wsp:val=&quot;006E64CA&quot;/&gt;&lt;wsp:rsid wsp:val=&quot;006E6BF9&quot;/&gt;&lt;wsp:rsid wsp:val=&quot;006E6E96&quot;/&gt;&lt;wsp:rsid wsp:val=&quot;006E75A7&quot;/&gt;&lt;wsp:rsid wsp:val=&quot;006E777E&quot;/&gt;&lt;wsp:rsid wsp:val=&quot;006E797F&quot;/&gt;&lt;wsp:rsid wsp:val=&quot;006F000C&quot;/&gt;&lt;wsp:rsid wsp:val=&quot;006F0164&quot;/&gt;&lt;wsp:rsid wsp:val=&quot;006F0B72&quot;/&gt;&lt;wsp:rsid wsp:val=&quot;006F0D0D&quot;/&gt;&lt;wsp:rsid wsp:val=&quot;006F11B0&quot;/&gt;&lt;wsp:rsid wsp:val=&quot;006F1242&quot;/&gt;&lt;wsp:rsid wsp:val=&quot;006F127D&quot;/&gt;&lt;wsp:rsid wsp:val=&quot;006F1749&quot;/&gt;&lt;wsp:rsid wsp:val=&quot;006F1A7E&quot;/&gt;&lt;wsp:rsid wsp:val=&quot;006F2191&quot;/&gt;&lt;wsp:rsid wsp:val=&quot;006F269D&quot;/&gt;&lt;wsp:rsid wsp:val=&quot;006F26A8&quot;/&gt;&lt;wsp:rsid wsp:val=&quot;006F2855&quot;/&gt;&lt;wsp:rsid wsp:val=&quot;006F2920&quot;/&gt;&lt;wsp:rsid wsp:val=&quot;006F300C&quot;/&gt;&lt;wsp:rsid wsp:val=&quot;006F351E&quot;/&gt;&lt;wsp:rsid wsp:val=&quot;006F388D&quot;/&gt;&lt;wsp:rsid wsp:val=&quot;006F3A12&quot;/&gt;&lt;wsp:rsid wsp:val=&quot;006F4226&quot;/&gt;&lt;wsp:rsid wsp:val=&quot;006F47CF&quot;/&gt;&lt;wsp:rsid wsp:val=&quot;006F4F37&quot;/&gt;&lt;wsp:rsid wsp:val=&quot;006F5352&quot;/&gt;&lt;wsp:rsid wsp:val=&quot;006F5358&quot;/&gt;&lt;wsp:rsid wsp:val=&quot;006F54AF&quot;/&gt;&lt;wsp:rsid wsp:val=&quot;006F557E&quot;/&gt;&lt;wsp:rsid wsp:val=&quot;006F575D&quot;/&gt;&lt;wsp:rsid wsp:val=&quot;006F57D0&quot;/&gt;&lt;wsp:rsid wsp:val=&quot;006F6207&quot;/&gt;&lt;wsp:rsid wsp:val=&quot;006F62C6&quot;/&gt;&lt;wsp:rsid wsp:val=&quot;006F6526&quot;/&gt;&lt;wsp:rsid wsp:val=&quot;006F7267&quot;/&gt;&lt;wsp:rsid wsp:val=&quot;006F75C9&quot;/&gt;&lt;wsp:rsid wsp:val=&quot;006F76FF&quot;/&gt;&lt;wsp:rsid wsp:val=&quot;007002F4&quot;/&gt;&lt;wsp:rsid wsp:val=&quot;00700340&quot;/&gt;&lt;wsp:rsid wsp:val=&quot;007003EE&quot;/&gt;&lt;wsp:rsid wsp:val=&quot;0070057D&quot;/&gt;&lt;wsp:rsid wsp:val=&quot;00700620&quot;/&gt;&lt;wsp:rsid wsp:val=&quot;007008FE&quot;/&gt;&lt;wsp:rsid wsp:val=&quot;007009E2&quot;/&gt;&lt;wsp:rsid wsp:val=&quot;00700E7B&quot;/&gt;&lt;wsp:rsid wsp:val=&quot;00700FBF&quot;/&gt;&lt;wsp:rsid wsp:val=&quot;007015B7&quot;/&gt;&lt;wsp:rsid wsp:val=&quot;00701906&quot;/&gt;&lt;wsp:rsid wsp:val=&quot;00701A65&quot;/&gt;&lt;wsp:rsid wsp:val=&quot;00701C64&quot;/&gt;&lt;wsp:rsid wsp:val=&quot;0070224D&quot;/&gt;&lt;wsp:rsid wsp:val=&quot;007026B9&quot;/&gt;&lt;wsp:rsid wsp:val=&quot;007032AB&quot;/&gt;&lt;wsp:rsid wsp:val=&quot;00703460&quot;/&gt;&lt;wsp:rsid wsp:val=&quot;00703563&quot;/&gt;&lt;wsp:rsid wsp:val=&quot;007035D4&quot;/&gt;&lt;wsp:rsid wsp:val=&quot;007036B0&quot;/&gt;&lt;wsp:rsid wsp:val=&quot;00703B34&quot;/&gt;&lt;wsp:rsid wsp:val=&quot;00703EE2&quot;/&gt;&lt;wsp:rsid wsp:val=&quot;0070423B&quot;/&gt;&lt;wsp:rsid wsp:val=&quot;007046F3&quot;/&gt;&lt;wsp:rsid wsp:val=&quot;00704DA3&quot;/&gt;&lt;wsp:rsid wsp:val=&quot;00704E33&quot;/&gt;&lt;wsp:rsid wsp:val=&quot;0070569E&quot;/&gt;&lt;wsp:rsid wsp:val=&quot;007057B4&quot;/&gt;&lt;wsp:rsid wsp:val=&quot;00705B2B&quot;/&gt;&lt;wsp:rsid wsp:val=&quot;00705E63&quot;/&gt;&lt;wsp:rsid wsp:val=&quot;00705FF0&quot;/&gt;&lt;wsp:rsid wsp:val=&quot;00706DDA&quot;/&gt;&lt;wsp:rsid wsp:val=&quot;00706FFC&quot;/&gt;&lt;wsp:rsid wsp:val=&quot;007070B4&quot;/&gt;&lt;wsp:rsid wsp:val=&quot;0070743D&quot;/&gt;&lt;wsp:rsid wsp:val=&quot;00707447&quot;/&gt;&lt;wsp:rsid wsp:val=&quot;00710267&quot;/&gt;&lt;wsp:rsid wsp:val=&quot;00710960&quot;/&gt;&lt;wsp:rsid wsp:val=&quot;00710B50&quot;/&gt;&lt;wsp:rsid wsp:val=&quot;00710CD9&quot;/&gt;&lt;wsp:rsid wsp:val=&quot;00711DB7&quot;/&gt;&lt;wsp:rsid wsp:val=&quot;00711ED3&quot;/&gt;&lt;wsp:rsid wsp:val=&quot;00711F0C&quot;/&gt;&lt;wsp:rsid wsp:val=&quot;007120F7&quot;/&gt;&lt;wsp:rsid wsp:val=&quot;00712140&quot;/&gt;&lt;wsp:rsid wsp:val=&quot;0071220F&quot;/&gt;&lt;wsp:rsid wsp:val=&quot;0071298C&quot;/&gt;&lt;wsp:rsid wsp:val=&quot;007129DA&quot;/&gt;&lt;wsp:rsid wsp:val=&quot;00713696&quot;/&gt;&lt;wsp:rsid wsp:val=&quot;00713F80&quot;/&gt;&lt;wsp:rsid wsp:val=&quot;00713FE7&quot;/&gt;&lt;wsp:rsid wsp:val=&quot;007141C7&quot;/&gt;&lt;wsp:rsid wsp:val=&quot;00714365&quot;/&gt;&lt;wsp:rsid wsp:val=&quot;0071464E&quot;/&gt;&lt;wsp:rsid wsp:val=&quot;00714B35&quot;/&gt;&lt;wsp:rsid wsp:val=&quot;00714C87&quot;/&gt;&lt;wsp:rsid wsp:val=&quot;00714CC7&quot;/&gt;&lt;wsp:rsid wsp:val=&quot;00715407&quot;/&gt;&lt;wsp:rsid wsp:val=&quot;007156C6&quot;/&gt;&lt;wsp:rsid wsp:val=&quot;00715C64&quot;/&gt;&lt;wsp:rsid wsp:val=&quot;0071628B&quot;/&gt;&lt;wsp:rsid wsp:val=&quot;007166FF&quot;/&gt;&lt;wsp:rsid wsp:val=&quot;00716AAC&quot;/&gt;&lt;wsp:rsid wsp:val=&quot;00716C8C&quot;/&gt;&lt;wsp:rsid wsp:val=&quot;00716FB8&quot;/&gt;&lt;wsp:rsid wsp:val=&quot;007170AA&quot;/&gt;&lt;wsp:rsid wsp:val=&quot;00717890&quot;/&gt;&lt;wsp:rsid wsp:val=&quot;00717D9D&quot;/&gt;&lt;wsp:rsid wsp:val=&quot;00717EBD&quot;/&gt;&lt;wsp:rsid wsp:val=&quot;0072007F&quot;/&gt;&lt;wsp:rsid wsp:val=&quot;00720B98&quot;/&gt;&lt;wsp:rsid wsp:val=&quot;00720CF7&quot;/&gt;&lt;wsp:rsid wsp:val=&quot;00720E29&quot;/&gt;&lt;wsp:rsid wsp:val=&quot;00720FFB&quot;/&gt;&lt;wsp:rsid wsp:val=&quot;00721316&quot;/&gt;&lt;wsp:rsid wsp:val=&quot;007215E6&quot;/&gt;&lt;wsp:rsid wsp:val=&quot;00721838&quot;/&gt;&lt;wsp:rsid wsp:val=&quot;007219BD&quot;/&gt;&lt;wsp:rsid wsp:val=&quot;00722943&quot;/&gt;&lt;wsp:rsid wsp:val=&quot;00722A9B&quot;/&gt;&lt;wsp:rsid wsp:val=&quot;00722DA2&quot;/&gt;&lt;wsp:rsid wsp:val=&quot;007237FC&quot;/&gt;&lt;wsp:rsid wsp:val=&quot;007239E5&quot;/&gt;&lt;wsp:rsid wsp:val=&quot;00723F65&quot;/&gt;&lt;wsp:rsid wsp:val=&quot;007242E3&quot;/&gt;&lt;wsp:rsid wsp:val=&quot;00724492&quot;/&gt;&lt;wsp:rsid wsp:val=&quot;00724C67&quot;/&gt;&lt;wsp:rsid wsp:val=&quot;00724C99&quot;/&gt;&lt;wsp:rsid wsp:val=&quot;00724D89&quot;/&gt;&lt;wsp:rsid wsp:val=&quot;007253AC&quot;/&gt;&lt;wsp:rsid wsp:val=&quot;007258E3&quot;/&gt;&lt;wsp:rsid wsp:val=&quot;00725C9E&quot;/&gt;&lt;wsp:rsid wsp:val=&quot;00725E3A&quot;/&gt;&lt;wsp:rsid wsp:val=&quot;00725F19&quot;/&gt;&lt;wsp:rsid wsp:val=&quot;007266AD&quot;/&gt;&lt;wsp:rsid wsp:val=&quot;00726C07&quot;/&gt;&lt;wsp:rsid wsp:val=&quot;00727109&quot;/&gt;&lt;wsp:rsid wsp:val=&quot;00727B4B&quot;/&gt;&lt;wsp:rsid wsp:val=&quot;00727DD0&quot;/&gt;&lt;wsp:rsid wsp:val=&quot;00727E4E&quot;/&gt;&lt;wsp:rsid wsp:val=&quot;0073013A&quot;/&gt;&lt;wsp:rsid wsp:val=&quot;00730AC2&quot;/&gt;&lt;wsp:rsid wsp:val=&quot;00730D04&quot;/&gt;&lt;wsp:rsid wsp:val=&quot;00731275&quot;/&gt;&lt;wsp:rsid wsp:val=&quot;0073150D&quot;/&gt;&lt;wsp:rsid wsp:val=&quot;007315F4&quot;/&gt;&lt;wsp:rsid wsp:val=&quot;0073251D&quot;/&gt;&lt;wsp:rsid wsp:val=&quot;00732641&quot;/&gt;&lt;wsp:rsid wsp:val=&quot;00733248&quot;/&gt;&lt;wsp:rsid wsp:val=&quot;007348A8&quot;/&gt;&lt;wsp:rsid wsp:val=&quot;0073516D&quot;/&gt;&lt;wsp:rsid wsp:val=&quot;007355FE&quot;/&gt;&lt;wsp:rsid wsp:val=&quot;007359A5&quot;/&gt;&lt;wsp:rsid wsp:val=&quot;00735B51&quot;/&gt;&lt;wsp:rsid wsp:val=&quot;00735E11&quot;/&gt;&lt;wsp:rsid wsp:val=&quot;00736CBF&quot;/&gt;&lt;wsp:rsid wsp:val=&quot;007372D0&quot;/&gt;&lt;wsp:rsid wsp:val=&quot;007374C9&quot;/&gt;&lt;wsp:rsid wsp:val=&quot;007374E8&quot;/&gt;&lt;wsp:rsid wsp:val=&quot;0073758C&quot;/&gt;&lt;wsp:rsid wsp:val=&quot;00737651&quot;/&gt;&lt;wsp:rsid wsp:val=&quot;00737671&quot;/&gt;&lt;wsp:rsid wsp:val=&quot;00737773&quot;/&gt;&lt;wsp:rsid wsp:val=&quot;00737F6F&quot;/&gt;&lt;wsp:rsid wsp:val=&quot;0074047E&quot;/&gt;&lt;wsp:rsid wsp:val=&quot;0074076C&quot;/&gt;&lt;wsp:rsid wsp:val=&quot;0074097B&quot;/&gt;&lt;wsp:rsid wsp:val=&quot;007416E8&quot;/&gt;&lt;wsp:rsid wsp:val=&quot;00741953&quot;/&gt;&lt;wsp:rsid wsp:val=&quot;007424B6&quot;/&gt;&lt;wsp:rsid wsp:val=&quot;0074293E&quot;/&gt;&lt;wsp:rsid wsp:val=&quot;00742ADA&quot;/&gt;&lt;wsp:rsid wsp:val=&quot;00742FC7&quot;/&gt;&lt;wsp:rsid wsp:val=&quot;007443B2&quot;/&gt;&lt;wsp:rsid wsp:val=&quot;00744696&quot;/&gt;&lt;wsp:rsid wsp:val=&quot;007446EA&quot;/&gt;&lt;wsp:rsid wsp:val=&quot;0074503F&quot;/&gt;&lt;wsp:rsid wsp:val=&quot;00745041&quot;/&gt;&lt;wsp:rsid wsp:val=&quot;00745719&quot;/&gt;&lt;wsp:rsid wsp:val=&quot;007459E5&quot;/&gt;&lt;wsp:rsid wsp:val=&quot;00745AE5&quot;/&gt;&lt;wsp:rsid wsp:val=&quot;00745CCE&quot;/&gt;&lt;wsp:rsid wsp:val=&quot;00746574&quot;/&gt;&lt;wsp:rsid wsp:val=&quot;00746F69&quot;/&gt;&lt;wsp:rsid wsp:val=&quot;0074732D&quot;/&gt;&lt;wsp:rsid wsp:val=&quot;00747566&quot;/&gt;&lt;wsp:rsid wsp:val=&quot;0074780C&quot;/&gt;&lt;wsp:rsid wsp:val=&quot;00747910&quot;/&gt;&lt;wsp:rsid wsp:val=&quot;00747AC0&quot;/&gt;&lt;wsp:rsid wsp:val=&quot;00747F25&quot;/&gt;&lt;wsp:rsid wsp:val=&quot;00750335&quot;/&gt;&lt;wsp:rsid wsp:val=&quot;007503C6&quot;/&gt;&lt;wsp:rsid wsp:val=&quot;007509E0&quot;/&gt;&lt;wsp:rsid wsp:val=&quot;00751016&quot;/&gt;&lt;wsp:rsid wsp:val=&quot;007510B1&quot;/&gt;&lt;wsp:rsid wsp:val=&quot;0075149A&quot;/&gt;&lt;wsp:rsid wsp:val=&quot;00751A17&quot;/&gt;&lt;wsp:rsid wsp:val=&quot;00751DF6&quot;/&gt;&lt;wsp:rsid wsp:val=&quot;0075230F&quot;/&gt;&lt;wsp:rsid wsp:val=&quot;0075261B&quot;/&gt;&lt;wsp:rsid wsp:val=&quot;00753233&quot;/&gt;&lt;wsp:rsid wsp:val=&quot;007535BA&quot;/&gt;&lt;wsp:rsid wsp:val=&quot;00753B78&quot;/&gt;&lt;wsp:rsid wsp:val=&quot;00754014&quot;/&gt;&lt;wsp:rsid wsp:val=&quot;007542E0&quot;/&gt;&lt;wsp:rsid wsp:val=&quot;007547AB&quot;/&gt;&lt;wsp:rsid wsp:val=&quot;007548EA&quot;/&gt;&lt;wsp:rsid wsp:val=&quot;00754F31&quot;/&gt;&lt;wsp:rsid wsp:val=&quot;00755248&quot;/&gt;&lt;wsp:rsid wsp:val=&quot;00755480&quot;/&gt;&lt;wsp:rsid wsp:val=&quot;00755892&quot;/&gt;&lt;wsp:rsid wsp:val=&quot;00755901&quot;/&gt;&lt;wsp:rsid wsp:val=&quot;00756164&quot;/&gt;&lt;wsp:rsid wsp:val=&quot;00756541&quot;/&gt;&lt;wsp:rsid wsp:val=&quot;0075732A&quot;/&gt;&lt;wsp:rsid wsp:val=&quot;007576F7&quot;/&gt;&lt;wsp:rsid wsp:val=&quot;0075772E&quot;/&gt;&lt;wsp:rsid wsp:val=&quot;007577B9&quot;/&gt;&lt;wsp:rsid wsp:val=&quot;00757ECF&quot;/&gt;&lt;wsp:rsid wsp:val=&quot;007605BF&quot;/&gt;&lt;wsp:rsid wsp:val=&quot;00760A42&quot;/&gt;&lt;wsp:rsid wsp:val=&quot;00760B69&quot;/&gt;&lt;wsp:rsid wsp:val=&quot;00762076&quot;/&gt;&lt;wsp:rsid wsp:val=&quot;0076216C&quot;/&gt;&lt;wsp:rsid wsp:val=&quot;0076299F&quot;/&gt;&lt;wsp:rsid wsp:val=&quot;00762B7D&quot;/&gt;&lt;wsp:rsid wsp:val=&quot;00762DBA&quot;/&gt;&lt;wsp:rsid wsp:val=&quot;00762E9B&quot;/&gt;&lt;wsp:rsid wsp:val=&quot;00762F93&quot;/&gt;&lt;wsp:rsid wsp:val=&quot;00763AE0&quot;/&gt;&lt;wsp:rsid wsp:val=&quot;00763AEE&quot;/&gt;&lt;wsp:rsid wsp:val=&quot;00764541&quot;/&gt;&lt;wsp:rsid wsp:val=&quot;00764629&quot;/&gt;&lt;wsp:rsid wsp:val=&quot;007646EF&quot;/&gt;&lt;wsp:rsid wsp:val=&quot;0076495D&quot;/&gt;&lt;wsp:rsid wsp:val=&quot;00764C1E&quot;/&gt;&lt;wsp:rsid wsp:val=&quot;00764CBB&quot;/&gt;&lt;wsp:rsid wsp:val=&quot;00764F9E&quot;/&gt;&lt;wsp:rsid wsp:val=&quot;0076505A&quot;/&gt;&lt;wsp:rsid wsp:val=&quot;0076592B&quot;/&gt;&lt;wsp:rsid wsp:val=&quot;00765C17&quot;/&gt;&lt;wsp:rsid wsp:val=&quot;00765CF9&quot;/&gt;&lt;wsp:rsid wsp:val=&quot;00765FD7&quot;/&gt;&lt;wsp:rsid wsp:val=&quot;00766504&quot;/&gt;&lt;wsp:rsid wsp:val=&quot;00766A32&quot;/&gt;&lt;wsp:rsid wsp:val=&quot;00766CE7&quot;/&gt;&lt;wsp:rsid wsp:val=&quot;00767256&quot;/&gt;&lt;wsp:rsid wsp:val=&quot;00767A58&quot;/&gt;&lt;wsp:rsid wsp:val=&quot;00770198&quot;/&gt;&lt;wsp:rsid wsp:val=&quot;00770326&quot;/&gt;&lt;wsp:rsid wsp:val=&quot;007705F7&quot;/&gt;&lt;wsp:rsid wsp:val=&quot;007709E3&quot;/&gt;&lt;wsp:rsid wsp:val=&quot;00770A08&quot;/&gt;&lt;wsp:rsid wsp:val=&quot;00770A29&quot;/&gt;&lt;wsp:rsid wsp:val=&quot;00770ABA&quot;/&gt;&lt;wsp:rsid wsp:val=&quot;00770B9F&quot;/&gt;&lt;wsp:rsid wsp:val=&quot;007712B2&quot;/&gt;&lt;wsp:rsid wsp:val=&quot;00771431&quot;/&gt;&lt;wsp:rsid wsp:val=&quot;00771877&quot;/&gt;&lt;wsp:rsid wsp:val=&quot;00771A1F&quot;/&gt;&lt;wsp:rsid wsp:val=&quot;00771A7A&quot;/&gt;&lt;wsp:rsid wsp:val=&quot;00773111&quot;/&gt;&lt;wsp:rsid wsp:val=&quot;00773219&quot;/&gt;&lt;wsp:rsid wsp:val=&quot;0077350E&quot;/&gt;&lt;wsp:rsid wsp:val=&quot;00773851&quot;/&gt;&lt;wsp:rsid wsp:val=&quot;007738DB&quot;/&gt;&lt;wsp:rsid wsp:val=&quot;00773BBF&quot;/&gt;&lt;wsp:rsid wsp:val=&quot;00773EB7&quot;/&gt;&lt;wsp:rsid wsp:val=&quot;00773F2C&quot;/&gt;&lt;wsp:rsid wsp:val=&quot;00774471&quot;/&gt;&lt;wsp:rsid wsp:val=&quot;0077497F&quot;/&gt;&lt;wsp:rsid wsp:val=&quot;00775616&quot;/&gt;&lt;wsp:rsid wsp:val=&quot;00775A93&quot;/&gt;&lt;wsp:rsid wsp:val=&quot;007763CC&quot;/&gt;&lt;wsp:rsid wsp:val=&quot;00776404&quot;/&gt;&lt;wsp:rsid wsp:val=&quot;00776407&quot;/&gt;&lt;wsp:rsid wsp:val=&quot;00776409&quot;/&gt;&lt;wsp:rsid wsp:val=&quot;00776E14&quot;/&gt;&lt;wsp:rsid wsp:val=&quot;007802FB&quot;/&gt;&lt;wsp:rsid wsp:val=&quot;007805EA&quot;/&gt;&lt;wsp:rsid wsp:val=&quot;00780726&quot;/&gt;&lt;wsp:rsid wsp:val=&quot;00780A8F&quot;/&gt;&lt;wsp:rsid wsp:val=&quot;00781370&quot;/&gt;&lt;wsp:rsid wsp:val=&quot;007814E8&quot;/&gt;&lt;wsp:rsid wsp:val=&quot;007815B3&quot;/&gt;&lt;wsp:rsid wsp:val=&quot;0078239D&quot;/&gt;&lt;wsp:rsid wsp:val=&quot;0078250A&quot;/&gt;&lt;wsp:rsid wsp:val=&quot;00782A94&quot;/&gt;&lt;wsp:rsid wsp:val=&quot;00782EAD&quot;/&gt;&lt;wsp:rsid wsp:val=&quot;0078316A&quot;/&gt;&lt;wsp:rsid wsp:val=&quot;00783693&quot;/&gt;&lt;wsp:rsid wsp:val=&quot;007836A4&quot;/&gt;&lt;wsp:rsid wsp:val=&quot;00783824&quot;/&gt;&lt;wsp:rsid wsp:val=&quot;00783AD9&quot;/&gt;&lt;wsp:rsid wsp:val=&quot;00783F96&quot;/&gt;&lt;wsp:rsid wsp:val=&quot;0078409F&quot;/&gt;&lt;wsp:rsid wsp:val=&quot;00784144&quot;/&gt;&lt;wsp:rsid wsp:val=&quot;00784361&quot;/&gt;&lt;wsp:rsid wsp:val=&quot;007843FC&quot;/&gt;&lt;wsp:rsid wsp:val=&quot;00784DBF&quot;/&gt;&lt;wsp:rsid wsp:val=&quot;00784ECA&quot;/&gt;&lt;wsp:rsid wsp:val=&quot;007854F0&quot;/&gt;&lt;wsp:rsid wsp:val=&quot;007856F0&quot;/&gt;&lt;wsp:rsid wsp:val=&quot;00785CD6&quot;/&gt;&lt;wsp:rsid wsp:val=&quot;00786CB3&quot;/&gt;&lt;wsp:rsid wsp:val=&quot;00787284&quot;/&gt;&lt;wsp:rsid wsp:val=&quot;00787299&quot;/&gt;&lt;wsp:rsid wsp:val=&quot;00787391&quot;/&gt;&lt;wsp:rsid wsp:val=&quot;00787588&quot;/&gt;&lt;wsp:rsid wsp:val=&quot;00787761&quot;/&gt;&lt;wsp:rsid wsp:val=&quot;00787AE8&quot;/&gt;&lt;wsp:rsid wsp:val=&quot;00787E70&quot;/&gt;&lt;wsp:rsid wsp:val=&quot;00787FFA&quot;/&gt;&lt;wsp:rsid wsp:val=&quot;007905C0&quot;/&gt;&lt;wsp:rsid wsp:val=&quot;007906E9&quot;/&gt;&lt;wsp:rsid wsp:val=&quot;0079074F&quot;/&gt;&lt;wsp:rsid wsp:val=&quot;0079098A&quot;/&gt;&lt;wsp:rsid wsp:val=&quot;0079196A&quot;/&gt;&lt;wsp:rsid wsp:val=&quot;00791A8E&quot;/&gt;&lt;wsp:rsid wsp:val=&quot;00791F0C&quot;/&gt;&lt;wsp:rsid wsp:val=&quot;007922BC&quot;/&gt;&lt;wsp:rsid wsp:val=&quot;00792948&quot;/&gt;&lt;wsp:rsid wsp:val=&quot;00793033&quot;/&gt;&lt;wsp:rsid wsp:val=&quot;00793603&quot;/&gt;&lt;wsp:rsid wsp:val=&quot;00793EAE&quot;/&gt;&lt;wsp:rsid wsp:val=&quot;00793F0E&quot;/&gt;&lt;wsp:rsid wsp:val=&quot;00793FFF&quot;/&gt;&lt;wsp:rsid wsp:val=&quot;00794205&quot;/&gt;&lt;wsp:rsid wsp:val=&quot;0079479C&quot;/&gt;&lt;wsp:rsid wsp:val=&quot;00794A0E&quot;/&gt;&lt;wsp:rsid wsp:val=&quot;00794A14&quot;/&gt;&lt;wsp:rsid wsp:val=&quot;00794D8C&quot;/&gt;&lt;wsp:rsid wsp:val=&quot;0079539C&quot;/&gt;&lt;wsp:rsid wsp:val=&quot;00795682&quot;/&gt;&lt;wsp:rsid wsp:val=&quot;00795BF3&quot;/&gt;&lt;wsp:rsid wsp:val=&quot;00795E74&quot;/&gt;&lt;wsp:rsid wsp:val=&quot;0079670E&quot;/&gt;&lt;wsp:rsid wsp:val=&quot;00796880&quot;/&gt;&lt;wsp:rsid wsp:val=&quot;007977DC&quot;/&gt;&lt;wsp:rsid wsp:val=&quot;00797931&quot;/&gt;&lt;wsp:rsid wsp:val=&quot;007A1746&quot;/&gt;&lt;wsp:rsid wsp:val=&quot;007A2966&quot;/&gt;&lt;wsp:rsid wsp:val=&quot;007A2A83&quot;/&gt;&lt;wsp:rsid wsp:val=&quot;007A2A98&quot;/&gt;&lt;wsp:rsid wsp:val=&quot;007A2D2C&quot;/&gt;&lt;wsp:rsid wsp:val=&quot;007A3735&quot;/&gt;&lt;wsp:rsid wsp:val=&quot;007A3910&quot;/&gt;&lt;wsp:rsid wsp:val=&quot;007A41BD&quot;/&gt;&lt;wsp:rsid wsp:val=&quot;007A4323&quot;/&gt;&lt;wsp:rsid wsp:val=&quot;007A5186&quot;/&gt;&lt;wsp:rsid wsp:val=&quot;007A5507&quot;/&gt;&lt;wsp:rsid wsp:val=&quot;007A55C9&quot;/&gt;&lt;wsp:rsid wsp:val=&quot;007A55DE&quot;/&gt;&lt;wsp:rsid wsp:val=&quot;007A5672&quot;/&gt;&lt;wsp:rsid wsp:val=&quot;007A577F&quot;/&gt;&lt;wsp:rsid wsp:val=&quot;007A5A46&quot;/&gt;&lt;wsp:rsid wsp:val=&quot;007A5DF6&quot;/&gt;&lt;wsp:rsid wsp:val=&quot;007A60BF&quot;/&gt;&lt;wsp:rsid wsp:val=&quot;007A617E&quot;/&gt;&lt;wsp:rsid wsp:val=&quot;007A6184&quot;/&gt;&lt;wsp:rsid wsp:val=&quot;007A61BA&quot;/&gt;&lt;wsp:rsid wsp:val=&quot;007A63F1&quot;/&gt;&lt;wsp:rsid wsp:val=&quot;007A6716&quot;/&gt;&lt;wsp:rsid wsp:val=&quot;007A689F&quot;/&gt;&lt;wsp:rsid wsp:val=&quot;007A6F9B&quot;/&gt;&lt;wsp:rsid wsp:val=&quot;007A6FC6&quot;/&gt;&lt;wsp:rsid wsp:val=&quot;007A77E2&quot;/&gt;&lt;wsp:rsid wsp:val=&quot;007A7BC3&quot;/&gt;&lt;wsp:rsid wsp:val=&quot;007B05FD&quot;/&gt;&lt;wsp:rsid wsp:val=&quot;007B0681&quot;/&gt;&lt;wsp:rsid wsp:val=&quot;007B0F26&quot;/&gt;&lt;wsp:rsid wsp:val=&quot;007B0FA2&quot;/&gt;&lt;wsp:rsid wsp:val=&quot;007B12CF&quot;/&gt;&lt;wsp:rsid wsp:val=&quot;007B33BB&quot;/&gt;&lt;wsp:rsid wsp:val=&quot;007B36B0&quot;/&gt;&lt;wsp:rsid wsp:val=&quot;007B4A76&quot;/&gt;&lt;wsp:rsid wsp:val=&quot;007B4C13&quot;/&gt;&lt;wsp:rsid wsp:val=&quot;007B4D2B&quot;/&gt;&lt;wsp:rsid wsp:val=&quot;007B4EE1&quot;/&gt;&lt;wsp:rsid wsp:val=&quot;007B52FE&quot;/&gt;&lt;wsp:rsid wsp:val=&quot;007B5F37&quot;/&gt;&lt;wsp:rsid wsp:val=&quot;007B609A&quot;/&gt;&lt;wsp:rsid wsp:val=&quot;007B60D6&quot;/&gt;&lt;wsp:rsid wsp:val=&quot;007B6136&quot;/&gt;&lt;wsp:rsid wsp:val=&quot;007B64F8&quot;/&gt;&lt;wsp:rsid wsp:val=&quot;007B663E&quot;/&gt;&lt;wsp:rsid wsp:val=&quot;007B6A3E&quot;/&gt;&lt;wsp:rsid wsp:val=&quot;007B6EB3&quot;/&gt;&lt;wsp:rsid wsp:val=&quot;007B6F1C&quot;/&gt;&lt;wsp:rsid wsp:val=&quot;007B7501&quot;/&gt;&lt;wsp:rsid wsp:val=&quot;007B7C07&quot;/&gt;&lt;wsp:rsid wsp:val=&quot;007B7D4F&quot;/&gt;&lt;wsp:rsid wsp:val=&quot;007B7DD3&quot;/&gt;&lt;wsp:rsid wsp:val=&quot;007B7E01&quot;/&gt;&lt;wsp:rsid wsp:val=&quot;007C0412&quot;/&gt;&lt;wsp:rsid wsp:val=&quot;007C08B8&quot;/&gt;&lt;wsp:rsid wsp:val=&quot;007C0BF6&quot;/&gt;&lt;wsp:rsid wsp:val=&quot;007C1292&quot;/&gt;&lt;wsp:rsid wsp:val=&quot;007C16F9&quot;/&gt;&lt;wsp:rsid wsp:val=&quot;007C1B5D&quot;/&gt;&lt;wsp:rsid wsp:val=&quot;007C1C23&quot;/&gt;&lt;wsp:rsid wsp:val=&quot;007C1E05&quot;/&gt;&lt;wsp:rsid wsp:val=&quot;007C24E2&quot;/&gt;&lt;wsp:rsid wsp:val=&quot;007C280B&quot;/&gt;&lt;wsp:rsid wsp:val=&quot;007C32E5&quot;/&gt;&lt;wsp:rsid wsp:val=&quot;007C3392&quot;/&gt;&lt;wsp:rsid wsp:val=&quot;007C4654&quot;/&gt;&lt;wsp:rsid wsp:val=&quot;007C46C8&quot;/&gt;&lt;wsp:rsid wsp:val=&quot;007C47EB&quot;/&gt;&lt;wsp:rsid wsp:val=&quot;007C4D27&quot;/&gt;&lt;wsp:rsid wsp:val=&quot;007C5294&quot;/&gt;&lt;wsp:rsid wsp:val=&quot;007C54F3&quot;/&gt;&lt;wsp:rsid wsp:val=&quot;007C5A5E&quot;/&gt;&lt;wsp:rsid wsp:val=&quot;007C5B90&quot;/&gt;&lt;wsp:rsid wsp:val=&quot;007C5BEA&quot;/&gt;&lt;wsp:rsid wsp:val=&quot;007C608A&quot;/&gt;&lt;wsp:rsid wsp:val=&quot;007C64BA&quot;/&gt;&lt;wsp:rsid wsp:val=&quot;007C64F6&quot;/&gt;&lt;wsp:rsid wsp:val=&quot;007C668A&quot;/&gt;&lt;wsp:rsid wsp:val=&quot;007C6CFE&quot;/&gt;&lt;wsp:rsid wsp:val=&quot;007C6D9E&quot;/&gt;&lt;wsp:rsid wsp:val=&quot;007C6E57&quot;/&gt;&lt;wsp:rsid wsp:val=&quot;007C6EE5&quot;/&gt;&lt;wsp:rsid wsp:val=&quot;007C6FD8&quot;/&gt;&lt;wsp:rsid wsp:val=&quot;007C714F&quot;/&gt;&lt;wsp:rsid wsp:val=&quot;007C7870&quot;/&gt;&lt;wsp:rsid wsp:val=&quot;007C7952&quot;/&gt;&lt;wsp:rsid wsp:val=&quot;007C7B7D&quot;/&gt;&lt;wsp:rsid wsp:val=&quot;007C7B91&quot;/&gt;&lt;wsp:rsid wsp:val=&quot;007D0381&quot;/&gt;&lt;wsp:rsid wsp:val=&quot;007D0A06&quot;/&gt;&lt;wsp:rsid wsp:val=&quot;007D0A28&quot;/&gt;&lt;wsp:rsid wsp:val=&quot;007D0B79&quot;/&gt;&lt;wsp:rsid wsp:val=&quot;007D0D65&quot;/&gt;&lt;wsp:rsid wsp:val=&quot;007D2061&quot;/&gt;&lt;wsp:rsid wsp:val=&quot;007D24E8&quot;/&gt;&lt;wsp:rsid wsp:val=&quot;007D286C&quot;/&gt;&lt;wsp:rsid wsp:val=&quot;007D2C15&quot;/&gt;&lt;wsp:rsid wsp:val=&quot;007D2DD6&quot;/&gt;&lt;wsp:rsid wsp:val=&quot;007D30D4&quot;/&gt;&lt;wsp:rsid wsp:val=&quot;007D36A5&quot;/&gt;&lt;wsp:rsid wsp:val=&quot;007D3B5C&quot;/&gt;&lt;wsp:rsid wsp:val=&quot;007D3EEE&quot;/&gt;&lt;wsp:rsid wsp:val=&quot;007D461C&quot;/&gt;&lt;wsp:rsid wsp:val=&quot;007D4C97&quot;/&gt;&lt;wsp:rsid wsp:val=&quot;007D4EBB&quot;/&gt;&lt;wsp:rsid wsp:val=&quot;007D526C&quot;/&gt;&lt;wsp:rsid wsp:val=&quot;007D5D1B&quot;/&gt;&lt;wsp:rsid wsp:val=&quot;007D6509&quot;/&gt;&lt;wsp:rsid wsp:val=&quot;007D659B&quot;/&gt;&lt;wsp:rsid wsp:val=&quot;007D65A8&quot;/&gt;&lt;wsp:rsid wsp:val=&quot;007D683C&quot;/&gt;&lt;wsp:rsid wsp:val=&quot;007D6A47&quot;/&gt;&lt;wsp:rsid wsp:val=&quot;007D7DE9&quot;/&gt;&lt;wsp:rsid wsp:val=&quot;007D7E64&quot;/&gt;&lt;wsp:rsid wsp:val=&quot;007D7F67&quot;/&gt;&lt;wsp:rsid wsp:val=&quot;007D7FB8&quot;/&gt;&lt;wsp:rsid wsp:val=&quot;007E042F&quot;/&gt;&lt;wsp:rsid wsp:val=&quot;007E0979&quot;/&gt;&lt;wsp:rsid wsp:val=&quot;007E19F2&quot;/&gt;&lt;wsp:rsid wsp:val=&quot;007E1F0E&quot;/&gt;&lt;wsp:rsid wsp:val=&quot;007E20CA&quot;/&gt;&lt;wsp:rsid wsp:val=&quot;007E2274&quot;/&gt;&lt;wsp:rsid wsp:val=&quot;007E24B9&quot;/&gt;&lt;wsp:rsid wsp:val=&quot;007E28D4&quot;/&gt;&lt;wsp:rsid wsp:val=&quot;007E3D2A&quot;/&gt;&lt;wsp:rsid wsp:val=&quot;007E3D4E&quot;/&gt;&lt;wsp:rsid wsp:val=&quot;007E40D8&quot;/&gt;&lt;wsp:rsid wsp:val=&quot;007E411E&quot;/&gt;&lt;wsp:rsid wsp:val=&quot;007E46BC&quot;/&gt;&lt;wsp:rsid wsp:val=&quot;007E4B3E&quot;/&gt;&lt;wsp:rsid wsp:val=&quot;007E557F&quot;/&gt;&lt;wsp:rsid wsp:val=&quot;007E5628&quot;/&gt;&lt;wsp:rsid wsp:val=&quot;007E5C41&quot;/&gt;&lt;wsp:rsid wsp:val=&quot;007E5E56&quot;/&gt;&lt;wsp:rsid wsp:val=&quot;007E612A&quot;/&gt;&lt;wsp:rsid wsp:val=&quot;007E6703&quot;/&gt;&lt;wsp:rsid wsp:val=&quot;007E6C4B&quot;/&gt;&lt;wsp:rsid wsp:val=&quot;007E7033&quot;/&gt;&lt;wsp:rsid wsp:val=&quot;007E78A2&quot;/&gt;&lt;wsp:rsid wsp:val=&quot;007E7B6B&quot;/&gt;&lt;wsp:rsid wsp:val=&quot;007F0D0B&quot;/&gt;&lt;wsp:rsid wsp:val=&quot;007F0D67&quot;/&gt;&lt;wsp:rsid wsp:val=&quot;007F1029&quot;/&gt;&lt;wsp:rsid wsp:val=&quot;007F11C2&quot;/&gt;&lt;wsp:rsid wsp:val=&quot;007F14FA&quot;/&gt;&lt;wsp:rsid wsp:val=&quot;007F15C6&quot;/&gt;&lt;wsp:rsid wsp:val=&quot;007F1D12&quot;/&gt;&lt;wsp:rsid wsp:val=&quot;007F1FD1&quot;/&gt;&lt;wsp:rsid wsp:val=&quot;007F21A6&quot;/&gt;&lt;wsp:rsid wsp:val=&quot;007F29F6&quot;/&gt;&lt;wsp:rsid wsp:val=&quot;007F2B96&quot;/&gt;&lt;wsp:rsid wsp:val=&quot;007F2CF5&quot;/&gt;&lt;wsp:rsid wsp:val=&quot;007F2E84&quot;/&gt;&lt;wsp:rsid wsp:val=&quot;007F3ACE&quot;/&gt;&lt;wsp:rsid wsp:val=&quot;007F4B5F&quot;/&gt;&lt;wsp:rsid wsp:val=&quot;007F4CFD&quot;/&gt;&lt;wsp:rsid wsp:val=&quot;007F5A28&quot;/&gt;&lt;wsp:rsid wsp:val=&quot;007F611D&quot;/&gt;&lt;wsp:rsid wsp:val=&quot;007F650D&quot;/&gt;&lt;wsp:rsid wsp:val=&quot;007F7A17&quot;/&gt;&lt;wsp:rsid wsp:val=&quot;007F7A26&quot;/&gt;&lt;wsp:rsid wsp:val=&quot;00800ED0&quot;/&gt;&lt;wsp:rsid wsp:val=&quot;00801094&quot;/&gt;&lt;wsp:rsid wsp:val=&quot;0080146B&quot;/&gt;&lt;wsp:rsid wsp:val=&quot;00801B5F&quot;/&gt;&lt;wsp:rsid wsp:val=&quot;008020EC&quot;/&gt;&lt;wsp:rsid wsp:val=&quot;00802394&quot;/&gt;&lt;wsp:rsid wsp:val=&quot;00803975&quot;/&gt;&lt;wsp:rsid wsp:val=&quot;00803A0B&quot;/&gt;&lt;wsp:rsid wsp:val=&quot;00804158&quot;/&gt;&lt;wsp:rsid wsp:val=&quot;00804393&quot;/&gt;&lt;wsp:rsid wsp:val=&quot;008047DB&quot;/&gt;&lt;wsp:rsid wsp:val=&quot;00804CA1&quot;/&gt;&lt;wsp:rsid wsp:val=&quot;00805042&quot;/&gt;&lt;wsp:rsid wsp:val=&quot;0080515E&quot;/&gt;&lt;wsp:rsid wsp:val=&quot;00805268&quot;/&gt;&lt;wsp:rsid wsp:val=&quot;00805F65&quot;/&gt;&lt;wsp:rsid wsp:val=&quot;0080626E&quot;/&gt;&lt;wsp:rsid wsp:val=&quot;008062AA&quot;/&gt;&lt;wsp:rsid wsp:val=&quot;00806FE0&quot;/&gt;&lt;wsp:rsid wsp:val=&quot;00807176&quot;/&gt;&lt;wsp:rsid wsp:val=&quot;008077BA&quot;/&gt;&lt;wsp:rsid wsp:val=&quot;008078E6&quot;/&gt;&lt;wsp:rsid wsp:val=&quot;00807C6D&quot;/&gt;&lt;wsp:rsid wsp:val=&quot;00807FE8&quot;/&gt;&lt;wsp:rsid wsp:val=&quot;0081000D&quot;/&gt;&lt;wsp:rsid wsp:val=&quot;00810211&quot;/&gt;&lt;wsp:rsid wsp:val=&quot;008102D9&quot;/&gt;&lt;wsp:rsid wsp:val=&quot;00810437&quot;/&gt;&lt;wsp:rsid wsp:val=&quot;00810A75&quot;/&gt;&lt;wsp:rsid wsp:val=&quot;00810CE0&quot;/&gt;&lt;wsp:rsid wsp:val=&quot;008112F4&quot;/&gt;&lt;wsp:rsid wsp:val=&quot;00811505&quot;/&gt;&lt;wsp:rsid wsp:val=&quot;0081154D&quot;/&gt;&lt;wsp:rsid wsp:val=&quot;0081156E&quot;/&gt;&lt;wsp:rsid wsp:val=&quot;00811BB3&quot;/&gt;&lt;wsp:rsid wsp:val=&quot;00811D66&quot;/&gt;&lt;wsp:rsid wsp:val=&quot;00812431&quot;/&gt;&lt;wsp:rsid wsp:val=&quot;00812E0E&quot;/&gt;&lt;wsp:rsid wsp:val=&quot;008130E1&quot;/&gt;&lt;wsp:rsid wsp:val=&quot;00813455&quot;/&gt;&lt;wsp:rsid wsp:val=&quot;00813A2D&quot;/&gt;&lt;wsp:rsid wsp:val=&quot;00813FE4&quot;/&gt;&lt;wsp:rsid wsp:val=&quot;00815082&quot;/&gt;&lt;wsp:rsid wsp:val=&quot;00816077&quot;/&gt;&lt;wsp:rsid wsp:val=&quot;0081614B&quot;/&gt;&lt;wsp:rsid wsp:val=&quot;008161CE&quot;/&gt;&lt;wsp:rsid wsp:val=&quot;008164FA&quot;/&gt;&lt;wsp:rsid wsp:val=&quot;008165F2&quot;/&gt;&lt;wsp:rsid wsp:val=&quot;00817293&quot;/&gt;&lt;wsp:rsid wsp:val=&quot;0081773A&quot;/&gt;&lt;wsp:rsid wsp:val=&quot;00817910&quot;/&gt;&lt;wsp:rsid wsp:val=&quot;00817D54&quot;/&gt;&lt;wsp:rsid wsp:val=&quot;00820487&quot;/&gt;&lt;wsp:rsid wsp:val=&quot;00820C7B&quot;/&gt;&lt;wsp:rsid wsp:val=&quot;00820E0C&quot;/&gt;&lt;wsp:rsid wsp:val=&quot;00820E6E&quot;/&gt;&lt;wsp:rsid wsp:val=&quot;00821652&quot;/&gt;&lt;wsp:rsid wsp:val=&quot;008217E9&quot;/&gt;&lt;wsp:rsid wsp:val=&quot;0082189F&quot;/&gt;&lt;wsp:rsid wsp:val=&quot;008224E5&quot;/&gt;&lt;wsp:rsid wsp:val=&quot;00822E5E&quot;/&gt;&lt;wsp:rsid wsp:val=&quot;00823D28&quot;/&gt;&lt;wsp:rsid wsp:val=&quot;00824597&quot;/&gt;&lt;wsp:rsid wsp:val=&quot;008245D7&quot;/&gt;&lt;wsp:rsid wsp:val=&quot;00824B99&quot;/&gt;&lt;wsp:rsid wsp:val=&quot;00824D96&quot;/&gt;&lt;wsp:rsid wsp:val=&quot;0082580A&quot;/&gt;&lt;wsp:rsid wsp:val=&quot;00825837&quot;/&gt;&lt;wsp:rsid wsp:val=&quot;00825ABA&quot;/&gt;&lt;wsp:rsid wsp:val=&quot;00825B13&quot;/&gt;&lt;wsp:rsid wsp:val=&quot;00826305&quot;/&gt;&lt;wsp:rsid wsp:val=&quot;0082685F&quot;/&gt;&lt;wsp:rsid wsp:val=&quot;0082721E&quot;/&gt;&lt;wsp:rsid wsp:val=&quot;008273A5&quot;/&gt;&lt;wsp:rsid wsp:val=&quot;00827C10&quot;/&gt;&lt;wsp:rsid wsp:val=&quot;0083013C&quot;/&gt;&lt;wsp:rsid wsp:val=&quot;008302CC&quot;/&gt;&lt;wsp:rsid wsp:val=&quot;0083087D&quot;/&gt;&lt;wsp:rsid wsp:val=&quot;00830D57&quot;/&gt;&lt;wsp:rsid wsp:val=&quot;00830F6A&quot;/&gt;&lt;wsp:rsid wsp:val=&quot;00831CD5&quot;/&gt;&lt;wsp:rsid wsp:val=&quot;00831DF8&quot;/&gt;&lt;wsp:rsid wsp:val=&quot;008320A3&quot;/&gt;&lt;wsp:rsid wsp:val=&quot;0083277B&quot;/&gt;&lt;wsp:rsid wsp:val=&quot;0083283B&quot;/&gt;&lt;wsp:rsid wsp:val=&quot;008331FC&quot;/&gt;&lt;wsp:rsid wsp:val=&quot;0083336C&quot;/&gt;&lt;wsp:rsid wsp:val=&quot;008334E2&quot;/&gt;&lt;wsp:rsid wsp:val=&quot;00833A89&quot;/&gt;&lt;wsp:rsid wsp:val=&quot;008340FF&quot;/&gt;&lt;wsp:rsid wsp:val=&quot;00834518&quot;/&gt;&lt;wsp:rsid wsp:val=&quot;0083459E&quot;/&gt;&lt;wsp:rsid wsp:val=&quot;00834654&quot;/&gt;&lt;wsp:rsid wsp:val=&quot;00834B6B&quot;/&gt;&lt;wsp:rsid wsp:val=&quot;00834D57&quot;/&gt;&lt;wsp:rsid wsp:val=&quot;0083518C&quot;/&gt;&lt;wsp:rsid wsp:val=&quot;008351C2&quot;/&gt;&lt;wsp:rsid wsp:val=&quot;00835402&quot;/&gt;&lt;wsp:rsid wsp:val=&quot;00835465&quot;/&gt;&lt;wsp:rsid wsp:val=&quot;0083556E&quot;/&gt;&lt;wsp:rsid wsp:val=&quot;008357B6&quot;/&gt;&lt;wsp:rsid wsp:val=&quot;00836333&quot;/&gt;&lt;wsp:rsid wsp:val=&quot;0083636F&quot;/&gt;&lt;wsp:rsid wsp:val=&quot;008364DB&quot;/&gt;&lt;wsp:rsid wsp:val=&quot;00836890&quot;/&gt;&lt;wsp:rsid wsp:val=&quot;008368D3&quot;/&gt;&lt;wsp:rsid wsp:val=&quot;00836D3F&quot;/&gt;&lt;wsp:rsid wsp:val=&quot;00836E4C&quot;/&gt;&lt;wsp:rsid wsp:val=&quot;00837195&quot;/&gt;&lt;wsp:rsid wsp:val=&quot;008372DB&quot;/&gt;&lt;wsp:rsid wsp:val=&quot;008376E2&quot;/&gt;&lt;wsp:rsid wsp:val=&quot;00837CAA&quot;/&gt;&lt;wsp:rsid wsp:val=&quot;00837D52&quot;/&gt;&lt;wsp:rsid wsp:val=&quot;00837E52&quot;/&gt;&lt;wsp:rsid wsp:val=&quot;008400DF&quot;/&gt;&lt;wsp:rsid wsp:val=&quot;00840289&quot;/&gt;&lt;wsp:rsid wsp:val=&quot;00840E66&quot;/&gt;&lt;wsp:rsid wsp:val=&quot;0084222F&quot;/&gt;&lt;wsp:rsid wsp:val=&quot;00842887&quot;/&gt;&lt;wsp:rsid wsp:val=&quot;00842C09&quot;/&gt;&lt;wsp:rsid wsp:val=&quot;00842D37&quot;/&gt;&lt;wsp:rsid wsp:val=&quot;00843567&quot;/&gt;&lt;wsp:rsid wsp:val=&quot;00843A27&quot;/&gt;&lt;wsp:rsid wsp:val=&quot;00843F07&quot;/&gt;&lt;wsp:rsid wsp:val=&quot;00843F99&quot;/&gt;&lt;wsp:rsid wsp:val=&quot;0084442A&quot;/&gt;&lt;wsp:rsid wsp:val=&quot;00844D21&quot;/&gt;&lt;wsp:rsid wsp:val=&quot;0084503A&quot;/&gt;&lt;wsp:rsid wsp:val=&quot;008450B4&quot;/&gt;&lt;wsp:rsid wsp:val=&quot;008453E0&quot;/&gt;&lt;wsp:rsid wsp:val=&quot;008455DC&quot;/&gt;&lt;wsp:rsid wsp:val=&quot;00845E12&quot;/&gt;&lt;wsp:rsid wsp:val=&quot;00846256&quot;/&gt;&lt;wsp:rsid wsp:val=&quot;00846354&quot;/&gt;&lt;wsp:rsid wsp:val=&quot;0084657F&quot;/&gt;&lt;wsp:rsid wsp:val=&quot;0084799C&quot;/&gt;&lt;wsp:rsid wsp:val=&quot;00847D7F&quot;/&gt;&lt;wsp:rsid wsp:val=&quot;00847E56&quot;/&gt;&lt;wsp:rsid wsp:val=&quot;008504E0&quot;/&gt;&lt;wsp:rsid wsp:val=&quot;00850E46&quot;/&gt;&lt;wsp:rsid wsp:val=&quot;00850EF9&quot;/&gt;&lt;wsp:rsid wsp:val=&quot;008514CA&quot;/&gt;&lt;wsp:rsid wsp:val=&quot;00851509&quot;/&gt;&lt;wsp:rsid wsp:val=&quot;008521B9&quot;/&gt;&lt;wsp:rsid wsp:val=&quot;00852EED&quot;/&gt;&lt;wsp:rsid wsp:val=&quot;00853877&quot;/&gt;&lt;wsp:rsid wsp:val=&quot;00853CB9&quot;/&gt;&lt;wsp:rsid wsp:val=&quot;00853D57&quot;/&gt;&lt;wsp:rsid wsp:val=&quot;00854BE7&quot;/&gt;&lt;wsp:rsid wsp:val=&quot;00856740&quot;/&gt;&lt;wsp:rsid wsp:val=&quot;008570BF&quot;/&gt;&lt;wsp:rsid wsp:val=&quot;00857A94&quot;/&gt;&lt;wsp:rsid wsp:val=&quot;00857E3F&quot;/&gt;&lt;wsp:rsid wsp:val=&quot;00857EEA&quot;/&gt;&lt;wsp:rsid wsp:val=&quot;008600D3&quot;/&gt;&lt;wsp:rsid wsp:val=&quot;00860C28&quot;/&gt;&lt;wsp:rsid wsp:val=&quot;00862375&quot;/&gt;&lt;wsp:rsid wsp:val=&quot;0086248F&quot;/&gt;&lt;wsp:rsid wsp:val=&quot;0086255C&quot;/&gt;&lt;wsp:rsid wsp:val=&quot;00862604&quot;/&gt;&lt;wsp:rsid wsp:val=&quot;00862B84&quot;/&gt;&lt;wsp:rsid wsp:val=&quot;00862C97&quot;/&gt;&lt;wsp:rsid wsp:val=&quot;008632A6&quot;/&gt;&lt;wsp:rsid wsp:val=&quot;00863404&quot;/&gt;&lt;wsp:rsid wsp:val=&quot;00863FCD&quot;/&gt;&lt;wsp:rsid wsp:val=&quot;00864C77&quot;/&gt;&lt;wsp:rsid wsp:val=&quot;0086563E&quot;/&gt;&lt;wsp:rsid wsp:val=&quot;00865B9E&quot;/&gt;&lt;wsp:rsid wsp:val=&quot;008660DB&quot;/&gt;&lt;wsp:rsid wsp:val=&quot;00866103&quot;/&gt;&lt;wsp:rsid wsp:val=&quot;00866676&quot;/&gt;&lt;wsp:rsid wsp:val=&quot;008670EF&quot;/&gt;&lt;wsp:rsid wsp:val=&quot;00867146&quot;/&gt;&lt;wsp:rsid wsp:val=&quot;0087027A&quot;/&gt;&lt;wsp:rsid wsp:val=&quot;00870301&quot;/&gt;&lt;wsp:rsid wsp:val=&quot;008703EB&quot;/&gt;&lt;wsp:rsid wsp:val=&quot;008703EC&quot;/&gt;&lt;wsp:rsid wsp:val=&quot;0087049B&quot;/&gt;&lt;wsp:rsid wsp:val=&quot;0087050A&quot;/&gt;&lt;wsp:rsid wsp:val=&quot;00870A62&quot;/&gt;&lt;wsp:rsid wsp:val=&quot;00870B5C&quot;/&gt;&lt;wsp:rsid wsp:val=&quot;00871037&quot;/&gt;&lt;wsp:rsid wsp:val=&quot;008713A5&quot;/&gt;&lt;wsp:rsid wsp:val=&quot;0087147B&quot;/&gt;&lt;wsp:rsid wsp:val=&quot;008719F3&quot;/&gt;&lt;wsp:rsid wsp:val=&quot;00871B45&quot;/&gt;&lt;wsp:rsid wsp:val=&quot;00871B83&quot;/&gt;&lt;wsp:rsid wsp:val=&quot;00871E76&quot;/&gt;&lt;wsp:rsid wsp:val=&quot;00872B3C&quot;/&gt;&lt;wsp:rsid wsp:val=&quot;00872EEB&quot;/&gt;&lt;wsp:rsid wsp:val=&quot;00872F07&quot;/&gt;&lt;wsp:rsid wsp:val=&quot;0087331B&quot;/&gt;&lt;wsp:rsid wsp:val=&quot;008737A8&quot;/&gt;&lt;wsp:rsid wsp:val=&quot;008737D5&quot;/&gt;&lt;wsp:rsid wsp:val=&quot;00873B80&quot;/&gt;&lt;wsp:rsid wsp:val=&quot;00873E56&quot;/&gt;&lt;wsp:rsid wsp:val=&quot;0087446E&quot;/&gt;&lt;wsp:rsid wsp:val=&quot;00874D4D&quot;/&gt;&lt;wsp:rsid wsp:val=&quot;00875187&quot;/&gt;&lt;wsp:rsid wsp:val=&quot;008752B9&quot;/&gt;&lt;wsp:rsid wsp:val=&quot;008755CB&quot;/&gt;&lt;wsp:rsid wsp:val=&quot;00875D26&quot;/&gt;&lt;wsp:rsid wsp:val=&quot;00875D4D&quot;/&gt;&lt;wsp:rsid wsp:val=&quot;00875DDC&quot;/&gt;&lt;wsp:rsid wsp:val=&quot;00876128&quot;/&gt;&lt;wsp:rsid wsp:val=&quot;00876179&quot;/&gt;&lt;wsp:rsid wsp:val=&quot;008763BF&quot;/&gt;&lt;wsp:rsid wsp:val=&quot;0087673F&quot;/&gt;&lt;wsp:rsid wsp:val=&quot;008768EF&quot;/&gt;&lt;wsp:rsid wsp:val=&quot;00876A02&quot;/&gt;&lt;wsp:rsid wsp:val=&quot;00876D71&quot;/&gt;&lt;wsp:rsid wsp:val=&quot;0087720C&quot;/&gt;&lt;wsp:rsid wsp:val=&quot;00877BEF&quot;/&gt;&lt;wsp:rsid wsp:val=&quot;00877DEA&quot;/&gt;&lt;wsp:rsid wsp:val=&quot;00880150&quot;/&gt;&lt;wsp:rsid wsp:val=&quot;00881065&quot;/&gt;&lt;wsp:rsid wsp:val=&quot;00882997&quot;/&gt;&lt;wsp:rsid wsp:val=&quot;00883320&quot;/&gt;&lt;wsp:rsid wsp:val=&quot;00883385&quot;/&gt;&lt;wsp:rsid wsp:val=&quot;00883722&quot;/&gt;&lt;wsp:rsid wsp:val=&quot;00884081&quot;/&gt;&lt;wsp:rsid wsp:val=&quot;00884088&quot;/&gt;&lt;wsp:rsid wsp:val=&quot;00884A0F&quot;/&gt;&lt;wsp:rsid wsp:val=&quot;0088509A&quot;/&gt;&lt;wsp:rsid wsp:val=&quot;00885996&quot;/&gt;&lt;wsp:rsid wsp:val=&quot;008859ED&quot;/&gt;&lt;wsp:rsid wsp:val=&quot;00885B39&quot;/&gt;&lt;wsp:rsid wsp:val=&quot;008860A3&quot;/&gt;&lt;wsp:rsid wsp:val=&quot;00886328&quot;/&gt;&lt;wsp:rsid wsp:val=&quot;00886994&quot;/&gt;&lt;wsp:rsid wsp:val=&quot;00886B20&quot;/&gt;&lt;wsp:rsid wsp:val=&quot;00886CC6&quot;/&gt;&lt;wsp:rsid wsp:val=&quot;00886FA6&quot;/&gt;&lt;wsp:rsid wsp:val=&quot;008879C6&quot;/&gt;&lt;wsp:rsid wsp:val=&quot;00890D40&quot;/&gt;&lt;wsp:rsid wsp:val=&quot;008911CA&quot;/&gt;&lt;wsp:rsid wsp:val=&quot;00891542&quot;/&gt;&lt;wsp:rsid wsp:val=&quot;00892068&quot;/&gt;&lt;wsp:rsid wsp:val=&quot;0089218A&quot;/&gt;&lt;wsp:rsid wsp:val=&quot;00892336&quot;/&gt;&lt;wsp:rsid wsp:val=&quot;00892743&quot;/&gt;&lt;wsp:rsid wsp:val=&quot;00892AAC&quot;/&gt;&lt;wsp:rsid wsp:val=&quot;00892C31&quot;/&gt;&lt;wsp:rsid wsp:val=&quot;00892E86&quot;/&gt;&lt;wsp:rsid wsp:val=&quot;008932B3&quot;/&gt;&lt;wsp:rsid wsp:val=&quot;0089365B&quot;/&gt;&lt;wsp:rsid wsp:val=&quot;008939E7&quot;/&gt;&lt;wsp:rsid wsp:val=&quot;00893D82&quot;/&gt;&lt;wsp:rsid wsp:val=&quot;00894485&quot;/&gt;&lt;wsp:rsid wsp:val=&quot;00894CE3&quot;/&gt;&lt;wsp:rsid wsp:val=&quot;00895384&quot;/&gt;&lt;wsp:rsid wsp:val=&quot;00895746&quot;/&gt;&lt;wsp:rsid wsp:val=&quot;00895A61&quot;/&gt;&lt;wsp:rsid wsp:val=&quot;00896A81&quot;/&gt;&lt;wsp:rsid wsp:val=&quot;00897214&quot;/&gt;&lt;wsp:rsid wsp:val=&quot;00897795&quot;/&gt;&lt;wsp:rsid wsp:val=&quot;008A0059&quot;/&gt;&lt;wsp:rsid wsp:val=&quot;008A06F6&quot;/&gt;&lt;wsp:rsid wsp:val=&quot;008A12AC&quot;/&gt;&lt;wsp:rsid wsp:val=&quot;008A1322&quot;/&gt;&lt;wsp:rsid wsp:val=&quot;008A1639&quot;/&gt;&lt;wsp:rsid wsp:val=&quot;008A1962&quot;/&gt;&lt;wsp:rsid wsp:val=&quot;008A1DB6&quot;/&gt;&lt;wsp:rsid wsp:val=&quot;008A22D1&quot;/&gt;&lt;wsp:rsid wsp:val=&quot;008A249A&quot;/&gt;&lt;wsp:rsid wsp:val=&quot;008A27E8&quot;/&gt;&lt;wsp:rsid wsp:val=&quot;008A2C3A&quot;/&gt;&lt;wsp:rsid wsp:val=&quot;008A2D51&quot;/&gt;&lt;wsp:rsid wsp:val=&quot;008A315C&quot;/&gt;&lt;wsp:rsid wsp:val=&quot;008A328B&quot;/&gt;&lt;wsp:rsid wsp:val=&quot;008A3A6C&quot;/&gt;&lt;wsp:rsid wsp:val=&quot;008A3BEA&quot;/&gt;&lt;wsp:rsid wsp:val=&quot;008A4202&quot;/&gt;&lt;wsp:rsid wsp:val=&quot;008A4C3A&quot;/&gt;&lt;wsp:rsid wsp:val=&quot;008A564B&quot;/&gt;&lt;wsp:rsid wsp:val=&quot;008A5D10&quot;/&gt;&lt;wsp:rsid wsp:val=&quot;008A5E9B&quot;/&gt;&lt;wsp:rsid wsp:val=&quot;008A6343&quot;/&gt;&lt;wsp:rsid wsp:val=&quot;008A6499&quot;/&gt;&lt;wsp:rsid wsp:val=&quot;008A65B9&quot;/&gt;&lt;wsp:rsid wsp:val=&quot;008A68E6&quot;/&gt;&lt;wsp:rsid wsp:val=&quot;008A6B63&quot;/&gt;&lt;wsp:rsid wsp:val=&quot;008A7F95&quot;/&gt;&lt;wsp:rsid wsp:val=&quot;008B0549&quot;/&gt;&lt;wsp:rsid wsp:val=&quot;008B0BDD&quot;/&gt;&lt;wsp:rsid wsp:val=&quot;008B0BE4&quot;/&gt;&lt;wsp:rsid wsp:val=&quot;008B11AA&quot;/&gt;&lt;wsp:rsid wsp:val=&quot;008B12AB&quot;/&gt;&lt;wsp:rsid wsp:val=&quot;008B1867&quot;/&gt;&lt;wsp:rsid wsp:val=&quot;008B217B&quot;/&gt;&lt;wsp:rsid wsp:val=&quot;008B23F4&quot;/&gt;&lt;wsp:rsid wsp:val=&quot;008B25BE&quot;/&gt;&lt;wsp:rsid wsp:val=&quot;008B26ED&quot;/&gt;&lt;wsp:rsid wsp:val=&quot;008B2E88&quot;/&gt;&lt;wsp:rsid wsp:val=&quot;008B3858&quot;/&gt;&lt;wsp:rsid wsp:val=&quot;008B3AC2&quot;/&gt;&lt;wsp:rsid wsp:val=&quot;008B3C14&quot;/&gt;&lt;wsp:rsid wsp:val=&quot;008B4019&quot;/&gt;&lt;wsp:rsid wsp:val=&quot;008B424A&quot;/&gt;&lt;wsp:rsid wsp:val=&quot;008B42FD&quot;/&gt;&lt;wsp:rsid wsp:val=&quot;008B43A7&quot;/&gt;&lt;wsp:rsid wsp:val=&quot;008B4918&quot;/&gt;&lt;wsp:rsid wsp:val=&quot;008B4BD8&quot;/&gt;&lt;wsp:rsid wsp:val=&quot;008B5362&quot;/&gt;&lt;wsp:rsid wsp:val=&quot;008B5795&quot;/&gt;&lt;wsp:rsid wsp:val=&quot;008B613A&quot;/&gt;&lt;wsp:rsid wsp:val=&quot;008B63F5&quot;/&gt;&lt;wsp:rsid wsp:val=&quot;008B64EE&quot;/&gt;&lt;wsp:rsid wsp:val=&quot;008B66AE&quot;/&gt;&lt;wsp:rsid wsp:val=&quot;008B684A&quot;/&gt;&lt;wsp:rsid wsp:val=&quot;008B68C8&quot;/&gt;&lt;wsp:rsid wsp:val=&quot;008B6C4D&quot;/&gt;&lt;wsp:rsid wsp:val=&quot;008B707D&quot;/&gt;&lt;wsp:rsid wsp:val=&quot;008B7128&quot;/&gt;&lt;wsp:rsid wsp:val=&quot;008B721A&quot;/&gt;&lt;wsp:rsid wsp:val=&quot;008B7372&quot;/&gt;&lt;wsp:rsid wsp:val=&quot;008B7754&quot;/&gt;&lt;wsp:rsid wsp:val=&quot;008B7B30&quot;/&gt;&lt;wsp:rsid wsp:val=&quot;008C001E&quot;/&gt;&lt;wsp:rsid wsp:val=&quot;008C0054&quot;/&gt;&lt;wsp:rsid wsp:val=&quot;008C009A&quot;/&gt;&lt;wsp:rsid wsp:val=&quot;008C060D&quot;/&gt;&lt;wsp:rsid wsp:val=&quot;008C0C20&quot;/&gt;&lt;wsp:rsid wsp:val=&quot;008C1183&quot;/&gt;&lt;wsp:rsid wsp:val=&quot;008C15FC&quot;/&gt;&lt;wsp:rsid wsp:val=&quot;008C1822&quot;/&gt;&lt;wsp:rsid wsp:val=&quot;008C2159&quot;/&gt;&lt;wsp:rsid wsp:val=&quot;008C2169&quot;/&gt;&lt;wsp:rsid wsp:val=&quot;008C252A&quot;/&gt;&lt;wsp:rsid wsp:val=&quot;008C2A6F&quot;/&gt;&lt;wsp:rsid wsp:val=&quot;008C34B6&quot;/&gt;&lt;wsp:rsid wsp:val=&quot;008C3607&quot;/&gt;&lt;wsp:rsid wsp:val=&quot;008C368F&quot;/&gt;&lt;wsp:rsid wsp:val=&quot;008C37AE&quot;/&gt;&lt;wsp:rsid wsp:val=&quot;008C3A7D&quot;/&gt;&lt;wsp:rsid wsp:val=&quot;008C41A4&quot;/&gt;&lt;wsp:rsid wsp:val=&quot;008C4615&quot;/&gt;&lt;wsp:rsid wsp:val=&quot;008C4988&quot;/&gt;&lt;wsp:rsid wsp:val=&quot;008C4B14&quot;/&gt;&lt;wsp:rsid wsp:val=&quot;008C531B&quot;/&gt;&lt;wsp:rsid wsp:val=&quot;008C62A3&quot;/&gt;&lt;wsp:rsid wsp:val=&quot;008C69FF&quot;/&gt;&lt;wsp:rsid wsp:val=&quot;008C71B0&quot;/&gt;&lt;wsp:rsid wsp:val=&quot;008C7908&quot;/&gt;&lt;wsp:rsid wsp:val=&quot;008D0C56&quot;/&gt;&lt;wsp:rsid wsp:val=&quot;008D1292&quot;/&gt;&lt;wsp:rsid wsp:val=&quot;008D1940&quot;/&gt;&lt;wsp:rsid wsp:val=&quot;008D19EC&quot;/&gt;&lt;wsp:rsid wsp:val=&quot;008D21DF&quot;/&gt;&lt;wsp:rsid wsp:val=&quot;008D2530&quot;/&gt;&lt;wsp:rsid wsp:val=&quot;008D2719&quot;/&gt;&lt;wsp:rsid wsp:val=&quot;008D2989&quot;/&gt;&lt;wsp:rsid wsp:val=&quot;008D2BED&quot;/&gt;&lt;wsp:rsid wsp:val=&quot;008D2E1C&quot;/&gt;&lt;wsp:rsid wsp:val=&quot;008D2F07&quot;/&gt;&lt;wsp:rsid wsp:val=&quot;008D32EE&quot;/&gt;&lt;wsp:rsid wsp:val=&quot;008D3DF6&quot;/&gt;&lt;wsp:rsid wsp:val=&quot;008D4916&quot;/&gt;&lt;wsp:rsid wsp:val=&quot;008D4FC9&quot;/&gt;&lt;wsp:rsid wsp:val=&quot;008D52B2&quot;/&gt;&lt;wsp:rsid wsp:val=&quot;008D566D&quot;/&gt;&lt;wsp:rsid wsp:val=&quot;008D5AF6&quot;/&gt;&lt;wsp:rsid wsp:val=&quot;008D6026&quot;/&gt;&lt;wsp:rsid wsp:val=&quot;008D6199&quot;/&gt;&lt;wsp:rsid wsp:val=&quot;008D62AC&quot;/&gt;&lt;wsp:rsid wsp:val=&quot;008D672A&quot;/&gt;&lt;wsp:rsid wsp:val=&quot;008D68EB&quot;/&gt;&lt;wsp:rsid wsp:val=&quot;008D6989&quot;/&gt;&lt;wsp:rsid wsp:val=&quot;008D6B09&quot;/&gt;&lt;wsp:rsid wsp:val=&quot;008D6CA0&quot;/&gt;&lt;wsp:rsid wsp:val=&quot;008D6F7B&quot;/&gt;&lt;wsp:rsid wsp:val=&quot;008D735A&quot;/&gt;&lt;wsp:rsid wsp:val=&quot;008D73AD&quot;/&gt;&lt;wsp:rsid wsp:val=&quot;008D7C34&quot;/&gt;&lt;wsp:rsid wsp:val=&quot;008D7F1C&quot;/&gt;&lt;wsp:rsid wsp:val=&quot;008E001F&quot;/&gt;&lt;wsp:rsid wsp:val=&quot;008E0447&quot;/&gt;&lt;wsp:rsid wsp:val=&quot;008E09E0&quot;/&gt;&lt;wsp:rsid wsp:val=&quot;008E195A&quot;/&gt;&lt;wsp:rsid wsp:val=&quot;008E1DDD&quot;/&gt;&lt;wsp:rsid wsp:val=&quot;008E1F8B&quot;/&gt;&lt;wsp:rsid wsp:val=&quot;008E2AF4&quot;/&gt;&lt;wsp:rsid wsp:val=&quot;008E2B3E&quot;/&gt;&lt;wsp:rsid wsp:val=&quot;008E3056&quot;/&gt;&lt;wsp:rsid wsp:val=&quot;008E3526&quot;/&gt;&lt;wsp:rsid wsp:val=&quot;008E4011&quot;/&gt;&lt;wsp:rsid wsp:val=&quot;008E4431&quot;/&gt;&lt;wsp:rsid wsp:val=&quot;008E479D&quot;/&gt;&lt;wsp:rsid wsp:val=&quot;008E51EB&quot;/&gt;&lt;wsp:rsid wsp:val=&quot;008E5461&quot;/&gt;&lt;wsp:rsid wsp:val=&quot;008E5A50&quot;/&gt;&lt;wsp:rsid wsp:val=&quot;008E6615&quot;/&gt;&lt;wsp:rsid wsp:val=&quot;008E66C5&quot;/&gt;&lt;wsp:rsid wsp:val=&quot;008E7193&quot;/&gt;&lt;wsp:rsid wsp:val=&quot;008E71E2&quot;/&gt;&lt;wsp:rsid wsp:val=&quot;008E72C3&quot;/&gt;&lt;wsp:rsid wsp:val=&quot;008F021F&quot;/&gt;&lt;wsp:rsid wsp:val=&quot;008F03E8&quot;/&gt;&lt;wsp:rsid wsp:val=&quot;008F0559&quot;/&gt;&lt;wsp:rsid wsp:val=&quot;008F0AC6&quot;/&gt;&lt;wsp:rsid wsp:val=&quot;008F0AE4&quot;/&gt;&lt;wsp:rsid wsp:val=&quot;008F0C94&quot;/&gt;&lt;wsp:rsid wsp:val=&quot;008F10D7&quot;/&gt;&lt;wsp:rsid wsp:val=&quot;008F1433&quot;/&gt;&lt;wsp:rsid wsp:val=&quot;008F18B1&quot;/&gt;&lt;wsp:rsid wsp:val=&quot;008F1A40&quot;/&gt;&lt;wsp:rsid wsp:val=&quot;008F1A68&quot;/&gt;&lt;wsp:rsid wsp:val=&quot;008F2257&quot;/&gt;&lt;wsp:rsid wsp:val=&quot;008F2319&quot;/&gt;&lt;wsp:rsid wsp:val=&quot;008F26EA&quot;/&gt;&lt;wsp:rsid wsp:val=&quot;008F2A7D&quot;/&gt;&lt;wsp:rsid wsp:val=&quot;008F2B4B&quot;/&gt;&lt;wsp:rsid wsp:val=&quot;008F2FAA&quot;/&gt;&lt;wsp:rsid wsp:val=&quot;008F32DC&quot;/&gt;&lt;wsp:rsid wsp:val=&quot;008F3642&quot;/&gt;&lt;wsp:rsid wsp:val=&quot;008F3BE1&quot;/&gt;&lt;wsp:rsid wsp:val=&quot;008F3ED5&quot;/&gt;&lt;wsp:rsid wsp:val=&quot;008F40F2&quot;/&gt;&lt;wsp:rsid wsp:val=&quot;008F4954&quot;/&gt;&lt;wsp:rsid wsp:val=&quot;008F4F9B&quot;/&gt;&lt;wsp:rsid wsp:val=&quot;008F5433&quot;/&gt;&lt;wsp:rsid wsp:val=&quot;008F66D0&quot;/&gt;&lt;wsp:rsid wsp:val=&quot;008F677C&quot;/&gt;&lt;wsp:rsid wsp:val=&quot;008F6FEA&quot;/&gt;&lt;wsp:rsid wsp:val=&quot;008F746C&quot;/&gt;&lt;wsp:rsid wsp:val=&quot;008F7A17&quot;/&gt;&lt;wsp:rsid wsp:val=&quot;008F7A19&quot;/&gt;&lt;wsp:rsid wsp:val=&quot;008F7A57&quot;/&gt;&lt;wsp:rsid wsp:val=&quot;00900673&quot;/&gt;&lt;wsp:rsid wsp:val=&quot;009006F6&quot;/&gt;&lt;wsp:rsid wsp:val=&quot;00900A55&quot;/&gt;&lt;wsp:rsid wsp:val=&quot;009018E1&quot;/&gt;&lt;wsp:rsid wsp:val=&quot;00901DAA&quot;/&gt;&lt;wsp:rsid wsp:val=&quot;0090209F&quot;/&gt;&lt;wsp:rsid wsp:val=&quot;00902247&quot;/&gt;&lt;wsp:rsid wsp:val=&quot;00902787&quot;/&gt;&lt;wsp:rsid wsp:val=&quot;00902D44&quot;/&gt;&lt;wsp:rsid wsp:val=&quot;009030BD&quot;/&gt;&lt;wsp:rsid wsp:val=&quot;00903148&quot;/&gt;&lt;wsp:rsid wsp:val=&quot;00904681&quot;/&gt;&lt;wsp:rsid wsp:val=&quot;00904AA8&quot;/&gt;&lt;wsp:rsid wsp:val=&quot;009052C2&quot;/&gt;&lt;wsp:rsid wsp:val=&quot;00905529&quot;/&gt;&lt;wsp:rsid wsp:val=&quot;00905565&quot;/&gt;&lt;wsp:rsid wsp:val=&quot;009055D9&quot;/&gt;&lt;wsp:rsid wsp:val=&quot;00905999&quot;/&gt;&lt;wsp:rsid wsp:val=&quot;00905E93&quot;/&gt;&lt;wsp:rsid wsp:val=&quot;00906664&quot;/&gt;&lt;wsp:rsid wsp:val=&quot;0090675E&quot;/&gt;&lt;wsp:rsid wsp:val=&quot;0090688D&quot;/&gt;&lt;wsp:rsid wsp:val=&quot;009076E8&quot;/&gt;&lt;wsp:rsid wsp:val=&quot;00910433&quot;/&gt;&lt;wsp:rsid wsp:val=&quot;00910F00&quot;/&gt;&lt;wsp:rsid wsp:val=&quot;00911C91&quot;/&gt;&lt;wsp:rsid wsp:val=&quot;00911E44&quot;/&gt;&lt;wsp:rsid wsp:val=&quot;009124BF&quot;/&gt;&lt;wsp:rsid wsp:val=&quot;00912E6C&quot;/&gt;&lt;wsp:rsid wsp:val=&quot;0091301D&quot;/&gt;&lt;wsp:rsid wsp:val=&quot;00913472&quot;/&gt;&lt;wsp:rsid wsp:val=&quot;00913754&quot;/&gt;&lt;wsp:rsid wsp:val=&quot;009138AC&quot;/&gt;&lt;wsp:rsid wsp:val=&quot;009138C8&quot;/&gt;&lt;wsp:rsid wsp:val=&quot;00913C82&quot;/&gt;&lt;wsp:rsid wsp:val=&quot;00913D8C&quot;/&gt;&lt;wsp:rsid wsp:val=&quot;00913E0A&quot;/&gt;&lt;wsp:rsid wsp:val=&quot;009140AC&quot;/&gt;&lt;wsp:rsid wsp:val=&quot;0091443E&quot;/&gt;&lt;wsp:rsid wsp:val=&quot;0091452E&quot;/&gt;&lt;wsp:rsid wsp:val=&quot;009145B2&quot;/&gt;&lt;wsp:rsid wsp:val=&quot;0091493E&quot;/&gt;&lt;wsp:rsid wsp:val=&quot;00914E26&quot;/&gt;&lt;wsp:rsid wsp:val=&quot;00914F99&quot;/&gt;&lt;wsp:rsid wsp:val=&quot;009150B4&quot;/&gt;&lt;wsp:rsid wsp:val=&quot;0091607A&quot;/&gt;&lt;wsp:rsid wsp:val=&quot;0091652C&quot;/&gt;&lt;wsp:rsid wsp:val=&quot;0091698E&quot;/&gt;&lt;wsp:rsid wsp:val=&quot;00916B85&quot;/&gt;&lt;wsp:rsid wsp:val=&quot;00917156&quot;/&gt;&lt;wsp:rsid wsp:val=&quot;0091725A&quot;/&gt;&lt;wsp:rsid wsp:val=&quot;009172AD&quot;/&gt;&lt;wsp:rsid wsp:val=&quot;0091738F&quot;/&gt;&lt;wsp:rsid wsp:val=&quot;00917583&quot;/&gt;&lt;wsp:rsid wsp:val=&quot;00917C97&quot;/&gt;&lt;wsp:rsid wsp:val=&quot;00917F71&quot;/&gt;&lt;wsp:rsid wsp:val=&quot;00920195&quot;/&gt;&lt;wsp:rsid wsp:val=&quot;00920788&quot;/&gt;&lt;wsp:rsid wsp:val=&quot;009214A7&quot;/&gt;&lt;wsp:rsid wsp:val=&quot;009215C7&quot;/&gt;&lt;wsp:rsid wsp:val=&quot;00921AFE&quot;/&gt;&lt;wsp:rsid wsp:val=&quot;00921E15&quot;/&gt;&lt;wsp:rsid wsp:val=&quot;009223B4&quot;/&gt;&lt;wsp:rsid wsp:val=&quot;0092243B&quot;/&gt;&lt;wsp:rsid wsp:val=&quot;00922674&quot;/&gt;&lt;wsp:rsid wsp:val=&quot;00923E72&quot;/&gt;&lt;wsp:rsid wsp:val=&quot;00923FFC&quot;/&gt;&lt;wsp:rsid wsp:val=&quot;009245CF&quot;/&gt;&lt;wsp:rsid wsp:val=&quot;00924CA4&quot;/&gt;&lt;wsp:rsid wsp:val=&quot;00924DE7&quot;/&gt;&lt;wsp:rsid wsp:val=&quot;00924F20&quot;/&gt;&lt;wsp:rsid wsp:val=&quot;00925142&quot;/&gt;&lt;wsp:rsid wsp:val=&quot;0092569D&quot;/&gt;&lt;wsp:rsid wsp:val=&quot;009258D5&quot;/&gt;&lt;wsp:rsid wsp:val=&quot;00925D8F&quot;/&gt;&lt;wsp:rsid wsp:val=&quot;00926153&quot;/&gt;&lt;wsp:rsid wsp:val=&quot;00926704&quot;/&gt;&lt;wsp:rsid wsp:val=&quot;00926787&quot;/&gt;&lt;wsp:rsid wsp:val=&quot;00926F95&quot;/&gt;&lt;wsp:rsid wsp:val=&quot;009274E9&quot;/&gt;&lt;wsp:rsid wsp:val=&quot;00927615&quot;/&gt;&lt;wsp:rsid wsp:val=&quot;009277CE&quot;/&gt;&lt;wsp:rsid wsp:val=&quot;009278C3&quot;/&gt;&lt;wsp:rsid wsp:val=&quot;00930252&quot;/&gt;&lt;wsp:rsid wsp:val=&quot;009305BD&quot;/&gt;&lt;wsp:rsid wsp:val=&quot;00930968&quot;/&gt;&lt;wsp:rsid wsp:val=&quot;00930DD8&quot;/&gt;&lt;wsp:rsid wsp:val=&quot;00930F1B&quot;/&gt;&lt;wsp:rsid wsp:val=&quot;009318FA&quot;/&gt;&lt;wsp:rsid wsp:val=&quot;00932294&quot;/&gt;&lt;wsp:rsid wsp:val=&quot;00932B6D&quot;/&gt;&lt;wsp:rsid wsp:val=&quot;00932E24&quot;/&gt;&lt;wsp:rsid wsp:val=&quot;00932F4F&quot;/&gt;&lt;wsp:rsid wsp:val=&quot;009331E1&quot;/&gt;&lt;wsp:rsid wsp:val=&quot;00933233&quot;/&gt;&lt;wsp:rsid wsp:val=&quot;009334C8&quot;/&gt;&lt;wsp:rsid wsp:val=&quot;009342B8&quot;/&gt;&lt;wsp:rsid wsp:val=&quot;009348D4&quot;/&gt;&lt;wsp:rsid wsp:val=&quot;0093498E&quot;/&gt;&lt;wsp:rsid wsp:val=&quot;00935322&quot;/&gt;&lt;wsp:rsid wsp:val=&quot;00935501&quot;/&gt;&lt;wsp:rsid wsp:val=&quot;00935719&quot;/&gt;&lt;wsp:rsid wsp:val=&quot;0093578B&quot;/&gt;&lt;wsp:rsid wsp:val=&quot;00935F9A&quot;/&gt;&lt;wsp:rsid wsp:val=&quot;0093675C&quot;/&gt;&lt;wsp:rsid wsp:val=&quot;00936A1C&quot;/&gt;&lt;wsp:rsid wsp:val=&quot;00936C25&quot;/&gt;&lt;wsp:rsid wsp:val=&quot;009378B7&quot;/&gt;&lt;wsp:rsid wsp:val=&quot;009379B1&quot;/&gt;&lt;wsp:rsid wsp:val=&quot;00937DBC&quot;/&gt;&lt;wsp:rsid wsp:val=&quot;00940442&quot;/&gt;&lt;wsp:rsid wsp:val=&quot;00940F42&quot;/&gt;&lt;wsp:rsid wsp:val=&quot;009410AF&quot;/&gt;&lt;wsp:rsid wsp:val=&quot;0094127E&quot;/&gt;&lt;wsp:rsid wsp:val=&quot;0094130D&quot;/&gt;&lt;wsp:rsid wsp:val=&quot;00941397&quot;/&gt;&lt;wsp:rsid wsp:val=&quot;009413C3&quot;/&gt;&lt;wsp:rsid wsp:val=&quot;0094161D&quot;/&gt;&lt;wsp:rsid wsp:val=&quot;0094165D&quot;/&gt;&lt;wsp:rsid wsp:val=&quot;009417F7&quot;/&gt;&lt;wsp:rsid wsp:val=&quot;00941F29&quot;/&gt;&lt;wsp:rsid wsp:val=&quot;009424EB&quot;/&gt;&lt;wsp:rsid wsp:val=&quot;00942536&quot;/&gt;&lt;wsp:rsid wsp:val=&quot;00942883&quot;/&gt;&lt;wsp:rsid wsp:val=&quot;00942B93&quot;/&gt;&lt;wsp:rsid wsp:val=&quot;00942C2E&quot;/&gt;&lt;wsp:rsid wsp:val=&quot;00942D6B&quot;/&gt;&lt;wsp:rsid wsp:val=&quot;00942DE4&quot;/&gt;&lt;wsp:rsid wsp:val=&quot;009432BE&quot;/&gt;&lt;wsp:rsid wsp:val=&quot;00943DBB&quot;/&gt;&lt;wsp:rsid wsp:val=&quot;00944076&quot;/&gt;&lt;wsp:rsid wsp:val=&quot;009442CB&quot;/&gt;&lt;wsp:rsid wsp:val=&quot;009443C5&quot;/&gt;&lt;wsp:rsid wsp:val=&quot;00944797&quot;/&gt;&lt;wsp:rsid wsp:val=&quot;00944A1D&quot;/&gt;&lt;wsp:rsid wsp:val=&quot;00944B7A&quot;/&gt;&lt;wsp:rsid wsp:val=&quot;00945157&quot;/&gt;&lt;wsp:rsid wsp:val=&quot;009451CD&quot;/&gt;&lt;wsp:rsid wsp:val=&quot;00945637&quot;/&gt;&lt;wsp:rsid wsp:val=&quot;00945867&quot;/&gt;&lt;wsp:rsid wsp:val=&quot;00945F59&quot;/&gt;&lt;wsp:rsid wsp:val=&quot;009460F8&quot;/&gt;&lt;wsp:rsid wsp:val=&quot;00946A8E&quot;/&gt;&lt;wsp:rsid wsp:val=&quot;009470C6&quot;/&gt;&lt;wsp:rsid wsp:val=&quot;00947396&quot;/&gt;&lt;wsp:rsid wsp:val=&quot;00947675&quot;/&gt;&lt;wsp:rsid wsp:val=&quot;0094798D&quot;/&gt;&lt;wsp:rsid wsp:val=&quot;00947C74&quot;/&gt;&lt;wsp:rsid wsp:val=&quot;00947F25&quot;/&gt;&lt;wsp:rsid wsp:val=&quot;00950A3E&quot;/&gt;&lt;wsp:rsid wsp:val=&quot;00950B8F&quot;/&gt;&lt;wsp:rsid wsp:val=&quot;00950CBF&quot;/&gt;&lt;wsp:rsid wsp:val=&quot;009512F2&quot;/&gt;&lt;wsp:rsid wsp:val=&quot;0095133A&quot;/&gt;&lt;wsp:rsid wsp:val=&quot;0095187A&quot;/&gt;&lt;wsp:rsid wsp:val=&quot;00951DBB&quot;/&gt;&lt;wsp:rsid wsp:val=&quot;009521E9&quot;/&gt;&lt;wsp:rsid wsp:val=&quot;00952649&quot;/&gt;&lt;wsp:rsid wsp:val=&quot;009528FC&quot;/&gt;&lt;wsp:rsid wsp:val=&quot;0095348A&quot;/&gt;&lt;wsp:rsid wsp:val=&quot;00953899&quot;/&gt;&lt;wsp:rsid wsp:val=&quot;009538FB&quot;/&gt;&lt;wsp:rsid wsp:val=&quot;00953D2F&quot;/&gt;&lt;wsp:rsid wsp:val=&quot;009540F8&quot;/&gt;&lt;wsp:rsid wsp:val=&quot;00954115&quot;/&gt;&lt;wsp:rsid wsp:val=&quot;009543FD&quot;/&gt;&lt;wsp:rsid wsp:val=&quot;00954E33&quot;/&gt;&lt;wsp:rsid wsp:val=&quot;009551B2&quot;/&gt;&lt;wsp:rsid wsp:val=&quot;00955355&quot;/&gt;&lt;wsp:rsid wsp:val=&quot;00955FCA&quot;/&gt;&lt;wsp:rsid wsp:val=&quot;00956019&quot;/&gt;&lt;wsp:rsid wsp:val=&quot;009566C2&quot;/&gt;&lt;wsp:rsid wsp:val=&quot;009567AE&quot;/&gt;&lt;wsp:rsid wsp:val=&quot;00956BE4&quot;/&gt;&lt;wsp:rsid wsp:val=&quot;00956CCA&quot;/&gt;&lt;wsp:rsid wsp:val=&quot;00956E09&quot;/&gt;&lt;wsp:rsid wsp:val=&quot;0095731C&quot;/&gt;&lt;wsp:rsid wsp:val=&quot;009574D4&quot;/&gt;&lt;wsp:rsid wsp:val=&quot;00957603&quot;/&gt;&lt;wsp:rsid wsp:val=&quot;009579C3&quot;/&gt;&lt;wsp:rsid wsp:val=&quot;00960328&quot;/&gt;&lt;wsp:rsid wsp:val=&quot;00960433&quot;/&gt;&lt;wsp:rsid wsp:val=&quot;0096054B&quot;/&gt;&lt;wsp:rsid wsp:val=&quot;009606D5&quot;/&gt;&lt;wsp:rsid wsp:val=&quot;0096081C&quot;/&gt;&lt;wsp:rsid wsp:val=&quot;00960DA6&quot;/&gt;&lt;wsp:rsid wsp:val=&quot;00961322&quot;/&gt;&lt;wsp:rsid wsp:val=&quot;009618F3&quot;/&gt;&lt;wsp:rsid wsp:val=&quot;009622C6&quot;/&gt;&lt;wsp:rsid wsp:val=&quot;0096295F&quot;/&gt;&lt;wsp:rsid wsp:val=&quot;00962C9C&quot;/&gt;&lt;wsp:rsid wsp:val=&quot;0096321D&quot;/&gt;&lt;wsp:rsid wsp:val=&quot;0096322E&quot;/&gt;&lt;wsp:rsid wsp:val=&quot;00963335&quot;/&gt;&lt;wsp:rsid wsp:val=&quot;00963641&quot;/&gt;&lt;wsp:rsid wsp:val=&quot;00963875&quot;/&gt;&lt;wsp:rsid wsp:val=&quot;00963C8F&quot;/&gt;&lt;wsp:rsid wsp:val=&quot;00963ED6&quot;/&gt;&lt;wsp:rsid wsp:val=&quot;00964B5B&quot;/&gt;&lt;wsp:rsid wsp:val=&quot;00964C3B&quot;/&gt;&lt;wsp:rsid wsp:val=&quot;00964CC2&quot;/&gt;&lt;wsp:rsid wsp:val=&quot;00964FAD&quot;/&gt;&lt;wsp:rsid wsp:val=&quot;00965101&quot;/&gt;&lt;wsp:rsid wsp:val=&quot;0096561E&quot;/&gt;&lt;wsp:rsid wsp:val=&quot;00965B52&quot;/&gt;&lt;wsp:rsid wsp:val=&quot;00965F8B&quot;/&gt;&lt;wsp:rsid wsp:val=&quot;00965F9A&quot;/&gt;&lt;wsp:rsid wsp:val=&quot;0096657D&quot;/&gt;&lt;wsp:rsid wsp:val=&quot;009665E7&quot;/&gt;&lt;wsp:rsid wsp:val=&quot;009666AE&quot;/&gt;&lt;wsp:rsid wsp:val=&quot;009677C7&quot;/&gt;&lt;wsp:rsid wsp:val=&quot;009677F1&quot;/&gt;&lt;wsp:rsid wsp:val=&quot;00967B00&quot;/&gt;&lt;wsp:rsid wsp:val=&quot;009702E2&quot;/&gt;&lt;wsp:rsid wsp:val=&quot;00970446&quot;/&gt;&lt;wsp:rsid wsp:val=&quot;009708FB&quot;/&gt;&lt;wsp:rsid wsp:val=&quot;009709D6&quot;/&gt;&lt;wsp:rsid wsp:val=&quot;00970A36&quot;/&gt;&lt;wsp:rsid wsp:val=&quot;00970B6F&quot;/&gt;&lt;wsp:rsid wsp:val=&quot;00970DB1&quot;/&gt;&lt;wsp:rsid wsp:val=&quot;00971474&quot;/&gt;&lt;wsp:rsid wsp:val=&quot;00972173&quot;/&gt;&lt;wsp:rsid wsp:val=&quot;00972500&quot;/&gt;&lt;wsp:rsid wsp:val=&quot;009726BC&quot;/&gt;&lt;wsp:rsid wsp:val=&quot;00972A56&quot;/&gt;&lt;wsp:rsid wsp:val=&quot;0097314D&quot;/&gt;&lt;wsp:rsid wsp:val=&quot;00974009&quot;/&gt;&lt;wsp:rsid wsp:val=&quot;00974281&quot;/&gt;&lt;wsp:rsid wsp:val=&quot;00974385&quot;/&gt;&lt;wsp:rsid wsp:val=&quot;0097490F&quot;/&gt;&lt;wsp:rsid wsp:val=&quot;00974E70&quot;/&gt;&lt;wsp:rsid wsp:val=&quot;009751DE&quot;/&gt;&lt;wsp:rsid wsp:val=&quot;0097522C&quot;/&gt;&lt;wsp:rsid wsp:val=&quot;00975C40&quot;/&gt;&lt;wsp:rsid wsp:val=&quot;00976280&quot;/&gt;&lt;wsp:rsid wsp:val=&quot;009767B3&quot;/&gt;&lt;wsp:rsid wsp:val=&quot;00977339&quot;/&gt;&lt;wsp:rsid wsp:val=&quot;00977631&quot;/&gt;&lt;wsp:rsid wsp:val=&quot;00977768&quot;/&gt;&lt;wsp:rsid wsp:val=&quot;00977C81&quot;/&gt;&lt;wsp:rsid wsp:val=&quot;0098000F&quot;/&gt;&lt;wsp:rsid wsp:val=&quot;009809EF&quot;/&gt;&lt;wsp:rsid wsp:val=&quot;009815B0&quot;/&gt;&lt;wsp:rsid wsp:val=&quot;00981623&quot;/&gt;&lt;wsp:rsid wsp:val=&quot;00981770&quot;/&gt;&lt;wsp:rsid wsp:val=&quot;00982263&quot;/&gt;&lt;wsp:rsid wsp:val=&quot;009827FC&quot;/&gt;&lt;wsp:rsid wsp:val=&quot;00982EF3&quot;/&gt;&lt;wsp:rsid wsp:val=&quot;00983181&quot;/&gt;&lt;wsp:rsid wsp:val=&quot;009836FF&quot;/&gt;&lt;wsp:rsid wsp:val=&quot;00984331&quot;/&gt;&lt;wsp:rsid wsp:val=&quot;00984692&quot;/&gt;&lt;wsp:rsid wsp:val=&quot;009846D6&quot;/&gt;&lt;wsp:rsid wsp:val=&quot;00984F5C&quot;/&gt;&lt;wsp:rsid wsp:val=&quot;009854B8&quot;/&gt;&lt;wsp:rsid wsp:val=&quot;0098554A&quot;/&gt;&lt;wsp:rsid wsp:val=&quot;00985748&quot;/&gt;&lt;wsp:rsid wsp:val=&quot;009858AA&quot;/&gt;&lt;wsp:rsid wsp:val=&quot;009859E5&quot;/&gt;&lt;wsp:rsid wsp:val=&quot;00985A44&quot;/&gt;&lt;wsp:rsid wsp:val=&quot;00985AAA&quot;/&gt;&lt;wsp:rsid wsp:val=&quot;00985F05&quot;/&gt;&lt;wsp:rsid wsp:val=&quot;0098628D&quot;/&gt;&lt;wsp:rsid wsp:val=&quot;00986495&quot;/&gt;&lt;wsp:rsid wsp:val=&quot;00986C40&quot;/&gt;&lt;wsp:rsid wsp:val=&quot;00986CA7&quot;/&gt;&lt;wsp:rsid wsp:val=&quot;00986D53&quot;/&gt;&lt;wsp:rsid wsp:val=&quot;0098765D&quot;/&gt;&lt;wsp:rsid wsp:val=&quot;00987A80&quot;/&gt;&lt;wsp:rsid wsp:val=&quot;00987D3F&quot;/&gt;&lt;wsp:rsid wsp:val=&quot;00987EA3&quot;/&gt;&lt;wsp:rsid wsp:val=&quot;00990326&quot;/&gt;&lt;wsp:rsid wsp:val=&quot;0099062D&quot;/&gt;&lt;wsp:rsid wsp:val=&quot;00990807&quot;/&gt;&lt;wsp:rsid wsp:val=&quot;0099148B&quot;/&gt;&lt;wsp:rsid wsp:val=&quot;009918F8&quot;/&gt;&lt;wsp:rsid wsp:val=&quot;00992110&quot;/&gt;&lt;wsp:rsid wsp:val=&quot;00992722&quot;/&gt;&lt;wsp:rsid wsp:val=&quot;0099282B&quot;/&gt;&lt;wsp:rsid wsp:val=&quot;00992E70&quot;/&gt;&lt;wsp:rsid wsp:val=&quot;009934A0&quot;/&gt;&lt;wsp:rsid wsp:val=&quot;00993B9D&quot;/&gt;&lt;wsp:rsid wsp:val=&quot;00993DB7&quot;/&gt;&lt;wsp:rsid wsp:val=&quot;00994137&quot;/&gt;&lt;wsp:rsid wsp:val=&quot;00995038&quot;/&gt;&lt;wsp:rsid wsp:val=&quot;00995298&quot;/&gt;&lt;wsp:rsid wsp:val=&quot;0099529A&quot;/&gt;&lt;wsp:rsid wsp:val=&quot;009953D6&quot;/&gt;&lt;wsp:rsid wsp:val=&quot;00995538&quot;/&gt;&lt;wsp:rsid wsp:val=&quot;00995A2D&quot;/&gt;&lt;wsp:rsid wsp:val=&quot;00996523&quot;/&gt;&lt;wsp:rsid wsp:val=&quot;009967EC&quot;/&gt;&lt;wsp:rsid wsp:val=&quot;00996871&quot;/&gt;&lt;wsp:rsid wsp:val=&quot;00996B8F&quot;/&gt;&lt;wsp:rsid wsp:val=&quot;00996E38&quot;/&gt;&lt;wsp:rsid wsp:val=&quot;00997447&quot;/&gt;&lt;wsp:rsid wsp:val=&quot;0099746C&quot;/&gt;&lt;wsp:rsid wsp:val=&quot;00997889&quot;/&gt;&lt;wsp:rsid wsp:val=&quot;00997952&quot;/&gt;&lt;wsp:rsid wsp:val=&quot;00997F33&quot;/&gt;&lt;wsp:rsid wsp:val=&quot;009A00F8&quot;/&gt;&lt;wsp:rsid wsp:val=&quot;009A0194&quot;/&gt;&lt;wsp:rsid wsp:val=&quot;009A033A&quot;/&gt;&lt;wsp:rsid wsp:val=&quot;009A066E&quot;/&gt;&lt;wsp:rsid wsp:val=&quot;009A0D2D&quot;/&gt;&lt;wsp:rsid wsp:val=&quot;009A0EA0&quot;/&gt;&lt;wsp:rsid wsp:val=&quot;009A0F27&quot;/&gt;&lt;wsp:rsid wsp:val=&quot;009A1CA5&quot;/&gt;&lt;wsp:rsid wsp:val=&quot;009A1F94&quot;/&gt;&lt;wsp:rsid wsp:val=&quot;009A1FE0&quot;/&gt;&lt;wsp:rsid wsp:val=&quot;009A247B&quot;/&gt;&lt;wsp:rsid wsp:val=&quot;009A26EA&quot;/&gt;&lt;wsp:rsid wsp:val=&quot;009A2FB0&quot;/&gt;&lt;wsp:rsid wsp:val=&quot;009A33F1&quot;/&gt;&lt;wsp:rsid wsp:val=&quot;009A406A&quot;/&gt;&lt;wsp:rsid wsp:val=&quot;009A4086&quot;/&gt;&lt;wsp:rsid wsp:val=&quot;009A427E&quot;/&gt;&lt;wsp:rsid wsp:val=&quot;009A436C&quot;/&gt;&lt;wsp:rsid wsp:val=&quot;009A4C57&quot;/&gt;&lt;wsp:rsid wsp:val=&quot;009A52B6&quot;/&gt;&lt;wsp:rsid wsp:val=&quot;009A53DA&quot;/&gt;&lt;wsp:rsid wsp:val=&quot;009A5FCC&quot;/&gt;&lt;wsp:rsid wsp:val=&quot;009A5FD7&quot;/&gt;&lt;wsp:rsid wsp:val=&quot;009A615C&quot;/&gt;&lt;wsp:rsid wsp:val=&quot;009A75F6&quot;/&gt;&lt;wsp:rsid wsp:val=&quot;009A76F6&quot;/&gt;&lt;wsp:rsid wsp:val=&quot;009A77EF&quot;/&gt;&lt;wsp:rsid wsp:val=&quot;009A785D&quot;/&gt;&lt;wsp:rsid wsp:val=&quot;009A7B4C&quot;/&gt;&lt;wsp:rsid wsp:val=&quot;009B00BE&quot;/&gt;&lt;wsp:rsid wsp:val=&quot;009B06E8&quot;/&gt;&lt;wsp:rsid wsp:val=&quot;009B1412&quot;/&gt;&lt;wsp:rsid wsp:val=&quot;009B175C&quot;/&gt;&lt;wsp:rsid wsp:val=&quot;009B1AEA&quot;/&gt;&lt;wsp:rsid wsp:val=&quot;009B1ED9&quot;/&gt;&lt;wsp:rsid wsp:val=&quot;009B1FB2&quot;/&gt;&lt;wsp:rsid wsp:val=&quot;009B2950&quot;/&gt;&lt;wsp:rsid wsp:val=&quot;009B2A38&quot;/&gt;&lt;wsp:rsid wsp:val=&quot;009B31E2&quot;/&gt;&lt;wsp:rsid wsp:val=&quot;009B3BDB&quot;/&gt;&lt;wsp:rsid wsp:val=&quot;009B3E98&quot;/&gt;&lt;wsp:rsid wsp:val=&quot;009B4381&quot;/&gt;&lt;wsp:rsid wsp:val=&quot;009B4948&quot;/&gt;&lt;wsp:rsid wsp:val=&quot;009B5CEF&quot;/&gt;&lt;wsp:rsid wsp:val=&quot;009B62BC&quot;/&gt;&lt;wsp:rsid wsp:val=&quot;009B67DA&quot;/&gt;&lt;wsp:rsid wsp:val=&quot;009B6B01&quot;/&gt;&lt;wsp:rsid wsp:val=&quot;009B6D77&quot;/&gt;&lt;wsp:rsid wsp:val=&quot;009B70FC&quot;/&gt;&lt;wsp:rsid wsp:val=&quot;009B737F&quot;/&gt;&lt;wsp:rsid wsp:val=&quot;009B768C&quot;/&gt;&lt;wsp:rsid wsp:val=&quot;009B78FD&quot;/&gt;&lt;wsp:rsid wsp:val=&quot;009B7B0A&quot;/&gt;&lt;wsp:rsid wsp:val=&quot;009B7CC6&quot;/&gt;&lt;wsp:rsid wsp:val=&quot;009B7E01&quot;/&gt;&lt;wsp:rsid wsp:val=&quot;009B7F95&quot;/&gt;&lt;wsp:rsid wsp:val=&quot;009C0001&quot;/&gt;&lt;wsp:rsid wsp:val=&quot;009C006D&quot;/&gt;&lt;wsp:rsid wsp:val=&quot;009C0447&quot;/&gt;&lt;wsp:rsid wsp:val=&quot;009C0954&quot;/&gt;&lt;wsp:rsid wsp:val=&quot;009C0B5E&quot;/&gt;&lt;wsp:rsid wsp:val=&quot;009C0BC4&quot;/&gt;&lt;wsp:rsid wsp:val=&quot;009C0CD6&quot;/&gt;&lt;wsp:rsid wsp:val=&quot;009C11C1&quot;/&gt;&lt;wsp:rsid wsp:val=&quot;009C12A5&quot;/&gt;&lt;wsp:rsid wsp:val=&quot;009C1371&quot;/&gt;&lt;wsp:rsid wsp:val=&quot;009C1609&quot;/&gt;&lt;wsp:rsid wsp:val=&quot;009C1C83&quot;/&gt;&lt;wsp:rsid wsp:val=&quot;009C2399&quot;/&gt;&lt;wsp:rsid wsp:val=&quot;009C24A4&quot;/&gt;&lt;wsp:rsid wsp:val=&quot;009C270D&quot;/&gt;&lt;wsp:rsid wsp:val=&quot;009C2ABD&quot;/&gt;&lt;wsp:rsid wsp:val=&quot;009C2D41&quot;/&gt;&lt;wsp:rsid wsp:val=&quot;009C2FC0&quot;/&gt;&lt;wsp:rsid wsp:val=&quot;009C3067&quot;/&gt;&lt;wsp:rsid wsp:val=&quot;009C3533&quot;/&gt;&lt;wsp:rsid wsp:val=&quot;009C361B&quot;/&gt;&lt;wsp:rsid wsp:val=&quot;009C3933&quot;/&gt;&lt;wsp:rsid wsp:val=&quot;009C42B4&quot;/&gt;&lt;wsp:rsid wsp:val=&quot;009C48BE&quot;/&gt;&lt;wsp:rsid wsp:val=&quot;009C5027&quot;/&gt;&lt;wsp:rsid wsp:val=&quot;009C510C&quot;/&gt;&lt;wsp:rsid wsp:val=&quot;009C5530&quot;/&gt;&lt;wsp:rsid wsp:val=&quot;009C5756&quot;/&gt;&lt;wsp:rsid wsp:val=&quot;009C58CA&quot;/&gt;&lt;wsp:rsid wsp:val=&quot;009C58D6&quot;/&gt;&lt;wsp:rsid wsp:val=&quot;009C5D19&quot;/&gt;&lt;wsp:rsid wsp:val=&quot;009C6965&quot;/&gt;&lt;wsp:rsid wsp:val=&quot;009C6A73&quot;/&gt;&lt;wsp:rsid wsp:val=&quot;009C72F7&quot;/&gt;&lt;wsp:rsid wsp:val=&quot;009C7671&quot;/&gt;&lt;wsp:rsid wsp:val=&quot;009C7849&quot;/&gt;&lt;wsp:rsid wsp:val=&quot;009C7FF0&quot;/&gt;&lt;wsp:rsid wsp:val=&quot;009D0A08&quot;/&gt;&lt;wsp:rsid wsp:val=&quot;009D0B6A&quot;/&gt;&lt;wsp:rsid wsp:val=&quot;009D10BD&quot;/&gt;&lt;wsp:rsid wsp:val=&quot;009D19E4&quot;/&gt;&lt;wsp:rsid wsp:val=&quot;009D1A06&quot;/&gt;&lt;wsp:rsid wsp:val=&quot;009D1C3C&quot;/&gt;&lt;wsp:rsid wsp:val=&quot;009D2055&quot;/&gt;&lt;wsp:rsid wsp:val=&quot;009D273D&quot;/&gt;&lt;wsp:rsid wsp:val=&quot;009D2A84&quot;/&gt;&lt;wsp:rsid wsp:val=&quot;009D3231&quot;/&gt;&lt;wsp:rsid wsp:val=&quot;009D349D&quot;/&gt;&lt;wsp:rsid wsp:val=&quot;009D3591&quot;/&gt;&lt;wsp:rsid wsp:val=&quot;009D3862&quot;/&gt;&lt;wsp:rsid wsp:val=&quot;009D3C76&quot;/&gt;&lt;wsp:rsid wsp:val=&quot;009D3D0C&quot;/&gt;&lt;wsp:rsid wsp:val=&quot;009D3D6C&quot;/&gt;&lt;wsp:rsid wsp:val=&quot;009D3FEE&quot;/&gt;&lt;wsp:rsid wsp:val=&quot;009D4355&quot;/&gt;&lt;wsp:rsid wsp:val=&quot;009D4EE3&quot;/&gt;&lt;wsp:rsid wsp:val=&quot;009D5126&quot;/&gt;&lt;wsp:rsid wsp:val=&quot;009D5566&quot;/&gt;&lt;wsp:rsid wsp:val=&quot;009D5B36&quot;/&gt;&lt;wsp:rsid wsp:val=&quot;009D5BEE&quot;/&gt;&lt;wsp:rsid wsp:val=&quot;009D5F84&quot;/&gt;&lt;wsp:rsid wsp:val=&quot;009D62B6&quot;/&gt;&lt;wsp:rsid wsp:val=&quot;009D6617&quot;/&gt;&lt;wsp:rsid wsp:val=&quot;009D67B9&quot;/&gt;&lt;wsp:rsid wsp:val=&quot;009D6A31&quot;/&gt;&lt;wsp:rsid wsp:val=&quot;009D6CDE&quot;/&gt;&lt;wsp:rsid wsp:val=&quot;009D74EF&quot;/&gt;&lt;wsp:rsid wsp:val=&quot;009D7F92&quot;/&gt;&lt;wsp:rsid wsp:val=&quot;009E1225&quot;/&gt;&lt;wsp:rsid wsp:val=&quot;009E136A&quot;/&gt;&lt;wsp:rsid wsp:val=&quot;009E1399&quot;/&gt;&lt;wsp:rsid wsp:val=&quot;009E1632&quot;/&gt;&lt;wsp:rsid wsp:val=&quot;009E17B2&quot;/&gt;&lt;wsp:rsid wsp:val=&quot;009E18AB&quot;/&gt;&lt;wsp:rsid wsp:val=&quot;009E1BB0&quot;/&gt;&lt;wsp:rsid wsp:val=&quot;009E21CD&quot;/&gt;&lt;wsp:rsid wsp:val=&quot;009E225D&quot;/&gt;&lt;wsp:rsid wsp:val=&quot;009E2314&quot;/&gt;&lt;wsp:rsid wsp:val=&quot;009E25D2&quot;/&gt;&lt;wsp:rsid wsp:val=&quot;009E2737&quot;/&gt;&lt;wsp:rsid wsp:val=&quot;009E2CC9&quot;/&gt;&lt;wsp:rsid wsp:val=&quot;009E3181&quot;/&gt;&lt;wsp:rsid wsp:val=&quot;009E3192&quot;/&gt;&lt;wsp:rsid wsp:val=&quot;009E3400&quot;/&gt;&lt;wsp:rsid wsp:val=&quot;009E3933&quot;/&gt;&lt;wsp:rsid wsp:val=&quot;009E41A2&quot;/&gt;&lt;wsp:rsid wsp:val=&quot;009E41E0&quot;/&gt;&lt;wsp:rsid wsp:val=&quot;009E4459&quot;/&gt;&lt;wsp:rsid wsp:val=&quot;009E47CA&quot;/&gt;&lt;wsp:rsid wsp:val=&quot;009E56A2&quot;/&gt;&lt;wsp:rsid wsp:val=&quot;009E5D1D&quot;/&gt;&lt;wsp:rsid wsp:val=&quot;009E6321&quot;/&gt;&lt;wsp:rsid wsp:val=&quot;009E6762&quot;/&gt;&lt;wsp:rsid wsp:val=&quot;009E6979&quot;/&gt;&lt;wsp:rsid wsp:val=&quot;009E699D&quot;/&gt;&lt;wsp:rsid wsp:val=&quot;009E7342&quot;/&gt;&lt;wsp:rsid wsp:val=&quot;009E7922&quot;/&gt;&lt;wsp:rsid wsp:val=&quot;009F00D5&quot;/&gt;&lt;wsp:rsid wsp:val=&quot;009F09F4&quot;/&gt;&lt;wsp:rsid wsp:val=&quot;009F0BE1&quot;/&gt;&lt;wsp:rsid wsp:val=&quot;009F0F83&quot;/&gt;&lt;wsp:rsid wsp:val=&quot;009F135E&quot;/&gt;&lt;wsp:rsid wsp:val=&quot;009F2089&quot;/&gt;&lt;wsp:rsid wsp:val=&quot;009F2474&quot;/&gt;&lt;wsp:rsid wsp:val=&quot;009F25DE&quot;/&gt;&lt;wsp:rsid wsp:val=&quot;009F2731&quot;/&gt;&lt;wsp:rsid wsp:val=&quot;009F2A6C&quot;/&gt;&lt;wsp:rsid wsp:val=&quot;009F2EFE&quot;/&gt;&lt;wsp:rsid wsp:val=&quot;009F3128&quot;/&gt;&lt;wsp:rsid wsp:val=&quot;009F35C2&quot;/&gt;&lt;wsp:rsid wsp:val=&quot;009F3853&quot;/&gt;&lt;wsp:rsid wsp:val=&quot;009F3BDB&quot;/&gt;&lt;wsp:rsid wsp:val=&quot;009F4B13&quot;/&gt;&lt;wsp:rsid wsp:val=&quot;009F4C1D&quot;/&gt;&lt;wsp:rsid wsp:val=&quot;009F53C7&quot;/&gt;&lt;wsp:rsid wsp:val=&quot;009F5B5C&quot;/&gt;&lt;wsp:rsid wsp:val=&quot;009F743D&quot;/&gt;&lt;wsp:rsid wsp:val=&quot;00A00079&quot;/&gt;&lt;wsp:rsid wsp:val=&quot;00A003A1&quot;/&gt;&lt;wsp:rsid wsp:val=&quot;00A00B2C&quot;/&gt;&lt;wsp:rsid wsp:val=&quot;00A00FA2&quot;/&gt;&lt;wsp:rsid wsp:val=&quot;00A01103&quot;/&gt;&lt;wsp:rsid wsp:val=&quot;00A0120D&quot;/&gt;&lt;wsp:rsid wsp:val=&quot;00A01B20&quot;/&gt;&lt;wsp:rsid wsp:val=&quot;00A01C34&quot;/&gt;&lt;wsp:rsid wsp:val=&quot;00A021E2&quot;/&gt;&lt;wsp:rsid wsp:val=&quot;00A035FF&quot;/&gt;&lt;wsp:rsid wsp:val=&quot;00A0371D&quot;/&gt;&lt;wsp:rsid wsp:val=&quot;00A03A59&quot;/&gt;&lt;wsp:rsid wsp:val=&quot;00A03ACB&quot;/&gt;&lt;wsp:rsid wsp:val=&quot;00A03BB5&quot;/&gt;&lt;wsp:rsid wsp:val=&quot;00A03F77&quot;/&gt;&lt;wsp:rsid wsp:val=&quot;00A0427E&quot;/&gt;&lt;wsp:rsid wsp:val=&quot;00A042F8&quot;/&gt;&lt;wsp:rsid wsp:val=&quot;00A0452C&quot;/&gt;&lt;wsp:rsid wsp:val=&quot;00A046E7&quot;/&gt;&lt;wsp:rsid wsp:val=&quot;00A04B32&quot;/&gt;&lt;wsp:rsid wsp:val=&quot;00A04D0F&quot;/&gt;&lt;wsp:rsid wsp:val=&quot;00A04F77&quot;/&gt;&lt;wsp:rsid wsp:val=&quot;00A050F3&quot;/&gt;&lt;wsp:rsid wsp:val=&quot;00A05343&quot;/&gt;&lt;wsp:rsid wsp:val=&quot;00A053C7&quot;/&gt;&lt;wsp:rsid wsp:val=&quot;00A05677&quot;/&gt;&lt;wsp:rsid wsp:val=&quot;00A0591E&quot;/&gt;&lt;wsp:rsid wsp:val=&quot;00A05B4A&quot;/&gt;&lt;wsp:rsid wsp:val=&quot;00A05C2D&quot;/&gt;&lt;wsp:rsid wsp:val=&quot;00A06A03&quot;/&gt;&lt;wsp:rsid wsp:val=&quot;00A06BC1&quot;/&gt;&lt;wsp:rsid wsp:val=&quot;00A06C9D&quot;/&gt;&lt;wsp:rsid wsp:val=&quot;00A06DB5&quot;/&gt;&lt;wsp:rsid wsp:val=&quot;00A0748F&quot;/&gt;&lt;wsp:rsid wsp:val=&quot;00A079F1&quot;/&gt;&lt;wsp:rsid wsp:val=&quot;00A07B2C&quot;/&gt;&lt;wsp:rsid wsp:val=&quot;00A10D9B&quot;/&gt;&lt;wsp:rsid wsp:val=&quot;00A1145F&quot;/&gt;&lt;wsp:rsid wsp:val=&quot;00A11C52&quot;/&gt;&lt;wsp:rsid wsp:val=&quot;00A11C5C&quot;/&gt;&lt;wsp:rsid wsp:val=&quot;00A11D1F&quot;/&gt;&lt;wsp:rsid wsp:val=&quot;00A11D8C&quot;/&gt;&lt;wsp:rsid wsp:val=&quot;00A12172&quot;/&gt;&lt;wsp:rsid wsp:val=&quot;00A1222A&quot;/&gt;&lt;wsp:rsid wsp:val=&quot;00A12826&quot;/&gt;&lt;wsp:rsid wsp:val=&quot;00A12B42&quot;/&gt;&lt;wsp:rsid wsp:val=&quot;00A12F4B&quot;/&gt;&lt;wsp:rsid wsp:val=&quot;00A13143&quot;/&gt;&lt;wsp:rsid wsp:val=&quot;00A132CA&quot;/&gt;&lt;wsp:rsid wsp:val=&quot;00A1382C&quot;/&gt;&lt;wsp:rsid wsp:val=&quot;00A13CB4&quot;/&gt;&lt;wsp:rsid wsp:val=&quot;00A13ED1&quot;/&gt;&lt;wsp:rsid wsp:val=&quot;00A14295&quot;/&gt;&lt;wsp:rsid wsp:val=&quot;00A14943&quot;/&gt;&lt;wsp:rsid wsp:val=&quot;00A14F37&quot;/&gt;&lt;wsp:rsid wsp:val=&quot;00A15042&quot;/&gt;&lt;wsp:rsid wsp:val=&quot;00A1539F&quot;/&gt;&lt;wsp:rsid wsp:val=&quot;00A157CB&quot;/&gt;&lt;wsp:rsid wsp:val=&quot;00A15C90&quot;/&gt;&lt;wsp:rsid wsp:val=&quot;00A16650&quot;/&gt;&lt;wsp:rsid wsp:val=&quot;00A1679E&quot;/&gt;&lt;wsp:rsid wsp:val=&quot;00A167F7&quot;/&gt;&lt;wsp:rsid wsp:val=&quot;00A16F8F&quot;/&gt;&lt;wsp:rsid wsp:val=&quot;00A170BE&quot;/&gt;&lt;wsp:rsid wsp:val=&quot;00A17933&quot;/&gt;&lt;wsp:rsid wsp:val=&quot;00A17A3B&quot;/&gt;&lt;wsp:rsid wsp:val=&quot;00A17E2E&quot;/&gt;&lt;wsp:rsid wsp:val=&quot;00A17E9E&quot;/&gt;&lt;wsp:rsid wsp:val=&quot;00A17F35&quot;/&gt;&lt;wsp:rsid wsp:val=&quot;00A20289&quot;/&gt;&lt;wsp:rsid wsp:val=&quot;00A20639&quot;/&gt;&lt;wsp:rsid wsp:val=&quot;00A20776&quot;/&gt;&lt;wsp:rsid wsp:val=&quot;00A2117F&quot;/&gt;&lt;wsp:rsid wsp:val=&quot;00A21576&quot;/&gt;&lt;wsp:rsid wsp:val=&quot;00A2171D&quot;/&gt;&lt;wsp:rsid wsp:val=&quot;00A21B33&quot;/&gt;&lt;wsp:rsid wsp:val=&quot;00A21DCA&quot;/&gt;&lt;wsp:rsid wsp:val=&quot;00A22051&quot;/&gt;&lt;wsp:rsid wsp:val=&quot;00A2218B&quot;/&gt;&lt;wsp:rsid wsp:val=&quot;00A225B4&quot;/&gt;&lt;wsp:rsid wsp:val=&quot;00A2271E&quot;/&gt;&lt;wsp:rsid wsp:val=&quot;00A22F56&quot;/&gt;&lt;wsp:rsid wsp:val=&quot;00A22F88&quot;/&gt;&lt;wsp:rsid wsp:val=&quot;00A2308A&quot;/&gt;&lt;wsp:rsid wsp:val=&quot;00A23590&quot;/&gt;&lt;wsp:rsid wsp:val=&quot;00A238C6&quot;/&gt;&lt;wsp:rsid wsp:val=&quot;00A23A88&quot;/&gt;&lt;wsp:rsid wsp:val=&quot;00A2422C&quot;/&gt;&lt;wsp:rsid wsp:val=&quot;00A24560&quot;/&gt;&lt;wsp:rsid wsp:val=&quot;00A2545A&quot;/&gt;&lt;wsp:rsid wsp:val=&quot;00A2602E&quot;/&gt;&lt;wsp:rsid wsp:val=&quot;00A26074&quot;/&gt;&lt;wsp:rsid wsp:val=&quot;00A262C7&quot;/&gt;&lt;wsp:rsid wsp:val=&quot;00A268FA&quot;/&gt;&lt;wsp:rsid wsp:val=&quot;00A26F35&quot;/&gt;&lt;wsp:rsid wsp:val=&quot;00A273D4&quot;/&gt;&lt;wsp:rsid wsp:val=&quot;00A27E4F&quot;/&gt;&lt;wsp:rsid wsp:val=&quot;00A30547&quot;/&gt;&lt;wsp:rsid wsp:val=&quot;00A3120C&quot;/&gt;&lt;wsp:rsid wsp:val=&quot;00A3128D&quot;/&gt;&lt;wsp:rsid wsp:val=&quot;00A314D1&quot;/&gt;&lt;wsp:rsid wsp:val=&quot;00A31A46&quot;/&gt;&lt;wsp:rsid wsp:val=&quot;00A32C96&quot;/&gt;&lt;wsp:rsid wsp:val=&quot;00A32F8C&quot;/&gt;&lt;wsp:rsid wsp:val=&quot;00A337F3&quot;/&gt;&lt;wsp:rsid wsp:val=&quot;00A33B92&quot;/&gt;&lt;wsp:rsid wsp:val=&quot;00A33BE3&quot;/&gt;&lt;wsp:rsid wsp:val=&quot;00A33F6F&quot;/&gt;&lt;wsp:rsid wsp:val=&quot;00A34D3A&quot;/&gt;&lt;wsp:rsid wsp:val=&quot;00A35436&quot;/&gt;&lt;wsp:rsid wsp:val=&quot;00A35738&quot;/&gt;&lt;wsp:rsid wsp:val=&quot;00A359EA&quot;/&gt;&lt;wsp:rsid wsp:val=&quot;00A35D94&quot;/&gt;&lt;wsp:rsid wsp:val=&quot;00A366BA&quot;/&gt;&lt;wsp:rsid wsp:val=&quot;00A368E3&quot;/&gt;&lt;wsp:rsid wsp:val=&quot;00A3692B&quot;/&gt;&lt;wsp:rsid wsp:val=&quot;00A36B57&quot;/&gt;&lt;wsp:rsid wsp:val=&quot;00A3700D&quot;/&gt;&lt;wsp:rsid wsp:val=&quot;00A37631&quot;/&gt;&lt;wsp:rsid wsp:val=&quot;00A37781&quot;/&gt;&lt;wsp:rsid wsp:val=&quot;00A37CC5&quot;/&gt;&lt;wsp:rsid wsp:val=&quot;00A40B3E&quot;/&gt;&lt;wsp:rsid wsp:val=&quot;00A40D83&quot;/&gt;&lt;wsp:rsid wsp:val=&quot;00A40E71&quot;/&gt;&lt;wsp:rsid wsp:val=&quot;00A40FBA&quot;/&gt;&lt;wsp:rsid wsp:val=&quot;00A413DD&quot;/&gt;&lt;wsp:rsid wsp:val=&quot;00A41CCD&quot;/&gt;&lt;wsp:rsid wsp:val=&quot;00A42096&quot;/&gt;&lt;wsp:rsid wsp:val=&quot;00A4242B&quot;/&gt;&lt;wsp:rsid wsp:val=&quot;00A428EF&quot;/&gt;&lt;wsp:rsid wsp:val=&quot;00A4329F&quot;/&gt;&lt;wsp:rsid wsp:val=&quot;00A440DF&quot;/&gt;&lt;wsp:rsid wsp:val=&quot;00A44179&quot;/&gt;&lt;wsp:rsid wsp:val=&quot;00A44670&quot;/&gt;&lt;wsp:rsid wsp:val=&quot;00A44DA3&quot;/&gt;&lt;wsp:rsid wsp:val=&quot;00A44E6A&quot;/&gt;&lt;wsp:rsid wsp:val=&quot;00A44ED9&quot;/&gt;&lt;wsp:rsid wsp:val=&quot;00A4577B&quot;/&gt;&lt;wsp:rsid wsp:val=&quot;00A45CB1&quot;/&gt;&lt;wsp:rsid wsp:val=&quot;00A4666B&quot;/&gt;&lt;wsp:rsid wsp:val=&quot;00A4670E&quot;/&gt;&lt;wsp:rsid wsp:val=&quot;00A46945&quot;/&gt;&lt;wsp:rsid wsp:val=&quot;00A46C7F&quot;/&gt;&lt;wsp:rsid wsp:val=&quot;00A473F9&quot;/&gt;&lt;wsp:rsid wsp:val=&quot;00A47643&quot;/&gt;&lt;wsp:rsid wsp:val=&quot;00A477F7&quot;/&gt;&lt;wsp:rsid wsp:val=&quot;00A500FD&quot;/&gt;&lt;wsp:rsid wsp:val=&quot;00A50553&quot;/&gt;&lt;wsp:rsid wsp:val=&quot;00A50660&quot;/&gt;&lt;wsp:rsid wsp:val=&quot;00A5088A&quot;/&gt;&lt;wsp:rsid wsp:val=&quot;00A5096D&quot;/&gt;&lt;wsp:rsid wsp:val=&quot;00A511E0&quot;/&gt;&lt;wsp:rsid wsp:val=&quot;00A512A8&quot;/&gt;&lt;wsp:rsid wsp:val=&quot;00A514C9&quot;/&gt;&lt;wsp:rsid wsp:val=&quot;00A51952&quot;/&gt;&lt;wsp:rsid wsp:val=&quot;00A519DB&quot;/&gt;&lt;wsp:rsid wsp:val=&quot;00A51A02&quot;/&gt;&lt;wsp:rsid wsp:val=&quot;00A51AE9&quot;/&gt;&lt;wsp:rsid wsp:val=&quot;00A523BC&quot;/&gt;&lt;wsp:rsid wsp:val=&quot;00A528CB&quot;/&gt;&lt;wsp:rsid wsp:val=&quot;00A529D3&quot;/&gt;&lt;wsp:rsid wsp:val=&quot;00A52C2D&quot;/&gt;&lt;wsp:rsid wsp:val=&quot;00A52D14&quot;/&gt;&lt;wsp:rsid wsp:val=&quot;00A52F05&quot;/&gt;&lt;wsp:rsid wsp:val=&quot;00A52F13&quot;/&gt;&lt;wsp:rsid wsp:val=&quot;00A532B3&quot;/&gt;&lt;wsp:rsid wsp:val=&quot;00A53BFE&quot;/&gt;&lt;wsp:rsid wsp:val=&quot;00A540AE&quot;/&gt;&lt;wsp:rsid wsp:val=&quot;00A54192&quot;/&gt;&lt;wsp:rsid wsp:val=&quot;00A54C91&quot;/&gt;&lt;wsp:rsid wsp:val=&quot;00A54D24&quot;/&gt;&lt;wsp:rsid wsp:val=&quot;00A55178&quot;/&gt;&lt;wsp:rsid wsp:val=&quot;00A553ED&quot;/&gt;&lt;wsp:rsid wsp:val=&quot;00A5550C&quot;/&gt;&lt;wsp:rsid wsp:val=&quot;00A555FE&quot;/&gt;&lt;wsp:rsid wsp:val=&quot;00A5563C&quot;/&gt;&lt;wsp:rsid wsp:val=&quot;00A55896&quot;/&gt;&lt;wsp:rsid wsp:val=&quot;00A55D3B&quot;/&gt;&lt;wsp:rsid wsp:val=&quot;00A55EED&quot;/&gt;&lt;wsp:rsid wsp:val=&quot;00A560F1&quot;/&gt;&lt;wsp:rsid wsp:val=&quot;00A563C5&quot;/&gt;&lt;wsp:rsid wsp:val=&quot;00A56C1A&quot;/&gt;&lt;wsp:rsid wsp:val=&quot;00A56CF4&quot;/&gt;&lt;wsp:rsid wsp:val=&quot;00A5745B&quot;/&gt;&lt;wsp:rsid wsp:val=&quot;00A57647&quot;/&gt;&lt;wsp:rsid wsp:val=&quot;00A577CA&quot;/&gt;&lt;wsp:rsid wsp:val=&quot;00A578B1&quot;/&gt;&lt;wsp:rsid wsp:val=&quot;00A57933&quot;/&gt;&lt;wsp:rsid wsp:val=&quot;00A57CA1&quot;/&gt;&lt;wsp:rsid wsp:val=&quot;00A60921&quot;/&gt;&lt;wsp:rsid wsp:val=&quot;00A60AD1&quot;/&gt;&lt;wsp:rsid wsp:val=&quot;00A611EE&quot;/&gt;&lt;wsp:rsid wsp:val=&quot;00A61867&quot;/&gt;&lt;wsp:rsid wsp:val=&quot;00A61C2E&quot;/&gt;&lt;wsp:rsid wsp:val=&quot;00A61CF5&quot;/&gt;&lt;wsp:rsid wsp:val=&quot;00A6217D&quot;/&gt;&lt;wsp:rsid wsp:val=&quot;00A621AA&quot;/&gt;&lt;wsp:rsid wsp:val=&quot;00A62312&quot;/&gt;&lt;wsp:rsid wsp:val=&quot;00A62605&quot;/&gt;&lt;wsp:rsid wsp:val=&quot;00A62708&quot;/&gt;&lt;wsp:rsid wsp:val=&quot;00A62B02&quot;/&gt;&lt;wsp:rsid wsp:val=&quot;00A62B81&quot;/&gt;&lt;wsp:rsid wsp:val=&quot;00A63338&quot;/&gt;&lt;wsp:rsid wsp:val=&quot;00A6355E&quot;/&gt;&lt;wsp:rsid wsp:val=&quot;00A636D1&quot;/&gt;&lt;wsp:rsid wsp:val=&quot;00A63B3D&quot;/&gt;&lt;wsp:rsid wsp:val=&quot;00A63E7F&quot;/&gt;&lt;wsp:rsid wsp:val=&quot;00A63FAC&quot;/&gt;&lt;wsp:rsid wsp:val=&quot;00A646B6&quot;/&gt;&lt;wsp:rsid wsp:val=&quot;00A647EB&quot;/&gt;&lt;wsp:rsid wsp:val=&quot;00A65006&quot;/&gt;&lt;wsp:rsid wsp:val=&quot;00A6546B&quot;/&gt;&lt;wsp:rsid wsp:val=&quot;00A65AC9&quot;/&gt;&lt;wsp:rsid wsp:val=&quot;00A65B1F&quot;/&gt;&lt;wsp:rsid wsp:val=&quot;00A669C9&quot;/&gt;&lt;wsp:rsid wsp:val=&quot;00A66AF5&quot;/&gt;&lt;wsp:rsid wsp:val=&quot;00A670F8&quot;/&gt;&lt;wsp:rsid wsp:val=&quot;00A67A15&quot;/&gt;&lt;wsp:rsid wsp:val=&quot;00A67ACB&quot;/&gt;&lt;wsp:rsid wsp:val=&quot;00A67D19&quot;/&gt;&lt;wsp:rsid wsp:val=&quot;00A70388&quot;/&gt;&lt;wsp:rsid wsp:val=&quot;00A708B1&quot;/&gt;&lt;wsp:rsid wsp:val=&quot;00A7092F&quot;/&gt;&lt;wsp:rsid wsp:val=&quot;00A70FB9&quot;/&gt;&lt;wsp:rsid wsp:val=&quot;00A7142D&quot;/&gt;&lt;wsp:rsid wsp:val=&quot;00A72282&quot;/&gt;&lt;wsp:rsid wsp:val=&quot;00A72909&quot;/&gt;&lt;wsp:rsid wsp:val=&quot;00A72C0E&quot;/&gt;&lt;wsp:rsid wsp:val=&quot;00A72EE2&quot;/&gt;&lt;wsp:rsid wsp:val=&quot;00A731A9&quot;/&gt;&lt;wsp:rsid wsp:val=&quot;00A73448&quot;/&gt;&lt;wsp:rsid wsp:val=&quot;00A7372B&quot;/&gt;&lt;wsp:rsid wsp:val=&quot;00A73BA9&quot;/&gt;&lt;wsp:rsid wsp:val=&quot;00A73CFD&quot;/&gt;&lt;wsp:rsid wsp:val=&quot;00A742D0&quot;/&gt;&lt;wsp:rsid wsp:val=&quot;00A7573D&quot;/&gt;&lt;wsp:rsid wsp:val=&quot;00A76551&quot;/&gt;&lt;wsp:rsid wsp:val=&quot;00A766E6&quot;/&gt;&lt;wsp:rsid wsp:val=&quot;00A7695D&quot;/&gt;&lt;wsp:rsid wsp:val=&quot;00A76A04&quot;/&gt;&lt;wsp:rsid wsp:val=&quot;00A76AED&quot;/&gt;&lt;wsp:rsid wsp:val=&quot;00A76DCC&quot;/&gt;&lt;wsp:rsid wsp:val=&quot;00A770CE&quot;/&gt;&lt;wsp:rsid wsp:val=&quot;00A77389&quot;/&gt;&lt;wsp:rsid wsp:val=&quot;00A7762A&quot;/&gt;&lt;wsp:rsid wsp:val=&quot;00A77BC7&quot;/&gt;&lt;wsp:rsid wsp:val=&quot;00A77D57&quot;/&gt;&lt;wsp:rsid wsp:val=&quot;00A77E07&quot;/&gt;&lt;wsp:rsid wsp:val=&quot;00A80457&quot;/&gt;&lt;wsp:rsid wsp:val=&quot;00A80E5E&quot;/&gt;&lt;wsp:rsid wsp:val=&quot;00A8101E&quot;/&gt;&lt;wsp:rsid wsp:val=&quot;00A8145D&quot;/&gt;&lt;wsp:rsid wsp:val=&quot;00A81AE8&quot;/&gt;&lt;wsp:rsid wsp:val=&quot;00A81F5C&quot;/&gt;&lt;wsp:rsid wsp:val=&quot;00A8204D&quot;/&gt;&lt;wsp:rsid wsp:val=&quot;00A8241B&quot;/&gt;&lt;wsp:rsid wsp:val=&quot;00A82AF9&quot;/&gt;&lt;wsp:rsid wsp:val=&quot;00A832F4&quot;/&gt;&lt;wsp:rsid wsp:val=&quot;00A83964&quot;/&gt;&lt;wsp:rsid wsp:val=&quot;00A83972&quot;/&gt;&lt;wsp:rsid wsp:val=&quot;00A83C83&quot;/&gt;&lt;wsp:rsid wsp:val=&quot;00A83FEC&quot;/&gt;&lt;wsp:rsid wsp:val=&quot;00A840FE&quot;/&gt;&lt;wsp:rsid wsp:val=&quot;00A84602&quot;/&gt;&lt;wsp:rsid wsp:val=&quot;00A849C1&quot;/&gt;&lt;wsp:rsid wsp:val=&quot;00A84EA4&quot;/&gt;&lt;wsp:rsid wsp:val=&quot;00A85615&quot;/&gt;&lt;wsp:rsid wsp:val=&quot;00A85686&quot;/&gt;&lt;wsp:rsid wsp:val=&quot;00A85AC7&quot;/&gt;&lt;wsp:rsid wsp:val=&quot;00A86CA2&quot;/&gt;&lt;wsp:rsid wsp:val=&quot;00A8725B&quot;/&gt;&lt;wsp:rsid wsp:val=&quot;00A87443&quot;/&gt;&lt;wsp:rsid wsp:val=&quot;00A87D9B&quot;/&gt;&lt;wsp:rsid wsp:val=&quot;00A90DA6&quot;/&gt;&lt;wsp:rsid wsp:val=&quot;00A91D74&quot;/&gt;&lt;wsp:rsid wsp:val=&quot;00A91E13&quot;/&gt;&lt;wsp:rsid wsp:val=&quot;00A9280F&quot;/&gt;&lt;wsp:rsid wsp:val=&quot;00A92CF1&quot;/&gt;&lt;wsp:rsid wsp:val=&quot;00A92E21&quot;/&gt;&lt;wsp:rsid wsp:val=&quot;00A92EAF&quot;/&gt;&lt;wsp:rsid wsp:val=&quot;00A93183&quot;/&gt;&lt;wsp:rsid wsp:val=&quot;00A932E6&quot;/&gt;&lt;wsp:rsid wsp:val=&quot;00A934AD&quot;/&gt;&lt;wsp:rsid wsp:val=&quot;00A93756&quot;/&gt;&lt;wsp:rsid wsp:val=&quot;00A939A3&quot;/&gt;&lt;wsp:rsid wsp:val=&quot;00A939E0&quot;/&gt;&lt;wsp:rsid wsp:val=&quot;00A93A0B&quot;/&gt;&lt;wsp:rsid wsp:val=&quot;00A93ED3&quot;/&gt;&lt;wsp:rsid wsp:val=&quot;00A9402B&quot;/&gt;&lt;wsp:rsid wsp:val=&quot;00A94217&quot;/&gt;&lt;wsp:rsid wsp:val=&quot;00A94458&quot;/&gt;&lt;wsp:rsid wsp:val=&quot;00A94AA1&quot;/&gt;&lt;wsp:rsid wsp:val=&quot;00A94ACA&quot;/&gt;&lt;wsp:rsid wsp:val=&quot;00A9526C&quot;/&gt;&lt;wsp:rsid wsp:val=&quot;00A9573C&quot;/&gt;&lt;wsp:rsid wsp:val=&quot;00A957C3&quot;/&gt;&lt;wsp:rsid wsp:val=&quot;00A95860&quot;/&gt;&lt;wsp:rsid wsp:val=&quot;00A958A9&quot;/&gt;&lt;wsp:rsid wsp:val=&quot;00A95910&quot;/&gt;&lt;wsp:rsid wsp:val=&quot;00A95D10&quot;/&gt;&lt;wsp:rsid wsp:val=&quot;00A95EC7&quot;/&gt;&lt;wsp:rsid wsp:val=&quot;00A9643A&quot;/&gt;&lt;wsp:rsid wsp:val=&quot;00A9707F&quot;/&gt;&lt;wsp:rsid wsp:val=&quot;00A97760&quot;/&gt;&lt;wsp:rsid wsp:val=&quot;00A97804&quot;/&gt;&lt;wsp:rsid wsp:val=&quot;00A97922&quot;/&gt;&lt;wsp:rsid wsp:val=&quot;00A979B9&quot;/&gt;&lt;wsp:rsid wsp:val=&quot;00A97BE0&quot;/&gt;&lt;wsp:rsid wsp:val=&quot;00A97EBC&quot;/&gt;&lt;wsp:rsid wsp:val=&quot;00AA0646&quot;/&gt;&lt;wsp:rsid wsp:val=&quot;00AA06FC&quot;/&gt;&lt;wsp:rsid wsp:val=&quot;00AA16C8&quot;/&gt;&lt;wsp:rsid wsp:val=&quot;00AA1B83&quot;/&gt;&lt;wsp:rsid wsp:val=&quot;00AA1C2B&quot;/&gt;&lt;wsp:rsid wsp:val=&quot;00AA1DD5&quot;/&gt;&lt;wsp:rsid wsp:val=&quot;00AA25B4&quot;/&gt;&lt;wsp:rsid wsp:val=&quot;00AA25C9&quot;/&gt;&lt;wsp:rsid wsp:val=&quot;00AA3C0D&quot;/&gt;&lt;wsp:rsid wsp:val=&quot;00AA4063&quot;/&gt;&lt;wsp:rsid wsp:val=&quot;00AA42E3&quot;/&gt;&lt;wsp:rsid wsp:val=&quot;00AA438C&quot;/&gt;&lt;wsp:rsid wsp:val=&quot;00AA4493&quot;/&gt;&lt;wsp:rsid wsp:val=&quot;00AA457F&quot;/&gt;&lt;wsp:rsid wsp:val=&quot;00AA4631&quot;/&gt;&lt;wsp:rsid wsp:val=&quot;00AA489C&quot;/&gt;&lt;wsp:rsid wsp:val=&quot;00AA494A&quot;/&gt;&lt;wsp:rsid wsp:val=&quot;00AA502F&quot;/&gt;&lt;wsp:rsid wsp:val=&quot;00AA538E&quot;/&gt;&lt;wsp:rsid wsp:val=&quot;00AA53DD&quot;/&gt;&lt;wsp:rsid wsp:val=&quot;00AA53FB&quot;/&gt;&lt;wsp:rsid wsp:val=&quot;00AA6234&quot;/&gt;&lt;wsp:rsid wsp:val=&quot;00AA6437&quot;/&gt;&lt;wsp:rsid wsp:val=&quot;00AA64B1&quot;/&gt;&lt;wsp:rsid wsp:val=&quot;00AA6C67&quot;/&gt;&lt;wsp:rsid wsp:val=&quot;00AA705C&quot;/&gt;&lt;wsp:rsid wsp:val=&quot;00AA72AF&quot;/&gt;&lt;wsp:rsid wsp:val=&quot;00AA7848&quot;/&gt;&lt;wsp:rsid wsp:val=&quot;00AA7856&quot;/&gt;&lt;wsp:rsid wsp:val=&quot;00AA7863&quot;/&gt;&lt;wsp:rsid wsp:val=&quot;00AA7890&quot;/&gt;&lt;wsp:rsid wsp:val=&quot;00AA78B4&quot;/&gt;&lt;wsp:rsid wsp:val=&quot;00AA7954&quot;/&gt;&lt;wsp:rsid wsp:val=&quot;00AA7C43&quot;/&gt;&lt;wsp:rsid wsp:val=&quot;00AA7CE3&quot;/&gt;&lt;wsp:rsid wsp:val=&quot;00AA7FB6&quot;/&gt;&lt;wsp:rsid wsp:val=&quot;00AB0247&quot;/&gt;&lt;wsp:rsid wsp:val=&quot;00AB0267&quot;/&gt;&lt;wsp:rsid wsp:val=&quot;00AB0652&quot;/&gt;&lt;wsp:rsid wsp:val=&quot;00AB0762&quot;/&gt;&lt;wsp:rsid wsp:val=&quot;00AB1276&quot;/&gt;&lt;wsp:rsid wsp:val=&quot;00AB17BB&quot;/&gt;&lt;wsp:rsid wsp:val=&quot;00AB1C8B&quot;/&gt;&lt;wsp:rsid wsp:val=&quot;00AB264A&quot;/&gt;&lt;wsp:rsid wsp:val=&quot;00AB2796&quot;/&gt;&lt;wsp:rsid wsp:val=&quot;00AB2DB2&quot;/&gt;&lt;wsp:rsid wsp:val=&quot;00AB3604&quot;/&gt;&lt;wsp:rsid wsp:val=&quot;00AB3752&quot;/&gt;&lt;wsp:rsid wsp:val=&quot;00AB37C6&quot;/&gt;&lt;wsp:rsid wsp:val=&quot;00AB3A50&quot;/&gt;&lt;wsp:rsid wsp:val=&quot;00AB3AE9&quot;/&gt;&lt;wsp:rsid wsp:val=&quot;00AB3BB7&quot;/&gt;&lt;wsp:rsid wsp:val=&quot;00AB3BC4&quot;/&gt;&lt;wsp:rsid wsp:val=&quot;00AB3ED2&quot;/&gt;&lt;wsp:rsid wsp:val=&quot;00AB4121&quot;/&gt;&lt;wsp:rsid wsp:val=&quot;00AB5A60&quot;/&gt;&lt;wsp:rsid wsp:val=&quot;00AB639D&quot;/&gt;&lt;wsp:rsid wsp:val=&quot;00AB65A0&quot;/&gt;&lt;wsp:rsid wsp:val=&quot;00AB6C83&quot;/&gt;&lt;wsp:rsid wsp:val=&quot;00AB73FF&quot;/&gt;&lt;wsp:rsid wsp:val=&quot;00AB7672&quot;/&gt;&lt;wsp:rsid wsp:val=&quot;00AB7743&quot;/&gt;&lt;wsp:rsid wsp:val=&quot;00AB7D57&quot;/&gt;&lt;wsp:rsid wsp:val=&quot;00AC0D16&quot;/&gt;&lt;wsp:rsid wsp:val=&quot;00AC14FD&quot;/&gt;&lt;wsp:rsid wsp:val=&quot;00AC1A69&quot;/&gt;&lt;wsp:rsid wsp:val=&quot;00AC1DBC&quot;/&gt;&lt;wsp:rsid wsp:val=&quot;00AC1F01&quot;/&gt;&lt;wsp:rsid wsp:val=&quot;00AC23A1&quot;/&gt;&lt;wsp:rsid wsp:val=&quot;00AC2A32&quot;/&gt;&lt;wsp:rsid wsp:val=&quot;00AC3AFE&quot;/&gt;&lt;wsp:rsid wsp:val=&quot;00AC3B8D&quot;/&gt;&lt;wsp:rsid wsp:val=&quot;00AC3BBD&quot;/&gt;&lt;wsp:rsid wsp:val=&quot;00AC4359&quot;/&gt;&lt;wsp:rsid wsp:val=&quot;00AC44C9&quot;/&gt;&lt;wsp:rsid wsp:val=&quot;00AC472D&quot;/&gt;&lt;wsp:rsid wsp:val=&quot;00AC47B2&quot;/&gt;&lt;wsp:rsid wsp:val=&quot;00AC4C2B&quot;/&gt;&lt;wsp:rsid wsp:val=&quot;00AC4FF1&quot;/&gt;&lt;wsp:rsid wsp:val=&quot;00AC5879&quot;/&gt;&lt;wsp:rsid wsp:val=&quot;00AC6391&quot;/&gt;&lt;wsp:rsid wsp:val=&quot;00AC6CD0&quot;/&gt;&lt;wsp:rsid wsp:val=&quot;00AC71C8&quot;/&gt;&lt;wsp:rsid wsp:val=&quot;00AC71C9&quot;/&gt;&lt;wsp:rsid wsp:val=&quot;00AC75FF&quot;/&gt;&lt;wsp:rsid wsp:val=&quot;00AC7B41&quot;/&gt;&lt;wsp:rsid wsp:val=&quot;00AD005E&quot;/&gt;&lt;wsp:rsid wsp:val=&quot;00AD0115&quot;/&gt;&lt;wsp:rsid wsp:val=&quot;00AD0C33&quot;/&gt;&lt;wsp:rsid wsp:val=&quot;00AD1701&quot;/&gt;&lt;wsp:rsid wsp:val=&quot;00AD1B71&quot;/&gt;&lt;wsp:rsid wsp:val=&quot;00AD1B8E&quot;/&gt;&lt;wsp:rsid wsp:val=&quot;00AD26FB&quot;/&gt;&lt;wsp:rsid wsp:val=&quot;00AD270A&quot;/&gt;&lt;wsp:rsid wsp:val=&quot;00AD2DD9&quot;/&gt;&lt;wsp:rsid wsp:val=&quot;00AD33E4&quot;/&gt;&lt;wsp:rsid wsp:val=&quot;00AD360C&quot;/&gt;&lt;wsp:rsid wsp:val=&quot;00AD36A2&quot;/&gt;&lt;wsp:rsid wsp:val=&quot;00AD3954&quot;/&gt;&lt;wsp:rsid wsp:val=&quot;00AD3B49&quot;/&gt;&lt;wsp:rsid wsp:val=&quot;00AD3BD7&quot;/&gt;&lt;wsp:rsid wsp:val=&quot;00AD3DAB&quot;/&gt;&lt;wsp:rsid wsp:val=&quot;00AD3EB4&quot;/&gt;&lt;wsp:rsid wsp:val=&quot;00AD44B0&quot;/&gt;&lt;wsp:rsid wsp:val=&quot;00AD4B01&quot;/&gt;&lt;wsp:rsid wsp:val=&quot;00AD4CA5&quot;/&gt;&lt;wsp:rsid wsp:val=&quot;00AD4ED8&quot;/&gt;&lt;wsp:rsid wsp:val=&quot;00AD552C&quot;/&gt;&lt;wsp:rsid wsp:val=&quot;00AD5826&quot;/&gt;&lt;wsp:rsid wsp:val=&quot;00AD5996&quot;/&gt;&lt;wsp:rsid wsp:val=&quot;00AD65B1&quot;/&gt;&lt;wsp:rsid wsp:val=&quot;00AD6827&quot;/&gt;&lt;wsp:rsid wsp:val=&quot;00AD6CE9&quot;/&gt;&lt;wsp:rsid wsp:val=&quot;00AD7107&quot;/&gt;&lt;wsp:rsid wsp:val=&quot;00AD73D2&quot;/&gt;&lt;wsp:rsid wsp:val=&quot;00AD74DF&quot;/&gt;&lt;wsp:rsid wsp:val=&quot;00AD74E1&quot;/&gt;&lt;wsp:rsid wsp:val=&quot;00AD76C7&quot;/&gt;&lt;wsp:rsid wsp:val=&quot;00AD7771&quot;/&gt;&lt;wsp:rsid wsp:val=&quot;00AD7853&quot;/&gt;&lt;wsp:rsid wsp:val=&quot;00AD78B7&quot;/&gt;&lt;wsp:rsid wsp:val=&quot;00AD7BA6&quot;/&gt;&lt;wsp:rsid wsp:val=&quot;00AD7D3A&quot;/&gt;&lt;wsp:rsid wsp:val=&quot;00AD7E34&quot;/&gt;&lt;wsp:rsid wsp:val=&quot;00AE03CB&quot;/&gt;&lt;wsp:rsid wsp:val=&quot;00AE060D&quot;/&gt;&lt;wsp:rsid wsp:val=&quot;00AE0730&quot;/&gt;&lt;wsp:rsid wsp:val=&quot;00AE1414&quot;/&gt;&lt;wsp:rsid wsp:val=&quot;00AE16BD&quot;/&gt;&lt;wsp:rsid wsp:val=&quot;00AE1815&quot;/&gt;&lt;wsp:rsid wsp:val=&quot;00AE1AD9&quot;/&gt;&lt;wsp:rsid wsp:val=&quot;00AE22FE&quot;/&gt;&lt;wsp:rsid wsp:val=&quot;00AE2719&quot;/&gt;&lt;wsp:rsid wsp:val=&quot;00AE2EB2&quot;/&gt;&lt;wsp:rsid wsp:val=&quot;00AE3406&quot;/&gt;&lt;wsp:rsid wsp:val=&quot;00AE3873&quot;/&gt;&lt;wsp:rsid wsp:val=&quot;00AE3B88&quot;/&gt;&lt;wsp:rsid wsp:val=&quot;00AE3FFD&quot;/&gt;&lt;wsp:rsid wsp:val=&quot;00AE4C4B&quot;/&gt;&lt;wsp:rsid wsp:val=&quot;00AE5507&quot;/&gt;&lt;wsp:rsid wsp:val=&quot;00AE5AA2&quot;/&gt;&lt;wsp:rsid wsp:val=&quot;00AE5AA7&quot;/&gt;&lt;wsp:rsid wsp:val=&quot;00AE6327&quot;/&gt;&lt;wsp:rsid wsp:val=&quot;00AE654F&quot;/&gt;&lt;wsp:rsid wsp:val=&quot;00AE6F94&quot;/&gt;&lt;wsp:rsid wsp:val=&quot;00AE7387&quot;/&gt;&lt;wsp:rsid wsp:val=&quot;00AE7614&quot;/&gt;&lt;wsp:rsid wsp:val=&quot;00AE76B7&quot;/&gt;&lt;wsp:rsid wsp:val=&quot;00AE7F41&quot;/&gt;&lt;wsp:rsid wsp:val=&quot;00AE7F77&quot;/&gt;&lt;wsp:rsid wsp:val=&quot;00AF007A&quot;/&gt;&lt;wsp:rsid wsp:val=&quot;00AF0423&quot;/&gt;&lt;wsp:rsid wsp:val=&quot;00AF068C&quot;/&gt;&lt;wsp:rsid wsp:val=&quot;00AF0A02&quot;/&gt;&lt;wsp:rsid wsp:val=&quot;00AF0EC7&quot;/&gt;&lt;wsp:rsid wsp:val=&quot;00AF1558&quot;/&gt;&lt;wsp:rsid wsp:val=&quot;00AF175A&quot;/&gt;&lt;wsp:rsid wsp:val=&quot;00AF18C9&quot;/&gt;&lt;wsp:rsid wsp:val=&quot;00AF1E20&quot;/&gt;&lt;wsp:rsid wsp:val=&quot;00AF2379&quot;/&gt;&lt;wsp:rsid wsp:val=&quot;00AF2872&quot;/&gt;&lt;wsp:rsid wsp:val=&quot;00AF2950&quot;/&gt;&lt;wsp:rsid wsp:val=&quot;00AF2F18&quot;/&gt;&lt;wsp:rsid wsp:val=&quot;00AF40E6&quot;/&gt;&lt;wsp:rsid wsp:val=&quot;00AF4150&quot;/&gt;&lt;wsp:rsid wsp:val=&quot;00AF422B&quot;/&gt;&lt;wsp:rsid wsp:val=&quot;00AF4441&quot;/&gt;&lt;wsp:rsid wsp:val=&quot;00AF47BF&quot;/&gt;&lt;wsp:rsid wsp:val=&quot;00AF4A3C&quot;/&gt;&lt;wsp:rsid wsp:val=&quot;00AF4D1B&quot;/&gt;&lt;wsp:rsid wsp:val=&quot;00AF4DF1&quot;/&gt;&lt;wsp:rsid wsp:val=&quot;00AF5578&quot;/&gt;&lt;wsp:rsid wsp:val=&quot;00AF565E&quot;/&gt;&lt;wsp:rsid wsp:val=&quot;00AF5DAA&quot;/&gt;&lt;wsp:rsid wsp:val=&quot;00AF5DEB&quot;/&gt;&lt;wsp:rsid wsp:val=&quot;00AF66D6&quot;/&gt;&lt;wsp:rsid wsp:val=&quot;00AF695E&quot;/&gt;&lt;wsp:rsid wsp:val=&quot;00AF6D47&quot;/&gt;&lt;wsp:rsid wsp:val=&quot;00AF6D7C&quot;/&gt;&lt;wsp:rsid wsp:val=&quot;00AF6F95&quot;/&gt;&lt;wsp:rsid wsp:val=&quot;00AF71BE&quot;/&gt;&lt;wsp:rsid wsp:val=&quot;00AF7D9B&quot;/&gt;&lt;wsp:rsid wsp:val=&quot;00AF7E13&quot;/&gt;&lt;wsp:rsid wsp:val=&quot;00AF7F40&quot;/&gt;&lt;wsp:rsid wsp:val=&quot;00B00502&quot;/&gt;&lt;wsp:rsid wsp:val=&quot;00B0051B&quot;/&gt;&lt;wsp:rsid wsp:val=&quot;00B0075C&quot;/&gt;&lt;wsp:rsid wsp:val=&quot;00B009A9&quot;/&gt;&lt;wsp:rsid wsp:val=&quot;00B01251&quot;/&gt;&lt;wsp:rsid wsp:val=&quot;00B015A7&quot;/&gt;&lt;wsp:rsid wsp:val=&quot;00B022A1&quot;/&gt;&lt;wsp:rsid wsp:val=&quot;00B031E5&quot;/&gt;&lt;wsp:rsid wsp:val=&quot;00B03C47&quot;/&gt;&lt;wsp:rsid wsp:val=&quot;00B03C7E&quot;/&gt;&lt;wsp:rsid wsp:val=&quot;00B03D06&quot;/&gt;&lt;wsp:rsid wsp:val=&quot;00B04C29&quot;/&gt;&lt;wsp:rsid wsp:val=&quot;00B04C2F&quot;/&gt;&lt;wsp:rsid wsp:val=&quot;00B04D61&quot;/&gt;&lt;wsp:rsid wsp:val=&quot;00B04F9A&quot;/&gt;&lt;wsp:rsid wsp:val=&quot;00B0579F&quot;/&gt;&lt;wsp:rsid wsp:val=&quot;00B05980&quot;/&gt;&lt;wsp:rsid wsp:val=&quot;00B05BCB&quot;/&gt;&lt;wsp:rsid wsp:val=&quot;00B064AF&quot;/&gt;&lt;wsp:rsid wsp:val=&quot;00B06710&quot;/&gt;&lt;wsp:rsid wsp:val=&quot;00B06ED8&quot;/&gt;&lt;wsp:rsid wsp:val=&quot;00B07174&quot;/&gt;&lt;wsp:rsid wsp:val=&quot;00B07213&quot;/&gt;&lt;wsp:rsid wsp:val=&quot;00B072E9&quot;/&gt;&lt;wsp:rsid wsp:val=&quot;00B07890&quot;/&gt;&lt;wsp:rsid wsp:val=&quot;00B07D7B&quot;/&gt;&lt;wsp:rsid wsp:val=&quot;00B10030&quot;/&gt;&lt;wsp:rsid wsp:val=&quot;00B1015F&quot;/&gt;&lt;wsp:rsid wsp:val=&quot;00B105D9&quot;/&gt;&lt;wsp:rsid wsp:val=&quot;00B107A1&quot;/&gt;&lt;wsp:rsid wsp:val=&quot;00B11639&quot;/&gt;&lt;wsp:rsid wsp:val=&quot;00B11FB6&quot;/&gt;&lt;wsp:rsid wsp:val=&quot;00B1207C&quot;/&gt;&lt;wsp:rsid wsp:val=&quot;00B12740&quot;/&gt;&lt;wsp:rsid wsp:val=&quot;00B12EBA&quot;/&gt;&lt;wsp:rsid wsp:val=&quot;00B13959&quot;/&gt;&lt;wsp:rsid wsp:val=&quot;00B1440A&quot;/&gt;&lt;wsp:rsid wsp:val=&quot;00B14A71&quot;/&gt;&lt;wsp:rsid wsp:val=&quot;00B14BB2&quot;/&gt;&lt;wsp:rsid wsp:val=&quot;00B15E5C&quot;/&gt;&lt;wsp:rsid wsp:val=&quot;00B16402&quot;/&gt;&lt;wsp:rsid wsp:val=&quot;00B169F6&quot;/&gt;&lt;wsp:rsid wsp:val=&quot;00B1743B&quot;/&gt;&lt;wsp:rsid wsp:val=&quot;00B17DFF&quot;/&gt;&lt;wsp:rsid wsp:val=&quot;00B17F50&quot;/&gt;&lt;wsp:rsid wsp:val=&quot;00B21652&quot;/&gt;&lt;wsp:rsid wsp:val=&quot;00B21B94&quot;/&gt;&lt;wsp:rsid wsp:val=&quot;00B21ED4&quot;/&gt;&lt;wsp:rsid wsp:val=&quot;00B227EF&quot;/&gt;&lt;wsp:rsid wsp:val=&quot;00B22CCA&quot;/&gt;&lt;wsp:rsid wsp:val=&quot;00B231E5&quot;/&gt;&lt;wsp:rsid wsp:val=&quot;00B2333B&quot;/&gt;&lt;wsp:rsid wsp:val=&quot;00B23AE5&quot;/&gt;&lt;wsp:rsid wsp:val=&quot;00B249EB&quot;/&gt;&lt;wsp:rsid wsp:val=&quot;00B24A7C&quot;/&gt;&lt;wsp:rsid wsp:val=&quot;00B24C9C&quot;/&gt;&lt;wsp:rsid wsp:val=&quot;00B24E39&quot;/&gt;&lt;wsp:rsid wsp:val=&quot;00B24EEE&quot;/&gt;&lt;wsp:rsid wsp:val=&quot;00B26120&quot;/&gt;&lt;wsp:rsid wsp:val=&quot;00B26377&quot;/&gt;&lt;wsp:rsid wsp:val=&quot;00B26542&quot;/&gt;&lt;wsp:rsid wsp:val=&quot;00B266EE&quot;/&gt;&lt;wsp:rsid wsp:val=&quot;00B26851&quot;/&gt;&lt;wsp:rsid wsp:val=&quot;00B26BD6&quot;/&gt;&lt;wsp:rsid wsp:val=&quot;00B27D5B&quot;/&gt;&lt;wsp:rsid wsp:val=&quot;00B309EC&quot;/&gt;&lt;wsp:rsid wsp:val=&quot;00B30A1F&quot;/&gt;&lt;wsp:rsid wsp:val=&quot;00B3182D&quot;/&gt;&lt;wsp:rsid wsp:val=&quot;00B31899&quot;/&gt;&lt;wsp:rsid wsp:val=&quot;00B31B2F&quot;/&gt;&lt;wsp:rsid wsp:val=&quot;00B31B96&quot;/&gt;&lt;wsp:rsid wsp:val=&quot;00B31E9B&quot;/&gt;&lt;wsp:rsid wsp:val=&quot;00B31F8A&quot;/&gt;&lt;wsp:rsid wsp:val=&quot;00B32A7E&quot;/&gt;&lt;wsp:rsid wsp:val=&quot;00B32F02&quot;/&gt;&lt;wsp:rsid wsp:val=&quot;00B32F2A&quot;/&gt;&lt;wsp:rsid wsp:val=&quot;00B33124&quot;/&gt;&lt;wsp:rsid wsp:val=&quot;00B33824&quot;/&gt;&lt;wsp:rsid wsp:val=&quot;00B33998&quot;/&gt;&lt;wsp:rsid wsp:val=&quot;00B34043&quot;/&gt;&lt;wsp:rsid wsp:val=&quot;00B34552&quot;/&gt;&lt;wsp:rsid wsp:val=&quot;00B348D8&quot;/&gt;&lt;wsp:rsid wsp:val=&quot;00B34B04&quot;/&gt;&lt;wsp:rsid wsp:val=&quot;00B34B91&quot;/&gt;&lt;wsp:rsid wsp:val=&quot;00B3573E&quot;/&gt;&lt;wsp:rsid wsp:val=&quot;00B3640A&quot;/&gt;&lt;wsp:rsid wsp:val=&quot;00B36548&quot;/&gt;&lt;wsp:rsid wsp:val=&quot;00B36859&quot;/&gt;&lt;wsp:rsid wsp:val=&quot;00B369AB&quot;/&gt;&lt;wsp:rsid wsp:val=&quot;00B36A26&quot;/&gt;&lt;wsp:rsid wsp:val=&quot;00B36C4F&quot;/&gt;&lt;wsp:rsid wsp:val=&quot;00B37498&quot;/&gt;&lt;wsp:rsid wsp:val=&quot;00B378F8&quot;/&gt;&lt;wsp:rsid wsp:val=&quot;00B37AB0&quot;/&gt;&lt;wsp:rsid wsp:val=&quot;00B37FA5&quot;/&gt;&lt;wsp:rsid wsp:val=&quot;00B400E1&quot;/&gt;&lt;wsp:rsid wsp:val=&quot;00B40B81&quot;/&gt;&lt;wsp:rsid wsp:val=&quot;00B41020&quot;/&gt;&lt;wsp:rsid wsp:val=&quot;00B415EA&quot;/&gt;&lt;wsp:rsid wsp:val=&quot;00B41B5A&quot;/&gt;&lt;wsp:rsid wsp:val=&quot;00B426FC&quot;/&gt;&lt;wsp:rsid wsp:val=&quot;00B43153&quot;/&gt;&lt;wsp:rsid wsp:val=&quot;00B43367&quot;/&gt;&lt;wsp:rsid wsp:val=&quot;00B434E8&quot;/&gt;&lt;wsp:rsid wsp:val=&quot;00B437FD&quot;/&gt;&lt;wsp:rsid wsp:val=&quot;00B43A64&quot;/&gt;&lt;wsp:rsid wsp:val=&quot;00B43E2B&quot;/&gt;&lt;wsp:rsid wsp:val=&quot;00B43E2C&quot;/&gt;&lt;wsp:rsid wsp:val=&quot;00B4405D&quot;/&gt;&lt;wsp:rsid wsp:val=&quot;00B44419&quot;/&gt;&lt;wsp:rsid wsp:val=&quot;00B44431&quot;/&gt;&lt;wsp:rsid wsp:val=&quot;00B44596&quot;/&gt;&lt;wsp:rsid wsp:val=&quot;00B445F6&quot;/&gt;&lt;wsp:rsid wsp:val=&quot;00B446F2&quot;/&gt;&lt;wsp:rsid wsp:val=&quot;00B44742&quot;/&gt;&lt;wsp:rsid wsp:val=&quot;00B4481D&quot;/&gt;&lt;wsp:rsid wsp:val=&quot;00B4499F&quot;/&gt;&lt;wsp:rsid wsp:val=&quot;00B44A84&quot;/&gt;&lt;wsp:rsid wsp:val=&quot;00B456F3&quot;/&gt;&lt;wsp:rsid wsp:val=&quot;00B45C10&quot;/&gt;&lt;wsp:rsid wsp:val=&quot;00B46556&quot;/&gt;&lt;wsp:rsid wsp:val=&quot;00B46E3E&quot;/&gt;&lt;wsp:rsid wsp:val=&quot;00B46F96&quot;/&gt;&lt;wsp:rsid wsp:val=&quot;00B47759&quot;/&gt;&lt;wsp:rsid wsp:val=&quot;00B4782A&quot;/&gt;&lt;wsp:rsid wsp:val=&quot;00B47C02&quot;/&gt;&lt;wsp:rsid wsp:val=&quot;00B47F21&quot;/&gt;&lt;wsp:rsid wsp:val=&quot;00B5025F&quot;/&gt;&lt;wsp:rsid wsp:val=&quot;00B502C0&quot;/&gt;&lt;wsp:rsid wsp:val=&quot;00B508CB&quot;/&gt;&lt;wsp:rsid wsp:val=&quot;00B50A59&quot;/&gt;&lt;wsp:rsid wsp:val=&quot;00B50ADD&quot;/&gt;&lt;wsp:rsid wsp:val=&quot;00B50F6D&quot;/&gt;&lt;wsp:rsid wsp:val=&quot;00B50FFC&quot;/&gt;&lt;wsp:rsid wsp:val=&quot;00B51937&quot;/&gt;&lt;wsp:rsid wsp:val=&quot;00B51BB6&quot;/&gt;&lt;wsp:rsid wsp:val=&quot;00B51E10&quot;/&gt;&lt;wsp:rsid wsp:val=&quot;00B51E9F&quot;/&gt;&lt;wsp:rsid wsp:val=&quot;00B52916&quot;/&gt;&lt;wsp:rsid wsp:val=&quot;00B52C41&quot;/&gt;&lt;wsp:rsid wsp:val=&quot;00B52CE9&quot;/&gt;&lt;wsp:rsid wsp:val=&quot;00B53198&quot;/&gt;&lt;wsp:rsid wsp:val=&quot;00B53275&quot;/&gt;&lt;wsp:rsid wsp:val=&quot;00B53547&quot;/&gt;&lt;wsp:rsid wsp:val=&quot;00B5364E&quot;/&gt;&lt;wsp:rsid wsp:val=&quot;00B536D1&quot;/&gt;&lt;wsp:rsid wsp:val=&quot;00B537CA&quot;/&gt;&lt;wsp:rsid wsp:val=&quot;00B539BC&quot;/&gt;&lt;wsp:rsid wsp:val=&quot;00B53B8E&quot;/&gt;&lt;wsp:rsid wsp:val=&quot;00B54070&quot;/&gt;&lt;wsp:rsid wsp:val=&quot;00B54822&quot;/&gt;&lt;wsp:rsid wsp:val=&quot;00B54A71&quot;/&gt;&lt;wsp:rsid wsp:val=&quot;00B54C98&quot;/&gt;&lt;wsp:rsid wsp:val=&quot;00B54FBE&quot;/&gt;&lt;wsp:rsid wsp:val=&quot;00B5532E&quot;/&gt;&lt;wsp:rsid wsp:val=&quot;00B556E4&quot;/&gt;&lt;wsp:rsid wsp:val=&quot;00B5621D&quot;/&gt;&lt;wsp:rsid wsp:val=&quot;00B565C7&quot;/&gt;&lt;wsp:rsid wsp:val=&quot;00B566AE&quot;/&gt;&lt;wsp:rsid wsp:val=&quot;00B567AB&quot;/&gt;&lt;wsp:rsid wsp:val=&quot;00B56D1E&quot;/&gt;&lt;wsp:rsid wsp:val=&quot;00B56EF9&quot;/&gt;&lt;wsp:rsid wsp:val=&quot;00B56F73&quot;/&gt;&lt;wsp:rsid wsp:val=&quot;00B5729E&quot;/&gt;&lt;wsp:rsid wsp:val=&quot;00B57A7A&quot;/&gt;&lt;wsp:rsid wsp:val=&quot;00B6048D&quot;/&gt;&lt;wsp:rsid wsp:val=&quot;00B604FA&quot;/&gt;&lt;wsp:rsid wsp:val=&quot;00B60638&quot;/&gt;&lt;wsp:rsid wsp:val=&quot;00B606CE&quot;/&gt;&lt;wsp:rsid wsp:val=&quot;00B608CA&quot;/&gt;&lt;wsp:rsid wsp:val=&quot;00B61157&quot;/&gt;&lt;wsp:rsid wsp:val=&quot;00B61403&quot;/&gt;&lt;wsp:rsid wsp:val=&quot;00B6189B&quot;/&gt;&lt;wsp:rsid wsp:val=&quot;00B61E9E&quot;/&gt;&lt;wsp:rsid wsp:val=&quot;00B62252&quot;/&gt;&lt;wsp:rsid wsp:val=&quot;00B62326&quot;/&gt;&lt;wsp:rsid wsp:val=&quot;00B62916&quot;/&gt;&lt;wsp:rsid wsp:val=&quot;00B62C8D&quot;/&gt;&lt;wsp:rsid wsp:val=&quot;00B62D2C&quot;/&gt;&lt;wsp:rsid wsp:val=&quot;00B63E0C&quot;/&gt;&lt;wsp:rsid wsp:val=&quot;00B6485E&quot;/&gt;&lt;wsp:rsid wsp:val=&quot;00B64ACD&quot;/&gt;&lt;wsp:rsid wsp:val=&quot;00B64E60&quot;/&gt;&lt;wsp:rsid wsp:val=&quot;00B65217&quot;/&gt;&lt;wsp:rsid wsp:val=&quot;00B659EB&quot;/&gt;&lt;wsp:rsid wsp:val=&quot;00B65B05&quot;/&gt;&lt;wsp:rsid wsp:val=&quot;00B65DC9&quot;/&gt;&lt;wsp:rsid wsp:val=&quot;00B65FB3&quot;/&gt;&lt;wsp:rsid wsp:val=&quot;00B6601F&quot;/&gt;&lt;wsp:rsid wsp:val=&quot;00B66172&quot;/&gt;&lt;wsp:rsid wsp:val=&quot;00B661CD&quot;/&gt;&lt;wsp:rsid wsp:val=&quot;00B662C4&quot;/&gt;&lt;wsp:rsid wsp:val=&quot;00B66408&quot;/&gt;&lt;wsp:rsid wsp:val=&quot;00B668C7&quot;/&gt;&lt;wsp:rsid wsp:val=&quot;00B67081&quot;/&gt;&lt;wsp:rsid wsp:val=&quot;00B67659&quot;/&gt;&lt;wsp:rsid wsp:val=&quot;00B67895&quot;/&gt;&lt;wsp:rsid wsp:val=&quot;00B70334&quot;/&gt;&lt;wsp:rsid wsp:val=&quot;00B704DA&quot;/&gt;&lt;wsp:rsid wsp:val=&quot;00B70680&quot;/&gt;&lt;wsp:rsid wsp:val=&quot;00B70A34&quot;/&gt;&lt;wsp:rsid wsp:val=&quot;00B71039&quot;/&gt;&lt;wsp:rsid wsp:val=&quot;00B7109D&quot;/&gt;&lt;wsp:rsid wsp:val=&quot;00B712D5&quot;/&gt;&lt;wsp:rsid wsp:val=&quot;00B71763&quot;/&gt;&lt;wsp:rsid wsp:val=&quot;00B722B3&quot;/&gt;&lt;wsp:rsid wsp:val=&quot;00B727D5&quot;/&gt;&lt;wsp:rsid wsp:val=&quot;00B72DF1&quot;/&gt;&lt;wsp:rsid wsp:val=&quot;00B73376&quot;/&gt;&lt;wsp:rsid wsp:val=&quot;00B73F80&quot;/&gt;&lt;wsp:rsid wsp:val=&quot;00B740C2&quot;/&gt;&lt;wsp:rsid wsp:val=&quot;00B74250&quot;/&gt;&lt;wsp:rsid wsp:val=&quot;00B745EA&quot;/&gt;&lt;wsp:rsid wsp:val=&quot;00B74D70&quot;/&gt;&lt;wsp:rsid wsp:val=&quot;00B74E14&quot;/&gt;&lt;wsp:rsid wsp:val=&quot;00B75379&quot;/&gt;&lt;wsp:rsid wsp:val=&quot;00B7555A&quot;/&gt;&lt;wsp:rsid wsp:val=&quot;00B75B93&quot;/&gt;&lt;wsp:rsid wsp:val=&quot;00B75BE7&quot;/&gt;&lt;wsp:rsid wsp:val=&quot;00B760C0&quot;/&gt;&lt;wsp:rsid wsp:val=&quot;00B7658B&quot;/&gt;&lt;wsp:rsid wsp:val=&quot;00B770A2&quot;/&gt;&lt;wsp:rsid wsp:val=&quot;00B77570&quot;/&gt;&lt;wsp:rsid wsp:val=&quot;00B777A3&quot;/&gt;&lt;wsp:rsid wsp:val=&quot;00B77B9F&quot;/&gt;&lt;wsp:rsid wsp:val=&quot;00B807A9&quot;/&gt;&lt;wsp:rsid wsp:val=&quot;00B80C38&quot;/&gt;&lt;wsp:rsid wsp:val=&quot;00B80EA2&quot;/&gt;&lt;wsp:rsid wsp:val=&quot;00B81042&quot;/&gt;&lt;wsp:rsid wsp:val=&quot;00B8129B&quot;/&gt;&lt;wsp:rsid wsp:val=&quot;00B812C2&quot;/&gt;&lt;wsp:rsid wsp:val=&quot;00B81637&quot;/&gt;&lt;wsp:rsid wsp:val=&quot;00B81CF9&quot;/&gt;&lt;wsp:rsid wsp:val=&quot;00B82449&quot;/&gt;&lt;wsp:rsid wsp:val=&quot;00B824F2&quot;/&gt;&lt;wsp:rsid wsp:val=&quot;00B828F4&quot;/&gt;&lt;wsp:rsid wsp:val=&quot;00B82C97&quot;/&gt;&lt;wsp:rsid wsp:val=&quot;00B8305A&quot;/&gt;&lt;wsp:rsid wsp:val=&quot;00B83175&quot;/&gt;&lt;wsp:rsid wsp:val=&quot;00B83862&quot;/&gt;&lt;wsp:rsid wsp:val=&quot;00B839D3&quot;/&gt;&lt;wsp:rsid wsp:val=&quot;00B83B44&quot;/&gt;&lt;wsp:rsid wsp:val=&quot;00B83DD0&quot;/&gt;&lt;wsp:rsid wsp:val=&quot;00B83FDF&quot;/&gt;&lt;wsp:rsid wsp:val=&quot;00B844EB&quot;/&gt;&lt;wsp:rsid wsp:val=&quot;00B847DD&quot;/&gt;&lt;wsp:rsid wsp:val=&quot;00B847F2&quot;/&gt;&lt;wsp:rsid wsp:val=&quot;00B85313&quot;/&gt;&lt;wsp:rsid wsp:val=&quot;00B85869&quot;/&gt;&lt;wsp:rsid wsp:val=&quot;00B858FF&quot;/&gt;&lt;wsp:rsid wsp:val=&quot;00B85D99&quot;/&gt;&lt;wsp:rsid wsp:val=&quot;00B85F84&quot;/&gt;&lt;wsp:rsid wsp:val=&quot;00B8622C&quot;/&gt;&lt;wsp:rsid wsp:val=&quot;00B8682D&quot;/&gt;&lt;wsp:rsid wsp:val=&quot;00B86936&quot;/&gt;&lt;wsp:rsid wsp:val=&quot;00B869A6&quot;/&gt;&lt;wsp:rsid wsp:val=&quot;00B86AF6&quot;/&gt;&lt;wsp:rsid wsp:val=&quot;00B86CB8&quot;/&gt;&lt;wsp:rsid wsp:val=&quot;00B86DD9&quot;/&gt;&lt;wsp:rsid wsp:val=&quot;00B87594&quot;/&gt;&lt;wsp:rsid wsp:val=&quot;00B87908&quot;/&gt;&lt;wsp:rsid wsp:val=&quot;00B879CE&quot;/&gt;&lt;wsp:rsid wsp:val=&quot;00B90A6F&quot;/&gt;&lt;wsp:rsid wsp:val=&quot;00B90BD3&quot;/&gt;&lt;wsp:rsid wsp:val=&quot;00B91A5A&quot;/&gt;&lt;wsp:rsid wsp:val=&quot;00B91E00&quot;/&gt;&lt;wsp:rsid wsp:val=&quot;00B920D1&quot;/&gt;&lt;wsp:rsid wsp:val=&quot;00B92264&quot;/&gt;&lt;wsp:rsid wsp:val=&quot;00B9238A&quot;/&gt;&lt;wsp:rsid wsp:val=&quot;00B924A8&quot;/&gt;&lt;wsp:rsid wsp:val=&quot;00B925F2&quot;/&gt;&lt;wsp:rsid wsp:val=&quot;00B92DA2&quot;/&gt;&lt;wsp:rsid wsp:val=&quot;00B93421&quot;/&gt;&lt;wsp:rsid wsp:val=&quot;00B9389A&quot;/&gt;&lt;wsp:rsid wsp:val=&quot;00B93BF9&quot;/&gt;&lt;wsp:rsid wsp:val=&quot;00B93EC4&quot;/&gt;&lt;wsp:rsid wsp:val=&quot;00B94031&quot;/&gt;&lt;wsp:rsid wsp:val=&quot;00B943EC&quot;/&gt;&lt;wsp:rsid wsp:val=&quot;00B94787&quot;/&gt;&lt;wsp:rsid wsp:val=&quot;00B94905&quot;/&gt;&lt;wsp:rsid wsp:val=&quot;00B9497E&quot;/&gt;&lt;wsp:rsid wsp:val=&quot;00B94A04&quot;/&gt;&lt;wsp:rsid wsp:val=&quot;00B94C11&quot;/&gt;&lt;wsp:rsid wsp:val=&quot;00B94C82&quot;/&gt;&lt;wsp:rsid wsp:val=&quot;00B94E35&quot;/&gt;&lt;wsp:rsid wsp:val=&quot;00B951AC&quot;/&gt;&lt;wsp:rsid wsp:val=&quot;00B95825&quot;/&gt;&lt;wsp:rsid wsp:val=&quot;00B9582B&quot;/&gt;&lt;wsp:rsid wsp:val=&quot;00B95D7D&quot;/&gt;&lt;wsp:rsid wsp:val=&quot;00B9671E&quot;/&gt;&lt;wsp:rsid wsp:val=&quot;00B96740&quot;/&gt;&lt;wsp:rsid wsp:val=&quot;00B96972&quot;/&gt;&lt;wsp:rsid wsp:val=&quot;00B96A44&quot;/&gt;&lt;wsp:rsid wsp:val=&quot;00B96D36&quot;/&gt;&lt;wsp:rsid wsp:val=&quot;00B97537&quot;/&gt;&lt;wsp:rsid wsp:val=&quot;00B97A91&quot;/&gt;&lt;wsp:rsid wsp:val=&quot;00BA03D8&quot;/&gt;&lt;wsp:rsid wsp:val=&quot;00BA0401&quot;/&gt;&lt;wsp:rsid wsp:val=&quot;00BA051A&quot;/&gt;&lt;wsp:rsid wsp:val=&quot;00BA051D&quot;/&gt;&lt;wsp:rsid wsp:val=&quot;00BA061E&quot;/&gt;&lt;wsp:rsid wsp:val=&quot;00BA062A&quot;/&gt;&lt;wsp:rsid wsp:val=&quot;00BA077C&quot;/&gt;&lt;wsp:rsid wsp:val=&quot;00BA0AF4&quot;/&gt;&lt;wsp:rsid wsp:val=&quot;00BA1111&quot;/&gt;&lt;wsp:rsid wsp:val=&quot;00BA1417&quot;/&gt;&lt;wsp:rsid wsp:val=&quot;00BA1B97&quot;/&gt;&lt;wsp:rsid wsp:val=&quot;00BA1BBD&quot;/&gt;&lt;wsp:rsid wsp:val=&quot;00BA1D13&quot;/&gt;&lt;wsp:rsid wsp:val=&quot;00BA24CE&quot;/&gt;&lt;wsp:rsid wsp:val=&quot;00BA30E4&quot;/&gt;&lt;wsp:rsid wsp:val=&quot;00BA32BD&quot;/&gt;&lt;wsp:rsid wsp:val=&quot;00BA33E0&quot;/&gt;&lt;wsp:rsid wsp:val=&quot;00BA47E4&quot;/&gt;&lt;wsp:rsid wsp:val=&quot;00BA4879&quot;/&gt;&lt;wsp:rsid wsp:val=&quot;00BA603E&quot;/&gt;&lt;wsp:rsid wsp:val=&quot;00BA63D0&quot;/&gt;&lt;wsp:rsid wsp:val=&quot;00BA706E&quot;/&gt;&lt;wsp:rsid wsp:val=&quot;00BA7113&quot;/&gt;&lt;wsp:rsid wsp:val=&quot;00BA77DD&quot;/&gt;&lt;wsp:rsid wsp:val=&quot;00BA7A32&quot;/&gt;&lt;wsp:rsid wsp:val=&quot;00BB00BC&quot;/&gt;&lt;wsp:rsid wsp:val=&quot;00BB011D&quot;/&gt;&lt;wsp:rsid wsp:val=&quot;00BB013B&quot;/&gt;&lt;wsp:rsid wsp:val=&quot;00BB01AF&quot;/&gt;&lt;wsp:rsid wsp:val=&quot;00BB09C7&quot;/&gt;&lt;wsp:rsid wsp:val=&quot;00BB0E6B&quot;/&gt;&lt;wsp:rsid wsp:val=&quot;00BB0EFC&quot;/&gt;&lt;wsp:rsid wsp:val=&quot;00BB1778&quot;/&gt;&lt;wsp:rsid wsp:val=&quot;00BB187A&quot;/&gt;&lt;wsp:rsid wsp:val=&quot;00BB2003&quot;/&gt;&lt;wsp:rsid wsp:val=&quot;00BB2411&quot;/&gt;&lt;wsp:rsid wsp:val=&quot;00BB2860&quot;/&gt;&lt;wsp:rsid wsp:val=&quot;00BB2B50&quot;/&gt;&lt;wsp:rsid wsp:val=&quot;00BB2BCC&quot;/&gt;&lt;wsp:rsid wsp:val=&quot;00BB31B3&quot;/&gt;&lt;wsp:rsid wsp:val=&quot;00BB3852&quot;/&gt;&lt;wsp:rsid wsp:val=&quot;00BB38E5&quot;/&gt;&lt;wsp:rsid wsp:val=&quot;00BB39B0&quot;/&gt;&lt;wsp:rsid wsp:val=&quot;00BB40F8&quot;/&gt;&lt;wsp:rsid wsp:val=&quot;00BB4CE9&quot;/&gt;&lt;wsp:rsid wsp:val=&quot;00BB546A&quot;/&gt;&lt;wsp:rsid wsp:val=&quot;00BB5489&quot;/&gt;&lt;wsp:rsid wsp:val=&quot;00BB5780&quot;/&gt;&lt;wsp:rsid wsp:val=&quot;00BB57FE&quot;/&gt;&lt;wsp:rsid wsp:val=&quot;00BB5B2E&quot;/&gt;&lt;wsp:rsid wsp:val=&quot;00BB5D63&quot;/&gt;&lt;wsp:rsid wsp:val=&quot;00BB6075&quot;/&gt;&lt;wsp:rsid wsp:val=&quot;00BB69E6&quot;/&gt;&lt;wsp:rsid wsp:val=&quot;00BB6B5D&quot;/&gt;&lt;wsp:rsid wsp:val=&quot;00BB6C4F&quot;/&gt;&lt;wsp:rsid wsp:val=&quot;00BB733C&quot;/&gt;&lt;wsp:rsid wsp:val=&quot;00BB7AA1&quot;/&gt;&lt;wsp:rsid wsp:val=&quot;00BB7B0B&quot;/&gt;&lt;wsp:rsid wsp:val=&quot;00BB7C97&quot;/&gt;&lt;wsp:rsid wsp:val=&quot;00BB7E20&quot;/&gt;&lt;wsp:rsid wsp:val=&quot;00BC0A32&quot;/&gt;&lt;wsp:rsid wsp:val=&quot;00BC0B04&quot;/&gt;&lt;wsp:rsid wsp:val=&quot;00BC15D9&quot;/&gt;&lt;wsp:rsid wsp:val=&quot;00BC15E4&quot;/&gt;&lt;wsp:rsid wsp:val=&quot;00BC1706&quot;/&gt;&lt;wsp:rsid wsp:val=&quot;00BC1808&quot;/&gt;&lt;wsp:rsid wsp:val=&quot;00BC1F84&quot;/&gt;&lt;wsp:rsid wsp:val=&quot;00BC20F7&quot;/&gt;&lt;wsp:rsid wsp:val=&quot;00BC336F&quot;/&gt;&lt;wsp:rsid wsp:val=&quot;00BC3699&quot;/&gt;&lt;wsp:rsid wsp:val=&quot;00BC36E4&quot;/&gt;&lt;wsp:rsid wsp:val=&quot;00BC394B&quot;/&gt;&lt;wsp:rsid wsp:val=&quot;00BC3D6C&quot;/&gt;&lt;wsp:rsid wsp:val=&quot;00BC3F8C&quot;/&gt;&lt;wsp:rsid wsp:val=&quot;00BC3F8E&quot;/&gt;&lt;wsp:rsid wsp:val=&quot;00BC4B8E&quot;/&gt;&lt;wsp:rsid wsp:val=&quot;00BC50CF&quot;/&gt;&lt;wsp:rsid wsp:val=&quot;00BC54AB&quot;/&gt;&lt;wsp:rsid wsp:val=&quot;00BC55A8&quot;/&gt;&lt;wsp:rsid wsp:val=&quot;00BC58FA&quot;/&gt;&lt;wsp:rsid wsp:val=&quot;00BC6172&quot;/&gt;&lt;wsp:rsid wsp:val=&quot;00BC6465&quot;/&gt;&lt;wsp:rsid wsp:val=&quot;00BC6D75&quot;/&gt;&lt;wsp:rsid wsp:val=&quot;00BC7141&quot;/&gt;&lt;wsp:rsid wsp:val=&quot;00BC74C8&quot;/&gt;&lt;wsp:rsid wsp:val=&quot;00BC776D&quot;/&gt;&lt;wsp:rsid wsp:val=&quot;00BC7972&quot;/&gt;&lt;wsp:rsid wsp:val=&quot;00BC7FD0&quot;/&gt;&lt;wsp:rsid wsp:val=&quot;00BD02B4&quot;/&gt;&lt;wsp:rsid wsp:val=&quot;00BD0445&quot;/&gt;&lt;wsp:rsid wsp:val=&quot;00BD045D&quot;/&gt;&lt;wsp:rsid wsp:val=&quot;00BD0571&quot;/&gt;&lt;wsp:rsid wsp:val=&quot;00BD0C41&quot;/&gt;&lt;wsp:rsid wsp:val=&quot;00BD1276&quot;/&gt;&lt;wsp:rsid wsp:val=&quot;00BD176D&quot;/&gt;&lt;wsp:rsid wsp:val=&quot;00BD1E92&quot;/&gt;&lt;wsp:rsid wsp:val=&quot;00BD24B5&quot;/&gt;&lt;wsp:rsid wsp:val=&quot;00BD2B39&quot;/&gt;&lt;wsp:rsid wsp:val=&quot;00BD3409&quot;/&gt;&lt;wsp:rsid wsp:val=&quot;00BD3869&quot;/&gt;&lt;wsp:rsid wsp:val=&quot;00BD3873&quot;/&gt;&lt;wsp:rsid wsp:val=&quot;00BD3BD0&quot;/&gt;&lt;wsp:rsid wsp:val=&quot;00BD3D77&quot;/&gt;&lt;wsp:rsid wsp:val=&quot;00BD3DA2&quot;/&gt;&lt;wsp:rsid wsp:val=&quot;00BD3EAE&quot;/&gt;&lt;wsp:rsid wsp:val=&quot;00BD42E5&quot;/&gt;&lt;wsp:rsid wsp:val=&quot;00BD446F&quot;/&gt;&lt;wsp:rsid wsp:val=&quot;00BD5015&quot;/&gt;&lt;wsp:rsid wsp:val=&quot;00BD5237&quot;/&gt;&lt;wsp:rsid wsp:val=&quot;00BD54E2&quot;/&gt;&lt;wsp:rsid wsp:val=&quot;00BD5810&quot;/&gt;&lt;wsp:rsid wsp:val=&quot;00BD588D&quot;/&gt;&lt;wsp:rsid wsp:val=&quot;00BD5C45&quot;/&gt;&lt;wsp:rsid wsp:val=&quot;00BD615F&quot;/&gt;&lt;wsp:rsid wsp:val=&quot;00BD6284&quot;/&gt;&lt;wsp:rsid wsp:val=&quot;00BD62D0&quot;/&gt;&lt;wsp:rsid wsp:val=&quot;00BD6BE3&quot;/&gt;&lt;wsp:rsid wsp:val=&quot;00BD7413&quot;/&gt;&lt;wsp:rsid wsp:val=&quot;00BD76C0&quot;/&gt;&lt;wsp:rsid wsp:val=&quot;00BD7725&quot;/&gt;&lt;wsp:rsid wsp:val=&quot;00BD791F&quot;/&gt;&lt;wsp:rsid wsp:val=&quot;00BD7D37&quot;/&gt;&lt;wsp:rsid wsp:val=&quot;00BD7EBA&quot;/&gt;&lt;wsp:rsid wsp:val=&quot;00BE0170&quot;/&gt;&lt;wsp:rsid wsp:val=&quot;00BE074E&quot;/&gt;&lt;wsp:rsid wsp:val=&quot;00BE0805&quot;/&gt;&lt;wsp:rsid wsp:val=&quot;00BE0D23&quot;/&gt;&lt;wsp:rsid wsp:val=&quot;00BE11F5&quot;/&gt;&lt;wsp:rsid wsp:val=&quot;00BE1A4D&quot;/&gt;&lt;wsp:rsid wsp:val=&quot;00BE1F2C&quot;/&gt;&lt;wsp:rsid wsp:val=&quot;00BE2E39&quot;/&gt;&lt;wsp:rsid wsp:val=&quot;00BE2E9A&quot;/&gt;&lt;wsp:rsid wsp:val=&quot;00BE33B9&quot;/&gt;&lt;wsp:rsid wsp:val=&quot;00BE34D6&quot;/&gt;&lt;wsp:rsid wsp:val=&quot;00BE3759&quot;/&gt;&lt;wsp:rsid wsp:val=&quot;00BE38CF&quot;/&gt;&lt;wsp:rsid wsp:val=&quot;00BE432D&quot;/&gt;&lt;wsp:rsid wsp:val=&quot;00BE4530&quot;/&gt;&lt;wsp:rsid wsp:val=&quot;00BE45FA&quot;/&gt;&lt;wsp:rsid wsp:val=&quot;00BE4A54&quot;/&gt;&lt;wsp:rsid wsp:val=&quot;00BE580A&quot;/&gt;&lt;wsp:rsid wsp:val=&quot;00BE614D&quot;/&gt;&lt;wsp:rsid wsp:val=&quot;00BE6274&quot;/&gt;&lt;wsp:rsid wsp:val=&quot;00BE632A&quot;/&gt;&lt;wsp:rsid wsp:val=&quot;00BE69A5&quot;/&gt;&lt;wsp:rsid wsp:val=&quot;00BE69BA&quot;/&gt;&lt;wsp:rsid wsp:val=&quot;00BE6B19&quot;/&gt;&lt;wsp:rsid wsp:val=&quot;00BE6BD5&quot;/&gt;&lt;wsp:rsid wsp:val=&quot;00BE6E5D&quot;/&gt;&lt;wsp:rsid wsp:val=&quot;00BE781E&quot;/&gt;&lt;wsp:rsid wsp:val=&quot;00BE7B95&quot;/&gt;&lt;wsp:rsid wsp:val=&quot;00BE7C45&quot;/&gt;&lt;wsp:rsid wsp:val=&quot;00BE7E0D&quot;/&gt;&lt;wsp:rsid wsp:val=&quot;00BF0319&quot;/&gt;&lt;wsp:rsid wsp:val=&quot;00BF14FA&quot;/&gt;&lt;wsp:rsid wsp:val=&quot;00BF1794&quot;/&gt;&lt;wsp:rsid wsp:val=&quot;00BF1B4B&quot;/&gt;&lt;wsp:rsid wsp:val=&quot;00BF1F1F&quot;/&gt;&lt;wsp:rsid wsp:val=&quot;00BF212D&quot;/&gt;&lt;wsp:rsid wsp:val=&quot;00BF229F&quot;/&gt;&lt;wsp:rsid wsp:val=&quot;00BF2C45&quot;/&gt;&lt;wsp:rsid wsp:val=&quot;00BF2D13&quot;/&gt;&lt;wsp:rsid wsp:val=&quot;00BF2FE5&quot;/&gt;&lt;wsp:rsid wsp:val=&quot;00BF330C&quot;/&gt;&lt;wsp:rsid wsp:val=&quot;00BF3B9A&quot;/&gt;&lt;wsp:rsid wsp:val=&quot;00BF3C8B&quot;/&gt;&lt;wsp:rsid wsp:val=&quot;00BF3D89&quot;/&gt;&lt;wsp:rsid wsp:val=&quot;00BF3F6F&quot;/&gt;&lt;wsp:rsid wsp:val=&quot;00BF466A&quot;/&gt;&lt;wsp:rsid wsp:val=&quot;00BF4BDD&quot;/&gt;&lt;wsp:rsid wsp:val=&quot;00BF5477&quot;/&gt;&lt;wsp:rsid wsp:val=&quot;00BF5948&quot;/&gt;&lt;wsp:rsid wsp:val=&quot;00BF60D6&quot;/&gt;&lt;wsp:rsid wsp:val=&quot;00BF662C&quot;/&gt;&lt;wsp:rsid wsp:val=&quot;00BF695C&quot;/&gt;&lt;wsp:rsid wsp:val=&quot;00BF69D6&quot;/&gt;&lt;wsp:rsid wsp:val=&quot;00BF73EE&quot;/&gt;&lt;wsp:rsid wsp:val=&quot;00BF79D8&quot;/&gt;&lt;wsp:rsid wsp:val=&quot;00C001EC&quot;/&gt;&lt;wsp:rsid wsp:val=&quot;00C003E0&quot;/&gt;&lt;wsp:rsid wsp:val=&quot;00C004A6&quot;/&gt;&lt;wsp:rsid wsp:val=&quot;00C00AF0&quot;/&gt;&lt;wsp:rsid wsp:val=&quot;00C027BD&quot;/&gt;&lt;wsp:rsid wsp:val=&quot;00C0299A&quot;/&gt;&lt;wsp:rsid wsp:val=&quot;00C02A0F&quot;/&gt;&lt;wsp:rsid wsp:val=&quot;00C0306E&quot;/&gt;&lt;wsp:rsid wsp:val=&quot;00C032D8&quot;/&gt;&lt;wsp:rsid wsp:val=&quot;00C03787&quot;/&gt;&lt;wsp:rsid wsp:val=&quot;00C03855&quot;/&gt;&lt;wsp:rsid wsp:val=&quot;00C03898&quot;/&gt;&lt;wsp:rsid wsp:val=&quot;00C03B1A&quot;/&gt;&lt;wsp:rsid wsp:val=&quot;00C03B7C&quot;/&gt;&lt;wsp:rsid wsp:val=&quot;00C04440&quot;/&gt;&lt;wsp:rsid wsp:val=&quot;00C04445&quot;/&gt;&lt;wsp:rsid wsp:val=&quot;00C0460D&quot;/&gt;&lt;wsp:rsid wsp:val=&quot;00C04CB2&quot;/&gt;&lt;wsp:rsid wsp:val=&quot;00C058A7&quot;/&gt;&lt;wsp:rsid wsp:val=&quot;00C059D3&quot;/&gt;&lt;wsp:rsid wsp:val=&quot;00C05D35&quot;/&gt;&lt;wsp:rsid wsp:val=&quot;00C05E2F&quot;/&gt;&lt;wsp:rsid wsp:val=&quot;00C06884&quot;/&gt;&lt;wsp:rsid wsp:val=&quot;00C06942&quot;/&gt;&lt;wsp:rsid wsp:val=&quot;00C07352&quot;/&gt;&lt;wsp:rsid wsp:val=&quot;00C0735B&quot;/&gt;&lt;wsp:rsid wsp:val=&quot;00C0767B&quot;/&gt;&lt;wsp:rsid wsp:val=&quot;00C0788D&quot;/&gt;&lt;wsp:rsid wsp:val=&quot;00C078BE&quot;/&gt;&lt;wsp:rsid wsp:val=&quot;00C07979&quot;/&gt;&lt;wsp:rsid wsp:val=&quot;00C07CBC&quot;/&gt;&lt;wsp:rsid wsp:val=&quot;00C07D82&quot;/&gt;&lt;wsp:rsid wsp:val=&quot;00C10227&quot;/&gt;&lt;wsp:rsid wsp:val=&quot;00C106DD&quot;/&gt;&lt;wsp:rsid wsp:val=&quot;00C10E1A&quot;/&gt;&lt;wsp:rsid wsp:val=&quot;00C113CE&quot;/&gt;&lt;wsp:rsid wsp:val=&quot;00C115A7&quot;/&gt;&lt;wsp:rsid wsp:val=&quot;00C11968&quot;/&gt;&lt;wsp:rsid wsp:val=&quot;00C11C26&quot;/&gt;&lt;wsp:rsid wsp:val=&quot;00C11CBF&quot;/&gt;&lt;wsp:rsid wsp:val=&quot;00C11D16&quot;/&gt;&lt;wsp:rsid wsp:val=&quot;00C1256E&quot;/&gt;&lt;wsp:rsid wsp:val=&quot;00C126C4&quot;/&gt;&lt;wsp:rsid wsp:val=&quot;00C126F2&quot;/&gt;&lt;wsp:rsid wsp:val=&quot;00C12858&quot;/&gt;&lt;wsp:rsid wsp:val=&quot;00C13165&quot;/&gt;&lt;wsp:rsid wsp:val=&quot;00C13615&quot;/&gt;&lt;wsp:rsid wsp:val=&quot;00C13BFA&quot;/&gt;&lt;wsp:rsid wsp:val=&quot;00C13FBA&quot;/&gt;&lt;wsp:rsid wsp:val=&quot;00C140F4&quot;/&gt;&lt;wsp:rsid wsp:val=&quot;00C14DEB&quot;/&gt;&lt;wsp:rsid wsp:val=&quot;00C15CD8&quot;/&gt;&lt;wsp:rsid wsp:val=&quot;00C15DEF&quot;/&gt;&lt;wsp:rsid wsp:val=&quot;00C15EFD&quot;/&gt;&lt;wsp:rsid wsp:val=&quot;00C160E0&quot;/&gt;&lt;wsp:rsid wsp:val=&quot;00C16621&quot;/&gt;&lt;wsp:rsid wsp:val=&quot;00C16FA3&quot;/&gt;&lt;wsp:rsid wsp:val=&quot;00C1700F&quot;/&gt;&lt;wsp:rsid wsp:val=&quot;00C174C8&quot;/&gt;&lt;wsp:rsid wsp:val=&quot;00C17C7A&quot;/&gt;&lt;wsp:rsid wsp:val=&quot;00C17DE9&quot;/&gt;&lt;wsp:rsid wsp:val=&quot;00C206E5&quot;/&gt;&lt;wsp:rsid wsp:val=&quot;00C20BE1&quot;/&gt;&lt;wsp:rsid wsp:val=&quot;00C21547&quot;/&gt;&lt;wsp:rsid wsp:val=&quot;00C2158C&quot;/&gt;&lt;wsp:rsid wsp:val=&quot;00C21709&quot;/&gt;&lt;wsp:rsid wsp:val=&quot;00C22434&quot;/&gt;&lt;wsp:rsid wsp:val=&quot;00C2273D&quot;/&gt;&lt;wsp:rsid wsp:val=&quot;00C22762&quot;/&gt;&lt;wsp:rsid wsp:val=&quot;00C22E56&quot;/&gt;&lt;wsp:rsid wsp:val=&quot;00C2354E&quot;/&gt;&lt;wsp:rsid wsp:val=&quot;00C23DAB&quot;/&gt;&lt;wsp:rsid wsp:val=&quot;00C24183&quot;/&gt;&lt;wsp:rsid wsp:val=&quot;00C2431E&quot;/&gt;&lt;wsp:rsid wsp:val=&quot;00C243E3&quot;/&gt;&lt;wsp:rsid wsp:val=&quot;00C246DD&quot;/&gt;&lt;wsp:rsid wsp:val=&quot;00C24740&quot;/&gt;&lt;wsp:rsid wsp:val=&quot;00C24934&quot;/&gt;&lt;wsp:rsid wsp:val=&quot;00C24942&quot;/&gt;&lt;wsp:rsid wsp:val=&quot;00C24E53&quot;/&gt;&lt;wsp:rsid wsp:val=&quot;00C24FEE&quot;/&gt;&lt;wsp:rsid wsp:val=&quot;00C254F0&quot;/&gt;&lt;wsp:rsid wsp:val=&quot;00C25663&quot;/&gt;&lt;wsp:rsid wsp:val=&quot;00C25B4D&quot;/&gt;&lt;wsp:rsid wsp:val=&quot;00C25D3E&quot;/&gt;&lt;wsp:rsid wsp:val=&quot;00C25EC4&quot;/&gt;&lt;wsp:rsid wsp:val=&quot;00C261A0&quot;/&gt;&lt;wsp:rsid wsp:val=&quot;00C26CCF&quot;/&gt;&lt;wsp:rsid wsp:val=&quot;00C2700D&quot;/&gt;&lt;wsp:rsid wsp:val=&quot;00C272AF&quot;/&gt;&lt;wsp:rsid wsp:val=&quot;00C273CF&quot;/&gt;&lt;wsp:rsid wsp:val=&quot;00C27598&quot;/&gt;&lt;wsp:rsid wsp:val=&quot;00C276A1&quot;/&gt;&lt;wsp:rsid wsp:val=&quot;00C27834&quot;/&gt;&lt;wsp:rsid wsp:val=&quot;00C30D21&quot;/&gt;&lt;wsp:rsid wsp:val=&quot;00C317C7&quot;/&gt;&lt;wsp:rsid wsp:val=&quot;00C31A76&quot;/&gt;&lt;wsp:rsid wsp:val=&quot;00C31AFE&quot;/&gt;&lt;wsp:rsid wsp:val=&quot;00C31BD5&quot;/&gt;&lt;wsp:rsid wsp:val=&quot;00C32075&quot;/&gt;&lt;wsp:rsid wsp:val=&quot;00C321CA&quot;/&gt;&lt;wsp:rsid wsp:val=&quot;00C32737&quot;/&gt;&lt;wsp:rsid wsp:val=&quot;00C32A1A&quot;/&gt;&lt;wsp:rsid wsp:val=&quot;00C32B34&quot;/&gt;&lt;wsp:rsid wsp:val=&quot;00C333B4&quot;/&gt;&lt;wsp:rsid wsp:val=&quot;00C3353C&quot;/&gt;&lt;wsp:rsid wsp:val=&quot;00C33679&quot;/&gt;&lt;wsp:rsid wsp:val=&quot;00C3390D&quot;/&gt;&lt;wsp:rsid wsp:val=&quot;00C33C7E&quot;/&gt;&lt;wsp:rsid wsp:val=&quot;00C33CAB&quot;/&gt;&lt;wsp:rsid wsp:val=&quot;00C34141&quot;/&gt;&lt;wsp:rsid wsp:val=&quot;00C3435D&quot;/&gt;&lt;wsp:rsid wsp:val=&quot;00C34A3E&quot;/&gt;&lt;wsp:rsid wsp:val=&quot;00C34B99&quot;/&gt;&lt;wsp:rsid wsp:val=&quot;00C3513A&quot;/&gt;&lt;wsp:rsid wsp:val=&quot;00C35292&quot;/&gt;&lt;wsp:rsid wsp:val=&quot;00C35D3C&quot;/&gt;&lt;wsp:rsid wsp:val=&quot;00C35E6C&quot;/&gt;&lt;wsp:rsid wsp:val=&quot;00C361CF&quot;/&gt;&lt;wsp:rsid wsp:val=&quot;00C36788&quot;/&gt;&lt;wsp:rsid wsp:val=&quot;00C36C58&quot;/&gt;&lt;wsp:rsid wsp:val=&quot;00C374CC&quot;/&gt;&lt;wsp:rsid wsp:val=&quot;00C37A0B&quot;/&gt;&lt;wsp:rsid wsp:val=&quot;00C37CB6&quot;/&gt;&lt;wsp:rsid wsp:val=&quot;00C37F28&quot;/&gt;&lt;wsp:rsid wsp:val=&quot;00C40BFA&quot;/&gt;&lt;wsp:rsid wsp:val=&quot;00C41210&quot;/&gt;&lt;wsp:rsid wsp:val=&quot;00C414A7&quot;/&gt;&lt;wsp:rsid wsp:val=&quot;00C41F9A&quot;/&gt;&lt;wsp:rsid wsp:val=&quot;00C424CE&quot;/&gt;&lt;wsp:rsid wsp:val=&quot;00C424FE&quot;/&gt;&lt;wsp:rsid wsp:val=&quot;00C43181&quot;/&gt;&lt;wsp:rsid wsp:val=&quot;00C4342D&quot;/&gt;&lt;wsp:rsid wsp:val=&quot;00C43898&quot;/&gt;&lt;wsp:rsid wsp:val=&quot;00C438B1&quot;/&gt;&lt;wsp:rsid wsp:val=&quot;00C43AE1&quot;/&gt;&lt;wsp:rsid wsp:val=&quot;00C4461D&quot;/&gt;&lt;wsp:rsid wsp:val=&quot;00C449EB&quot;/&gt;&lt;wsp:rsid wsp:val=&quot;00C44B2C&quot;/&gt;&lt;wsp:rsid wsp:val=&quot;00C44E68&quot;/&gt;&lt;wsp:rsid wsp:val=&quot;00C45CCA&quot;/&gt;&lt;wsp:rsid wsp:val=&quot;00C46676&quot;/&gt;&lt;wsp:rsid wsp:val=&quot;00C46A5E&quot;/&gt;&lt;wsp:rsid wsp:val=&quot;00C47055&quot;/&gt;&lt;wsp:rsid wsp:val=&quot;00C470C6&quot;/&gt;&lt;wsp:rsid wsp:val=&quot;00C473D4&quot;/&gt;&lt;wsp:rsid wsp:val=&quot;00C502F2&quot;/&gt;&lt;wsp:rsid wsp:val=&quot;00C5081F&quot;/&gt;&lt;wsp:rsid wsp:val=&quot;00C50904&quot;/&gt;&lt;wsp:rsid wsp:val=&quot;00C50FE9&quot;/&gt;&lt;wsp:rsid wsp:val=&quot;00C52309&quot;/&gt;&lt;wsp:rsid wsp:val=&quot;00C52711&quot;/&gt;&lt;wsp:rsid wsp:val=&quot;00C52D2E&quot;/&gt;&lt;wsp:rsid wsp:val=&quot;00C53285&quot;/&gt;&lt;wsp:rsid wsp:val=&quot;00C532D3&quot;/&gt;&lt;wsp:rsid wsp:val=&quot;00C5345E&quot;/&gt;&lt;wsp:rsid wsp:val=&quot;00C53732&quot;/&gt;&lt;wsp:rsid wsp:val=&quot;00C537B7&quot;/&gt;&lt;wsp:rsid wsp:val=&quot;00C53C4D&quot;/&gt;&lt;wsp:rsid wsp:val=&quot;00C53F2E&quot;/&gt;&lt;wsp:rsid wsp:val=&quot;00C53FD8&quot;/&gt;&lt;wsp:rsid wsp:val=&quot;00C543D9&quot;/&gt;&lt;wsp:rsid wsp:val=&quot;00C545BA&quot;/&gt;&lt;wsp:rsid wsp:val=&quot;00C54680&quot;/&gt;&lt;wsp:rsid wsp:val=&quot;00C54EDD&quot;/&gt;&lt;wsp:rsid wsp:val=&quot;00C550DB&quot;/&gt;&lt;wsp:rsid wsp:val=&quot;00C551A6&quot;/&gt;&lt;wsp:rsid wsp:val=&quot;00C5536F&quot;/&gt;&lt;wsp:rsid wsp:val=&quot;00C554B2&quot;/&gt;&lt;wsp:rsid wsp:val=&quot;00C55B46&quot;/&gt;&lt;wsp:rsid wsp:val=&quot;00C56516&quot;/&gt;&lt;wsp:rsid wsp:val=&quot;00C567C6&quot;/&gt;&lt;wsp:rsid wsp:val=&quot;00C5688A&quot;/&gt;&lt;wsp:rsid wsp:val=&quot;00C568B1&quot;/&gt;&lt;wsp:rsid wsp:val=&quot;00C56F83&quot;/&gt;&lt;wsp:rsid wsp:val=&quot;00C575E1&quot;/&gt;&lt;wsp:rsid wsp:val=&quot;00C5761B&quot;/&gt;&lt;wsp:rsid wsp:val=&quot;00C5767A&quot;/&gt;&lt;wsp:rsid wsp:val=&quot;00C576F9&quot;/&gt;&lt;wsp:rsid wsp:val=&quot;00C57749&quot;/&gt;&lt;wsp:rsid wsp:val=&quot;00C57851&quot;/&gt;&lt;wsp:rsid wsp:val=&quot;00C5785B&quot;/&gt;&lt;wsp:rsid wsp:val=&quot;00C57B13&quot;/&gt;&lt;wsp:rsid wsp:val=&quot;00C57BDA&quot;/&gt;&lt;wsp:rsid wsp:val=&quot;00C57D5B&quot;/&gt;&lt;wsp:rsid wsp:val=&quot;00C57F7B&quot;/&gt;&lt;wsp:rsid wsp:val=&quot;00C606D6&quot;/&gt;&lt;wsp:rsid wsp:val=&quot;00C60AC9&quot;/&gt;&lt;wsp:rsid wsp:val=&quot;00C60BC0&quot;/&gt;&lt;wsp:rsid wsp:val=&quot;00C60F96&quot;/&gt;&lt;wsp:rsid wsp:val=&quot;00C61068&quot;/&gt;&lt;wsp:rsid wsp:val=&quot;00C61299&quot;/&gt;&lt;wsp:rsid wsp:val=&quot;00C61342&quot;/&gt;&lt;wsp:rsid wsp:val=&quot;00C6150E&quot;/&gt;&lt;wsp:rsid wsp:val=&quot;00C618A9&quot;/&gt;&lt;wsp:rsid wsp:val=&quot;00C618CD&quot;/&gt;&lt;wsp:rsid wsp:val=&quot;00C61AED&quot;/&gt;&lt;wsp:rsid wsp:val=&quot;00C61B05&quot;/&gt;&lt;wsp:rsid wsp:val=&quot;00C61C23&quot;/&gt;&lt;wsp:rsid wsp:val=&quot;00C625EC&quot;/&gt;&lt;wsp:rsid wsp:val=&quot;00C62E42&quot;/&gt;&lt;wsp:rsid wsp:val=&quot;00C62F74&quot;/&gt;&lt;wsp:rsid wsp:val=&quot;00C62F8B&quot;/&gt;&lt;wsp:rsid wsp:val=&quot;00C63281&quot;/&gt;&lt;wsp:rsid wsp:val=&quot;00C63448&quot;/&gt;&lt;wsp:rsid wsp:val=&quot;00C6363E&quot;/&gt;&lt;wsp:rsid wsp:val=&quot;00C63D1C&quot;/&gt;&lt;wsp:rsid wsp:val=&quot;00C6437F&quot;/&gt;&lt;wsp:rsid wsp:val=&quot;00C645E4&quot;/&gt;&lt;wsp:rsid wsp:val=&quot;00C64A11&quot;/&gt;&lt;wsp:rsid wsp:val=&quot;00C64ABA&quot;/&gt;&lt;wsp:rsid wsp:val=&quot;00C64B88&quot;/&gt;&lt;wsp:rsid wsp:val=&quot;00C64C46&quot;/&gt;&lt;wsp:rsid wsp:val=&quot;00C65872&quot;/&gt;&lt;wsp:rsid wsp:val=&quot;00C668F8&quot;/&gt;&lt;wsp:rsid wsp:val=&quot;00C66A6E&quot;/&gt;&lt;wsp:rsid wsp:val=&quot;00C66D96&quot;/&gt;&lt;wsp:rsid wsp:val=&quot;00C66F78&quot;/&gt;&lt;wsp:rsid wsp:val=&quot;00C66FA8&quot;/&gt;&lt;wsp:rsid wsp:val=&quot;00C7137D&quot;/&gt;&lt;wsp:rsid wsp:val=&quot;00C717DB&quot;/&gt;&lt;wsp:rsid wsp:val=&quot;00C71F59&quot;/&gt;&lt;wsp:rsid wsp:val=&quot;00C72570&quot;/&gt;&lt;wsp:rsid wsp:val=&quot;00C725EE&quot;/&gt;&lt;wsp:rsid wsp:val=&quot;00C72664&quot;/&gt;&lt;wsp:rsid wsp:val=&quot;00C72817&quot;/&gt;&lt;wsp:rsid wsp:val=&quot;00C72BC3&quot;/&gt;&lt;wsp:rsid wsp:val=&quot;00C73842&quot;/&gt;&lt;wsp:rsid wsp:val=&quot;00C740AC&quot;/&gt;&lt;wsp:rsid wsp:val=&quot;00C74129&quot;/&gt;&lt;wsp:rsid wsp:val=&quot;00C746E7&quot;/&gt;&lt;wsp:rsid wsp:val=&quot;00C7480E&quot;/&gt;&lt;wsp:rsid wsp:val=&quot;00C74A85&quot;/&gt;&lt;wsp:rsid wsp:val=&quot;00C74F88&quot;/&gt;&lt;wsp:rsid wsp:val=&quot;00C75502&quot;/&gt;&lt;wsp:rsid wsp:val=&quot;00C7580C&quot;/&gt;&lt;wsp:rsid wsp:val=&quot;00C75A4C&quot;/&gt;&lt;wsp:rsid wsp:val=&quot;00C76492&quot;/&gt;&lt;wsp:rsid wsp:val=&quot;00C764B2&quot;/&gt;&lt;wsp:rsid wsp:val=&quot;00C769F2&quot;/&gt;&lt;wsp:rsid wsp:val=&quot;00C76EDE&quot;/&gt;&lt;wsp:rsid wsp:val=&quot;00C771DD&quot;/&gt;&lt;wsp:rsid wsp:val=&quot;00C77671&quot;/&gt;&lt;wsp:rsid wsp:val=&quot;00C77F5C&quot;/&gt;&lt;wsp:rsid wsp:val=&quot;00C800F2&quot;/&gt;&lt;wsp:rsid wsp:val=&quot;00C8034F&quot;/&gt;&lt;wsp:rsid wsp:val=&quot;00C80A04&quot;/&gt;&lt;wsp:rsid wsp:val=&quot;00C812AF&quot;/&gt;&lt;wsp:rsid wsp:val=&quot;00C81486&quot;/&gt;&lt;wsp:rsid wsp:val=&quot;00C81CB5&quot;/&gt;&lt;wsp:rsid wsp:val=&quot;00C8243F&quot;/&gt;&lt;wsp:rsid wsp:val=&quot;00C83138&quot;/&gt;&lt;wsp:rsid wsp:val=&quot;00C8379F&quot;/&gt;&lt;wsp:rsid wsp:val=&quot;00C83A43&quot;/&gt;&lt;wsp:rsid wsp:val=&quot;00C83F90&quot;/&gt;&lt;wsp:rsid wsp:val=&quot;00C84259&quot;/&gt;&lt;wsp:rsid wsp:val=&quot;00C843F6&quot;/&gt;&lt;wsp:rsid wsp:val=&quot;00C84AEA&quot;/&gt;&lt;wsp:rsid wsp:val=&quot;00C84C16&quot;/&gt;&lt;wsp:rsid wsp:val=&quot;00C84D06&quot;/&gt;&lt;wsp:rsid wsp:val=&quot;00C84FD0&quot;/&gt;&lt;wsp:rsid wsp:val=&quot;00C85479&quot;/&gt;&lt;wsp:rsid wsp:val=&quot;00C859EE&quot;/&gt;&lt;wsp:rsid wsp:val=&quot;00C85A54&quot;/&gt;&lt;wsp:rsid wsp:val=&quot;00C85C60&quot;/&gt;&lt;wsp:rsid wsp:val=&quot;00C85D44&quot;/&gt;&lt;wsp:rsid wsp:val=&quot;00C85E37&quot;/&gt;&lt;wsp:rsid wsp:val=&quot;00C8606D&quot;/&gt;&lt;wsp:rsid wsp:val=&quot;00C863E9&quot;/&gt;&lt;wsp:rsid wsp:val=&quot;00C86ECA&quot;/&gt;&lt;wsp:rsid wsp:val=&quot;00C8760A&quot;/&gt;&lt;wsp:rsid wsp:val=&quot;00C87C14&quot;/&gt;&lt;wsp:rsid wsp:val=&quot;00C87CFF&quot;/&gt;&lt;wsp:rsid wsp:val=&quot;00C87E67&quot;/&gt;&lt;wsp:rsid wsp:val=&quot;00C87EBD&quot;/&gt;&lt;wsp:rsid wsp:val=&quot;00C907EB&quot;/&gt;&lt;wsp:rsid wsp:val=&quot;00C908EF&quot;/&gt;&lt;wsp:rsid wsp:val=&quot;00C90B9F&quot;/&gt;&lt;wsp:rsid wsp:val=&quot;00C9110A&quot;/&gt;&lt;wsp:rsid wsp:val=&quot;00C91415&quot;/&gt;&lt;wsp:rsid wsp:val=&quot;00C917E5&quot;/&gt;&lt;wsp:rsid wsp:val=&quot;00C91F37&quot;/&gt;&lt;wsp:rsid wsp:val=&quot;00C91F8B&quot;/&gt;&lt;wsp:rsid wsp:val=&quot;00C92241&quot;/&gt;&lt;wsp:rsid wsp:val=&quot;00C92A6B&quot;/&gt;&lt;wsp:rsid wsp:val=&quot;00C92B85&quot;/&gt;&lt;wsp:rsid wsp:val=&quot;00C92F53&quot;/&gt;&lt;wsp:rsid wsp:val=&quot;00C931FE&quot;/&gt;&lt;wsp:rsid wsp:val=&quot;00C93238&quot;/&gt;&lt;wsp:rsid wsp:val=&quot;00C933B8&quot;/&gt;&lt;wsp:rsid wsp:val=&quot;00C933D2&quot;/&gt;&lt;wsp:rsid wsp:val=&quot;00C943B9&quot;/&gt;&lt;wsp:rsid wsp:val=&quot;00C94D96&quot;/&gt;&lt;wsp:rsid wsp:val=&quot;00C9509A&quot;/&gt;&lt;wsp:rsid wsp:val=&quot;00C955E3&quot;/&gt;&lt;wsp:rsid wsp:val=&quot;00C96835&quot;/&gt;&lt;wsp:rsid wsp:val=&quot;00C96A9B&quot;/&gt;&lt;wsp:rsid wsp:val=&quot;00C96F59&quot;/&gt;&lt;wsp:rsid wsp:val=&quot;00C97485&quot;/&gt;&lt;wsp:rsid wsp:val=&quot;00C975A8&quot;/&gt;&lt;wsp:rsid wsp:val=&quot;00C97AF5&quot;/&gt;&lt;wsp:rsid wsp:val=&quot;00CA001C&quot;/&gt;&lt;wsp:rsid wsp:val=&quot;00CA01BC&quot;/&gt;&lt;wsp:rsid wsp:val=&quot;00CA0ABE&quot;/&gt;&lt;wsp:rsid wsp:val=&quot;00CA0EE9&quot;/&gt;&lt;wsp:rsid wsp:val=&quot;00CA1535&quot;/&gt;&lt;wsp:rsid wsp:val=&quot;00CA21F9&quot;/&gt;&lt;wsp:rsid wsp:val=&quot;00CA2376&quot;/&gt;&lt;wsp:rsid wsp:val=&quot;00CA317C&quot;/&gt;&lt;wsp:rsid wsp:val=&quot;00CA39B2&quot;/&gt;&lt;wsp:rsid wsp:val=&quot;00CA3AAF&quot;/&gt;&lt;wsp:rsid wsp:val=&quot;00CA3E82&quot;/&gt;&lt;wsp:rsid wsp:val=&quot;00CA412A&quot;/&gt;&lt;wsp:rsid wsp:val=&quot;00CA430A&quot;/&gt;&lt;wsp:rsid wsp:val=&quot;00CA45A0&quot;/&gt;&lt;wsp:rsid wsp:val=&quot;00CA4716&quot;/&gt;&lt;wsp:rsid wsp:val=&quot;00CA4AED&quot;/&gt;&lt;wsp:rsid wsp:val=&quot;00CA502F&quot;/&gt;&lt;wsp:rsid wsp:val=&quot;00CA5083&quot;/&gt;&lt;wsp:rsid wsp:val=&quot;00CA5326&quot;/&gt;&lt;wsp:rsid wsp:val=&quot;00CA5463&quot;/&gt;&lt;wsp:rsid wsp:val=&quot;00CA5694&quot;/&gt;&lt;wsp:rsid wsp:val=&quot;00CA5F4B&quot;/&gt;&lt;wsp:rsid wsp:val=&quot;00CA6F3B&quot;/&gt;&lt;wsp:rsid wsp:val=&quot;00CA7657&quot;/&gt;&lt;wsp:rsid wsp:val=&quot;00CA7FDD&quot;/&gt;&lt;wsp:rsid wsp:val=&quot;00CB021B&quot;/&gt;&lt;wsp:rsid wsp:val=&quot;00CB023E&quot;/&gt;&lt;wsp:rsid wsp:val=&quot;00CB05E8&quot;/&gt;&lt;wsp:rsid wsp:val=&quot;00CB0C4D&quot;/&gt;&lt;wsp:rsid wsp:val=&quot;00CB0CEE&quot;/&gt;&lt;wsp:rsid wsp:val=&quot;00CB0DF0&quot;/&gt;&lt;wsp:rsid wsp:val=&quot;00CB11E0&quot;/&gt;&lt;wsp:rsid wsp:val=&quot;00CB13A3&quot;/&gt;&lt;wsp:rsid wsp:val=&quot;00CB13EA&quot;/&gt;&lt;wsp:rsid wsp:val=&quot;00CB1490&quot;/&gt;&lt;wsp:rsid wsp:val=&quot;00CB1591&quot;/&gt;&lt;wsp:rsid wsp:val=&quot;00CB1924&quot;/&gt;&lt;wsp:rsid wsp:val=&quot;00CB1DD2&quot;/&gt;&lt;wsp:rsid wsp:val=&quot;00CB2915&quot;/&gt;&lt;wsp:rsid wsp:val=&quot;00CB2E41&quot;/&gt;&lt;wsp:rsid wsp:val=&quot;00CB2F87&quot;/&gt;&lt;wsp:rsid wsp:val=&quot;00CB3523&quot;/&gt;&lt;wsp:rsid wsp:val=&quot;00CB3D78&quot;/&gt;&lt;wsp:rsid wsp:val=&quot;00CB4541&quot;/&gt;&lt;wsp:rsid wsp:val=&quot;00CB4ABE&quot;/&gt;&lt;wsp:rsid wsp:val=&quot;00CB4E9E&quot;/&gt;&lt;wsp:rsid wsp:val=&quot;00CB5FAA&quot;/&gt;&lt;wsp:rsid wsp:val=&quot;00CB607E&quot;/&gt;&lt;wsp:rsid wsp:val=&quot;00CB6112&quot;/&gt;&lt;wsp:rsid wsp:val=&quot;00CB65FF&quot;/&gt;&lt;wsp:rsid wsp:val=&quot;00CB68DF&quot;/&gt;&lt;wsp:rsid wsp:val=&quot;00CB70A6&quot;/&gt;&lt;wsp:rsid wsp:val=&quot;00CB7214&quot;/&gt;&lt;wsp:rsid wsp:val=&quot;00CB7577&quot;/&gt;&lt;wsp:rsid wsp:val=&quot;00CB7914&quot;/&gt;&lt;wsp:rsid wsp:val=&quot;00CB7EAC&quot;/&gt;&lt;wsp:rsid wsp:val=&quot;00CC0607&quot;/&gt;&lt;wsp:rsid wsp:val=&quot;00CC0DEB&quot;/&gt;&lt;wsp:rsid wsp:val=&quot;00CC1308&quot;/&gt;&lt;wsp:rsid wsp:val=&quot;00CC1425&quot;/&gt;&lt;wsp:rsid wsp:val=&quot;00CC162D&quot;/&gt;&lt;wsp:rsid wsp:val=&quot;00CC1750&quot;/&gt;&lt;wsp:rsid wsp:val=&quot;00CC1B59&quot;/&gt;&lt;wsp:rsid wsp:val=&quot;00CC1B6C&quot;/&gt;&lt;wsp:rsid wsp:val=&quot;00CC1BB0&quot;/&gt;&lt;wsp:rsid wsp:val=&quot;00CC1D33&quot;/&gt;&lt;wsp:rsid wsp:val=&quot;00CC259F&quot;/&gt;&lt;wsp:rsid wsp:val=&quot;00CC2AB0&quot;/&gt;&lt;wsp:rsid wsp:val=&quot;00CC3AD3&quot;/&gt;&lt;wsp:rsid wsp:val=&quot;00CC3D3F&quot;/&gt;&lt;wsp:rsid wsp:val=&quot;00CC42C4&quot;/&gt;&lt;wsp:rsid wsp:val=&quot;00CC4951&quot;/&gt;&lt;wsp:rsid wsp:val=&quot;00CC5005&quot;/&gt;&lt;wsp:rsid wsp:val=&quot;00CC51C0&quot;/&gt;&lt;wsp:rsid wsp:val=&quot;00CC5356&quot;/&gt;&lt;wsp:rsid wsp:val=&quot;00CC630F&quot;/&gt;&lt;wsp:rsid wsp:val=&quot;00CC6480&quot;/&gt;&lt;wsp:rsid wsp:val=&quot;00CC69D2&quot;/&gt;&lt;wsp:rsid wsp:val=&quot;00CC7081&quot;/&gt;&lt;wsp:rsid wsp:val=&quot;00CC70C9&quot;/&gt;&lt;wsp:rsid wsp:val=&quot;00CC757A&quot;/&gt;&lt;wsp:rsid wsp:val=&quot;00CC7F0A&quot;/&gt;&lt;wsp:rsid wsp:val=&quot;00CD04DC&quot;/&gt;&lt;wsp:rsid wsp:val=&quot;00CD0654&quot;/&gt;&lt;wsp:rsid wsp:val=&quot;00CD0DBD&quot;/&gt;&lt;wsp:rsid wsp:val=&quot;00CD126F&quot;/&gt;&lt;wsp:rsid wsp:val=&quot;00CD13A9&quot;/&gt;&lt;wsp:rsid wsp:val=&quot;00CD1C5C&quot;/&gt;&lt;wsp:rsid wsp:val=&quot;00CD1D38&quot;/&gt;&lt;wsp:rsid wsp:val=&quot;00CD1DD8&quot;/&gt;&lt;wsp:rsid wsp:val=&quot;00CD2737&quot;/&gt;&lt;wsp:rsid wsp:val=&quot;00CD2CBE&quot;/&gt;&lt;wsp:rsid wsp:val=&quot;00CD3100&quot;/&gt;&lt;wsp:rsid wsp:val=&quot;00CD33EE&quot;/&gt;&lt;wsp:rsid wsp:val=&quot;00CD352F&quot;/&gt;&lt;wsp:rsid wsp:val=&quot;00CD35C6&quot;/&gt;&lt;wsp:rsid wsp:val=&quot;00CD3656&quot;/&gt;&lt;wsp:rsid wsp:val=&quot;00CD39AB&quot;/&gt;&lt;wsp:rsid wsp:val=&quot;00CD4624&quot;/&gt;&lt;wsp:rsid wsp:val=&quot;00CD46C0&quot;/&gt;&lt;wsp:rsid wsp:val=&quot;00CD4C1E&quot;/&gt;&lt;wsp:rsid wsp:val=&quot;00CD56E5&quot;/&gt;&lt;wsp:rsid wsp:val=&quot;00CD59B4&quot;/&gt;&lt;wsp:rsid wsp:val=&quot;00CD5AEC&quot;/&gt;&lt;wsp:rsid wsp:val=&quot;00CD5CE9&quot;/&gt;&lt;wsp:rsid wsp:val=&quot;00CD6421&quot;/&gt;&lt;wsp:rsid wsp:val=&quot;00CD65F7&quot;/&gt;&lt;wsp:rsid wsp:val=&quot;00CD664C&quot;/&gt;&lt;wsp:rsid wsp:val=&quot;00CD6688&quot;/&gt;&lt;wsp:rsid wsp:val=&quot;00CD6BB6&quot;/&gt;&lt;wsp:rsid wsp:val=&quot;00CD6C1B&quot;/&gt;&lt;wsp:rsid wsp:val=&quot;00CD75CB&quot;/&gt;&lt;wsp:rsid wsp:val=&quot;00CD79D2&quot;/&gt;&lt;wsp:rsid wsp:val=&quot;00CE0380&quot;/&gt;&lt;wsp:rsid wsp:val=&quot;00CE0870&quot;/&gt;&lt;wsp:rsid wsp:val=&quot;00CE0F5B&quot;/&gt;&lt;wsp:rsid wsp:val=&quot;00CE0FB5&quot;/&gt;&lt;wsp:rsid wsp:val=&quot;00CE1246&quot;/&gt;&lt;wsp:rsid wsp:val=&quot;00CE1704&quot;/&gt;&lt;wsp:rsid wsp:val=&quot;00CE250C&quot;/&gt;&lt;wsp:rsid wsp:val=&quot;00CE2717&quot;/&gt;&lt;wsp:rsid wsp:val=&quot;00CE2BD4&quot;/&gt;&lt;wsp:rsid wsp:val=&quot;00CE2DFC&quot;/&gt;&lt;wsp:rsid wsp:val=&quot;00CE3154&quot;/&gt;&lt;wsp:rsid wsp:val=&quot;00CE3359&quot;/&gt;&lt;wsp:rsid wsp:val=&quot;00CE4038&quot;/&gt;&lt;wsp:rsid wsp:val=&quot;00CE4AC6&quot;/&gt;&lt;wsp:rsid wsp:val=&quot;00CE4B67&quot;/&gt;&lt;wsp:rsid wsp:val=&quot;00CE505E&quot;/&gt;&lt;wsp:rsid wsp:val=&quot;00CE5625&quot;/&gt;&lt;wsp:rsid wsp:val=&quot;00CE5665&quot;/&gt;&lt;wsp:rsid wsp:val=&quot;00CE5B25&quot;/&gt;&lt;wsp:rsid wsp:val=&quot;00CE5E82&quot;/&gt;&lt;wsp:rsid wsp:val=&quot;00CE67DA&quot;/&gt;&lt;wsp:rsid wsp:val=&quot;00CE6A2D&quot;/&gt;&lt;wsp:rsid wsp:val=&quot;00CE73F7&quot;/&gt;&lt;wsp:rsid wsp:val=&quot;00CE7542&quot;/&gt;&lt;wsp:rsid wsp:val=&quot;00CE793E&quot;/&gt;&lt;wsp:rsid wsp:val=&quot;00CE7B06&quot;/&gt;&lt;wsp:rsid wsp:val=&quot;00CE7E3B&quot;/&gt;&lt;wsp:rsid wsp:val=&quot;00CE7F90&quot;/&gt;&lt;wsp:rsid wsp:val=&quot;00CF02EC&quot;/&gt;&lt;wsp:rsid wsp:val=&quot;00CF09F4&quot;/&gt;&lt;wsp:rsid wsp:val=&quot;00CF0CCA&quot;/&gt;&lt;wsp:rsid wsp:val=&quot;00CF0FE2&quot;/&gt;&lt;wsp:rsid wsp:val=&quot;00CF114C&quot;/&gt;&lt;wsp:rsid wsp:val=&quot;00CF143A&quot;/&gt;&lt;wsp:rsid wsp:val=&quot;00CF1F89&quot;/&gt;&lt;wsp:rsid wsp:val=&quot;00CF229C&quot;/&gt;&lt;wsp:rsid wsp:val=&quot;00CF2609&quot;/&gt;&lt;wsp:rsid wsp:val=&quot;00CF2615&quot;/&gt;&lt;wsp:rsid wsp:val=&quot;00CF2651&quot;/&gt;&lt;wsp:rsid wsp:val=&quot;00CF26CE&quot;/&gt;&lt;wsp:rsid wsp:val=&quot;00CF2994&quot;/&gt;&lt;wsp:rsid wsp:val=&quot;00CF3782&quot;/&gt;&lt;wsp:rsid wsp:val=&quot;00CF3C0C&quot;/&gt;&lt;wsp:rsid wsp:val=&quot;00CF441E&quot;/&gt;&lt;wsp:rsid wsp:val=&quot;00CF446C&quot;/&gt;&lt;wsp:rsid wsp:val=&quot;00CF4616&quot;/&gt;&lt;wsp:rsid wsp:val=&quot;00CF484F&quot;/&gt;&lt;wsp:rsid wsp:val=&quot;00CF4B3E&quot;/&gt;&lt;wsp:rsid wsp:val=&quot;00CF4C29&quot;/&gt;&lt;wsp:rsid wsp:val=&quot;00CF5493&quot;/&gt;&lt;wsp:rsid wsp:val=&quot;00CF659D&quot;/&gt;&lt;wsp:rsid wsp:val=&quot;00CF6957&quot;/&gt;&lt;wsp:rsid wsp:val=&quot;00CF7B29&quot;/&gt;&lt;wsp:rsid wsp:val=&quot;00CF7F58&quot;/&gt;&lt;wsp:rsid wsp:val=&quot;00D00110&quot;/&gt;&lt;wsp:rsid wsp:val=&quot;00D003E7&quot;/&gt;&lt;wsp:rsid wsp:val=&quot;00D00496&quot;/&gt;&lt;wsp:rsid wsp:val=&quot;00D008C0&quot;/&gt;&lt;wsp:rsid wsp:val=&quot;00D0182D&quot;/&gt;&lt;wsp:rsid wsp:val=&quot;00D01F7D&quot;/&gt;&lt;wsp:rsid wsp:val=&quot;00D01FC4&quot;/&gt;&lt;wsp:rsid wsp:val=&quot;00D021A2&quot;/&gt;&lt;wsp:rsid wsp:val=&quot;00D02382&quot;/&gt;&lt;wsp:rsid wsp:val=&quot;00D02841&quot;/&gt;&lt;wsp:rsid wsp:val=&quot;00D02D7C&quot;/&gt;&lt;wsp:rsid wsp:val=&quot;00D02F1C&quot;/&gt;&lt;wsp:rsid wsp:val=&quot;00D03115&quot;/&gt;&lt;wsp:rsid wsp:val=&quot;00D03436&quot;/&gt;&lt;wsp:rsid wsp:val=&quot;00D0387E&quot;/&gt;&lt;wsp:rsid wsp:val=&quot;00D03FAC&quot;/&gt;&lt;wsp:rsid wsp:val=&quot;00D03FE8&quot;/&gt;&lt;wsp:rsid wsp:val=&quot;00D04429&quot;/&gt;&lt;wsp:rsid wsp:val=&quot;00D047D0&quot;/&gt;&lt;wsp:rsid wsp:val=&quot;00D04B24&quot;/&gt;&lt;wsp:rsid wsp:val=&quot;00D05080&quot;/&gt;&lt;wsp:rsid wsp:val=&quot;00D054B1&quot;/&gt;&lt;wsp:rsid wsp:val=&quot;00D06174&quot;/&gt;&lt;wsp:rsid wsp:val=&quot;00D063BC&quot;/&gt;&lt;wsp:rsid wsp:val=&quot;00D066C4&quot;/&gt;&lt;wsp:rsid wsp:val=&quot;00D06866&quot;/&gt;&lt;wsp:rsid wsp:val=&quot;00D06C9F&quot;/&gt;&lt;wsp:rsid wsp:val=&quot;00D06E44&quot;/&gt;&lt;wsp:rsid wsp:val=&quot;00D072FB&quot;/&gt;&lt;wsp:rsid wsp:val=&quot;00D074F8&quot;/&gt;&lt;wsp:rsid wsp:val=&quot;00D07581&quot;/&gt;&lt;wsp:rsid wsp:val=&quot;00D07AB2&quot;/&gt;&lt;wsp:rsid wsp:val=&quot;00D07B9F&quot;/&gt;&lt;wsp:rsid wsp:val=&quot;00D106D2&quot;/&gt;&lt;wsp:rsid wsp:val=&quot;00D10B45&quot;/&gt;&lt;wsp:rsid wsp:val=&quot;00D1107C&quot;/&gt;&lt;wsp:rsid wsp:val=&quot;00D1143D&quot;/&gt;&lt;wsp:rsid wsp:val=&quot;00D1152D&quot;/&gt;&lt;wsp:rsid wsp:val=&quot;00D11922&quot;/&gt;&lt;wsp:rsid wsp:val=&quot;00D11A48&quot;/&gt;&lt;wsp:rsid wsp:val=&quot;00D123C5&quot;/&gt;&lt;wsp:rsid wsp:val=&quot;00D12657&quot;/&gt;&lt;wsp:rsid wsp:val=&quot;00D128FF&quot;/&gt;&lt;wsp:rsid wsp:val=&quot;00D12A1F&quot;/&gt;&lt;wsp:rsid wsp:val=&quot;00D12F15&quot;/&gt;&lt;wsp:rsid wsp:val=&quot;00D13E7A&quot;/&gt;&lt;wsp:rsid wsp:val=&quot;00D14279&quot;/&gt;&lt;wsp:rsid wsp:val=&quot;00D148AA&quot;/&gt;&lt;wsp:rsid wsp:val=&quot;00D148FC&quot;/&gt;&lt;wsp:rsid wsp:val=&quot;00D15199&quot;/&gt;&lt;wsp:rsid wsp:val=&quot;00D158AE&quot;/&gt;&lt;wsp:rsid wsp:val=&quot;00D15B02&quot;/&gt;&lt;wsp:rsid wsp:val=&quot;00D15C1B&quot;/&gt;&lt;wsp:rsid wsp:val=&quot;00D15E58&quot;/&gt;&lt;wsp:rsid wsp:val=&quot;00D15E5D&quot;/&gt;&lt;wsp:rsid wsp:val=&quot;00D15F2F&quot;/&gt;&lt;wsp:rsid wsp:val=&quot;00D161AF&quot;/&gt;&lt;wsp:rsid wsp:val=&quot;00D16209&quot;/&gt;&lt;wsp:rsid wsp:val=&quot;00D16359&quot;/&gt;&lt;wsp:rsid wsp:val=&quot;00D16BC8&quot;/&gt;&lt;wsp:rsid wsp:val=&quot;00D16BED&quot;/&gt;&lt;wsp:rsid wsp:val=&quot;00D16FF2&quot;/&gt;&lt;wsp:rsid wsp:val=&quot;00D17154&quot;/&gt;&lt;wsp:rsid wsp:val=&quot;00D1719F&quot;/&gt;&lt;wsp:rsid wsp:val=&quot;00D17240&quot;/&gt;&lt;wsp:rsid wsp:val=&quot;00D1758C&quot;/&gt;&lt;wsp:rsid wsp:val=&quot;00D17B23&quot;/&gt;&lt;wsp:rsid wsp:val=&quot;00D17B74&quot;/&gt;&lt;wsp:rsid wsp:val=&quot;00D200DB&quot;/&gt;&lt;wsp:rsid wsp:val=&quot;00D20202&quot;/&gt;&lt;wsp:rsid wsp:val=&quot;00D20682&quot;/&gt;&lt;wsp:rsid wsp:val=&quot;00D20B37&quot;/&gt;&lt;wsp:rsid wsp:val=&quot;00D20BE8&quot;/&gt;&lt;wsp:rsid wsp:val=&quot;00D21502&quot;/&gt;&lt;wsp:rsid wsp:val=&quot;00D21E04&quot;/&gt;&lt;wsp:rsid wsp:val=&quot;00D21F47&quot;/&gt;&lt;wsp:rsid wsp:val=&quot;00D22114&quot;/&gt;&lt;wsp:rsid wsp:val=&quot;00D227AB&quot;/&gt;&lt;wsp:rsid wsp:val=&quot;00D22885&quot;/&gt;&lt;wsp:rsid wsp:val=&quot;00D22905&quot;/&gt;&lt;wsp:rsid wsp:val=&quot;00D22FCC&quot;/&gt;&lt;wsp:rsid wsp:val=&quot;00D23086&quot;/&gt;&lt;wsp:rsid wsp:val=&quot;00D233FA&quot;/&gt;&lt;wsp:rsid wsp:val=&quot;00D234D4&quot;/&gt;&lt;wsp:rsid wsp:val=&quot;00D24D9E&quot;/&gt;&lt;wsp:rsid wsp:val=&quot;00D255D5&quot;/&gt;&lt;wsp:rsid wsp:val=&quot;00D25710&quot;/&gt;&lt;wsp:rsid wsp:val=&quot;00D25F3C&quot;/&gt;&lt;wsp:rsid wsp:val=&quot;00D26215&quot;/&gt;&lt;wsp:rsid wsp:val=&quot;00D279EB&quot;/&gt;&lt;wsp:rsid wsp:val=&quot;00D27BC8&quot;/&gt;&lt;wsp:rsid wsp:val=&quot;00D30031&quot;/&gt;&lt;wsp:rsid wsp:val=&quot;00D30304&quot;/&gt;&lt;wsp:rsid wsp:val=&quot;00D303E6&quot;/&gt;&lt;wsp:rsid wsp:val=&quot;00D30990&quot;/&gt;&lt;wsp:rsid wsp:val=&quot;00D3107B&quot;/&gt;&lt;wsp:rsid wsp:val=&quot;00D311A8&quot;/&gt;&lt;wsp:rsid wsp:val=&quot;00D314EA&quot;/&gt;&lt;wsp:rsid wsp:val=&quot;00D32050&quot;/&gt;&lt;wsp:rsid wsp:val=&quot;00D3210D&quot;/&gt;&lt;wsp:rsid wsp:val=&quot;00D32D29&quot;/&gt;&lt;wsp:rsid wsp:val=&quot;00D33046&quot;/&gt;&lt;wsp:rsid wsp:val=&quot;00D3344F&quot;/&gt;&lt;wsp:rsid wsp:val=&quot;00D33951&quot;/&gt;&lt;wsp:rsid wsp:val=&quot;00D33992&quot;/&gt;&lt;wsp:rsid wsp:val=&quot;00D3404A&quot;/&gt;&lt;wsp:rsid wsp:val=&quot;00D34B0E&quot;/&gt;&lt;wsp:rsid wsp:val=&quot;00D34D68&quot;/&gt;&lt;wsp:rsid wsp:val=&quot;00D3521C&quot;/&gt;&lt;wsp:rsid wsp:val=&quot;00D357ED&quot;/&gt;&lt;wsp:rsid wsp:val=&quot;00D3593B&quot;/&gt;&lt;wsp:rsid wsp:val=&quot;00D35CE6&quot;/&gt;&lt;wsp:rsid wsp:val=&quot;00D3615D&quot;/&gt;&lt;wsp:rsid wsp:val=&quot;00D36225&quot;/&gt;&lt;wsp:rsid wsp:val=&quot;00D3635F&quot;/&gt;&lt;wsp:rsid wsp:val=&quot;00D363A6&quot;/&gt;&lt;wsp:rsid wsp:val=&quot;00D369CB&quot;/&gt;&lt;wsp:rsid wsp:val=&quot;00D36C20&quot;/&gt;&lt;wsp:rsid wsp:val=&quot;00D3704F&quot;/&gt;&lt;wsp:rsid wsp:val=&quot;00D371FE&quot;/&gt;&lt;wsp:rsid wsp:val=&quot;00D375BC&quot;/&gt;&lt;wsp:rsid wsp:val=&quot;00D37BED&quot;/&gt;&lt;wsp:rsid wsp:val=&quot;00D37FC9&quot;/&gt;&lt;wsp:rsid wsp:val=&quot;00D4027F&quot;/&gt;&lt;wsp:rsid wsp:val=&quot;00D40BAC&quot;/&gt;&lt;wsp:rsid wsp:val=&quot;00D413EF&quot;/&gt;&lt;wsp:rsid wsp:val=&quot;00D4159E&quot;/&gt;&lt;wsp:rsid wsp:val=&quot;00D41860&quot;/&gt;&lt;wsp:rsid wsp:val=&quot;00D41A19&quot;/&gt;&lt;wsp:rsid wsp:val=&quot;00D42598&quot;/&gt;&lt;wsp:rsid wsp:val=&quot;00D42715&quot;/&gt;&lt;wsp:rsid wsp:val=&quot;00D428FC&quot;/&gt;&lt;wsp:rsid wsp:val=&quot;00D42C6F&quot;/&gt;&lt;wsp:rsid wsp:val=&quot;00D43754&quot;/&gt;&lt;wsp:rsid wsp:val=&quot;00D437D7&quot;/&gt;&lt;wsp:rsid wsp:val=&quot;00D43C0E&quot;/&gt;&lt;wsp:rsid wsp:val=&quot;00D44849&quot;/&gt;&lt;wsp:rsid wsp:val=&quot;00D448C0&quot;/&gt;&lt;wsp:rsid wsp:val=&quot;00D44C01&quot;/&gt;&lt;wsp:rsid wsp:val=&quot;00D44FA1&quot;/&gt;&lt;wsp:rsid wsp:val=&quot;00D4506E&quot;/&gt;&lt;wsp:rsid wsp:val=&quot;00D451F5&quot;/&gt;&lt;wsp:rsid wsp:val=&quot;00D4535F&quot;/&gt;&lt;wsp:rsid wsp:val=&quot;00D454A3&quot;/&gt;&lt;wsp:rsid wsp:val=&quot;00D45927&quot;/&gt;&lt;wsp:rsid wsp:val=&quot;00D4599C&quot;/&gt;&lt;wsp:rsid wsp:val=&quot;00D45A96&quot;/&gt;&lt;wsp:rsid wsp:val=&quot;00D462FE&quot;/&gt;&lt;wsp:rsid wsp:val=&quot;00D464AD&quot;/&gt;&lt;wsp:rsid wsp:val=&quot;00D464D7&quot;/&gt;&lt;wsp:rsid wsp:val=&quot;00D4728E&quot;/&gt;&lt;wsp:rsid wsp:val=&quot;00D47407&quot;/&gt;&lt;wsp:rsid wsp:val=&quot;00D50182&quot;/&gt;&lt;wsp:rsid wsp:val=&quot;00D507F8&quot;/&gt;&lt;wsp:rsid wsp:val=&quot;00D5104A&quot;/&gt;&lt;wsp:rsid wsp:val=&quot;00D51380&quot;/&gt;&lt;wsp:rsid wsp:val=&quot;00D514C2&quot;/&gt;&lt;wsp:rsid wsp:val=&quot;00D51D6E&quot;/&gt;&lt;wsp:rsid wsp:val=&quot;00D52177&quot;/&gt;&lt;wsp:rsid wsp:val=&quot;00D52786&quot;/&gt;&lt;wsp:rsid wsp:val=&quot;00D53024&quot;/&gt;&lt;wsp:rsid wsp:val=&quot;00D53085&quot;/&gt;&lt;wsp:rsid wsp:val=&quot;00D531D9&quot;/&gt;&lt;wsp:rsid wsp:val=&quot;00D531DF&quot;/&gt;&lt;wsp:rsid wsp:val=&quot;00D534C8&quot;/&gt;&lt;wsp:rsid wsp:val=&quot;00D541D3&quot;/&gt;&lt;wsp:rsid wsp:val=&quot;00D54608&quot;/&gt;&lt;wsp:rsid wsp:val=&quot;00D54A11&quot;/&gt;&lt;wsp:rsid wsp:val=&quot;00D54AD8&quot;/&gt;&lt;wsp:rsid wsp:val=&quot;00D54D48&quot;/&gt;&lt;wsp:rsid wsp:val=&quot;00D55229&quot;/&gt;&lt;wsp:rsid wsp:val=&quot;00D553F4&quot;/&gt;&lt;wsp:rsid wsp:val=&quot;00D55436&quot;/&gt;&lt;wsp:rsid wsp:val=&quot;00D55B87&quot;/&gt;&lt;wsp:rsid wsp:val=&quot;00D55D6A&quot;/&gt;&lt;wsp:rsid wsp:val=&quot;00D55E18&quot;/&gt;&lt;wsp:rsid wsp:val=&quot;00D55F89&quot;/&gt;&lt;wsp:rsid wsp:val=&quot;00D5684D&quot;/&gt;&lt;wsp:rsid wsp:val=&quot;00D568FF&quot;/&gt;&lt;wsp:rsid wsp:val=&quot;00D56D9C&quot;/&gt;&lt;wsp:rsid wsp:val=&quot;00D56DDD&quot;/&gt;&lt;wsp:rsid wsp:val=&quot;00D571CD&quot;/&gt;&lt;wsp:rsid wsp:val=&quot;00D57C96&quot;/&gt;&lt;wsp:rsid wsp:val=&quot;00D6000D&quot;/&gt;&lt;wsp:rsid wsp:val=&quot;00D609E3&quot;/&gt;&lt;wsp:rsid wsp:val=&quot;00D60A22&quot;/&gt;&lt;wsp:rsid wsp:val=&quot;00D60BCF&quot;/&gt;&lt;wsp:rsid wsp:val=&quot;00D60CCB&quot;/&gt;&lt;wsp:rsid wsp:val=&quot;00D60F9F&quot;/&gt;&lt;wsp:rsid wsp:val=&quot;00D610ED&quot;/&gt;&lt;wsp:rsid wsp:val=&quot;00D61683&quot;/&gt;&lt;wsp:rsid wsp:val=&quot;00D61749&quot;/&gt;&lt;wsp:rsid wsp:val=&quot;00D6197E&quot;/&gt;&lt;wsp:rsid wsp:val=&quot;00D61AA6&quot;/&gt;&lt;wsp:rsid wsp:val=&quot;00D61FB1&quot;/&gt;&lt;wsp:rsid wsp:val=&quot;00D621ED&quot;/&gt;&lt;wsp:rsid wsp:val=&quot;00D625CC&quot;/&gt;&lt;wsp:rsid wsp:val=&quot;00D62749&quot;/&gt;&lt;wsp:rsid wsp:val=&quot;00D62919&quot;/&gt;&lt;wsp:rsid wsp:val=&quot;00D62F1A&quot;/&gt;&lt;wsp:rsid wsp:val=&quot;00D63214&quot;/&gt;&lt;wsp:rsid wsp:val=&quot;00D638C9&quot;/&gt;&lt;wsp:rsid wsp:val=&quot;00D63DFD&quot;/&gt;&lt;wsp:rsid wsp:val=&quot;00D6460F&quot;/&gt;&lt;wsp:rsid wsp:val=&quot;00D64670&quot;/&gt;&lt;wsp:rsid wsp:val=&quot;00D64AD9&quot;/&gt;&lt;wsp:rsid wsp:val=&quot;00D64ECC&quot;/&gt;&lt;wsp:rsid wsp:val=&quot;00D652B4&quot;/&gt;&lt;wsp:rsid wsp:val=&quot;00D6560F&quot;/&gt;&lt;wsp:rsid wsp:val=&quot;00D65C82&quot;/&gt;&lt;wsp:rsid wsp:val=&quot;00D65F3F&quot;/&gt;&lt;wsp:rsid wsp:val=&quot;00D66048&quot;/&gt;&lt;wsp:rsid wsp:val=&quot;00D6631E&quot;/&gt;&lt;wsp:rsid wsp:val=&quot;00D66A4C&quot;/&gt;&lt;wsp:rsid wsp:val=&quot;00D66E12&quot;/&gt;&lt;wsp:rsid wsp:val=&quot;00D6717B&quot;/&gt;&lt;wsp:rsid wsp:val=&quot;00D671AC&quot;/&gt;&lt;wsp:rsid wsp:val=&quot;00D6768A&quot;/&gt;&lt;wsp:rsid wsp:val=&quot;00D67BC4&quot;/&gt;&lt;wsp:rsid wsp:val=&quot;00D67DA6&quot;/&gt;&lt;wsp:rsid wsp:val=&quot;00D70BE1&quot;/&gt;&lt;wsp:rsid wsp:val=&quot;00D70F6B&quot;/&gt;&lt;wsp:rsid wsp:val=&quot;00D717D2&quot;/&gt;&lt;wsp:rsid wsp:val=&quot;00D71814&quot;/&gt;&lt;wsp:rsid wsp:val=&quot;00D71B07&quot;/&gt;&lt;wsp:rsid wsp:val=&quot;00D720E8&quot;/&gt;&lt;wsp:rsid wsp:val=&quot;00D72159&quot;/&gt;&lt;wsp:rsid wsp:val=&quot;00D7266A&quot;/&gt;&lt;wsp:rsid wsp:val=&quot;00D72711&quot;/&gt;&lt;wsp:rsid wsp:val=&quot;00D72917&quot;/&gt;&lt;wsp:rsid wsp:val=&quot;00D72DF4&quot;/&gt;&lt;wsp:rsid wsp:val=&quot;00D72EA6&quot;/&gt;&lt;wsp:rsid wsp:val=&quot;00D72F77&quot;/&gt;&lt;wsp:rsid wsp:val=&quot;00D73036&quot;/&gt;&lt;wsp:rsid wsp:val=&quot;00D731D9&quot;/&gt;&lt;wsp:rsid wsp:val=&quot;00D7320F&quot;/&gt;&lt;wsp:rsid wsp:val=&quot;00D73858&quot;/&gt;&lt;wsp:rsid wsp:val=&quot;00D73938&quot;/&gt;&lt;wsp:rsid wsp:val=&quot;00D739DA&quot;/&gt;&lt;wsp:rsid wsp:val=&quot;00D73ED7&quot;/&gt;&lt;wsp:rsid wsp:val=&quot;00D740FD&quot;/&gt;&lt;wsp:rsid wsp:val=&quot;00D74D28&quot;/&gt;&lt;wsp:rsid wsp:val=&quot;00D75928&quot;/&gt;&lt;wsp:rsid wsp:val=&quot;00D75A84&quot;/&gt;&lt;wsp:rsid wsp:val=&quot;00D75B33&quot;/&gt;&lt;wsp:rsid wsp:val=&quot;00D75E24&quot;/&gt;&lt;wsp:rsid wsp:val=&quot;00D761E9&quot;/&gt;&lt;wsp:rsid wsp:val=&quot;00D76263&quot;/&gt;&lt;wsp:rsid wsp:val=&quot;00D763CE&quot;/&gt;&lt;wsp:rsid wsp:val=&quot;00D76C02&quot;/&gt;&lt;wsp:rsid wsp:val=&quot;00D77C2F&quot;/&gt;&lt;wsp:rsid wsp:val=&quot;00D77C5E&quot;/&gt;&lt;wsp:rsid wsp:val=&quot;00D8008F&quot;/&gt;&lt;wsp:rsid wsp:val=&quot;00D80115&quot;/&gt;&lt;wsp:rsid wsp:val=&quot;00D806C6&quot;/&gt;&lt;wsp:rsid wsp:val=&quot;00D80EF1&quot;/&gt;&lt;wsp:rsid wsp:val=&quot;00D816FD&quot;/&gt;&lt;wsp:rsid wsp:val=&quot;00D81A80&quot;/&gt;&lt;wsp:rsid wsp:val=&quot;00D81AF9&quot;/&gt;&lt;wsp:rsid wsp:val=&quot;00D82185&quot;/&gt;&lt;wsp:rsid wsp:val=&quot;00D8221F&quot;/&gt;&lt;wsp:rsid wsp:val=&quot;00D827BE&quot;/&gt;&lt;wsp:rsid wsp:val=&quot;00D82BFA&quot;/&gt;&lt;wsp:rsid wsp:val=&quot;00D82CE4&quot;/&gt;&lt;wsp:rsid wsp:val=&quot;00D82DED&quot;/&gt;&lt;wsp:rsid wsp:val=&quot;00D82EA9&quot;/&gt;&lt;wsp:rsid wsp:val=&quot;00D8303D&quot;/&gt;&lt;wsp:rsid wsp:val=&quot;00D83ABE&quot;/&gt;&lt;wsp:rsid wsp:val=&quot;00D84076&quot;/&gt;&lt;wsp:rsid wsp:val=&quot;00D840E7&quot;/&gt;&lt;wsp:rsid wsp:val=&quot;00D84B7C&quot;/&gt;&lt;wsp:rsid wsp:val=&quot;00D84C3D&quot;/&gt;&lt;wsp:rsid wsp:val=&quot;00D857D7&quot;/&gt;&lt;wsp:rsid wsp:val=&quot;00D86B3B&quot;/&gt;&lt;wsp:rsid wsp:val=&quot;00D86BDE&quot;/&gt;&lt;wsp:rsid wsp:val=&quot;00D87322&quot;/&gt;&lt;wsp:rsid wsp:val=&quot;00D87462&quot;/&gt;&lt;wsp:rsid wsp:val=&quot;00D87743&quot;/&gt;&lt;wsp:rsid wsp:val=&quot;00D87AB8&quot;/&gt;&lt;wsp:rsid wsp:val=&quot;00D9049A&quot;/&gt;&lt;wsp:rsid wsp:val=&quot;00D905A0&quot;/&gt;&lt;wsp:rsid wsp:val=&quot;00D909ED&quot;/&gt;&lt;wsp:rsid wsp:val=&quot;00D90C72&quot;/&gt;&lt;wsp:rsid wsp:val=&quot;00D912ED&quot;/&gt;&lt;wsp:rsid wsp:val=&quot;00D9158D&quot;/&gt;&lt;wsp:rsid wsp:val=&quot;00D91CA0&quot;/&gt;&lt;wsp:rsid wsp:val=&quot;00D91F58&quot;/&gt;&lt;wsp:rsid wsp:val=&quot;00D9233A&quot;/&gt;&lt;wsp:rsid wsp:val=&quot;00D92AF2&quot;/&gt;&lt;wsp:rsid wsp:val=&quot;00D92B7F&quot;/&gt;&lt;wsp:rsid wsp:val=&quot;00D93577&quot;/&gt;&lt;wsp:rsid wsp:val=&quot;00D93738&quot;/&gt;&lt;wsp:rsid wsp:val=&quot;00D937A2&quot;/&gt;&lt;wsp:rsid wsp:val=&quot;00D93D73&quot;/&gt;&lt;wsp:rsid wsp:val=&quot;00D93DD9&quot;/&gt;&lt;wsp:rsid wsp:val=&quot;00D93F02&quot;/&gt;&lt;wsp:rsid wsp:val=&quot;00D94020&quot;/&gt;&lt;wsp:rsid wsp:val=&quot;00D9411E&quot;/&gt;&lt;wsp:rsid wsp:val=&quot;00D942FD&quot;/&gt;&lt;wsp:rsid wsp:val=&quot;00D947F6&quot;/&gt;&lt;wsp:rsid wsp:val=&quot;00D94E79&quot;/&gt;&lt;wsp:rsid wsp:val=&quot;00D95526&quot;/&gt;&lt;wsp:rsid wsp:val=&quot;00D960EC&quot;/&gt;&lt;wsp:rsid wsp:val=&quot;00D962CE&quot;/&gt;&lt;wsp:rsid wsp:val=&quot;00D96D8B&quot;/&gt;&lt;wsp:rsid wsp:val=&quot;00D9709A&quot;/&gt;&lt;wsp:rsid wsp:val=&quot;00D97947&quot;/&gt;&lt;wsp:rsid wsp:val=&quot;00DA0465&quot;/&gt;&lt;wsp:rsid wsp:val=&quot;00DA0589&quot;/&gt;&lt;wsp:rsid wsp:val=&quot;00DA08C4&quot;/&gt;&lt;wsp:rsid wsp:val=&quot;00DA0B0B&quot;/&gt;&lt;wsp:rsid wsp:val=&quot;00DA0B9D&quot;/&gt;&lt;wsp:rsid wsp:val=&quot;00DA0D86&quot;/&gt;&lt;wsp:rsid wsp:val=&quot;00DA15BA&quot;/&gt;&lt;wsp:rsid wsp:val=&quot;00DA1B4C&quot;/&gt;&lt;wsp:rsid wsp:val=&quot;00DA21C0&quot;/&gt;&lt;wsp:rsid wsp:val=&quot;00DA2532&quot;/&gt;&lt;wsp:rsid wsp:val=&quot;00DA2A0A&quot;/&gt;&lt;wsp:rsid wsp:val=&quot;00DA2B31&quot;/&gt;&lt;wsp:rsid wsp:val=&quot;00DA2BD2&quot;/&gt;&lt;wsp:rsid wsp:val=&quot;00DA31B0&quot;/&gt;&lt;wsp:rsid wsp:val=&quot;00DA3924&quot;/&gt;&lt;wsp:rsid wsp:val=&quot;00DA3F61&quot;/&gt;&lt;wsp:rsid wsp:val=&quot;00DA4707&quot;/&gt;&lt;wsp:rsid wsp:val=&quot;00DA5406&quot;/&gt;&lt;wsp:rsid wsp:val=&quot;00DA5410&quot;/&gt;&lt;wsp:rsid wsp:val=&quot;00DA5558&quot;/&gt;&lt;wsp:rsid wsp:val=&quot;00DA5AB8&quot;/&gt;&lt;wsp:rsid wsp:val=&quot;00DA6261&quot;/&gt;&lt;wsp:rsid wsp:val=&quot;00DA68B8&quot;/&gt;&lt;wsp:rsid wsp:val=&quot;00DA69EE&quot;/&gt;&lt;wsp:rsid wsp:val=&quot;00DA6AE3&quot;/&gt;&lt;wsp:rsid wsp:val=&quot;00DA6E8E&quot;/&gt;&lt;wsp:rsid wsp:val=&quot;00DA6EAA&quot;/&gt;&lt;wsp:rsid wsp:val=&quot;00DA6F9E&quot;/&gt;&lt;wsp:rsid wsp:val=&quot;00DA7288&quot;/&gt;&lt;wsp:rsid wsp:val=&quot;00DA77BE&quot;/&gt;&lt;wsp:rsid wsp:val=&quot;00DA7CBB&quot;/&gt;&lt;wsp:rsid wsp:val=&quot;00DA7CE8&quot;/&gt;&lt;wsp:rsid wsp:val=&quot;00DA7F4B&quot;/&gt;&lt;wsp:rsid wsp:val=&quot;00DB005C&quot;/&gt;&lt;wsp:rsid wsp:val=&quot;00DB0578&quot;/&gt;&lt;wsp:rsid wsp:val=&quot;00DB060E&quot;/&gt;&lt;wsp:rsid wsp:val=&quot;00DB0832&quot;/&gt;&lt;wsp:rsid wsp:val=&quot;00DB0DEB&quot;/&gt;&lt;wsp:rsid wsp:val=&quot;00DB0FD2&quot;/&gt;&lt;wsp:rsid wsp:val=&quot;00DB1048&quot;/&gt;&lt;wsp:rsid wsp:val=&quot;00DB1668&quot;/&gt;&lt;wsp:rsid wsp:val=&quot;00DB1AE8&quot;/&gt;&lt;wsp:rsid wsp:val=&quot;00DB1CEB&quot;/&gt;&lt;wsp:rsid wsp:val=&quot;00DB1D70&quot;/&gt;&lt;wsp:rsid wsp:val=&quot;00DB2583&quot;/&gt;&lt;wsp:rsid wsp:val=&quot;00DB2BD2&quot;/&gt;&lt;wsp:rsid wsp:val=&quot;00DB30ED&quot;/&gt;&lt;wsp:rsid wsp:val=&quot;00DB3127&quot;/&gt;&lt;wsp:rsid wsp:val=&quot;00DB3438&quot;/&gt;&lt;wsp:rsid wsp:val=&quot;00DB3C41&quot;/&gt;&lt;wsp:rsid wsp:val=&quot;00DB465F&quot;/&gt;&lt;wsp:rsid wsp:val=&quot;00DB6691&quot;/&gt;&lt;wsp:rsid wsp:val=&quot;00DB67AB&quot;/&gt;&lt;wsp:rsid wsp:val=&quot;00DB69B5&quot;/&gt;&lt;wsp:rsid wsp:val=&quot;00DB78F5&quot;/&gt;&lt;wsp:rsid wsp:val=&quot;00DC02B2&quot;/&gt;&lt;wsp:rsid wsp:val=&quot;00DC041C&quot;/&gt;&lt;wsp:rsid wsp:val=&quot;00DC089F&quot;/&gt;&lt;wsp:rsid wsp:val=&quot;00DC0F12&quot;/&gt;&lt;wsp:rsid wsp:val=&quot;00DC11A9&quot;/&gt;&lt;wsp:rsid wsp:val=&quot;00DC14D0&quot;/&gt;&lt;wsp:rsid wsp:val=&quot;00DC1DA6&quot;/&gt;&lt;wsp:rsid wsp:val=&quot;00DC24EC&quot;/&gt;&lt;wsp:rsid wsp:val=&quot;00DC263D&quot;/&gt;&lt;wsp:rsid wsp:val=&quot;00DC39B2&quot;/&gt;&lt;wsp:rsid wsp:val=&quot;00DC4252&quot;/&gt;&lt;wsp:rsid wsp:val=&quot;00DC4316&quot;/&gt;&lt;wsp:rsid wsp:val=&quot;00DC463A&quot;/&gt;&lt;wsp:rsid wsp:val=&quot;00DC47AE&quot;/&gt;&lt;wsp:rsid wsp:val=&quot;00DC4946&quot;/&gt;&lt;wsp:rsid wsp:val=&quot;00DC4EFD&quot;/&gt;&lt;wsp:rsid wsp:val=&quot;00DC59C9&quot;/&gt;&lt;wsp:rsid wsp:val=&quot;00DC6543&quot;/&gt;&lt;wsp:rsid wsp:val=&quot;00DC65B5&quot;/&gt;&lt;wsp:rsid wsp:val=&quot;00DC6941&quot;/&gt;&lt;wsp:rsid wsp:val=&quot;00DC6E5A&quot;/&gt;&lt;wsp:rsid wsp:val=&quot;00DC7885&quot;/&gt;&lt;wsp:rsid wsp:val=&quot;00DC78C4&quot;/&gt;&lt;wsp:rsid wsp:val=&quot;00DC7B6F&quot;/&gt;&lt;wsp:rsid wsp:val=&quot;00DD0246&quot;/&gt;&lt;wsp:rsid wsp:val=&quot;00DD0A70&quot;/&gt;&lt;wsp:rsid wsp:val=&quot;00DD0E58&quot;/&gt;&lt;wsp:rsid wsp:val=&quot;00DD1711&quot;/&gt;&lt;wsp:rsid wsp:val=&quot;00DD18E3&quot;/&gt;&lt;wsp:rsid wsp:val=&quot;00DD21F6&quot;/&gt;&lt;wsp:rsid wsp:val=&quot;00DD237A&quot;/&gt;&lt;wsp:rsid wsp:val=&quot;00DD25EE&quot;/&gt;&lt;wsp:rsid wsp:val=&quot;00DD2628&quot;/&gt;&lt;wsp:rsid wsp:val=&quot;00DD2795&quot;/&gt;&lt;wsp:rsid wsp:val=&quot;00DD2B5A&quot;/&gt;&lt;wsp:rsid wsp:val=&quot;00DD2BE0&quot;/&gt;&lt;wsp:rsid wsp:val=&quot;00DD2ED4&quot;/&gt;&lt;wsp:rsid wsp:val=&quot;00DD3337&quot;/&gt;&lt;wsp:rsid wsp:val=&quot;00DD460B&quot;/&gt;&lt;wsp:rsid wsp:val=&quot;00DD4684&quot;/&gt;&lt;wsp:rsid wsp:val=&quot;00DD493C&quot;/&gt;&lt;wsp:rsid wsp:val=&quot;00DD4A1A&quot;/&gt;&lt;wsp:rsid wsp:val=&quot;00DD4CC6&quot;/&gt;&lt;wsp:rsid wsp:val=&quot;00DD50A5&quot;/&gt;&lt;wsp:rsid wsp:val=&quot;00DD52CD&quot;/&gt;&lt;wsp:rsid wsp:val=&quot;00DD5454&quot;/&gt;&lt;wsp:rsid wsp:val=&quot;00DD58E5&quot;/&gt;&lt;wsp:rsid wsp:val=&quot;00DD5A0D&quot;/&gt;&lt;wsp:rsid wsp:val=&quot;00DD5FA7&quot;/&gt;&lt;wsp:rsid wsp:val=&quot;00DD60FC&quot;/&gt;&lt;wsp:rsid wsp:val=&quot;00DD6432&quot;/&gt;&lt;wsp:rsid wsp:val=&quot;00DD6C05&quot;/&gt;&lt;wsp:rsid wsp:val=&quot;00DD792A&quot;/&gt;&lt;wsp:rsid wsp:val=&quot;00DE0252&quot;/&gt;&lt;wsp:rsid wsp:val=&quot;00DE0711&quot;/&gt;&lt;wsp:rsid wsp:val=&quot;00DE0ECD&quot;/&gt;&lt;wsp:rsid wsp:val=&quot;00DE129C&quot;/&gt;&lt;wsp:rsid wsp:val=&quot;00DE14DE&quot;/&gt;&lt;wsp:rsid wsp:val=&quot;00DE1638&quot;/&gt;&lt;wsp:rsid wsp:val=&quot;00DE1699&quot;/&gt;&lt;wsp:rsid wsp:val=&quot;00DE1880&quot;/&gt;&lt;wsp:rsid wsp:val=&quot;00DE1935&quot;/&gt;&lt;wsp:rsid wsp:val=&quot;00DE1BE4&quot;/&gt;&lt;wsp:rsid wsp:val=&quot;00DE2B0D&quot;/&gt;&lt;wsp:rsid wsp:val=&quot;00DE2D43&quot;/&gt;&lt;wsp:rsid wsp:val=&quot;00DE377A&quot;/&gt;&lt;wsp:rsid wsp:val=&quot;00DE4271&quot;/&gt;&lt;wsp:rsid wsp:val=&quot;00DE453F&quot;/&gt;&lt;wsp:rsid wsp:val=&quot;00DE4590&quot;/&gt;&lt;wsp:rsid wsp:val=&quot;00DE45B5&quot;/&gt;&lt;wsp:rsid wsp:val=&quot;00DE4632&quot;/&gt;&lt;wsp:rsid wsp:val=&quot;00DE4A0E&quot;/&gt;&lt;wsp:rsid wsp:val=&quot;00DE4B59&quot;/&gt;&lt;wsp:rsid wsp:val=&quot;00DE4F72&quot;/&gt;&lt;wsp:rsid wsp:val=&quot;00DE5037&quot;/&gt;&lt;wsp:rsid wsp:val=&quot;00DE5287&quot;/&gt;&lt;wsp:rsid wsp:val=&quot;00DE55C6&quot;/&gt;&lt;wsp:rsid wsp:val=&quot;00DE6070&quot;/&gt;&lt;wsp:rsid wsp:val=&quot;00DE6142&quot;/&gt;&lt;wsp:rsid wsp:val=&quot;00DE6790&quot;/&gt;&lt;wsp:rsid wsp:val=&quot;00DE69E3&quot;/&gt;&lt;wsp:rsid wsp:val=&quot;00DE6FA7&quot;/&gt;&lt;wsp:rsid wsp:val=&quot;00DE731E&quot;/&gt;&lt;wsp:rsid wsp:val=&quot;00DE769F&quot;/&gt;&lt;wsp:rsid wsp:val=&quot;00DE7701&quot;/&gt;&lt;wsp:rsid wsp:val=&quot;00DE7726&quot;/&gt;&lt;wsp:rsid wsp:val=&quot;00DE793B&quot;/&gt;&lt;wsp:rsid wsp:val=&quot;00DE7CB7&quot;/&gt;&lt;wsp:rsid wsp:val=&quot;00DE7E7D&quot;/&gt;&lt;wsp:rsid wsp:val=&quot;00DF03D5&quot;/&gt;&lt;wsp:rsid wsp:val=&quot;00DF059A&quot;/&gt;&lt;wsp:rsid wsp:val=&quot;00DF06C5&quot;/&gt;&lt;wsp:rsid wsp:val=&quot;00DF0738&quot;/&gt;&lt;wsp:rsid wsp:val=&quot;00DF0866&quot;/&gt;&lt;wsp:rsid wsp:val=&quot;00DF0BF6&quot;/&gt;&lt;wsp:rsid wsp:val=&quot;00DF0CFC&quot;/&gt;&lt;wsp:rsid wsp:val=&quot;00DF10B1&quot;/&gt;&lt;wsp:rsid wsp:val=&quot;00DF1A2A&quot;/&gt;&lt;wsp:rsid wsp:val=&quot;00DF22D9&quot;/&gt;&lt;wsp:rsid wsp:val=&quot;00DF2339&quot;/&gt;&lt;wsp:rsid wsp:val=&quot;00DF25E9&quot;/&gt;&lt;wsp:rsid wsp:val=&quot;00DF2C22&quot;/&gt;&lt;wsp:rsid wsp:val=&quot;00DF3226&quot;/&gt;&lt;wsp:rsid wsp:val=&quot;00DF3536&quot;/&gt;&lt;wsp:rsid wsp:val=&quot;00DF36D5&quot;/&gt;&lt;wsp:rsid wsp:val=&quot;00DF3B61&quot;/&gt;&lt;wsp:rsid wsp:val=&quot;00DF4113&quot;/&gt;&lt;wsp:rsid wsp:val=&quot;00DF4CA4&quot;/&gt;&lt;wsp:rsid wsp:val=&quot;00DF57D2&quot;/&gt;&lt;wsp:rsid wsp:val=&quot;00DF5A1B&quot;/&gt;&lt;wsp:rsid wsp:val=&quot;00DF61CC&quot;/&gt;&lt;wsp:rsid wsp:val=&quot;00DF684E&quot;/&gt;&lt;wsp:rsid wsp:val=&quot;00DF6CE4&quot;/&gt;&lt;wsp:rsid wsp:val=&quot;00DF7481&quot;/&gt;&lt;wsp:rsid wsp:val=&quot;00DF7F0C&quot;/&gt;&lt;wsp:rsid wsp:val=&quot;00DF7FBC&quot;/&gt;&lt;wsp:rsid wsp:val=&quot;00E000AC&quot;/&gt;&lt;wsp:rsid wsp:val=&quot;00E00296&quot;/&gt;&lt;wsp:rsid wsp:val=&quot;00E00326&quot;/&gt;&lt;wsp:rsid wsp:val=&quot;00E003FA&quot;/&gt;&lt;wsp:rsid wsp:val=&quot;00E00AD1&quot;/&gt;&lt;wsp:rsid wsp:val=&quot;00E01358&quot;/&gt;&lt;wsp:rsid wsp:val=&quot;00E013E0&quot;/&gt;&lt;wsp:rsid wsp:val=&quot;00E014AA&quot;/&gt;&lt;wsp:rsid wsp:val=&quot;00E016C7&quot;/&gt;&lt;wsp:rsid wsp:val=&quot;00E017DA&quot;/&gt;&lt;wsp:rsid wsp:val=&quot;00E01837&quot;/&gt;&lt;wsp:rsid wsp:val=&quot;00E01A1A&quot;/&gt;&lt;wsp:rsid wsp:val=&quot;00E01B5C&quot;/&gt;&lt;wsp:rsid wsp:val=&quot;00E01BA4&quot;/&gt;&lt;wsp:rsid wsp:val=&quot;00E01F11&quot;/&gt;&lt;wsp:rsid wsp:val=&quot;00E02121&quot;/&gt;&lt;wsp:rsid wsp:val=&quot;00E02153&quot;/&gt;&lt;wsp:rsid wsp:val=&quot;00E029D5&quot;/&gt;&lt;wsp:rsid wsp:val=&quot;00E02BB8&quot;/&gt;&lt;wsp:rsid wsp:val=&quot;00E03356&quot;/&gt;&lt;wsp:rsid wsp:val=&quot;00E0339B&quot;/&gt;&lt;wsp:rsid wsp:val=&quot;00E035ED&quot;/&gt;&lt;wsp:rsid wsp:val=&quot;00E03944&quot;/&gt;&lt;wsp:rsid wsp:val=&quot;00E04022&quot;/&gt;&lt;wsp:rsid wsp:val=&quot;00E04406&quot;/&gt;&lt;wsp:rsid wsp:val=&quot;00E04C8F&quot;/&gt;&lt;wsp:rsid wsp:val=&quot;00E04DA3&quot;/&gt;&lt;wsp:rsid wsp:val=&quot;00E04F1C&quot;/&gt;&lt;wsp:rsid wsp:val=&quot;00E05235&quot;/&gt;&lt;wsp:rsid wsp:val=&quot;00E0537A&quot;/&gt;&lt;wsp:rsid wsp:val=&quot;00E05752&quot;/&gt;&lt;wsp:rsid wsp:val=&quot;00E05DC2&quot;/&gt;&lt;wsp:rsid wsp:val=&quot;00E05DEA&quot;/&gt;&lt;wsp:rsid wsp:val=&quot;00E065EB&quot;/&gt;&lt;wsp:rsid wsp:val=&quot;00E06C4B&quot;/&gt;&lt;wsp:rsid wsp:val=&quot;00E0724D&quot;/&gt;&lt;wsp:rsid wsp:val=&quot;00E07389&quot;/&gt;&lt;wsp:rsid wsp:val=&quot;00E07FA8&quot;/&gt;&lt;wsp:rsid wsp:val=&quot;00E10170&quot;/&gt;&lt;wsp:rsid wsp:val=&quot;00E10530&quot;/&gt;&lt;wsp:rsid wsp:val=&quot;00E108BD&quot;/&gt;&lt;wsp:rsid wsp:val=&quot;00E111FB&quot;/&gt;&lt;wsp:rsid wsp:val=&quot;00E115E7&quot;/&gt;&lt;wsp:rsid wsp:val=&quot;00E11C21&quot;/&gt;&lt;wsp:rsid wsp:val=&quot;00E11D72&quot;/&gt;&lt;wsp:rsid wsp:val=&quot;00E1214E&quot;/&gt;&lt;wsp:rsid wsp:val=&quot;00E12291&quot;/&gt;&lt;wsp:rsid wsp:val=&quot;00E12547&quot;/&gt;&lt;wsp:rsid wsp:val=&quot;00E12A62&quot;/&gt;&lt;wsp:rsid wsp:val=&quot;00E131DA&quot;/&gt;&lt;wsp:rsid wsp:val=&quot;00E134FC&quot;/&gt;&lt;wsp:rsid wsp:val=&quot;00E139C4&quot;/&gt;&lt;wsp:rsid wsp:val=&quot;00E13C4D&quot;/&gt;&lt;wsp:rsid wsp:val=&quot;00E13E18&quot;/&gt;&lt;wsp:rsid wsp:val=&quot;00E13EC2&quot;/&gt;&lt;wsp:rsid wsp:val=&quot;00E13F22&quot;/&gt;&lt;wsp:rsid wsp:val=&quot;00E14349&quot;/&gt;&lt;wsp:rsid wsp:val=&quot;00E148DC&quot;/&gt;&lt;wsp:rsid wsp:val=&quot;00E1499B&quot;/&gt;&lt;wsp:rsid wsp:val=&quot;00E14A7A&quot;/&gt;&lt;wsp:rsid wsp:val=&quot;00E14DD7&quot;/&gt;&lt;wsp:rsid wsp:val=&quot;00E152F0&quot;/&gt;&lt;wsp:rsid wsp:val=&quot;00E153EE&quot;/&gt;&lt;wsp:rsid wsp:val=&quot;00E15854&quot;/&gt;&lt;wsp:rsid wsp:val=&quot;00E158AD&quot;/&gt;&lt;wsp:rsid wsp:val=&quot;00E15C89&quot;/&gt;&lt;wsp:rsid wsp:val=&quot;00E15E86&quot;/&gt;&lt;wsp:rsid wsp:val=&quot;00E167C8&quot;/&gt;&lt;wsp:rsid wsp:val=&quot;00E170EE&quot;/&gt;&lt;wsp:rsid wsp:val=&quot;00E17348&quot;/&gt;&lt;wsp:rsid wsp:val=&quot;00E17707&quot;/&gt;&lt;wsp:rsid wsp:val=&quot;00E177B0&quot;/&gt;&lt;wsp:rsid wsp:val=&quot;00E17B2F&quot;/&gt;&lt;wsp:rsid wsp:val=&quot;00E17E86&quot;/&gt;&lt;wsp:rsid wsp:val=&quot;00E17F53&quot;/&gt;&lt;wsp:rsid wsp:val=&quot;00E20277&quot;/&gt;&lt;wsp:rsid wsp:val=&quot;00E20361&quot;/&gt;&lt;wsp:rsid wsp:val=&quot;00E2049C&quot;/&gt;&lt;wsp:rsid wsp:val=&quot;00E20B8A&quot;/&gt;&lt;wsp:rsid wsp:val=&quot;00E20DDE&quot;/&gt;&lt;wsp:rsid wsp:val=&quot;00E2172A&quot;/&gt;&lt;wsp:rsid wsp:val=&quot;00E22E03&quot;/&gt;&lt;wsp:rsid wsp:val=&quot;00E22EE2&quot;/&gt;&lt;wsp:rsid wsp:val=&quot;00E2317F&quot;/&gt;&lt;wsp:rsid wsp:val=&quot;00E23740&quot;/&gt;&lt;wsp:rsid wsp:val=&quot;00E23ACC&quot;/&gt;&lt;wsp:rsid wsp:val=&quot;00E23FF4&quot;/&gt;&lt;wsp:rsid wsp:val=&quot;00E24791&quot;/&gt;&lt;wsp:rsid wsp:val=&quot;00E2486E&quot;/&gt;&lt;wsp:rsid wsp:val=&quot;00E24EB7&quot;/&gt;&lt;wsp:rsid wsp:val=&quot;00E25290&quot;/&gt;&lt;wsp:rsid wsp:val=&quot;00E25665&quot;/&gt;&lt;wsp:rsid wsp:val=&quot;00E25A4E&quot;/&gt;&lt;wsp:rsid wsp:val=&quot;00E25AC2&quot;/&gt;&lt;wsp:rsid wsp:val=&quot;00E25EFA&quot;/&gt;&lt;wsp:rsid wsp:val=&quot;00E265A7&quot;/&gt;&lt;wsp:rsid wsp:val=&quot;00E26A18&quot;/&gt;&lt;wsp:rsid wsp:val=&quot;00E2716F&quot;/&gt;&lt;wsp:rsid wsp:val=&quot;00E271E8&quot;/&gt;&lt;wsp:rsid wsp:val=&quot;00E2722E&quot;/&gt;&lt;wsp:rsid wsp:val=&quot;00E27A00&quot;/&gt;&lt;wsp:rsid wsp:val=&quot;00E27AC6&quot;/&gt;&lt;wsp:rsid wsp:val=&quot;00E27DB6&quot;/&gt;&lt;wsp:rsid wsp:val=&quot;00E27E76&quot;/&gt;&lt;wsp:rsid wsp:val=&quot;00E27EF7&quot;/&gt;&lt;wsp:rsid wsp:val=&quot;00E30DEE&quot;/&gt;&lt;wsp:rsid wsp:val=&quot;00E30F4B&quot;/&gt;&lt;wsp:rsid wsp:val=&quot;00E310DA&quot;/&gt;&lt;wsp:rsid wsp:val=&quot;00E31501&quot;/&gt;&lt;wsp:rsid wsp:val=&quot;00E31666&quot;/&gt;&lt;wsp:rsid wsp:val=&quot;00E31949&quot;/&gt;&lt;wsp:rsid wsp:val=&quot;00E320B7&quot;/&gt;&lt;wsp:rsid wsp:val=&quot;00E32765&quot;/&gt;&lt;wsp:rsid wsp:val=&quot;00E32AFE&quot;/&gt;&lt;wsp:rsid wsp:val=&quot;00E32C4E&quot;/&gt;&lt;wsp:rsid wsp:val=&quot;00E330E8&quot;/&gt;&lt;wsp:rsid wsp:val=&quot;00E33506&quot;/&gt;&lt;wsp:rsid wsp:val=&quot;00E33ECA&quot;/&gt;&lt;wsp:rsid wsp:val=&quot;00E340AC&quot;/&gt;&lt;wsp:rsid wsp:val=&quot;00E3428A&quot;/&gt;&lt;wsp:rsid wsp:val=&quot;00E34FC5&quot;/&gt;&lt;wsp:rsid wsp:val=&quot;00E35AA6&quot;/&gt;&lt;wsp:rsid wsp:val=&quot;00E35C89&quot;/&gt;&lt;wsp:rsid wsp:val=&quot;00E36195&quot;/&gt;&lt;wsp:rsid wsp:val=&quot;00E363B3&quot;/&gt;&lt;wsp:rsid wsp:val=&quot;00E36450&quot;/&gt;&lt;wsp:rsid wsp:val=&quot;00E36BF6&quot;/&gt;&lt;wsp:rsid wsp:val=&quot;00E3755E&quot;/&gt;&lt;wsp:rsid wsp:val=&quot;00E37CCC&quot;/&gt;&lt;wsp:rsid wsp:val=&quot;00E40058&quot;/&gt;&lt;wsp:rsid wsp:val=&quot;00E402A3&quot;/&gt;&lt;wsp:rsid wsp:val=&quot;00E407A2&quot;/&gt;&lt;wsp:rsid wsp:val=&quot;00E409C4&quot;/&gt;&lt;wsp:rsid wsp:val=&quot;00E40DE1&quot;/&gt;&lt;wsp:rsid wsp:val=&quot;00E40E96&quot;/&gt;&lt;wsp:rsid wsp:val=&quot;00E4126C&quot;/&gt;&lt;wsp:rsid wsp:val=&quot;00E412D5&quot;/&gt;&lt;wsp:rsid wsp:val=&quot;00E41BA4&quot;/&gt;&lt;wsp:rsid wsp:val=&quot;00E42410&quot;/&gt;&lt;wsp:rsid wsp:val=&quot;00E428F3&quot;/&gt;&lt;wsp:rsid wsp:val=&quot;00E429BA&quot;/&gt;&lt;wsp:rsid wsp:val=&quot;00E42CFD&quot;/&gt;&lt;wsp:rsid wsp:val=&quot;00E42D9E&quot;/&gt;&lt;wsp:rsid wsp:val=&quot;00E434F7&quot;/&gt;&lt;wsp:rsid wsp:val=&quot;00E43804&quot;/&gt;&lt;wsp:rsid wsp:val=&quot;00E43B35&quot;/&gt;&lt;wsp:rsid wsp:val=&quot;00E44441&quot;/&gt;&lt;wsp:rsid wsp:val=&quot;00E44C4F&quot;/&gt;&lt;wsp:rsid wsp:val=&quot;00E455BF&quot;/&gt;&lt;wsp:rsid wsp:val=&quot;00E45650&quot;/&gt;&lt;wsp:rsid wsp:val=&quot;00E45B1D&quot;/&gt;&lt;wsp:rsid wsp:val=&quot;00E4636D&quot;/&gt;&lt;wsp:rsid wsp:val=&quot;00E46569&quot;/&gt;&lt;wsp:rsid wsp:val=&quot;00E471B0&quot;/&gt;&lt;wsp:rsid wsp:val=&quot;00E474CD&quot;/&gt;&lt;wsp:rsid wsp:val=&quot;00E47A9E&quot;/&gt;&lt;wsp:rsid wsp:val=&quot;00E50592&quot;/&gt;&lt;wsp:rsid wsp:val=&quot;00E5087A&quot;/&gt;&lt;wsp:rsid wsp:val=&quot;00E50B5B&quot;/&gt;&lt;wsp:rsid wsp:val=&quot;00E51E77&quot;/&gt;&lt;wsp:rsid wsp:val=&quot;00E521B4&quot;/&gt;&lt;wsp:rsid wsp:val=&quot;00E521CA&quot;/&gt;&lt;wsp:rsid wsp:val=&quot;00E52628&quot;/&gt;&lt;wsp:rsid wsp:val=&quot;00E5274E&quot;/&gt;&lt;wsp:rsid wsp:val=&quot;00E530CA&quot;/&gt;&lt;wsp:rsid wsp:val=&quot;00E534EE&quot;/&gt;&lt;wsp:rsid wsp:val=&quot;00E538E5&quot;/&gt;&lt;wsp:rsid wsp:val=&quot;00E540B7&quot;/&gt;&lt;wsp:rsid wsp:val=&quot;00E54470&quot;/&gt;&lt;wsp:rsid wsp:val=&quot;00E5499E&quot;/&gt;&lt;wsp:rsid wsp:val=&quot;00E553BC&quot;/&gt;&lt;wsp:rsid wsp:val=&quot;00E556B0&quot;/&gt;&lt;wsp:rsid wsp:val=&quot;00E56529&quot;/&gt;&lt;wsp:rsid wsp:val=&quot;00E56602&quot;/&gt;&lt;wsp:rsid wsp:val=&quot;00E566F6&quot;/&gt;&lt;wsp:rsid wsp:val=&quot;00E5718E&quot;/&gt;&lt;wsp:rsid wsp:val=&quot;00E5747A&quot;/&gt;&lt;wsp:rsid wsp:val=&quot;00E577EB&quot;/&gt;&lt;wsp:rsid wsp:val=&quot;00E57D4C&quot;/&gt;&lt;wsp:rsid wsp:val=&quot;00E57EA9&quot;/&gt;&lt;wsp:rsid wsp:val=&quot;00E6000D&quot;/&gt;&lt;wsp:rsid wsp:val=&quot;00E602AE&quot;/&gt;&lt;wsp:rsid wsp:val=&quot;00E60B02&quot;/&gt;&lt;wsp:rsid wsp:val=&quot;00E60BC6&quot;/&gt;&lt;wsp:rsid wsp:val=&quot;00E6152C&quot;/&gt;&lt;wsp:rsid wsp:val=&quot;00E615CC&quot;/&gt;&lt;wsp:rsid wsp:val=&quot;00E61643&quot;/&gt;&lt;wsp:rsid wsp:val=&quot;00E61B64&quot;/&gt;&lt;wsp:rsid wsp:val=&quot;00E61DA2&quot;/&gt;&lt;wsp:rsid wsp:val=&quot;00E61FF7&quot;/&gt;&lt;wsp:rsid wsp:val=&quot;00E620A4&quot;/&gt;&lt;wsp:rsid wsp:val=&quot;00E62378&quot;/&gt;&lt;wsp:rsid wsp:val=&quot;00E62D08&quot;/&gt;&lt;wsp:rsid wsp:val=&quot;00E6342E&quot;/&gt;&lt;wsp:rsid wsp:val=&quot;00E634D7&quot;/&gt;&lt;wsp:rsid wsp:val=&quot;00E63888&quot;/&gt;&lt;wsp:rsid wsp:val=&quot;00E63A78&quot;/&gt;&lt;wsp:rsid wsp:val=&quot;00E64490&quot;/&gt;&lt;wsp:rsid wsp:val=&quot;00E648BC&quot;/&gt;&lt;wsp:rsid wsp:val=&quot;00E64F05&quot;/&gt;&lt;wsp:rsid wsp:val=&quot;00E6559F&quot;/&gt;&lt;wsp:rsid wsp:val=&quot;00E6597C&quot;/&gt;&lt;wsp:rsid wsp:val=&quot;00E65BD5&quot;/&gt;&lt;wsp:rsid wsp:val=&quot;00E666F7&quot;/&gt;&lt;wsp:rsid wsp:val=&quot;00E66817&quot;/&gt;&lt;wsp:rsid wsp:val=&quot;00E66B3B&quot;/&gt;&lt;wsp:rsid wsp:val=&quot;00E66C80&quot;/&gt;&lt;wsp:rsid wsp:val=&quot;00E66FCC&quot;/&gt;&lt;wsp:rsid wsp:val=&quot;00E6726C&quot;/&gt;&lt;wsp:rsid wsp:val=&quot;00E67305&quot;/&gt;&lt;wsp:rsid wsp:val=&quot;00E676E8&quot;/&gt;&lt;wsp:rsid wsp:val=&quot;00E67CFC&quot;/&gt;&lt;wsp:rsid wsp:val=&quot;00E67DE8&quot;/&gt;&lt;wsp:rsid wsp:val=&quot;00E67E17&quot;/&gt;&lt;wsp:rsid wsp:val=&quot;00E709FC&quot;/&gt;&lt;wsp:rsid wsp:val=&quot;00E70D65&quot;/&gt;&lt;wsp:rsid wsp:val=&quot;00E71116&quot;/&gt;&lt;wsp:rsid wsp:val=&quot;00E71C10&quot;/&gt;&lt;wsp:rsid wsp:val=&quot;00E72584&quot;/&gt;&lt;wsp:rsid wsp:val=&quot;00E727F7&quot;/&gt;&lt;wsp:rsid wsp:val=&quot;00E72C49&quot;/&gt;&lt;wsp:rsid wsp:val=&quot;00E72FC1&quot;/&gt;&lt;wsp:rsid wsp:val=&quot;00E73299&quot;/&gt;&lt;wsp:rsid wsp:val=&quot;00E73403&quot;/&gt;&lt;wsp:rsid wsp:val=&quot;00E735EB&quot;/&gt;&lt;wsp:rsid wsp:val=&quot;00E7375C&quot;/&gt;&lt;wsp:rsid wsp:val=&quot;00E737BA&quot;/&gt;&lt;wsp:rsid wsp:val=&quot;00E742CC&quot;/&gt;&lt;wsp:rsid wsp:val=&quot;00E758CF&quot;/&gt;&lt;wsp:rsid wsp:val=&quot;00E765B3&quot;/&gt;&lt;wsp:rsid wsp:val=&quot;00E76BE7&quot;/&gt;&lt;wsp:rsid wsp:val=&quot;00E76F87&quot;/&gt;&lt;wsp:rsid wsp:val=&quot;00E771D2&quot;/&gt;&lt;wsp:rsid wsp:val=&quot;00E77392&quot;/&gt;&lt;wsp:rsid wsp:val=&quot;00E77887&quot;/&gt;&lt;wsp:rsid wsp:val=&quot;00E77BA9&quot;/&gt;&lt;wsp:rsid wsp:val=&quot;00E77DB6&quot;/&gt;&lt;wsp:rsid wsp:val=&quot;00E77E9E&quot;/&gt;&lt;wsp:rsid wsp:val=&quot;00E77EA6&quot;/&gt;&lt;wsp:rsid wsp:val=&quot;00E82093&quot;/&gt;&lt;wsp:rsid wsp:val=&quot;00E82B78&quot;/&gt;&lt;wsp:rsid wsp:val=&quot;00E82DF6&quot;/&gt;&lt;wsp:rsid wsp:val=&quot;00E830E9&quot;/&gt;&lt;wsp:rsid wsp:val=&quot;00E83291&quot;/&gt;&lt;wsp:rsid wsp:val=&quot;00E84403&quot;/&gt;&lt;wsp:rsid wsp:val=&quot;00E84B2F&quot;/&gt;&lt;wsp:rsid wsp:val=&quot;00E84E72&quot;/&gt;&lt;wsp:rsid wsp:val=&quot;00E8503F&quot;/&gt;&lt;wsp:rsid wsp:val=&quot;00E85056&quot;/&gt;&lt;wsp:rsid wsp:val=&quot;00E855B7&quot;/&gt;&lt;wsp:rsid wsp:val=&quot;00E85A7E&quot;/&gt;&lt;wsp:rsid wsp:val=&quot;00E85EA8&quot;/&gt;&lt;wsp:rsid wsp:val=&quot;00E86976&quot;/&gt;&lt;wsp:rsid wsp:val=&quot;00E86E83&quot;/&gt;&lt;wsp:rsid wsp:val=&quot;00E86F0F&quot;/&gt;&lt;wsp:rsid wsp:val=&quot;00E87147&quot;/&gt;&lt;wsp:rsid wsp:val=&quot;00E87224&quot;/&gt;&lt;wsp:rsid wsp:val=&quot;00E87562&quot;/&gt;&lt;wsp:rsid wsp:val=&quot;00E875DC&quot;/&gt;&lt;wsp:rsid wsp:val=&quot;00E87610&quot;/&gt;&lt;wsp:rsid wsp:val=&quot;00E87F4F&quot;/&gt;&lt;wsp:rsid wsp:val=&quot;00E908A9&quot;/&gt;&lt;wsp:rsid wsp:val=&quot;00E90A0E&quot;/&gt;&lt;wsp:rsid wsp:val=&quot;00E90D5D&quot;/&gt;&lt;wsp:rsid wsp:val=&quot;00E90EE9&quot;/&gt;&lt;wsp:rsid wsp:val=&quot;00E9186D&quot;/&gt;&lt;wsp:rsid wsp:val=&quot;00E91C84&quot;/&gt;&lt;wsp:rsid wsp:val=&quot;00E91CFE&quot;/&gt;&lt;wsp:rsid wsp:val=&quot;00E91F54&quot;/&gt;&lt;wsp:rsid wsp:val=&quot;00E9227E&quot;/&gt;&lt;wsp:rsid wsp:val=&quot;00E92678&quot;/&gt;&lt;wsp:rsid wsp:val=&quot;00E928D2&quot;/&gt;&lt;wsp:rsid wsp:val=&quot;00E92A87&quot;/&gt;&lt;wsp:rsid wsp:val=&quot;00E93F31&quot;/&gt;&lt;wsp:rsid wsp:val=&quot;00E94090&quot;/&gt;&lt;wsp:rsid wsp:val=&quot;00E944CF&quot;/&gt;&lt;wsp:rsid wsp:val=&quot;00E94A17&quot;/&gt;&lt;wsp:rsid wsp:val=&quot;00E94A76&quot;/&gt;&lt;wsp:rsid wsp:val=&quot;00E95684&quot;/&gt;&lt;wsp:rsid wsp:val=&quot;00E963FE&quot;/&gt;&lt;wsp:rsid wsp:val=&quot;00E96CA8&quot;/&gt;&lt;wsp:rsid wsp:val=&quot;00E96D46&quot;/&gt;&lt;wsp:rsid wsp:val=&quot;00E96D63&quot;/&gt;&lt;wsp:rsid wsp:val=&quot;00E96EF3&quot;/&gt;&lt;wsp:rsid wsp:val=&quot;00E9740A&quot;/&gt;&lt;wsp:rsid wsp:val=&quot;00E97486&quot;/&gt;&lt;wsp:rsid wsp:val=&quot;00E9781E&quot;/&gt;&lt;wsp:rsid wsp:val=&quot;00E97A65&quot;/&gt;&lt;wsp:rsid wsp:val=&quot;00EA1304&quot;/&gt;&lt;wsp:rsid wsp:val=&quot;00EA16B4&quot;/&gt;&lt;wsp:rsid wsp:val=&quot;00EA1817&quot;/&gt;&lt;wsp:rsid wsp:val=&quot;00EA2141&quot;/&gt;&lt;wsp:rsid wsp:val=&quot;00EA2C52&quot;/&gt;&lt;wsp:rsid wsp:val=&quot;00EA2E5C&quot;/&gt;&lt;wsp:rsid wsp:val=&quot;00EA2FD3&quot;/&gt;&lt;wsp:rsid wsp:val=&quot;00EA3A05&quot;/&gt;&lt;wsp:rsid wsp:val=&quot;00EA3FBF&quot;/&gt;&lt;wsp:rsid wsp:val=&quot;00EA41D7&quot;/&gt;&lt;wsp:rsid wsp:val=&quot;00EA4686&quot;/&gt;&lt;wsp:rsid wsp:val=&quot;00EA56D4&quot;/&gt;&lt;wsp:rsid wsp:val=&quot;00EA5873&quot;/&gt;&lt;wsp:rsid wsp:val=&quot;00EA5BD7&quot;/&gt;&lt;wsp:rsid wsp:val=&quot;00EA5F94&quot;/&gt;&lt;wsp:rsid wsp:val=&quot;00EA6460&quot;/&gt;&lt;wsp:rsid wsp:val=&quot;00EA7481&quot;/&gt;&lt;wsp:rsid wsp:val=&quot;00EA7E71&quot;/&gt;&lt;wsp:rsid wsp:val=&quot;00EB0C4E&quot;/&gt;&lt;wsp:rsid wsp:val=&quot;00EB0CEF&quot;/&gt;&lt;wsp:rsid wsp:val=&quot;00EB0E26&quot;/&gt;&lt;wsp:rsid wsp:val=&quot;00EB0FD6&quot;/&gt;&lt;wsp:rsid wsp:val=&quot;00EB103B&quot;/&gt;&lt;wsp:rsid wsp:val=&quot;00EB118F&quot;/&gt;&lt;wsp:rsid wsp:val=&quot;00EB1426&quot;/&gt;&lt;wsp:rsid wsp:val=&quot;00EB1651&quot;/&gt;&lt;wsp:rsid wsp:val=&quot;00EB175E&quot;/&gt;&lt;wsp:rsid wsp:val=&quot;00EB1AE1&quot;/&gt;&lt;wsp:rsid wsp:val=&quot;00EB1DD9&quot;/&gt;&lt;wsp:rsid wsp:val=&quot;00EB1E28&quot;/&gt;&lt;wsp:rsid wsp:val=&quot;00EB2099&quot;/&gt;&lt;wsp:rsid wsp:val=&quot;00EB2167&quot;/&gt;&lt;wsp:rsid wsp:val=&quot;00EB2B15&quot;/&gt;&lt;wsp:rsid wsp:val=&quot;00EB2D68&quot;/&gt;&lt;wsp:rsid wsp:val=&quot;00EB3091&quot;/&gt;&lt;wsp:rsid wsp:val=&quot;00EB3210&quot;/&gt;&lt;wsp:rsid wsp:val=&quot;00EB322F&quot;/&gt;&lt;wsp:rsid wsp:val=&quot;00EB3308&quot;/&gt;&lt;wsp:rsid wsp:val=&quot;00EB3916&quot;/&gt;&lt;wsp:rsid wsp:val=&quot;00EB3CA7&quot;/&gt;&lt;wsp:rsid wsp:val=&quot;00EB3DD0&quot;/&gt;&lt;wsp:rsid wsp:val=&quot;00EB54AA&quot;/&gt;&lt;wsp:rsid wsp:val=&quot;00EB5672&quot;/&gt;&lt;wsp:rsid wsp:val=&quot;00EB57F6&quot;/&gt;&lt;wsp:rsid wsp:val=&quot;00EB5814&quot;/&gt;&lt;wsp:rsid wsp:val=&quot;00EB5AF8&quot;/&gt;&lt;wsp:rsid wsp:val=&quot;00EB5C48&quot;/&gt;&lt;wsp:rsid wsp:val=&quot;00EB61B0&quot;/&gt;&lt;wsp:rsid wsp:val=&quot;00EB7B8B&quot;/&gt;&lt;wsp:rsid wsp:val=&quot;00EC035D&quot;/&gt;&lt;wsp:rsid wsp:val=&quot;00EC098C&quot;/&gt;&lt;wsp:rsid wsp:val=&quot;00EC10FD&quot;/&gt;&lt;wsp:rsid wsp:val=&quot;00EC157C&quot;/&gt;&lt;wsp:rsid wsp:val=&quot;00EC16EB&quot;/&gt;&lt;wsp:rsid wsp:val=&quot;00EC1958&quot;/&gt;&lt;wsp:rsid wsp:val=&quot;00EC1F5A&quot;/&gt;&lt;wsp:rsid wsp:val=&quot;00EC238C&quot;/&gt;&lt;wsp:rsid wsp:val=&quot;00EC25C6&quot;/&gt;&lt;wsp:rsid wsp:val=&quot;00EC274F&quot;/&gt;&lt;wsp:rsid wsp:val=&quot;00EC291B&quot;/&gt;&lt;wsp:rsid wsp:val=&quot;00EC2E61&quot;/&gt;&lt;wsp:rsid wsp:val=&quot;00EC2EDB&quot;/&gt;&lt;wsp:rsid wsp:val=&quot;00EC329B&quot;/&gt;&lt;wsp:rsid wsp:val=&quot;00EC32AE&quot;/&gt;&lt;wsp:rsid wsp:val=&quot;00EC4032&quot;/&gt;&lt;wsp:rsid wsp:val=&quot;00EC4398&quot;/&gt;&lt;wsp:rsid wsp:val=&quot;00EC44DF&quot;/&gt;&lt;wsp:rsid wsp:val=&quot;00EC457B&quot;/&gt;&lt;wsp:rsid wsp:val=&quot;00EC5263&quot;/&gt;&lt;wsp:rsid wsp:val=&quot;00EC54D0&quot;/&gt;&lt;wsp:rsid wsp:val=&quot;00EC5554&quot;/&gt;&lt;wsp:rsid wsp:val=&quot;00EC588D&quot;/&gt;&lt;wsp:rsid wsp:val=&quot;00EC5AE6&quot;/&gt;&lt;wsp:rsid wsp:val=&quot;00EC642A&quot;/&gt;&lt;wsp:rsid wsp:val=&quot;00EC6581&quot;/&gt;&lt;wsp:rsid wsp:val=&quot;00EC6662&quot;/&gt;&lt;wsp:rsid wsp:val=&quot;00EC66B5&quot;/&gt;&lt;wsp:rsid wsp:val=&quot;00EC69BD&quot;/&gt;&lt;wsp:rsid wsp:val=&quot;00EC6E3B&quot;/&gt;&lt;wsp:rsid wsp:val=&quot;00EC6E55&quot;/&gt;&lt;wsp:rsid wsp:val=&quot;00EC6ECA&quot;/&gt;&lt;wsp:rsid wsp:val=&quot;00EC6F1E&quot;/&gt;&lt;wsp:rsid wsp:val=&quot;00EC755B&quot;/&gt;&lt;wsp:rsid wsp:val=&quot;00EC7BD0&quot;/&gt;&lt;wsp:rsid wsp:val=&quot;00EC7C6D&quot;/&gt;&lt;wsp:rsid wsp:val=&quot;00ED0532&quot;/&gt;&lt;wsp:rsid wsp:val=&quot;00ED07EE&quot;/&gt;&lt;wsp:rsid wsp:val=&quot;00ED0FED&quot;/&gt;&lt;wsp:rsid wsp:val=&quot;00ED15B5&quot;/&gt;&lt;wsp:rsid wsp:val=&quot;00ED1861&quot;/&gt;&lt;wsp:rsid wsp:val=&quot;00ED18A1&quot;/&gt;&lt;wsp:rsid wsp:val=&quot;00ED1C74&quot;/&gt;&lt;wsp:rsid wsp:val=&quot;00ED209E&quot;/&gt;&lt;wsp:rsid wsp:val=&quot;00ED2194&quot;/&gt;&lt;wsp:rsid wsp:val=&quot;00ED23B8&quot;/&gt;&lt;wsp:rsid wsp:val=&quot;00ED2406&quot;/&gt;&lt;wsp:rsid wsp:val=&quot;00ED2517&quot;/&gt;&lt;wsp:rsid wsp:val=&quot;00ED2B4D&quot;/&gt;&lt;wsp:rsid wsp:val=&quot;00ED2C3E&quot;/&gt;&lt;wsp:rsid wsp:val=&quot;00ED3376&quot;/&gt;&lt;wsp:rsid wsp:val=&quot;00ED339F&quot;/&gt;&lt;wsp:rsid wsp:val=&quot;00ED36A0&quot;/&gt;&lt;wsp:rsid wsp:val=&quot;00ED36D7&quot;/&gt;&lt;wsp:rsid wsp:val=&quot;00ED383A&quot;/&gt;&lt;wsp:rsid wsp:val=&quot;00ED3921&quot;/&gt;&lt;wsp:rsid wsp:val=&quot;00ED3B1C&quot;/&gt;&lt;wsp:rsid wsp:val=&quot;00ED40F9&quot;/&gt;&lt;wsp:rsid wsp:val=&quot;00ED456A&quot;/&gt;&lt;wsp:rsid wsp:val=&quot;00ED476F&quot;/&gt;&lt;wsp:rsid wsp:val=&quot;00ED47C4&quot;/&gt;&lt;wsp:rsid wsp:val=&quot;00ED47DD&quot;/&gt;&lt;wsp:rsid wsp:val=&quot;00ED4C7F&quot;/&gt;&lt;wsp:rsid wsp:val=&quot;00ED51FC&quot;/&gt;&lt;wsp:rsid wsp:val=&quot;00ED5337&quot;/&gt;&lt;wsp:rsid wsp:val=&quot;00ED5587&quot;/&gt;&lt;wsp:rsid wsp:val=&quot;00ED5BC3&quot;/&gt;&lt;wsp:rsid wsp:val=&quot;00ED5C37&quot;/&gt;&lt;wsp:rsid wsp:val=&quot;00ED5CAF&quot;/&gt;&lt;wsp:rsid wsp:val=&quot;00ED753B&quot;/&gt;&lt;wsp:rsid wsp:val=&quot;00ED7919&quot;/&gt;&lt;wsp:rsid wsp:val=&quot;00ED7ED6&quot;/&gt;&lt;wsp:rsid wsp:val=&quot;00EE00F6&quot;/&gt;&lt;wsp:rsid wsp:val=&quot;00EE0301&quot;/&gt;&lt;wsp:rsid wsp:val=&quot;00EE08B6&quot;/&gt;&lt;wsp:rsid wsp:val=&quot;00EE1298&quot;/&gt;&lt;wsp:rsid wsp:val=&quot;00EE2341&quot;/&gt;&lt;wsp:rsid wsp:val=&quot;00EE242F&quot;/&gt;&lt;wsp:rsid wsp:val=&quot;00EE2D04&quot;/&gt;&lt;wsp:rsid wsp:val=&quot;00EE2FA3&quot;/&gt;&lt;wsp:rsid wsp:val=&quot;00EE3319&quot;/&gt;&lt;wsp:rsid wsp:val=&quot;00EE3630&quot;/&gt;&lt;wsp:rsid wsp:val=&quot;00EE386C&quot;/&gt;&lt;wsp:rsid wsp:val=&quot;00EE41AD&quot;/&gt;&lt;wsp:rsid wsp:val=&quot;00EE4237&quot;/&gt;&lt;wsp:rsid wsp:val=&quot;00EE4680&quot;/&gt;&lt;wsp:rsid wsp:val=&quot;00EE4E5C&quot;/&gt;&lt;wsp:rsid wsp:val=&quot;00EE506A&quot;/&gt;&lt;wsp:rsid wsp:val=&quot;00EE564A&quot;/&gt;&lt;wsp:rsid wsp:val=&quot;00EE6685&quot;/&gt;&lt;wsp:rsid wsp:val=&quot;00EE6A25&quot;/&gt;&lt;wsp:rsid wsp:val=&quot;00EE7054&quot;/&gt;&lt;wsp:rsid wsp:val=&quot;00EE75DF&quot;/&gt;&lt;wsp:rsid wsp:val=&quot;00EE764D&quot;/&gt;&lt;wsp:rsid wsp:val=&quot;00EF0160&quot;/&gt;&lt;wsp:rsid wsp:val=&quot;00EF017D&quot;/&gt;&lt;wsp:rsid wsp:val=&quot;00EF0537&quot;/&gt;&lt;wsp:rsid wsp:val=&quot;00EF0BA0&quot;/&gt;&lt;wsp:rsid wsp:val=&quot;00EF0D2B&quot;/&gt;&lt;wsp:rsid wsp:val=&quot;00EF13EC&quot;/&gt;&lt;wsp:rsid wsp:val=&quot;00EF188B&quot;/&gt;&lt;wsp:rsid wsp:val=&quot;00EF1A04&quot;/&gt;&lt;wsp:rsid wsp:val=&quot;00EF254C&quot;/&gt;&lt;wsp:rsid wsp:val=&quot;00EF2D03&quot;/&gt;&lt;wsp:rsid wsp:val=&quot;00EF2F12&quot;/&gt;&lt;wsp:rsid wsp:val=&quot;00EF3128&quot;/&gt;&lt;wsp:rsid wsp:val=&quot;00EF3EA3&quot;/&gt;&lt;wsp:rsid wsp:val=&quot;00EF42F8&quot;/&gt;&lt;wsp:rsid wsp:val=&quot;00EF466A&quot;/&gt;&lt;wsp:rsid wsp:val=&quot;00EF4E5B&quot;/&gt;&lt;wsp:rsid wsp:val=&quot;00EF5253&quot;/&gt;&lt;wsp:rsid wsp:val=&quot;00EF5485&quot;/&gt;&lt;wsp:rsid wsp:val=&quot;00EF5536&quot;/&gt;&lt;wsp:rsid wsp:val=&quot;00EF5C78&quot;/&gt;&lt;wsp:rsid wsp:val=&quot;00EF66CA&quot;/&gt;&lt;wsp:rsid wsp:val=&quot;00EF68D3&quot;/&gt;&lt;wsp:rsid wsp:val=&quot;00EF691A&quot;/&gt;&lt;wsp:rsid wsp:val=&quot;00EF6978&quot;/&gt;&lt;wsp:rsid wsp:val=&quot;00EF75D4&quot;/&gt;&lt;wsp:rsid wsp:val=&quot;00EF789F&quot;/&gt;&lt;wsp:rsid wsp:val=&quot;00EF7FAA&quot;/&gt;&lt;wsp:rsid wsp:val=&quot;00F00029&quot;/&gt;&lt;wsp:rsid wsp:val=&quot;00F00168&quot;/&gt;&lt;wsp:rsid wsp:val=&quot;00F00237&quot;/&gt;&lt;wsp:rsid wsp:val=&quot;00F00561&quot;/&gt;&lt;wsp:rsid wsp:val=&quot;00F00A04&quot;/&gt;&lt;wsp:rsid wsp:val=&quot;00F00F32&quot;/&gt;&lt;wsp:rsid wsp:val=&quot;00F0125E&quot;/&gt;&lt;wsp:rsid wsp:val=&quot;00F019C6&quot;/&gt;&lt;wsp:rsid wsp:val=&quot;00F01A00&quot;/&gt;&lt;wsp:rsid wsp:val=&quot;00F01BF0&quot;/&gt;&lt;wsp:rsid wsp:val=&quot;00F01C30&quot;/&gt;&lt;wsp:rsid wsp:val=&quot;00F02515&quot;/&gt;&lt;wsp:rsid wsp:val=&quot;00F028BF&quot;/&gt;&lt;wsp:rsid wsp:val=&quot;00F02BA1&quot;/&gt;&lt;wsp:rsid wsp:val=&quot;00F02C53&quot;/&gt;&lt;wsp:rsid wsp:val=&quot;00F02D28&quot;/&gt;&lt;wsp:rsid wsp:val=&quot;00F03646&quot;/&gt;&lt;wsp:rsid wsp:val=&quot;00F03B91&quot;/&gt;&lt;wsp:rsid wsp:val=&quot;00F03D1D&quot;/&gt;&lt;wsp:rsid wsp:val=&quot;00F04699&quot;/&gt;&lt;wsp:rsid wsp:val=&quot;00F0621F&quot;/&gt;&lt;wsp:rsid wsp:val=&quot;00F0657D&quot;/&gt;&lt;wsp:rsid wsp:val=&quot;00F06969&quot;/&gt;&lt;wsp:rsid wsp:val=&quot;00F06DE8&quot;/&gt;&lt;wsp:rsid wsp:val=&quot;00F07491&quot;/&gt;&lt;wsp:rsid wsp:val=&quot;00F07A96&quot;/&gt;&lt;wsp:rsid wsp:val=&quot;00F102CB&quot;/&gt;&lt;wsp:rsid wsp:val=&quot;00F10347&quot;/&gt;&lt;wsp:rsid wsp:val=&quot;00F10C2B&quot;/&gt;&lt;wsp:rsid wsp:val=&quot;00F113DA&quot;/&gt;&lt;wsp:rsid wsp:val=&quot;00F12071&quot;/&gt;&lt;wsp:rsid wsp:val=&quot;00F12235&quot;/&gt;&lt;wsp:rsid wsp:val=&quot;00F1251B&quot;/&gt;&lt;wsp:rsid wsp:val=&quot;00F12C05&quot;/&gt;&lt;wsp:rsid wsp:val=&quot;00F12E7F&quot;/&gt;&lt;wsp:rsid wsp:val=&quot;00F13798&quot;/&gt;&lt;wsp:rsid wsp:val=&quot;00F13882&quot;/&gt;&lt;wsp:rsid wsp:val=&quot;00F13973&quot;/&gt;&lt;wsp:rsid wsp:val=&quot;00F141B9&quot;/&gt;&lt;wsp:rsid wsp:val=&quot;00F1453C&quot;/&gt;&lt;wsp:rsid wsp:val=&quot;00F14B37&quot;/&gt;&lt;wsp:rsid wsp:val=&quot;00F14BCE&quot;/&gt;&lt;wsp:rsid wsp:val=&quot;00F14E2E&quot;/&gt;&lt;wsp:rsid wsp:val=&quot;00F1568E&quot;/&gt;&lt;wsp:rsid wsp:val=&quot;00F15A80&quot;/&gt;&lt;wsp:rsid wsp:val=&quot;00F16804&quot;/&gt;&lt;wsp:rsid wsp:val=&quot;00F16908&quot;/&gt;&lt;wsp:rsid wsp:val=&quot;00F17351&quot;/&gt;&lt;wsp:rsid wsp:val=&quot;00F1739B&quot;/&gt;&lt;wsp:rsid wsp:val=&quot;00F206AD&quot;/&gt;&lt;wsp:rsid wsp:val=&quot;00F20B4D&quot;/&gt;&lt;wsp:rsid wsp:val=&quot;00F22BD2&quot;/&gt;&lt;wsp:rsid wsp:val=&quot;00F23071&quot;/&gt;&lt;wsp:rsid wsp:val=&quot;00F232AE&quot;/&gt;&lt;wsp:rsid wsp:val=&quot;00F2379E&quot;/&gt;&lt;wsp:rsid wsp:val=&quot;00F2403B&quot;/&gt;&lt;wsp:rsid wsp:val=&quot;00F24293&quot;/&gt;&lt;wsp:rsid wsp:val=&quot;00F2456C&quot;/&gt;&lt;wsp:rsid wsp:val=&quot;00F246B0&quot;/&gt;&lt;wsp:rsid wsp:val=&quot;00F246EB&quot;/&gt;&lt;wsp:rsid wsp:val=&quot;00F24AF4&quot;/&gt;&lt;wsp:rsid wsp:val=&quot;00F24C05&quot;/&gt;&lt;wsp:rsid wsp:val=&quot;00F24D0B&quot;/&gt;&lt;wsp:rsid wsp:val=&quot;00F24E5A&quot;/&gt;&lt;wsp:rsid wsp:val=&quot;00F24F71&quot;/&gt;&lt;wsp:rsid wsp:val=&quot;00F25365&quot;/&gt;&lt;wsp:rsid wsp:val=&quot;00F25588&quot;/&gt;&lt;wsp:rsid wsp:val=&quot;00F2588E&quot;/&gt;&lt;wsp:rsid wsp:val=&quot;00F25B27&quot;/&gt;&lt;wsp:rsid wsp:val=&quot;00F26063&quot;/&gt;&lt;wsp:rsid wsp:val=&quot;00F262AC&quot;/&gt;&lt;wsp:rsid wsp:val=&quot;00F26A5D&quot;/&gt;&lt;wsp:rsid wsp:val=&quot;00F26DB3&quot;/&gt;&lt;wsp:rsid wsp:val=&quot;00F2731E&quot;/&gt;&lt;wsp:rsid wsp:val=&quot;00F275FE&quot;/&gt;&lt;wsp:rsid wsp:val=&quot;00F27D93&quot;/&gt;&lt;wsp:rsid wsp:val=&quot;00F30A5C&quot;/&gt;&lt;wsp:rsid wsp:val=&quot;00F30C4F&quot;/&gt;&lt;wsp:rsid wsp:val=&quot;00F30C66&quot;/&gt;&lt;wsp:rsid wsp:val=&quot;00F31DCB&quot;/&gt;&lt;wsp:rsid wsp:val=&quot;00F32B87&quot;/&gt;&lt;wsp:rsid wsp:val=&quot;00F32E5E&quot;/&gt;&lt;wsp:rsid wsp:val=&quot;00F33112&quot;/&gt;&lt;wsp:rsid wsp:val=&quot;00F334FD&quot;/&gt;&lt;wsp:rsid wsp:val=&quot;00F338F6&quot;/&gt;&lt;wsp:rsid wsp:val=&quot;00F33BFF&quot;/&gt;&lt;wsp:rsid wsp:val=&quot;00F343E9&quot;/&gt;&lt;wsp:rsid wsp:val=&quot;00F34439&quot;/&gt;&lt;wsp:rsid wsp:val=&quot;00F345F0&quot;/&gt;&lt;wsp:rsid wsp:val=&quot;00F34798&quot;/&gt;&lt;wsp:rsid wsp:val=&quot;00F351D1&quot;/&gt;&lt;wsp:rsid wsp:val=&quot;00F3566D&quot;/&gt;&lt;wsp:rsid wsp:val=&quot;00F35CF5&quot;/&gt;&lt;wsp:rsid wsp:val=&quot;00F35E17&quot;/&gt;&lt;wsp:rsid wsp:val=&quot;00F362A0&quot;/&gt;&lt;wsp:rsid wsp:val=&quot;00F364FB&quot;/&gt;&lt;wsp:rsid wsp:val=&quot;00F369CD&quot;/&gt;&lt;wsp:rsid wsp:val=&quot;00F36DE2&quot;/&gt;&lt;wsp:rsid wsp:val=&quot;00F370F4&quot;/&gt;&lt;wsp:rsid wsp:val=&quot;00F37173&quot;/&gt;&lt;wsp:rsid wsp:val=&quot;00F37330&quot;/&gt;&lt;wsp:rsid wsp:val=&quot;00F376A2&quot;/&gt;&lt;wsp:rsid wsp:val=&quot;00F37F74&quot;/&gt;&lt;wsp:rsid wsp:val=&quot;00F41259&quot;/&gt;&lt;wsp:rsid wsp:val=&quot;00F41360&quot;/&gt;&lt;wsp:rsid wsp:val=&quot;00F416CF&quot;/&gt;&lt;wsp:rsid wsp:val=&quot;00F41CED&quot;/&gt;&lt;wsp:rsid wsp:val=&quot;00F41F11&quot;/&gt;&lt;wsp:rsid wsp:val=&quot;00F420FF&quot;/&gt;&lt;wsp:rsid wsp:val=&quot;00F428F5&quot;/&gt;&lt;wsp:rsid wsp:val=&quot;00F42988&quot;/&gt;&lt;wsp:rsid wsp:val=&quot;00F42A21&quot;/&gt;&lt;wsp:rsid wsp:val=&quot;00F432A3&quot;/&gt;&lt;wsp:rsid wsp:val=&quot;00F4345D&quot;/&gt;&lt;wsp:rsid wsp:val=&quot;00F434B0&quot;/&gt;&lt;wsp:rsid wsp:val=&quot;00F435C5&quot;/&gt;&lt;wsp:rsid wsp:val=&quot;00F4365C&quot;/&gt;&lt;wsp:rsid wsp:val=&quot;00F43788&quot;/&gt;&lt;wsp:rsid wsp:val=&quot;00F43A58&quot;/&gt;&lt;wsp:rsid wsp:val=&quot;00F43F39&quot;/&gt;&lt;wsp:rsid wsp:val=&quot;00F43FBE&quot;/&gt;&lt;wsp:rsid wsp:val=&quot;00F4415A&quot;/&gt;&lt;wsp:rsid wsp:val=&quot;00F442DA&quot;/&gt;&lt;wsp:rsid wsp:val=&quot;00F4443C&quot;/&gt;&lt;wsp:rsid wsp:val=&quot;00F444EF&quot;/&gt;&lt;wsp:rsid wsp:val=&quot;00F4462D&quot;/&gt;&lt;wsp:rsid wsp:val=&quot;00F44DB6&quot;/&gt;&lt;wsp:rsid wsp:val=&quot;00F44DBA&quot;/&gt;&lt;wsp:rsid wsp:val=&quot;00F44DE1&quot;/&gt;&lt;wsp:rsid wsp:val=&quot;00F456D2&quot;/&gt;&lt;wsp:rsid wsp:val=&quot;00F45B70&quot;/&gt;&lt;wsp:rsid wsp:val=&quot;00F45CA3&quot;/&gt;&lt;wsp:rsid wsp:val=&quot;00F45E48&quot;/&gt;&lt;wsp:rsid wsp:val=&quot;00F45EC0&quot;/&gt;&lt;wsp:rsid wsp:val=&quot;00F465B2&quot;/&gt;&lt;wsp:rsid wsp:val=&quot;00F46F73&quot;/&gt;&lt;wsp:rsid wsp:val=&quot;00F47959&quot;/&gt;&lt;wsp:rsid wsp:val=&quot;00F47BE9&quot;/&gt;&lt;wsp:rsid wsp:val=&quot;00F47C6B&quot;/&gt;&lt;wsp:rsid wsp:val=&quot;00F47CDE&quot;/&gt;&lt;wsp:rsid wsp:val=&quot;00F50363&quot;/&gt;&lt;wsp:rsid wsp:val=&quot;00F5097E&quot;/&gt;&lt;wsp:rsid wsp:val=&quot;00F50B45&quot;/&gt;&lt;wsp:rsid wsp:val=&quot;00F50BAA&quot;/&gt;&lt;wsp:rsid wsp:val=&quot;00F51197&quot;/&gt;&lt;wsp:rsid wsp:val=&quot;00F51260&quot;/&gt;&lt;wsp:rsid wsp:val=&quot;00F5154F&quot;/&gt;&lt;wsp:rsid wsp:val=&quot;00F5167A&quot;/&gt;&lt;wsp:rsid wsp:val=&quot;00F51769&quot;/&gt;&lt;wsp:rsid wsp:val=&quot;00F519F2&quot;/&gt;&lt;wsp:rsid wsp:val=&quot;00F51D5D&quot;/&gt;&lt;wsp:rsid wsp:val=&quot;00F520C9&quot;/&gt;&lt;wsp:rsid wsp:val=&quot;00F52101&quot;/&gt;&lt;wsp:rsid wsp:val=&quot;00F52B27&quot;/&gt;&lt;wsp:rsid wsp:val=&quot;00F52D7E&quot;/&gt;&lt;wsp:rsid wsp:val=&quot;00F531A6&quot;/&gt;&lt;wsp:rsid wsp:val=&quot;00F53253&quot;/&gt;&lt;wsp:rsid wsp:val=&quot;00F53318&quot;/&gt;&lt;wsp:rsid wsp:val=&quot;00F53634&quot;/&gt;&lt;wsp:rsid wsp:val=&quot;00F5373F&quot;/&gt;&lt;wsp:rsid wsp:val=&quot;00F5379F&quot;/&gt;&lt;wsp:rsid wsp:val=&quot;00F53BFA&quot;/&gt;&lt;wsp:rsid wsp:val=&quot;00F53F9B&quot;/&gt;&lt;wsp:rsid wsp:val=&quot;00F540BD&quot;/&gt;&lt;wsp:rsid wsp:val=&quot;00F54495&quot;/&gt;&lt;wsp:rsid wsp:val=&quot;00F55088&quot;/&gt;&lt;wsp:rsid wsp:val=&quot;00F567C0&quot;/&gt;&lt;wsp:rsid wsp:val=&quot;00F56B3F&quot;/&gt;&lt;wsp:rsid wsp:val=&quot;00F56C67&quot;/&gt;&lt;wsp:rsid wsp:val=&quot;00F56E02&quot;/&gt;&lt;wsp:rsid wsp:val=&quot;00F57AF4&quot;/&gt;&lt;wsp:rsid wsp:val=&quot;00F57FB8&quot;/&gt;&lt;wsp:rsid wsp:val=&quot;00F602DB&quot;/&gt;&lt;wsp:rsid wsp:val=&quot;00F604E2&quot;/&gt;&lt;wsp:rsid wsp:val=&quot;00F60625&quot;/&gt;&lt;wsp:rsid wsp:val=&quot;00F606F6&quot;/&gt;&lt;wsp:rsid wsp:val=&quot;00F6082D&quot;/&gt;&lt;wsp:rsid wsp:val=&quot;00F60CE2&quot;/&gt;&lt;wsp:rsid wsp:val=&quot;00F61060&quot;/&gt;&lt;wsp:rsid wsp:val=&quot;00F61345&quot;/&gt;&lt;wsp:rsid wsp:val=&quot;00F62684&quot;/&gt;&lt;wsp:rsid wsp:val=&quot;00F62C3B&quot;/&gt;&lt;wsp:rsid wsp:val=&quot;00F63AAD&quot;/&gt;&lt;wsp:rsid wsp:val=&quot;00F63E3E&quot;/&gt;&lt;wsp:rsid wsp:val=&quot;00F63EA3&quot;/&gt;&lt;wsp:rsid wsp:val=&quot;00F64258&quot;/&gt;&lt;wsp:rsid wsp:val=&quot;00F645FA&quot;/&gt;&lt;wsp:rsid wsp:val=&quot;00F645FC&quot;/&gt;&lt;wsp:rsid wsp:val=&quot;00F64A97&quot;/&gt;&lt;wsp:rsid wsp:val=&quot;00F65196&quot;/&gt;&lt;wsp:rsid wsp:val=&quot;00F65A8E&quot;/&gt;&lt;wsp:rsid wsp:val=&quot;00F65E6A&quot;/&gt;&lt;wsp:rsid wsp:val=&quot;00F662CB&quot;/&gt;&lt;wsp:rsid wsp:val=&quot;00F66730&quot;/&gt;&lt;wsp:rsid wsp:val=&quot;00F66923&quot;/&gt;&lt;wsp:rsid wsp:val=&quot;00F66B5B&quot;/&gt;&lt;wsp:rsid wsp:val=&quot;00F67BAF&quot;/&gt;&lt;wsp:rsid wsp:val=&quot;00F701C5&quot;/&gt;&lt;wsp:rsid wsp:val=&quot;00F70423&quot;/&gt;&lt;wsp:rsid wsp:val=&quot;00F71925&quot;/&gt;&lt;wsp:rsid wsp:val=&quot;00F719BC&quot;/&gt;&lt;wsp:rsid wsp:val=&quot;00F71EAF&quot;/&gt;&lt;wsp:rsid wsp:val=&quot;00F72036&quot;/&gt;&lt;wsp:rsid wsp:val=&quot;00F72055&quot;/&gt;&lt;wsp:rsid wsp:val=&quot;00F725BB&quot;/&gt;&lt;wsp:rsid wsp:val=&quot;00F725CF&quot;/&gt;&lt;wsp:rsid wsp:val=&quot;00F72A1C&quot;/&gt;&lt;wsp:rsid wsp:val=&quot;00F72BCC&quot;/&gt;&lt;wsp:rsid wsp:val=&quot;00F731A7&quot;/&gt;&lt;wsp:rsid wsp:val=&quot;00F73451&quot;/&gt;&lt;wsp:rsid wsp:val=&quot;00F7346A&quot;/&gt;&lt;wsp:rsid wsp:val=&quot;00F73624&quot;/&gt;&lt;wsp:rsid wsp:val=&quot;00F73926&quot;/&gt;&lt;wsp:rsid wsp:val=&quot;00F73972&quot;/&gt;&lt;wsp:rsid wsp:val=&quot;00F73AEE&quot;/&gt;&lt;wsp:rsid wsp:val=&quot;00F74112&quot;/&gt;&lt;wsp:rsid wsp:val=&quot;00F74495&quot;/&gt;&lt;wsp:rsid wsp:val=&quot;00F74664&quot;/&gt;&lt;wsp:rsid wsp:val=&quot;00F749A8&quot;/&gt;&lt;wsp:rsid wsp:val=&quot;00F74F62&quot;/&gt;&lt;wsp:rsid wsp:val=&quot;00F7562E&quot;/&gt;&lt;wsp:rsid wsp:val=&quot;00F75C56&quot;/&gt;&lt;wsp:rsid wsp:val=&quot;00F762BD&quot;/&gt;&lt;wsp:rsid wsp:val=&quot;00F7651F&quot;/&gt;&lt;wsp:rsid wsp:val=&quot;00F766FC&quot;/&gt;&lt;wsp:rsid wsp:val=&quot;00F76938&quot;/&gt;&lt;wsp:rsid wsp:val=&quot;00F76AC0&quot;/&gt;&lt;wsp:rsid wsp:val=&quot;00F76CCB&quot;/&gt;&lt;wsp:rsid wsp:val=&quot;00F77029&quot;/&gt;&lt;wsp:rsid wsp:val=&quot;00F773AF&quot;/&gt;&lt;wsp:rsid wsp:val=&quot;00F77644&quot;/&gt;&lt;wsp:rsid wsp:val=&quot;00F77AAE&quot;/&gt;&lt;wsp:rsid wsp:val=&quot;00F80275&quot;/&gt;&lt;wsp:rsid wsp:val=&quot;00F802FC&quot;/&gt;&lt;wsp:rsid wsp:val=&quot;00F80C4F&quot;/&gt;&lt;wsp:rsid wsp:val=&quot;00F80D49&quot;/&gt;&lt;wsp:rsid wsp:val=&quot;00F81178&quot;/&gt;&lt;wsp:rsid wsp:val=&quot;00F81444&quot;/&gt;&lt;wsp:rsid wsp:val=&quot;00F818C1&quot;/&gt;&lt;wsp:rsid wsp:val=&quot;00F81966&quot;/&gt;&lt;wsp:rsid wsp:val=&quot;00F82197&quot;/&gt;&lt;wsp:rsid wsp:val=&quot;00F822E6&quot;/&gt;&lt;wsp:rsid wsp:val=&quot;00F835D4&quot;/&gt;&lt;wsp:rsid wsp:val=&quot;00F83677&quot;/&gt;&lt;wsp:rsid wsp:val=&quot;00F83BB6&quot;/&gt;&lt;wsp:rsid wsp:val=&quot;00F83C18&quot;/&gt;&lt;wsp:rsid wsp:val=&quot;00F83CD8&quot;/&gt;&lt;wsp:rsid wsp:val=&quot;00F84216&quot;/&gt;&lt;wsp:rsid wsp:val=&quot;00F8504E&quot;/&gt;&lt;wsp:rsid wsp:val=&quot;00F85052&quot;/&gt;&lt;wsp:rsid wsp:val=&quot;00F851A9&quot;/&gt;&lt;wsp:rsid wsp:val=&quot;00F85290&quot;/&gt;&lt;wsp:rsid wsp:val=&quot;00F852E2&quot;/&gt;&lt;wsp:rsid wsp:val=&quot;00F86373&quot;/&gt;&lt;wsp:rsid wsp:val=&quot;00F863BA&quot;/&gt;&lt;wsp:rsid wsp:val=&quot;00F8722E&quot;/&gt;&lt;wsp:rsid wsp:val=&quot;00F87766&quot;/&gt;&lt;wsp:rsid wsp:val=&quot;00F877FB&quot;/&gt;&lt;wsp:rsid wsp:val=&quot;00F9023B&quot;/&gt;&lt;wsp:rsid wsp:val=&quot;00F90624&quot;/&gt;&lt;wsp:rsid wsp:val=&quot;00F906FF&quot;/&gt;&lt;wsp:rsid wsp:val=&quot;00F908D6&quot;/&gt;&lt;wsp:rsid wsp:val=&quot;00F90D29&quot;/&gt;&lt;wsp:rsid wsp:val=&quot;00F90D50&quot;/&gt;&lt;wsp:rsid wsp:val=&quot;00F91320&quot;/&gt;&lt;wsp:rsid wsp:val=&quot;00F9138D&quot;/&gt;&lt;wsp:rsid wsp:val=&quot;00F91546&quot;/&gt;&lt;wsp:rsid wsp:val=&quot;00F921E5&quot;/&gt;&lt;wsp:rsid wsp:val=&quot;00F9234D&quot;/&gt;&lt;wsp:rsid wsp:val=&quot;00F925D7&quot;/&gt;&lt;wsp:rsid wsp:val=&quot;00F92AED&quot;/&gt;&lt;wsp:rsid wsp:val=&quot;00F92DC7&quot;/&gt;&lt;wsp:rsid wsp:val=&quot;00F92EEE&quot;/&gt;&lt;wsp:rsid wsp:val=&quot;00F92FA9&quot;/&gt;&lt;wsp:rsid wsp:val=&quot;00F93023&quot;/&gt;&lt;wsp:rsid wsp:val=&quot;00F93048&quot;/&gt;&lt;wsp:rsid wsp:val=&quot;00F9313D&quot;/&gt;&lt;wsp:rsid wsp:val=&quot;00F9364B&quot;/&gt;&lt;wsp:rsid wsp:val=&quot;00F937B8&quot;/&gt;&lt;wsp:rsid wsp:val=&quot;00F93B13&quot;/&gt;&lt;wsp:rsid wsp:val=&quot;00F93B1D&quot;/&gt;&lt;wsp:rsid wsp:val=&quot;00F9412E&quot;/&gt;&lt;wsp:rsid wsp:val=&quot;00F942B6&quot;/&gt;&lt;wsp:rsid wsp:val=&quot;00F94342&quot;/&gt;&lt;wsp:rsid wsp:val=&quot;00F95173&quot;/&gt;&lt;wsp:rsid wsp:val=&quot;00F95567&quot;/&gt;&lt;wsp:rsid wsp:val=&quot;00F95BD7&quot;/&gt;&lt;wsp:rsid wsp:val=&quot;00F960E3&quot;/&gt;&lt;wsp:rsid wsp:val=&quot;00F9623B&quot;/&gt;&lt;wsp:rsid wsp:val=&quot;00F96422&quot;/&gt;&lt;wsp:rsid wsp:val=&quot;00F96684&quot;/&gt;&lt;wsp:rsid wsp:val=&quot;00F96763&quot;/&gt;&lt;wsp:rsid wsp:val=&quot;00F96A76&quot;/&gt;&lt;wsp:rsid wsp:val=&quot;00F96BC3&quot;/&gt;&lt;wsp:rsid wsp:val=&quot;00F96BEB&quot;/&gt;&lt;wsp:rsid wsp:val=&quot;00F96CA8&quot;/&gt;&lt;wsp:rsid wsp:val=&quot;00F97C96&quot;/&gt;&lt;wsp:rsid wsp:val=&quot;00F97DAE&quot;/&gt;&lt;wsp:rsid wsp:val=&quot;00FA01BA&quot;/&gt;&lt;wsp:rsid wsp:val=&quot;00FA020C&quot;/&gt;&lt;wsp:rsid wsp:val=&quot;00FA0564&quot;/&gt;&lt;wsp:rsid wsp:val=&quot;00FA0738&quot;/&gt;&lt;wsp:rsid wsp:val=&quot;00FA0B4F&quot;/&gt;&lt;wsp:rsid wsp:val=&quot;00FA1308&quot;/&gt;&lt;wsp:rsid wsp:val=&quot;00FA137E&quot;/&gt;&lt;wsp:rsid wsp:val=&quot;00FA1ACF&quot;/&gt;&lt;wsp:rsid wsp:val=&quot;00FA1BA2&quot;/&gt;&lt;wsp:rsid wsp:val=&quot;00FA1E3F&quot;/&gt;&lt;wsp:rsid wsp:val=&quot;00FA2174&quot;/&gt;&lt;wsp:rsid wsp:val=&quot;00FA23E8&quot;/&gt;&lt;wsp:rsid wsp:val=&quot;00FA2914&quot;/&gt;&lt;wsp:rsid wsp:val=&quot;00FA2B2E&quot;/&gt;&lt;wsp:rsid wsp:val=&quot;00FA2B62&quot;/&gt;&lt;wsp:rsid wsp:val=&quot;00FA30F2&quot;/&gt;&lt;wsp:rsid wsp:val=&quot;00FA37F8&quot;/&gt;&lt;wsp:rsid wsp:val=&quot;00FA3C42&quot;/&gt;&lt;wsp:rsid wsp:val=&quot;00FA4625&quot;/&gt;&lt;wsp:rsid wsp:val=&quot;00FA4687&quot;/&gt;&lt;wsp:rsid wsp:val=&quot;00FA48D3&quot;/&gt;&lt;wsp:rsid wsp:val=&quot;00FA499D&quot;/&gt;&lt;wsp:rsid wsp:val=&quot;00FA4A25&quot;/&gt;&lt;wsp:rsid wsp:val=&quot;00FA4B70&quot;/&gt;&lt;wsp:rsid wsp:val=&quot;00FA4CB6&quot;/&gt;&lt;wsp:rsid wsp:val=&quot;00FA4CF3&quot;/&gt;&lt;wsp:rsid wsp:val=&quot;00FA4DAB&quot;/&gt;&lt;wsp:rsid wsp:val=&quot;00FA5641&quot;/&gt;&lt;wsp:rsid wsp:val=&quot;00FA56A7&quot;/&gt;&lt;wsp:rsid wsp:val=&quot;00FA5BAB&quot;/&gt;&lt;wsp:rsid wsp:val=&quot;00FA60EC&quot;/&gt;&lt;wsp:rsid wsp:val=&quot;00FA66AD&quot;/&gt;&lt;wsp:rsid wsp:val=&quot;00FA6C75&quot;/&gt;&lt;wsp:rsid wsp:val=&quot;00FA6DE2&quot;/&gt;&lt;wsp:rsid wsp:val=&quot;00FA7042&quot;/&gt;&lt;wsp:rsid wsp:val=&quot;00FA78C8&quot;/&gt;&lt;wsp:rsid wsp:val=&quot;00FB024C&quot;/&gt;&lt;wsp:rsid wsp:val=&quot;00FB0C29&quot;/&gt;&lt;wsp:rsid wsp:val=&quot;00FB0CE8&quot;/&gt;&lt;wsp:rsid wsp:val=&quot;00FB0F90&quot;/&gt;&lt;wsp:rsid wsp:val=&quot;00FB12D1&quot;/&gt;&lt;wsp:rsid wsp:val=&quot;00FB15AB&quot;/&gt;&lt;wsp:rsid wsp:val=&quot;00FB18B2&quot;/&gt;&lt;wsp:rsid wsp:val=&quot;00FB22A3&quot;/&gt;&lt;wsp:rsid wsp:val=&quot;00FB3017&quot;/&gt;&lt;wsp:rsid wsp:val=&quot;00FB3377&quot;/&gt;&lt;wsp:rsid wsp:val=&quot;00FB34A9&quot;/&gt;&lt;wsp:rsid wsp:val=&quot;00FB3D7C&quot;/&gt;&lt;wsp:rsid wsp:val=&quot;00FB4408&quot;/&gt;&lt;wsp:rsid wsp:val=&quot;00FB4510&quot;/&gt;&lt;wsp:rsid wsp:val=&quot;00FB45DE&quot;/&gt;&lt;wsp:rsid wsp:val=&quot;00FB4625&quot;/&gt;&lt;wsp:rsid wsp:val=&quot;00FB5DF8&quot;/&gt;&lt;wsp:rsid wsp:val=&quot;00FB63E9&quot;/&gt;&lt;wsp:rsid wsp:val=&quot;00FB68A1&quot;/&gt;&lt;wsp:rsid wsp:val=&quot;00FB6AEA&quot;/&gt;&lt;wsp:rsid wsp:val=&quot;00FB6E0A&quot;/&gt;&lt;wsp:rsid wsp:val=&quot;00FB6F95&quot;/&gt;&lt;wsp:rsid wsp:val=&quot;00FB7175&quot;/&gt;&lt;wsp:rsid wsp:val=&quot;00FB74CB&quot;/&gt;&lt;wsp:rsid wsp:val=&quot;00FB7DE5&quot;/&gt;&lt;wsp:rsid wsp:val=&quot;00FB7F7E&quot;/&gt;&lt;wsp:rsid wsp:val=&quot;00FC061B&quot;/&gt;&lt;wsp:rsid wsp:val=&quot;00FC06D0&quot;/&gt;&lt;wsp:rsid wsp:val=&quot;00FC16D5&quot;/&gt;&lt;wsp:rsid wsp:val=&quot;00FC172C&quot;/&gt;&lt;wsp:rsid wsp:val=&quot;00FC1C86&quot;/&gt;&lt;wsp:rsid wsp:val=&quot;00FC1CB2&quot;/&gt;&lt;wsp:rsid wsp:val=&quot;00FC24D1&quot;/&gt;&lt;wsp:rsid wsp:val=&quot;00FC30DD&quot;/&gt;&lt;wsp:rsid wsp:val=&quot;00FC3ADF&quot;/&gt;&lt;wsp:rsid wsp:val=&quot;00FC3B90&quot;/&gt;&lt;wsp:rsid wsp:val=&quot;00FC3BF9&quot;/&gt;&lt;wsp:rsid wsp:val=&quot;00FC4018&quot;/&gt;&lt;wsp:rsid wsp:val=&quot;00FC4050&quot;/&gt;&lt;wsp:rsid wsp:val=&quot;00FC41D5&quot;/&gt;&lt;wsp:rsid wsp:val=&quot;00FC4C6A&quot;/&gt;&lt;wsp:rsid wsp:val=&quot;00FC4C77&quot;/&gt;&lt;wsp:rsid wsp:val=&quot;00FC563D&quot;/&gt;&lt;wsp:rsid wsp:val=&quot;00FC5684&quot;/&gt;&lt;wsp:rsid wsp:val=&quot;00FC608E&quot;/&gt;&lt;wsp:rsid wsp:val=&quot;00FC6B75&quot;/&gt;&lt;wsp:rsid wsp:val=&quot;00FC74DD&quot;/&gt;&lt;wsp:rsid wsp:val=&quot;00FC7546&quot;/&gt;&lt;wsp:rsid wsp:val=&quot;00FC75E1&quot;/&gt;&lt;wsp:rsid wsp:val=&quot;00FC7C38&quot;/&gt;&lt;wsp:rsid wsp:val=&quot;00FD0474&quot;/&gt;&lt;wsp:rsid wsp:val=&quot;00FD0959&quot;/&gt;&lt;wsp:rsid wsp:val=&quot;00FD100D&quot;/&gt;&lt;wsp:rsid wsp:val=&quot;00FD13E1&quot;/&gt;&lt;wsp:rsid wsp:val=&quot;00FD20FE&quot;/&gt;&lt;wsp:rsid wsp:val=&quot;00FD21A7&quot;/&gt;&lt;wsp:rsid wsp:val=&quot;00FD30F7&quot;/&gt;&lt;wsp:rsid wsp:val=&quot;00FD3299&quot;/&gt;&lt;wsp:rsid wsp:val=&quot;00FD38E6&quot;/&gt;&lt;wsp:rsid wsp:val=&quot;00FD3AEB&quot;/&gt;&lt;wsp:rsid wsp:val=&quot;00FD3E0E&quot;/&gt;&lt;wsp:rsid wsp:val=&quot;00FD4358&quot;/&gt;&lt;wsp:rsid wsp:val=&quot;00FD4970&quot;/&gt;&lt;wsp:rsid wsp:val=&quot;00FD4D62&quot;/&gt;&lt;wsp:rsid wsp:val=&quot;00FD4F58&quot;/&gt;&lt;wsp:rsid wsp:val=&quot;00FD58E5&quot;/&gt;&lt;wsp:rsid wsp:val=&quot;00FD609F&quot;/&gt;&lt;wsp:rsid wsp:val=&quot;00FD6F02&quot;/&gt;&lt;wsp:rsid wsp:val=&quot;00FD6F1E&quot;/&gt;&lt;wsp:rsid wsp:val=&quot;00FD72D1&quot;/&gt;&lt;wsp:rsid wsp:val=&quot;00FD73A1&quot;/&gt;&lt;wsp:rsid wsp:val=&quot;00FD7501&quot;/&gt;&lt;wsp:rsid wsp:val=&quot;00FD7F40&quot;/&gt;&lt;wsp:rsid wsp:val=&quot;00FE0075&quot;/&gt;&lt;wsp:rsid wsp:val=&quot;00FE0B82&quot;/&gt;&lt;wsp:rsid wsp:val=&quot;00FE0E9B&quot;/&gt;&lt;wsp:rsid wsp:val=&quot;00FE0FB6&quot;/&gt;&lt;wsp:rsid wsp:val=&quot;00FE1737&quot;/&gt;&lt;wsp:rsid wsp:val=&quot;00FE2319&quot;/&gt;&lt;wsp:rsid wsp:val=&quot;00FE2989&quot;/&gt;&lt;wsp:rsid wsp:val=&quot;00FE2ACE&quot;/&gt;&lt;wsp:rsid wsp:val=&quot;00FE2E4F&quot;/&gt;&lt;wsp:rsid wsp:val=&quot;00FE3A9D&quot;/&gt;&lt;wsp:rsid wsp:val=&quot;00FE3EC2&quot;/&gt;&lt;wsp:rsid wsp:val=&quot;00FE406A&quot;/&gt;&lt;wsp:rsid wsp:val=&quot;00FE4BF2&quot;/&gt;&lt;wsp:rsid wsp:val=&quot;00FE5105&quot;/&gt;&lt;wsp:rsid wsp:val=&quot;00FE5622&quot;/&gt;&lt;wsp:rsid wsp:val=&quot;00FE5669&quot;/&gt;&lt;wsp:rsid wsp:val=&quot;00FE583C&quot;/&gt;&lt;wsp:rsid wsp:val=&quot;00FE5916&quot;/&gt;&lt;wsp:rsid wsp:val=&quot;00FE598C&quot;/&gt;&lt;wsp:rsid wsp:val=&quot;00FE5D28&quot;/&gt;&lt;wsp:rsid wsp:val=&quot;00FE5FC5&quot;/&gt;&lt;wsp:rsid wsp:val=&quot;00FE6246&quot;/&gt;&lt;wsp:rsid wsp:val=&quot;00FE7670&quot;/&gt;&lt;wsp:rsid wsp:val=&quot;00FE7AE4&quot;/&gt;&lt;wsp:rsid wsp:val=&quot;00FE7F2F&quot;/&gt;&lt;wsp:rsid wsp:val=&quot;00FF1083&quot;/&gt;&lt;wsp:rsid wsp:val=&quot;00FF1247&quot;/&gt;&lt;wsp:rsid wsp:val=&quot;00FF1397&quot;/&gt;&lt;wsp:rsid wsp:val=&quot;00FF14A8&quot;/&gt;&lt;wsp:rsid wsp:val=&quot;00FF150A&quot;/&gt;&lt;wsp:rsid wsp:val=&quot;00FF1719&quot;/&gt;&lt;wsp:rsid wsp:val=&quot;00FF19FD&quot;/&gt;&lt;wsp:rsid wsp:val=&quot;00FF1CF1&quot;/&gt;&lt;wsp:rsid wsp:val=&quot;00FF2619&quot;/&gt;&lt;wsp:rsid wsp:val=&quot;00FF32FC&quot;/&gt;&lt;wsp:rsid wsp:val=&quot;00FF3355&quot;/&gt;&lt;wsp:rsid wsp:val=&quot;00FF3540&quot;/&gt;&lt;wsp:rsid wsp:val=&quot;00FF3979&quot;/&gt;&lt;wsp:rsid wsp:val=&quot;00FF3ADA&quot;/&gt;&lt;wsp:rsid wsp:val=&quot;00FF3CDB&quot;/&gt;&lt;wsp:rsid wsp:val=&quot;00FF3D4C&quot;/&gt;&lt;wsp:rsid wsp:val=&quot;00FF431A&quot;/&gt;&lt;wsp:rsid wsp:val=&quot;00FF48AF&quot;/&gt;&lt;wsp:rsid wsp:val=&quot;00FF4C70&quot;/&gt;&lt;wsp:rsid wsp:val=&quot;00FF4C96&quot;/&gt;&lt;wsp:rsid wsp:val=&quot;00FF4E2D&quot;/&gt;&lt;wsp:rsid wsp:val=&quot;00FF4FC7&quot;/&gt;&lt;wsp:rsid wsp:val=&quot;00FF57B8&quot;/&gt;&lt;wsp:rsid wsp:val=&quot;00FF59D1&quot;/&gt;&lt;wsp:rsid wsp:val=&quot;00FF62D4&quot;/&gt;&lt;wsp:rsid wsp:val=&quot;00FF6374&quot;/&gt;&lt;wsp:rsid wsp:val=&quot;00FF6A1B&quot;/&gt;&lt;wsp:rsid wsp:val=&quot;00FF6AFD&quot;/&gt;&lt;wsp:rsid wsp:val=&quot;00FF7210&quot;/&gt;&lt;wsp:rsid wsp:val=&quot;00FF74F4&quot;/&gt;&lt;wsp:rsid wsp:val=&quot;00FF797F&quot;/&gt;&lt;wsp:rsid wsp:val=&quot;00FF7B89&quot;/&gt;&lt;wsp:rsid wsp:val=&quot;01904007&quot;/&gt;&lt;wsp:rsid wsp:val=&quot;01B52F7F&quot;/&gt;&lt;wsp:rsid wsp:val=&quot;02920095&quot;/&gt;&lt;wsp:rsid wsp:val=&quot;02B37479&quot;/&gt;&lt;wsp:rsid wsp:val=&quot;02FE2009&quot;/&gt;&lt;wsp:rsid wsp:val=&quot;0323755B&quot;/&gt;&lt;wsp:rsid wsp:val=&quot;03553E87&quot;/&gt;&lt;wsp:rsid wsp:val=&quot;03A5656E&quot;/&gt;&lt;wsp:rsid wsp:val=&quot;03BA728A&quot;/&gt;&lt;wsp:rsid wsp:val=&quot;03EE0A38&quot;/&gt;&lt;wsp:rsid wsp:val=&quot;04421A04&quot;/&gt;&lt;wsp:rsid wsp:val=&quot;044B2B57&quot;/&gt;&lt;wsp:rsid wsp:val=&quot;04596379&quot;/&gt;&lt;wsp:rsid wsp:val=&quot;053F4E39&quot;/&gt;&lt;wsp:rsid wsp:val=&quot;056A6865&quot;/&gt;&lt;wsp:rsid wsp:val=&quot;05957097&quot;/&gt;&lt;wsp:rsid wsp:val=&quot;05E01426&quot;/&gt;&lt;wsp:rsid wsp:val=&quot;05F645A1&quot;/&gt;&lt;wsp:rsid wsp:val=&quot;07166A08&quot;/&gt;&lt;wsp:rsid wsp:val=&quot;072B69E6&quot;/&gt;&lt;wsp:rsid wsp:val=&quot;076A13D5&quot;/&gt;&lt;wsp:rsid wsp:val=&quot;07D773D9&quot;/&gt;&lt;wsp:rsid wsp:val=&quot;080404DD&quot;/&gt;&lt;wsp:rsid wsp:val=&quot;0827789D&quot;/&gt;&lt;wsp:rsid wsp:val=&quot;086806A7&quot;/&gt;&lt;wsp:rsid wsp:val=&quot;08D94574&quot;/&gt;&lt;wsp:rsid wsp:val=&quot;09167866&quot;/&gt;&lt;wsp:rsid wsp:val=&quot;092B0E42&quot;/&gt;&lt;wsp:rsid wsp:val=&quot;094C3896&quot;/&gt;&lt;wsp:rsid wsp:val=&quot;099D379E&quot;/&gt;&lt;wsp:rsid wsp:val=&quot;09E276C0&quot;/&gt;&lt;wsp:rsid wsp:val=&quot;09ED0EB9&quot;/&gt;&lt;wsp:rsid wsp:val=&quot;09F95097&quot;/&gt;&lt;wsp:rsid wsp:val=&quot;0A21406A&quot;/&gt;&lt;wsp:rsid wsp:val=&quot;0A4773D0&quot;/&gt;&lt;wsp:rsid wsp:val=&quot;0A565F04&quot;/&gt;&lt;wsp:rsid wsp:val=&quot;0A5F2353&quot;/&gt;&lt;wsp:rsid wsp:val=&quot;0ABD5FBA&quot;/&gt;&lt;wsp:rsid wsp:val=&quot;0B5A2007&quot;/&gt;&lt;wsp:rsid wsp:val=&quot;0B7B3911&quot;/&gt;&lt;wsp:rsid wsp:val=&quot;0BF201A5&quot;/&gt;&lt;wsp:rsid wsp:val=&quot;0C5E3A38&quot;/&gt;&lt;wsp:rsid wsp:val=&quot;0C7D34DA&quot;/&gt;&lt;wsp:rsid wsp:val=&quot;0CB005DE&quot;/&gt;&lt;wsp:rsid wsp:val=&quot;0D08446E&quot;/&gt;&lt;wsp:rsid wsp:val=&quot;0D2B78E3&quot;/&gt;&lt;wsp:rsid wsp:val=&quot;0D4E4DAD&quot;/&gt;&lt;wsp:rsid wsp:val=&quot;0D51796B&quot;/&gt;&lt;wsp:rsid wsp:val=&quot;0D666B65&quot;/&gt;&lt;wsp:rsid wsp:val=&quot;0D9B676D&quot;/&gt;&lt;wsp:rsid wsp:val=&quot;0DCD44D3&quot;/&gt;&lt;wsp:rsid wsp:val=&quot;0DF441E4&quot;/&gt;&lt;wsp:rsid wsp:val=&quot;0E665707&quot;/&gt;&lt;wsp:rsid wsp:val=&quot;0EB1331A&quot;/&gt;&lt;wsp:rsid wsp:val=&quot;0EDC7530&quot;/&gt;&lt;wsp:rsid wsp:val=&quot;0EDE5C75&quot;/&gt;&lt;wsp:rsid wsp:val=&quot;0EE36FD4&quot;/&gt;&lt;wsp:rsid wsp:val=&quot;0F955D60&quot;/&gt;&lt;wsp:rsid wsp:val=&quot;0FA90366&quot;/&gt;&lt;wsp:rsid wsp:val=&quot;0FF33576&quot;/&gt;&lt;wsp:rsid wsp:val=&quot;101D5AE6&quot;/&gt;&lt;wsp:rsid wsp:val=&quot;103D5811&quot;/&gt;&lt;wsp:rsid wsp:val=&quot;106E4209&quot;/&gt;&lt;wsp:rsid wsp:val=&quot;108630D2&quot;/&gt;&lt;wsp:rsid wsp:val=&quot;10883793&quot;/&gt;&lt;wsp:rsid wsp:val=&quot;108B1CFD&quot;/&gt;&lt;wsp:rsid wsp:val=&quot;109B144E&quot;/&gt;&lt;wsp:rsid wsp:val=&quot;10B46EE2&quot;/&gt;&lt;wsp:rsid wsp:val=&quot;10CC691B&quot;/&gt;&lt;wsp:rsid wsp:val=&quot;110D4BBB&quot;/&gt;&lt;wsp:rsid wsp:val=&quot;11165221&quot;/&gt;&lt;wsp:rsid wsp:val=&quot;115437EB&quot;/&gt;&lt;wsp:rsid wsp:val=&quot;12487426&quot;/&gt;&lt;wsp:rsid wsp:val=&quot;13487CE2&quot;/&gt;&lt;wsp:rsid wsp:val=&quot;13BB6E4D&quot;/&gt;&lt;wsp:rsid wsp:val=&quot;13C771A7&quot;/&gt;&lt;wsp:rsid wsp:val=&quot;145D37A8&quot;/&gt;&lt;wsp:rsid wsp:val=&quot;151A407D&quot;/&gt;&lt;wsp:rsid wsp:val=&quot;152067EE&quot;/&gt;&lt;wsp:rsid wsp:val=&quot;1609079A&quot;/&gt;&lt;wsp:rsid wsp:val=&quot;160D7807&quot;/&gt;&lt;wsp:rsid wsp:val=&quot;16315934&quot;/&gt;&lt;wsp:rsid wsp:val=&quot;164E43DF&quot;/&gt;&lt;wsp:rsid wsp:val=&quot;16707602&quot;/&gt;&lt;wsp:rsid wsp:val=&quot;16BC0232&quot;/&gt;&lt;wsp:rsid wsp:val=&quot;16EE1DF7&quot;/&gt;&lt;wsp:rsid wsp:val=&quot;171F61DF&quot;/&gt;&lt;wsp:rsid wsp:val=&quot;1783778D&quot;/&gt;&lt;wsp:rsid wsp:val=&quot;17C14FC3&quot;/&gt;&lt;wsp:rsid wsp:val=&quot;17EF7588&quot;/&gt;&lt;wsp:rsid wsp:val=&quot;183F1BA5&quot;/&gt;&lt;wsp:rsid wsp:val=&quot;184F140A&quot;/&gt;&lt;wsp:rsid wsp:val=&quot;186F37E2&quot;/&gt;&lt;wsp:rsid wsp:val=&quot;18FB0F66&quot;/&gt;&lt;wsp:rsid wsp:val=&quot;18FB7085&quot;/&gt;&lt;wsp:rsid wsp:val=&quot;19162B71&quot;/&gt;&lt;wsp:rsid wsp:val=&quot;19715863&quot;/&gt;&lt;wsp:rsid wsp:val=&quot;198753E9&quot;/&gt;&lt;wsp:rsid wsp:val=&quot;19C90D7B&quot;/&gt;&lt;wsp:rsid wsp:val=&quot;1A7B33B3&quot;/&gt;&lt;wsp:rsid wsp:val=&quot;1A88652C&quot;/&gt;&lt;wsp:rsid wsp:val=&quot;1A8F752E&quot;/&gt;&lt;wsp:rsid wsp:val=&quot;1A953298&quot;/&gt;&lt;wsp:rsid wsp:val=&quot;1AD95BC6&quot;/&gt;&lt;wsp:rsid wsp:val=&quot;1B5416E1&quot;/&gt;&lt;wsp:rsid wsp:val=&quot;1B565900&quot;/&gt;&lt;wsp:rsid wsp:val=&quot;1BCE3E3D&quot;/&gt;&lt;wsp:rsid wsp:val=&quot;1C4E50B2&quot;/&gt;&lt;wsp:rsid wsp:val=&quot;1C943B2A&quot;/&gt;&lt;wsp:rsid wsp:val=&quot;1CA71586&quot;/&gt;&lt;wsp:rsid wsp:val=&quot;1CB01854&quot;/&gt;&lt;wsp:rsid wsp:val=&quot;1D533F6A&quot;/&gt;&lt;wsp:rsid wsp:val=&quot;1D8C54C6&quot;/&gt;&lt;wsp:rsid wsp:val=&quot;1D933007&quot;/&gt;&lt;wsp:rsid wsp:val=&quot;1DB179FD&quot;/&gt;&lt;wsp:rsid wsp:val=&quot;1DE567F3&quot;/&gt;&lt;wsp:rsid wsp:val=&quot;1E8929A6&quot;/&gt;&lt;wsp:rsid wsp:val=&quot;1EC70060&quot;/&gt;&lt;wsp:rsid wsp:val=&quot;1EF27054&quot;/&gt;&lt;wsp:rsid wsp:val=&quot;1F2D5BAC&quot;/&gt;&lt;wsp:rsid wsp:val=&quot;1FFE0A96&quot;/&gt;&lt;wsp:rsid wsp:val=&quot;200640FC&quot;/&gt;&lt;wsp:rsid wsp:val=&quot;209C0BDB&quot;/&gt;&lt;wsp:rsid wsp:val=&quot;20B84BB9&quot;/&gt;&lt;wsp:rsid wsp:val=&quot;20BB38E7&quot;/&gt;&lt;wsp:rsid wsp:val=&quot;218B773D&quot;/&gt;&lt;wsp:rsid wsp:val=&quot;21AC6F9D&quot;/&gt;&lt;wsp:rsid wsp:val=&quot;21C16FD7&quot;/&gt;&lt;wsp:rsid wsp:val=&quot;224E132E&quot;/&gt;&lt;wsp:rsid wsp:val=&quot;22773A35&quot;/&gt;&lt;wsp:rsid wsp:val=&quot;22C244A5&quot;/&gt;&lt;wsp:rsid wsp:val=&quot;22CA5EAA&quot;/&gt;&lt;wsp:rsid wsp:val=&quot;231A049F&quot;/&gt;&lt;wsp:rsid wsp:val=&quot;239B6ED3&quot;/&gt;&lt;wsp:rsid wsp:val=&quot;23DF2CE7&quot;/&gt;&lt;wsp:rsid wsp:val=&quot;24490971&quot;/&gt;&lt;wsp:rsid wsp:val=&quot;248A2873&quot;/&gt;&lt;wsp:rsid wsp:val=&quot;24B91B41&quot;/&gt;&lt;wsp:rsid wsp:val=&quot;25020AE4&quot;/&gt;&lt;wsp:rsid wsp:val=&quot;251004E7&quot;/&gt;&lt;wsp:rsid wsp:val=&quot;25AF7328&quot;/&gt;&lt;wsp:rsid wsp:val=&quot;25CA697A&quot;/&gt;&lt;wsp:rsid wsp:val=&quot;26336213&quot;/&gt;&lt;wsp:rsid wsp:val=&quot;266712D5&quot;/&gt;&lt;wsp:rsid wsp:val=&quot;266B7CE1&quot;/&gt;&lt;wsp:rsid wsp:val=&quot;26C82176&quot;/&gt;&lt;wsp:rsid wsp:val=&quot;26FA7F38&quot;/&gt;&lt;wsp:rsid wsp:val=&quot;272357C9&quot;/&gt;&lt;wsp:rsid wsp:val=&quot;279E4B32&quot;/&gt;&lt;wsp:rsid wsp:val=&quot;27CC0F8A&quot;/&gt;&lt;wsp:rsid wsp:val=&quot;28362D4D&quot;/&gt;&lt;wsp:rsid wsp:val=&quot;28834FC2&quot;/&gt;&lt;wsp:rsid wsp:val=&quot;288D067D&quot;/&gt;&lt;wsp:rsid wsp:val=&quot;28BB61B8&quot;/&gt;&lt;wsp:rsid wsp:val=&quot;28C424DA&quot;/&gt;&lt;wsp:rsid wsp:val=&quot;28EF6012&quot;/&gt;&lt;wsp:rsid wsp:val=&quot;293943AB&quot;/&gt;&lt;wsp:rsid wsp:val=&quot;294A5328&quot;/&gt;&lt;wsp:rsid wsp:val=&quot;29562CBE&quot;/&gt;&lt;wsp:rsid wsp:val=&quot;297C1EF1&quot;/&gt;&lt;wsp:rsid wsp:val=&quot;29986D6E&quot;/&gt;&lt;wsp:rsid wsp:val=&quot;29B82DF9&quot;/&gt;&lt;wsp:rsid wsp:val=&quot;29DA2123&quot;/&gt;&lt;wsp:rsid wsp:val=&quot;2A1358E7&quot;/&gt;&lt;wsp:rsid wsp:val=&quot;2A1424A2&quot;/&gt;&lt;wsp:rsid wsp:val=&quot;2A2C044F&quot;/&gt;&lt;wsp:rsid wsp:val=&quot;2A5976D6&quot;/&gt;&lt;wsp:rsid wsp:val=&quot;2A667EDB&quot;/&gt;&lt;wsp:rsid wsp:val=&quot;2A867DD6&quot;/&gt;&lt;wsp:rsid wsp:val=&quot;2A9A10B9&quot;/&gt;&lt;wsp:rsid wsp:val=&quot;2ACD3BEC&quot;/&gt;&lt;wsp:rsid wsp:val=&quot;2BA528F7&quot;/&gt;&lt;wsp:rsid wsp:val=&quot;2C592B9B&quot;/&gt;&lt;wsp:rsid wsp:val=&quot;2CA96BB4&quot;/&gt;&lt;wsp:rsid wsp:val=&quot;2CC060EE&quot;/&gt;&lt;wsp:rsid wsp:val=&quot;2CEB42EE&quot;/&gt;&lt;wsp:rsid wsp:val=&quot;2CEE1C6D&quot;/&gt;&lt;wsp:rsid wsp:val=&quot;2CF94377&quot;/&gt;&lt;wsp:rsid wsp:val=&quot;2D60265C&quot;/&gt;&lt;wsp:rsid wsp:val=&quot;2D90533A&quot;/&gt;&lt;wsp:rsid wsp:val=&quot;2E75070D&quot;/&gt;&lt;wsp:rsid wsp:val=&quot;2E75790E&quot;/&gt;&lt;wsp:rsid wsp:val=&quot;2E9C7473&quot;/&gt;&lt;wsp:rsid wsp:val=&quot;2EB47F6B&quot;/&gt;&lt;wsp:rsid wsp:val=&quot;2FAF4850&quot;/&gt;&lt;wsp:rsid wsp:val=&quot;2FD15770&quot;/&gt;&lt;wsp:rsid wsp:val=&quot;305F12C7&quot;/&gt;&lt;wsp:rsid wsp:val=&quot;30B7776F&quot;/&gt;&lt;wsp:rsid wsp:val=&quot;31303E97&quot;/&gt;&lt;wsp:rsid wsp:val=&quot;31BC7E43&quot;/&gt;&lt;wsp:rsid wsp:val=&quot;322E27C9&quot;/&gt;&lt;wsp:rsid wsp:val=&quot;3268631D&quot;/&gt;&lt;wsp:rsid wsp:val=&quot;32B6014E&quot;/&gt;&lt;wsp:rsid wsp:val=&quot;33983990&quot;/&gt;&lt;wsp:rsid wsp:val=&quot;339972D2&quot;/&gt;&lt;wsp:rsid wsp:val=&quot;339A2B59&quot;/&gt;&lt;wsp:rsid wsp:val=&quot;33C1435D&quot;/&gt;&lt;wsp:rsid wsp:val=&quot;33C57E14&quot;/&gt;&lt;wsp:rsid wsp:val=&quot;33E312BB&quot;/&gt;&lt;wsp:rsid wsp:val=&quot;33EB32F2&quot;/&gt;&lt;wsp:rsid wsp:val=&quot;33ED430A&quot;/&gt;&lt;wsp:rsid wsp:val=&quot;34A777FF&quot;/&gt;&lt;wsp:rsid wsp:val=&quot;34AD215C&quot;/&gt;&lt;wsp:rsid wsp:val=&quot;356F4861&quot;/&gt;&lt;wsp:rsid wsp:val=&quot;35744F05&quot;/&gt;&lt;wsp:rsid wsp:val=&quot;35D65175&quot;/&gt;&lt;wsp:rsid wsp:val=&quot;36724672&quot;/&gt;&lt;wsp:rsid wsp:val=&quot;369F1C1F&quot;/&gt;&lt;wsp:rsid wsp:val=&quot;36C46922&quot;/&gt;&lt;wsp:rsid wsp:val=&quot;374F3B2F&quot;/&gt;&lt;wsp:rsid wsp:val=&quot;376003CF&quot;/&gt;&lt;wsp:rsid wsp:val=&quot;376D0368&quot;/&gt;&lt;wsp:rsid wsp:val=&quot;37E32F9A&quot;/&gt;&lt;wsp:rsid wsp:val=&quot;37F560F4&quot;/&gt;&lt;wsp:rsid wsp:val=&quot;389B6149&quot;/&gt;&lt;wsp:rsid wsp:val=&quot;389E5AAC&quot;/&gt;&lt;wsp:rsid wsp:val=&quot;38D618CA&quot;/&gt;&lt;wsp:rsid wsp:val=&quot;39014F7D&quot;/&gt;&lt;wsp:rsid wsp:val=&quot;39417FF5&quot;/&gt;&lt;wsp:rsid wsp:val=&quot;39532D82&quot;/&gt;&lt;wsp:rsid wsp:val=&quot;39A21F72&quot;/&gt;&lt;wsp:rsid wsp:val=&quot;39C31AF2&quot;/&gt;&lt;wsp:rsid wsp:val=&quot;39C36A5B&quot;/&gt;&lt;wsp:rsid wsp:val=&quot;39DA4BD5&quot;/&gt;&lt;wsp:rsid wsp:val=&quot;3A150264&quot;/&gt;&lt;wsp:rsid wsp:val=&quot;3A6B28F3&quot;/&gt;&lt;wsp:rsid wsp:val=&quot;3BD77ED0&quot;/&gt;&lt;wsp:rsid wsp:val=&quot;3BF7356A&quot;/&gt;&lt;wsp:rsid wsp:val=&quot;3C3B6104&quot;/&gt;&lt;wsp:rsid wsp:val=&quot;3C544E6E&quot;/&gt;&lt;wsp:rsid wsp:val=&quot;3C937972&quot;/&gt;&lt;wsp:rsid wsp:val=&quot;3CC06927&quot;/&gt;&lt;wsp:rsid wsp:val=&quot;3D853B21&quot;/&gt;&lt;wsp:rsid wsp:val=&quot;3DAF2871&quot;/&gt;&lt;wsp:rsid wsp:val=&quot;3E0165C6&quot;/&gt;&lt;wsp:rsid wsp:val=&quot;3E2C3208&quot;/&gt;&lt;wsp:rsid wsp:val=&quot;3E821DCF&quot;/&gt;&lt;wsp:rsid wsp:val=&quot;3EE90255&quot;/&gt;&lt;wsp:rsid wsp:val=&quot;3F1324E3&quot;/&gt;&lt;wsp:rsid wsp:val=&quot;3F195879&quot;/&gt;&lt;wsp:rsid wsp:val=&quot;3F1B2688&quot;/&gt;&lt;wsp:rsid wsp:val=&quot;3FF56548&quot;/&gt;&lt;wsp:rsid wsp:val=&quot;3FFE6A7F&quot;/&gt;&lt;wsp:rsid wsp:val=&quot;4015585F&quot;/&gt;&lt;wsp:rsid wsp:val=&quot;417F46C5&quot;/&gt;&lt;wsp:rsid wsp:val=&quot;422755D9&quot;/&gt;&lt;wsp:rsid wsp:val=&quot;42652B3F&quot;/&gt;&lt;wsp:rsid wsp:val=&quot;42E875BF&quot;/&gt;&lt;wsp:rsid wsp:val=&quot;433E3666&quot;/&gt;&lt;wsp:rsid wsp:val=&quot;43633399&quot;/&gt;&lt;wsp:rsid wsp:val=&quot;43B12C78&quot;/&gt;&lt;wsp:rsid wsp:val=&quot;448501F9&quot;/&gt;&lt;wsp:rsid wsp:val=&quot;44AE1FAF&quot;/&gt;&lt;wsp:rsid wsp:val=&quot;44E81115&quot;/&gt;&lt;wsp:rsid wsp:val=&quot;456304C5&quot;/&gt;&lt;wsp:rsid wsp:val=&quot;45BD215A&quot;/&gt;&lt;wsp:rsid wsp:val=&quot;45CD1A46&quot;/&gt;&lt;wsp:rsid wsp:val=&quot;462D0C89&quot;/&gt;&lt;wsp:rsid wsp:val=&quot;4636084B&quot;/&gt;&lt;wsp:rsid wsp:val=&quot;46506C11&quot;/&gt;&lt;wsp:rsid wsp:val=&quot;46DF32AF&quot;/&gt;&lt;wsp:rsid wsp:val=&quot;472F3A5C&quot;/&gt;&lt;wsp:rsid wsp:val=&quot;47594679&quot;/&gt;&lt;wsp:rsid wsp:val=&quot;47ED5B5F&quot;/&gt;&lt;wsp:rsid wsp:val=&quot;47FD6FCC&quot;/&gt;&lt;wsp:rsid wsp:val=&quot;48347217&quot;/&gt;&lt;wsp:rsid wsp:val=&quot;48B64B23&quot;/&gt;&lt;wsp:rsid wsp:val=&quot;48F96550&quot;/&gt;&lt;wsp:rsid wsp:val=&quot;492679B2&quot;/&gt;&lt;wsp:rsid wsp:val=&quot;49497B6C&quot;/&gt;&lt;wsp:rsid wsp:val=&quot;49660A12&quot;/&gt;&lt;wsp:rsid wsp:val=&quot;49C661D5&quot;/&gt;&lt;wsp:rsid wsp:val=&quot;49D626BA&quot;/&gt;&lt;wsp:rsid wsp:val=&quot;49EF206F&quot;/&gt;&lt;wsp:rsid wsp:val=&quot;4A1A2C9C&quot;/&gt;&lt;wsp:rsid wsp:val=&quot;4A350712&quot;/&gt;&lt;wsp:rsid wsp:val=&quot;4A4D411E&quot;/&gt;&lt;wsp:rsid wsp:val=&quot;4AB110E7&quot;/&gt;&lt;wsp:rsid wsp:val=&quot;4B0B5F1E&quot;/&gt;&lt;wsp:rsid wsp:val=&quot;4B3E4CC6&quot;/&gt;&lt;wsp:rsid wsp:val=&quot;4B9E2626&quot;/&gt;&lt;wsp:rsid wsp:val=&quot;4BC65E61&quot;/&gt;&lt;wsp:rsid wsp:val=&quot;4BDD7CAC&quot;/&gt;&lt;wsp:rsid wsp:val=&quot;4C3F3714&quot;/&gt;&lt;wsp:rsid wsp:val=&quot;4CB66873&quot;/&gt;&lt;wsp:rsid wsp:val=&quot;4D5512A6&quot;/&gt;&lt;wsp:rsid wsp:val=&quot;4D6E4BF8&quot;/&gt;&lt;wsp:rsid wsp:val=&quot;4DA451BE&quot;/&gt;&lt;wsp:rsid wsp:val=&quot;4DEE1582&quot;/&gt;&lt;wsp:rsid wsp:val=&quot;4E3F09D6&quot;/&gt;&lt;wsp:rsid wsp:val=&quot;4E4064A4&quot;/&gt;&lt;wsp:rsid wsp:val=&quot;4E787E97&quot;/&gt;&lt;wsp:rsid wsp:val=&quot;4E824921&quot;/&gt;&lt;wsp:rsid wsp:val=&quot;4E945A3C&quot;/&gt;&lt;wsp:rsid wsp:val=&quot;4EAF4003&quot;/&gt;&lt;wsp:rsid wsp:val=&quot;4ED55179&quot;/&gt;&lt;wsp:rsid wsp:val=&quot;4F2749C2&quot;/&gt;&lt;wsp:rsid wsp:val=&quot;4F405267&quot;/&gt;&lt;wsp:rsid wsp:val=&quot;4FA64580&quot;/&gt;&lt;wsp:rsid wsp:val=&quot;4FD74657&quot;/&gt;&lt;wsp:rsid wsp:val=&quot;4FE06A80&quot;/&gt;&lt;wsp:rsid wsp:val=&quot;4FE17582&quot;/&gt;&lt;wsp:rsid wsp:val=&quot;503F6DF4&quot;/&gt;&lt;wsp:rsid wsp:val=&quot;50905A3B&quot;/&gt;&lt;wsp:rsid wsp:val=&quot;50A91494&quot;/&gt;&lt;wsp:rsid wsp:val=&quot;50AF506E&quot;/&gt;&lt;wsp:rsid wsp:val=&quot;50D7647F&quot;/&gt;&lt;wsp:rsid wsp:val=&quot;51262697&quot;/&gt;&lt;wsp:rsid wsp:val=&quot;513C0A75&quot;/&gt;&lt;wsp:rsid wsp:val=&quot;51843EF1&quot;/&gt;&lt;wsp:rsid wsp:val=&quot;519C5CD8&quot;/&gt;&lt;wsp:rsid wsp:val=&quot;51AB1600&quot;/&gt;&lt;wsp:rsid wsp:val=&quot;52033936&quot;/&gt;&lt;wsp:rsid wsp:val=&quot;522B56F7&quot;/&gt;&lt;wsp:rsid wsp:val=&quot;52562BF1&quot;/&gt;&lt;wsp:rsid wsp:val=&quot;526A1AAB&quot;/&gt;&lt;wsp:rsid wsp:val=&quot;527E482E&quot;/&gt;&lt;wsp:rsid wsp:val=&quot;52A20D24&quot;/&gt;&lt;wsp:rsid wsp:val=&quot;52CD48B5&quot;/&gt;&lt;wsp:rsid wsp:val=&quot;532A7E1B&quot;/&gt;&lt;wsp:rsid wsp:val=&quot;534472D7&quot;/&gt;&lt;wsp:rsid wsp:val=&quot;53562019&quot;/&gt;&lt;wsp:rsid wsp:val=&quot;536924F3&quot;/&gt;&lt;wsp:rsid wsp:val=&quot;53DF638D&quot;/&gt;&lt;wsp:rsid wsp:val=&quot;541D7EF3&quot;/&gt;&lt;wsp:rsid wsp:val=&quot;54227B98&quot;/&gt;&lt;wsp:rsid wsp:val=&quot;54823852&quot;/&gt;&lt;wsp:rsid wsp:val=&quot;54F7137E&quot;/&gt;&lt;wsp:rsid wsp:val=&quot;557A1AD2&quot;/&gt;&lt;wsp:rsid wsp:val=&quot;55B00CDC&quot;/&gt;&lt;wsp:rsid wsp:val=&quot;55B473AC&quot;/&gt;&lt;wsp:rsid wsp:val=&quot;56335093&quot;/&gt;&lt;wsp:rsid wsp:val=&quot;56582DE2&quot;/&gt;&lt;wsp:rsid wsp:val=&quot;56C050DA&quot;/&gt;&lt;wsp:rsid wsp:val=&quot;56C851F5&quot;/&gt;&lt;wsp:rsid wsp:val=&quot;576D1373&quot;/&gt;&lt;wsp:rsid wsp:val=&quot;57845C63&quot;/&gt;&lt;wsp:rsid wsp:val=&quot;57CC3BB5&quot;/&gt;&lt;wsp:rsid wsp:val=&quot;58330E3D&quot;/&gt;&lt;wsp:rsid wsp:val=&quot;584949AE&quot;/&gt;&lt;wsp:rsid wsp:val=&quot;585154C0&quot;/&gt;&lt;wsp:rsid wsp:val=&quot;58536F80&quot;/&gt;&lt;wsp:rsid wsp:val=&quot;58602963&quot;/&gt;&lt;wsp:rsid wsp:val=&quot;586650F0&quot;/&gt;&lt;wsp:rsid wsp:val=&quot;591C3767&quot;/&gt;&lt;wsp:rsid wsp:val=&quot;59FE2D26&quot;/&gt;&lt;wsp:rsid wsp:val=&quot;5A0E08BC&quot;/&gt;&lt;wsp:rsid wsp:val=&quot;5A14569F&quot;/&gt;&lt;wsp:rsid wsp:val=&quot;5A1C3D0F&quot;/&gt;&lt;wsp:rsid wsp:val=&quot;5A3011EB&quot;/&gt;&lt;wsp:rsid wsp:val=&quot;5A7C7B14&quot;/&gt;&lt;wsp:rsid wsp:val=&quot;5A9F41D4&quot;/&gt;&lt;wsp:rsid wsp:val=&quot;5B6750FE&quot;/&gt;&lt;wsp:rsid wsp:val=&quot;5B812FC1&quot;/&gt;&lt;wsp:rsid wsp:val=&quot;5B9961BA&quot;/&gt;&lt;wsp:rsid wsp:val=&quot;5BCB2884&quot;/&gt;&lt;wsp:rsid wsp:val=&quot;5C253161&quot;/&gt;&lt;wsp:rsid wsp:val=&quot;5C31365A&quot;/&gt;&lt;wsp:rsid wsp:val=&quot;5C5816D5&quot;/&gt;&lt;wsp:rsid wsp:val=&quot;5C6E731E&quot;/&gt;&lt;wsp:rsid wsp:val=&quot;5CBF5572&quot;/&gt;&lt;wsp:rsid wsp:val=&quot;5D0B7E24&quot;/&gt;&lt;wsp:rsid wsp:val=&quot;5D0C02AA&quot;/&gt;&lt;wsp:rsid wsp:val=&quot;5D20757B&quot;/&gt;&lt;wsp:rsid wsp:val=&quot;5D7C3215&quot;/&gt;&lt;wsp:rsid wsp:val=&quot;5DAD3FBE&quot;/&gt;&lt;wsp:rsid wsp:val=&quot;5E312CCA&quot;/&gt;&lt;wsp:rsid wsp:val=&quot;5E8A123E&quot;/&gt;&lt;wsp:rsid wsp:val=&quot;5E92443D&quot;/&gt;&lt;wsp:rsid wsp:val=&quot;5EB35A42&quot;/&gt;&lt;wsp:rsid wsp:val=&quot;5F0A4B08&quot;/&gt;&lt;wsp:rsid wsp:val=&quot;5F8D1535&quot;/&gt;&lt;wsp:rsid wsp:val=&quot;5F95411D&quot;/&gt;&lt;wsp:rsid wsp:val=&quot;5F974DD7&quot;/&gt;&lt;wsp:rsid wsp:val=&quot;5FF347A0&quot;/&gt;&lt;wsp:rsid wsp:val=&quot;60050D0A&quot;/&gt;&lt;wsp:rsid wsp:val=&quot;600D643D&quot;/&gt;&lt;wsp:rsid wsp:val=&quot;60521D85&quot;/&gt;&lt;wsp:rsid wsp:val=&quot;605D356F&quot;/&gt;&lt;wsp:rsid wsp:val=&quot;60EC344B&quot;/&gt;&lt;wsp:rsid wsp:val=&quot;60F54484&quot;/&gt;&lt;wsp:rsid wsp:val=&quot;615658EE&quot;/&gt;&lt;wsp:rsid wsp:val=&quot;615E5935&quot;/&gt;&lt;wsp:rsid wsp:val=&quot;61A23A1A&quot;/&gt;&lt;wsp:rsid wsp:val=&quot;61CA359F&quot;/&gt;&lt;wsp:rsid wsp:val=&quot;624B08A7&quot;/&gt;&lt;wsp:rsid wsp:val=&quot;6274528B&quot;/&gt;&lt;wsp:rsid wsp:val=&quot;627F1C15&quot;/&gt;&lt;wsp:rsid wsp:val=&quot;62B90ADA&quot;/&gt;&lt;wsp:rsid wsp:val=&quot;63067368&quot;/&gt;&lt;wsp:rsid wsp:val=&quot;636A20D2&quot;/&gt;&lt;wsp:rsid wsp:val=&quot;637B5989&quot;/&gt;&lt;wsp:rsid wsp:val=&quot;63AA0D0D&quot;/&gt;&lt;wsp:rsid wsp:val=&quot;646111D5&quot;/&gt;&lt;wsp:rsid wsp:val=&quot;64914931&quot;/&gt;&lt;wsp:rsid wsp:val=&quot;652D5D3B&quot;/&gt;&lt;wsp:rsid wsp:val=&quot;653B7FE3&quot;/&gt;&lt;wsp:rsid wsp:val=&quot;668762B5&quot;/&gt;&lt;wsp:rsid wsp:val=&quot;66FA33A2&quot;/&gt;&lt;wsp:rsid wsp:val=&quot;67112A52&quot;/&gt;&lt;wsp:rsid wsp:val=&quot;671203FE&quot;/&gt;&lt;wsp:rsid wsp:val=&quot;676B6CF9&quot;/&gt;&lt;wsp:rsid wsp:val=&quot;677E3E01&quot;/&gt;&lt;wsp:rsid wsp:val=&quot;67EF5708&quot;/&gt;&lt;wsp:rsid wsp:val=&quot;685E3252&quot;/&gt;&lt;wsp:rsid wsp:val=&quot;69432CF1&quot;/&gt;&lt;wsp:rsid wsp:val=&quot;69547606&quot;/&gt;&lt;wsp:rsid wsp:val=&quot;696F37AB&quot;/&gt;&lt;wsp:rsid wsp:val=&quot;697D28AB&quot;/&gt;&lt;wsp:rsid wsp:val=&quot;6A1D6D4E&quot;/&gt;&lt;wsp:rsid wsp:val=&quot;6A593BA5&quot;/&gt;&lt;wsp:rsid wsp:val=&quot;6B1B0967&quot;/&gt;&lt;wsp:rsid wsp:val=&quot;6B920F86&quot;/&gt;&lt;wsp:rsid wsp:val=&quot;6BC03D24&quot;/&gt;&lt;wsp:rsid wsp:val=&quot;6C0E47D6&quot;/&gt;&lt;wsp:rsid wsp:val=&quot;6C6C2814&quot;/&gt;&lt;wsp:rsid wsp:val=&quot;6D1E188C&quot;/&gt;&lt;wsp:rsid wsp:val=&quot;6D3D19ED&quot;/&gt;&lt;wsp:rsid wsp:val=&quot;6D5301C5&quot;/&gt;&lt;wsp:rsid wsp:val=&quot;6D946491&quot;/&gt;&lt;wsp:rsid wsp:val=&quot;6E210F62&quot;/&gt;&lt;wsp:rsid wsp:val=&quot;6E2B1482&quot;/&gt;&lt;wsp:rsid wsp:val=&quot;6E3A4328&quot;/&gt;&lt;wsp:rsid wsp:val=&quot;6E9852ED&quot;/&gt;&lt;wsp:rsid wsp:val=&quot;6EB826D6&quot;/&gt;&lt;wsp:rsid wsp:val=&quot;6F3F0791&quot;/&gt;&lt;wsp:rsid wsp:val=&quot;7039390D&quot;/&gt;&lt;wsp:rsid wsp:val=&quot;704857D2&quot;/&gt;&lt;wsp:rsid wsp:val=&quot;70AD34E2&quot;/&gt;&lt;wsp:rsid wsp:val=&quot;70F31224&quot;/&gt;&lt;wsp:rsid wsp:val=&quot;710418E1&quot;/&gt;&lt;wsp:rsid wsp:val=&quot;71946E48&quot;/&gt;&lt;wsp:rsid wsp:val=&quot;723412BE&quot;/&gt;&lt;wsp:rsid wsp:val=&quot;728F7361&quot;/&gt;&lt;wsp:rsid wsp:val=&quot;72A65046&quot;/&gt;&lt;wsp:rsid wsp:val=&quot;732A5EA0&quot;/&gt;&lt;wsp:rsid wsp:val=&quot;733B144C&quot;/&gt;&lt;wsp:rsid wsp:val=&quot;734F28B9&quot;/&gt;&lt;wsp:rsid wsp:val=&quot;73890EE2&quot;/&gt;&lt;wsp:rsid wsp:val=&quot;73C85B40&quot;/&gt;&lt;wsp:rsid wsp:val=&quot;741802A5&quot;/&gt;&lt;wsp:rsid wsp:val=&quot;74390556&quot;/&gt;&lt;wsp:rsid wsp:val=&quot;747C3740&quot;/&gt;&lt;wsp:rsid wsp:val=&quot;74F26A35&quot;/&gt;&lt;wsp:rsid wsp:val=&quot;75B51ECF&quot;/&gt;&lt;wsp:rsid wsp:val=&quot;75EA47CE&quot;/&gt;&lt;wsp:rsid wsp:val=&quot;76426669&quot;/&gt;&lt;wsp:rsid wsp:val=&quot;76964626&quot;/&gt;&lt;wsp:rsid wsp:val=&quot;769A15AF&quot;/&gt;&lt;wsp:rsid wsp:val=&quot;775C53AC&quot;/&gt;&lt;wsp:rsid wsp:val=&quot;77B1317B&quot;/&gt;&lt;wsp:rsid wsp:val=&quot;77B31097&quot;/&gt;&lt;wsp:rsid wsp:val=&quot;7810051E&quot;/&gt;&lt;wsp:rsid wsp:val=&quot;7861350B&quot;/&gt;&lt;wsp:rsid wsp:val=&quot;786765F6&quot;/&gt;&lt;wsp:rsid wsp:val=&quot;78BC04E7&quot;/&gt;&lt;wsp:rsid wsp:val=&quot;78D57477&quot;/&gt;&lt;wsp:rsid wsp:val=&quot;79241D3B&quot;/&gt;&lt;wsp:rsid wsp:val=&quot;79A56B50&quot;/&gt;&lt;wsp:rsid wsp:val=&quot;79F7592F&quot;/&gt;&lt;wsp:rsid wsp:val=&quot;7A2F5A92&quot;/&gt;&lt;wsp:rsid wsp:val=&quot;7A6F0610&quot;/&gt;&lt;wsp:rsid wsp:val=&quot;7A751A95&quot;/&gt;&lt;wsp:rsid wsp:val=&quot;7A7D3826&quot;/&gt;&lt;wsp:rsid wsp:val=&quot;7AC82A82&quot;/&gt;&lt;wsp:rsid wsp:val=&quot;7B082B9B&quot;/&gt;&lt;wsp:rsid wsp:val=&quot;7B2E6E84&quot;/&gt;&lt;wsp:rsid wsp:val=&quot;7B3C0C28&quot;/&gt;&lt;wsp:rsid wsp:val=&quot;7B46149E&quot;/&gt;&lt;wsp:rsid wsp:val=&quot;7B48074C&quot;/&gt;&lt;wsp:rsid wsp:val=&quot;7B480EC1&quot;/&gt;&lt;wsp:rsid wsp:val=&quot;7BA44CE6&quot;/&gt;&lt;wsp:rsid wsp:val=&quot;7BD82EEA&quot;/&gt;&lt;wsp:rsid wsp:val=&quot;7BEA7714&quot;/&gt;&lt;wsp:rsid wsp:val=&quot;7BF074D5&quot;/&gt;&lt;wsp:rsid wsp:val=&quot;7BF25FCB&quot;/&gt;&lt;wsp:rsid wsp:val=&quot;7BF37812&quot;/&gt;&lt;wsp:rsid wsp:val=&quot;7C6B0C53&quot;/&gt;&lt;wsp:rsid wsp:val=&quot;7CC410F0&quot;/&gt;&lt;wsp:rsid wsp:val=&quot;7CCE4C27&quot;/&gt;&lt;wsp:rsid wsp:val=&quot;7CEF4309&quot;/&gt;&lt;wsp:rsid wsp:val=&quot;7DB25215&quot;/&gt;&lt;wsp:rsid wsp:val=&quot;7DD07E94&quot;/&gt;&lt;wsp:rsid wsp:val=&quot;7DDE28E3&quot;/&gt;&lt;wsp:rsid wsp:val=&quot;7E0D3668&quot;/&gt;&lt;wsp:rsid wsp:val=&quot;7E9A2C34&quot;/&gt;&lt;wsp:rsid wsp:val=&quot;7E9C025C&quot;/&gt;&lt;wsp:rsid wsp:val=&quot;7EAE30ED&quot;/&gt;&lt;wsp:rsid wsp:val=&quot;7ED047DB&quot;/&gt;&lt;wsp:rsid wsp:val=&quot;7ED2154C&quot;/&gt;&lt;wsp:rsid wsp:val=&quot;7F041C24&quot;/&gt;&lt;wsp:rsid wsp:val=&quot;7F0C0256&quot;/&gt;&lt;wsp:rsid wsp:val=&quot;7F3C19F3&quot;/&gt;&lt;wsp:rsid wsp:val=&quot;7F6A04A2&quot;/&gt;&lt;/wsp:rsids&gt;&lt;/w:docPr&gt;&lt;w:body&gt;&lt;w:p wsp:rsidR=&quot;00000000&quot; wsp:rsidRDefault=&quot;00E11C21&quot;&gt;&lt;w:pPr&gt;&lt;w:rPr&gt;&lt;wx:font wx:val=&quot;新宋体&quot;/&gt;&lt;/w:rPr&gt;&lt;/w:pPr&gt;&lt;m:oMathPara&gt;&lt;m:oMF04F04F04F04F04F04F04F04F04F04F04F04F04F04F04F04F04F04F04F04F04F04F04F04F04F04F04F04F04F04F04F04F04F04F04F04F04F04F04F04F04F04F04F04F04F04F04F04F04F04F04F04F04F04F04F04F04F04F04F04F04F04F04at41Ch&gt;&lt;m:r&gt;&lt;m:rPr&gt;&lt;m:sty m:val=&quot;p&quot;/&gt;&lt;/m:rPr&gt;&lt;w:rPr&gt;&lt;w:rFonts w:ascii=&quot;Cambria Math&quot; w:fareast=&quot;宋?4? 04w:h04-an04si=04&quot;Ca04mbr04ia 04Mat04h&quot;/04&gt;&lt;w04x:f04ont04 wx04:va04l=&quot;04Cam04bri04a M04ath04&quot;/&gt;04&lt;w:04sz-04cs 04w:v04al=04&quot;2404&quot;/&gt;04&lt;/w04:rP04r&gt;&lt;04m:t04&gt;δF04&lt;/mF04:t&gt;F04&lt;/mF04:r&gt;F04&lt;/mF04:oMF04athF04&gt;&lt;/F04m:oF04MatF04hPaFii04r&quot;Ca&gt;Fmb04&lt;ia/wFMa04:h&quot;p&gt;Fw:04&lt;arw:Fas04s=&quot;ecF?404tPr4F04 w4sF04p4:rF044sidF044R=&quot;04041C04000004&quot;&gt;&lt;w:4pgSz 4w:w=&quot;4122404&quot; w:h4=&quot;158440&quot;/&gt;4&lt;w:pg4Mar w4:top=4&quot;14404&quot; w:r4ight=4&quot;18004&quot; w:b4ottom4=&quot;14440&quot; w:4left=4&quot;18004&quot; w:h4eader4=&quot;7204&quot; w:footer=&quot;720&quot; w:gutter=&quot;0&quot;/&gt;&lt;w:cols w:space=&quot;720&quot;/&gt;&lt;/w:sectPr&gt;&lt;/w:body&gt;&lt;/w:wordDocument">
            <v:path/>
            <v:fill on="f" focussize="0,0"/>
            <v:stroke on="f"/>
            <v:imagedata r:id="rId118" chromakey="#FFFFFF" o:title=""/>
            <o:lock v:ext="edit" aspectratio="t"/>
            <w10:wrap type="none"/>
            <w10:anchorlock/>
          </v:shape>
        </w:pict>
      </w:r>
      <w:r>
        <w:rPr>
          <w:rFonts w:ascii="Times New Roman" w:hAnsi="Times New Roman"/>
          <w:szCs w:val="24"/>
          <w:highlight w:val="none"/>
          <w:vertAlign w:val="subscript"/>
        </w:rPr>
        <w:fldChar w:fldCharType="end"/>
      </w:r>
      <w:r>
        <w:rPr>
          <w:rFonts w:ascii="Times New Roman" w:hAnsi="Times New Roman"/>
          <w:szCs w:val="24"/>
          <w:highlight w:val="none"/>
          <w:vertAlign w:val="subscript"/>
        </w:rPr>
        <w:t>i</w:t>
      </w:r>
      <w:r>
        <w:rPr>
          <w:rFonts w:ascii="Times New Roman" w:hAnsi="Times New Roman"/>
          <w:szCs w:val="24"/>
          <w:highlight w:val="none"/>
        </w:rPr>
        <w:t>—第i个主要排放口所对应的大气污染物许可排放量调整系数，按表2取值</w:t>
      </w:r>
    </w:p>
    <w:p w14:paraId="6B6FA28E">
      <w:pPr>
        <w:ind w:firstLine="480"/>
        <w:rPr>
          <w:rFonts w:ascii="Times New Roman" w:hAnsi="Times New Roman"/>
          <w:szCs w:val="24"/>
          <w:highlight w:val="none"/>
        </w:rPr>
      </w:pPr>
      <w:r>
        <w:rPr>
          <w:rFonts w:ascii="Times New Roman" w:hAnsi="Times New Roman"/>
          <w:szCs w:val="24"/>
          <w:highlight w:val="none"/>
        </w:rPr>
        <w:t>（1）C为废气污染物许可排放浓度限值</w:t>
      </w:r>
    </w:p>
    <w:p w14:paraId="633F6EFC">
      <w:pPr>
        <w:ind w:firstLine="480"/>
        <w:rPr>
          <w:rFonts w:ascii="Times New Roman" w:hAnsi="Times New Roman"/>
          <w:szCs w:val="24"/>
          <w:highlight w:val="none"/>
        </w:rPr>
      </w:pPr>
      <w:r>
        <w:rPr>
          <w:rFonts w:ascii="Times New Roman" w:hAnsi="Times New Roman"/>
          <w:szCs w:val="24"/>
          <w:highlight w:val="none"/>
        </w:rPr>
        <w:t>本工程锅炉执行</w:t>
      </w:r>
      <w:r>
        <w:rPr>
          <w:rFonts w:ascii="Times New Roman" w:hAnsi="Times New Roman" w:eastAsia="新宋体"/>
          <w:szCs w:val="24"/>
          <w:highlight w:val="none"/>
        </w:rPr>
        <w:t>超低排放限值</w:t>
      </w:r>
      <w:r>
        <w:rPr>
          <w:rFonts w:ascii="Times New Roman" w:hAnsi="Times New Roman" w:eastAsia="新宋体"/>
          <w:szCs w:val="21"/>
          <w:highlight w:val="none"/>
        </w:rPr>
        <w:t>要求</w:t>
      </w:r>
      <w:r>
        <w:rPr>
          <w:rFonts w:ascii="Times New Roman" w:hAnsi="Times New Roman"/>
          <w:szCs w:val="24"/>
          <w:highlight w:val="none"/>
        </w:rPr>
        <w:t>，因此取值为颗粒物：10mg/m</w:t>
      </w:r>
      <w:r>
        <w:rPr>
          <w:rFonts w:ascii="Times New Roman" w:hAnsi="Times New Roman"/>
          <w:szCs w:val="24"/>
          <w:highlight w:val="none"/>
          <w:vertAlign w:val="superscript"/>
        </w:rPr>
        <w:t>3</w:t>
      </w:r>
      <w:r>
        <w:rPr>
          <w:rFonts w:ascii="Times New Roman" w:hAnsi="Times New Roman"/>
          <w:szCs w:val="24"/>
          <w:highlight w:val="none"/>
        </w:rPr>
        <w:t>，SO</w:t>
      </w:r>
      <w:r>
        <w:rPr>
          <w:rFonts w:ascii="Times New Roman" w:hAnsi="Times New Roman"/>
          <w:szCs w:val="24"/>
          <w:highlight w:val="none"/>
          <w:vertAlign w:val="subscript"/>
        </w:rPr>
        <w:t>2</w:t>
      </w:r>
      <w:r>
        <w:rPr>
          <w:rFonts w:ascii="Times New Roman" w:hAnsi="Times New Roman"/>
          <w:szCs w:val="24"/>
          <w:highlight w:val="none"/>
        </w:rPr>
        <w:t>：35mg/m</w:t>
      </w:r>
      <w:r>
        <w:rPr>
          <w:rFonts w:ascii="Times New Roman" w:hAnsi="Times New Roman"/>
          <w:szCs w:val="24"/>
          <w:highlight w:val="none"/>
          <w:vertAlign w:val="superscript"/>
        </w:rPr>
        <w:t>3</w:t>
      </w:r>
      <w:r>
        <w:rPr>
          <w:rFonts w:ascii="Times New Roman" w:hAnsi="Times New Roman"/>
          <w:szCs w:val="24"/>
          <w:highlight w:val="none"/>
        </w:rPr>
        <w:t>，NO</w:t>
      </w:r>
      <w:r>
        <w:rPr>
          <w:rFonts w:ascii="Times New Roman" w:hAnsi="Times New Roman"/>
          <w:szCs w:val="24"/>
          <w:highlight w:val="none"/>
          <w:vertAlign w:val="subscript"/>
        </w:rPr>
        <w:t>X</w:t>
      </w:r>
      <w:r>
        <w:rPr>
          <w:rFonts w:ascii="Times New Roman" w:hAnsi="Times New Roman"/>
          <w:szCs w:val="24"/>
          <w:highlight w:val="none"/>
        </w:rPr>
        <w:t>：50mg/m</w:t>
      </w:r>
      <w:r>
        <w:rPr>
          <w:rFonts w:ascii="Times New Roman" w:hAnsi="Times New Roman"/>
          <w:szCs w:val="24"/>
          <w:highlight w:val="none"/>
          <w:vertAlign w:val="superscript"/>
        </w:rPr>
        <w:t>3</w:t>
      </w:r>
      <w:r>
        <w:rPr>
          <w:rFonts w:ascii="Times New Roman" w:hAnsi="Times New Roman"/>
          <w:szCs w:val="24"/>
          <w:highlight w:val="none"/>
        </w:rPr>
        <w:t>。</w:t>
      </w:r>
    </w:p>
    <w:p w14:paraId="52EBCFA3">
      <w:pPr>
        <w:ind w:firstLine="480"/>
        <w:rPr>
          <w:rFonts w:ascii="Times New Roman" w:hAnsi="Times New Roman"/>
          <w:szCs w:val="24"/>
          <w:highlight w:val="none"/>
        </w:rPr>
      </w:pPr>
      <w:r>
        <w:rPr>
          <w:rFonts w:ascii="Times New Roman" w:hAnsi="Times New Roman"/>
          <w:szCs w:val="24"/>
          <w:highlight w:val="none"/>
        </w:rPr>
        <w:t>（2）V为基准烟气量</w:t>
      </w:r>
    </w:p>
    <w:p w14:paraId="67CF7027">
      <w:pPr>
        <w:ind w:firstLine="480"/>
        <w:rPr>
          <w:rFonts w:ascii="Times New Roman" w:hAnsi="Times New Roman"/>
          <w:szCs w:val="24"/>
          <w:highlight w:val="none"/>
        </w:rPr>
      </w:pPr>
      <w:r>
        <w:rPr>
          <w:rFonts w:ascii="Times New Roman" w:hAnsi="Times New Roman"/>
          <w:szCs w:val="24"/>
          <w:highlight w:val="none"/>
        </w:rPr>
        <w:t>本工程锅炉为燃煤锅炉，根据公式（1）、（2）可计算出本项目的基准烟气量，计算过程如下：</w:t>
      </w:r>
    </w:p>
    <w:p w14:paraId="655A3908">
      <w:pPr>
        <w:ind w:firstLine="480"/>
        <w:rPr>
          <w:rFonts w:ascii="Times New Roman" w:hAnsi="Times New Roman" w:eastAsia="新宋体"/>
          <w:szCs w:val="21"/>
          <w:highlight w:val="none"/>
        </w:rPr>
      </w:pPr>
      <w:r>
        <w:rPr>
          <w:rFonts w:ascii="Times New Roman" w:hAnsi="Times New Roman" w:eastAsia="新宋体"/>
          <w:szCs w:val="21"/>
          <w:highlight w:val="none"/>
        </w:rPr>
        <w:t>V</w:t>
      </w:r>
      <w:r>
        <w:rPr>
          <w:rFonts w:ascii="Times New Roman" w:hAnsi="Times New Roman" w:eastAsia="新宋体"/>
          <w:szCs w:val="21"/>
          <w:highlight w:val="none"/>
          <w:vertAlign w:val="subscript"/>
        </w:rPr>
        <w:t>0</w:t>
      </w:r>
      <w:r>
        <w:rPr>
          <w:rFonts w:ascii="Times New Roman" w:hAnsi="Times New Roman" w:eastAsia="新宋体"/>
          <w:szCs w:val="21"/>
          <w:highlight w:val="none"/>
        </w:rPr>
        <w:t>=0.0889（C</w:t>
      </w:r>
      <w:r>
        <w:rPr>
          <w:rFonts w:ascii="Times New Roman" w:hAnsi="Times New Roman" w:eastAsia="新宋体"/>
          <w:szCs w:val="21"/>
          <w:highlight w:val="none"/>
          <w:vertAlign w:val="subscript"/>
        </w:rPr>
        <w:t>ar</w:t>
      </w:r>
      <w:r>
        <w:rPr>
          <w:rFonts w:ascii="Times New Roman" w:hAnsi="Times New Roman" w:eastAsia="新宋体"/>
          <w:szCs w:val="21"/>
          <w:highlight w:val="none"/>
        </w:rPr>
        <w:t>+0.375S</w:t>
      </w:r>
      <w:r>
        <w:rPr>
          <w:rFonts w:ascii="Times New Roman" w:hAnsi="Times New Roman" w:eastAsia="新宋体"/>
          <w:szCs w:val="21"/>
          <w:highlight w:val="none"/>
          <w:vertAlign w:val="subscript"/>
        </w:rPr>
        <w:t>ar</w:t>
      </w:r>
      <w:r>
        <w:rPr>
          <w:rFonts w:ascii="Times New Roman" w:hAnsi="Times New Roman" w:eastAsia="新宋体"/>
          <w:szCs w:val="21"/>
          <w:highlight w:val="none"/>
        </w:rPr>
        <w:t>）+0.265H</w:t>
      </w:r>
      <w:r>
        <w:rPr>
          <w:rFonts w:ascii="Times New Roman" w:hAnsi="Times New Roman" w:eastAsia="新宋体"/>
          <w:szCs w:val="21"/>
          <w:highlight w:val="none"/>
          <w:vertAlign w:val="subscript"/>
        </w:rPr>
        <w:t>ar</w:t>
      </w:r>
      <w:r>
        <w:rPr>
          <w:rFonts w:ascii="Times New Roman" w:hAnsi="Times New Roman" w:eastAsia="新宋体"/>
          <w:szCs w:val="21"/>
          <w:highlight w:val="none"/>
        </w:rPr>
        <w:t>-0.0333O</w:t>
      </w:r>
      <w:r>
        <w:rPr>
          <w:rFonts w:ascii="Times New Roman" w:hAnsi="Times New Roman" w:eastAsia="新宋体"/>
          <w:szCs w:val="21"/>
          <w:highlight w:val="none"/>
          <w:vertAlign w:val="subscript"/>
        </w:rPr>
        <w:t>ar</w:t>
      </w:r>
    </w:p>
    <w:p w14:paraId="117F3F65">
      <w:pPr>
        <w:ind w:firstLine="840" w:firstLineChars="350"/>
        <w:rPr>
          <w:rFonts w:ascii="Times New Roman" w:hAnsi="Times New Roman"/>
          <w:szCs w:val="24"/>
          <w:highlight w:val="none"/>
        </w:rPr>
      </w:pPr>
      <w:r>
        <w:rPr>
          <w:rFonts w:ascii="Times New Roman" w:hAnsi="Times New Roman"/>
          <w:szCs w:val="24"/>
          <w:highlight w:val="none"/>
        </w:rPr>
        <w:t>=</w:t>
      </w:r>
      <w:r>
        <w:rPr>
          <w:rFonts w:hint="eastAsia" w:ascii="Times New Roman" w:hAnsi="Times New Roman"/>
          <w:szCs w:val="24"/>
          <w:highlight w:val="none"/>
          <w:lang w:val="en-US" w:eastAsia="zh-CN"/>
        </w:rPr>
        <w:t>4.99</w:t>
      </w:r>
      <w:r>
        <w:rPr>
          <w:rFonts w:ascii="Times New Roman" w:hAnsi="Times New Roman"/>
          <w:szCs w:val="24"/>
          <w:highlight w:val="none"/>
        </w:rPr>
        <w:t>m</w:t>
      </w:r>
      <w:r>
        <w:rPr>
          <w:rFonts w:ascii="Times New Roman" w:hAnsi="Times New Roman"/>
          <w:szCs w:val="24"/>
          <w:highlight w:val="none"/>
          <w:vertAlign w:val="superscript"/>
        </w:rPr>
        <w:t>3</w:t>
      </w:r>
      <w:r>
        <w:rPr>
          <w:rFonts w:ascii="Times New Roman" w:hAnsi="Times New Roman"/>
          <w:szCs w:val="24"/>
          <w:highlight w:val="none"/>
        </w:rPr>
        <w:t>/kg</w:t>
      </w:r>
    </w:p>
    <w:p w14:paraId="1DA7253F">
      <w:pPr>
        <w:ind w:firstLine="480"/>
        <w:rPr>
          <w:rFonts w:ascii="Times New Roman" w:hAnsi="Times New Roman" w:eastAsia="新宋体"/>
          <w:szCs w:val="21"/>
          <w:highlight w:val="none"/>
        </w:rPr>
      </w:pPr>
      <w:r>
        <w:rPr>
          <w:rFonts w:ascii="Times New Roman" w:hAnsi="Times New Roman" w:eastAsia="新宋体"/>
          <w:szCs w:val="21"/>
          <w:highlight w:val="none"/>
        </w:rPr>
        <w:t>V</w:t>
      </w:r>
      <w:r>
        <w:rPr>
          <w:rFonts w:ascii="Times New Roman" w:hAnsi="Times New Roman" w:eastAsia="新宋体"/>
          <w:szCs w:val="21"/>
          <w:highlight w:val="none"/>
          <w:vertAlign w:val="subscript"/>
        </w:rPr>
        <w:t>gy</w:t>
      </w:r>
      <w:r>
        <w:rPr>
          <w:rFonts w:ascii="Times New Roman" w:hAnsi="Times New Roman" w:eastAsia="新宋体"/>
          <w:szCs w:val="21"/>
          <w:highlight w:val="none"/>
        </w:rPr>
        <w:t>=1.866×（C</w:t>
      </w:r>
      <w:r>
        <w:rPr>
          <w:rFonts w:ascii="Times New Roman" w:hAnsi="Times New Roman" w:eastAsia="新宋体"/>
          <w:szCs w:val="21"/>
          <w:highlight w:val="none"/>
          <w:vertAlign w:val="subscript"/>
        </w:rPr>
        <w:t>ar</w:t>
      </w:r>
      <w:r>
        <w:rPr>
          <w:rFonts w:ascii="Times New Roman" w:hAnsi="Times New Roman" w:eastAsia="新宋体"/>
          <w:szCs w:val="21"/>
          <w:highlight w:val="none"/>
        </w:rPr>
        <w:t>+0.375S</w:t>
      </w:r>
      <w:r>
        <w:rPr>
          <w:rFonts w:ascii="Times New Roman" w:hAnsi="Times New Roman" w:eastAsia="新宋体"/>
          <w:szCs w:val="21"/>
          <w:highlight w:val="none"/>
          <w:vertAlign w:val="subscript"/>
        </w:rPr>
        <w:t>ar</w:t>
      </w:r>
      <w:r>
        <w:rPr>
          <w:rFonts w:ascii="Times New Roman" w:hAnsi="Times New Roman" w:eastAsia="新宋体"/>
          <w:szCs w:val="21"/>
          <w:highlight w:val="none"/>
        </w:rPr>
        <w:t>）÷100+0.79V</w:t>
      </w:r>
      <w:r>
        <w:rPr>
          <w:rFonts w:ascii="Times New Roman" w:hAnsi="Times New Roman" w:eastAsia="新宋体"/>
          <w:szCs w:val="21"/>
          <w:highlight w:val="none"/>
          <w:vertAlign w:val="subscript"/>
        </w:rPr>
        <w:t>0</w:t>
      </w:r>
      <w:r>
        <w:rPr>
          <w:rFonts w:ascii="Times New Roman" w:hAnsi="Times New Roman" w:eastAsia="新宋体"/>
          <w:szCs w:val="21"/>
          <w:highlight w:val="none"/>
        </w:rPr>
        <w:t>+0.8×N</w:t>
      </w:r>
      <w:r>
        <w:rPr>
          <w:rFonts w:ascii="Times New Roman" w:hAnsi="Times New Roman" w:eastAsia="新宋体"/>
          <w:szCs w:val="21"/>
          <w:highlight w:val="none"/>
          <w:vertAlign w:val="subscript"/>
        </w:rPr>
        <w:t>ar</w:t>
      </w:r>
      <w:r>
        <w:rPr>
          <w:rFonts w:ascii="Times New Roman" w:hAnsi="Times New Roman" w:eastAsia="新宋体"/>
          <w:szCs w:val="21"/>
          <w:highlight w:val="none"/>
        </w:rPr>
        <w:t>÷100+（α-1）V</w:t>
      </w:r>
      <w:r>
        <w:rPr>
          <w:rFonts w:ascii="Times New Roman" w:hAnsi="Times New Roman" w:eastAsia="新宋体"/>
          <w:szCs w:val="21"/>
          <w:highlight w:val="none"/>
          <w:vertAlign w:val="subscript"/>
        </w:rPr>
        <w:t>0</w:t>
      </w:r>
    </w:p>
    <w:p w14:paraId="7ABFCBEB">
      <w:pPr>
        <w:ind w:firstLine="840" w:firstLineChars="350"/>
        <w:rPr>
          <w:rFonts w:ascii="Times New Roman" w:hAnsi="Times New Roman"/>
          <w:szCs w:val="24"/>
          <w:highlight w:val="none"/>
        </w:rPr>
      </w:pPr>
      <w:r>
        <w:rPr>
          <w:rFonts w:ascii="Times New Roman" w:hAnsi="Times New Roman"/>
          <w:szCs w:val="24"/>
          <w:highlight w:val="none"/>
        </w:rPr>
        <w:t>=</w:t>
      </w:r>
      <w:r>
        <w:rPr>
          <w:rFonts w:hint="eastAsia" w:ascii="Times New Roman" w:hAnsi="Times New Roman"/>
          <w:szCs w:val="24"/>
          <w:highlight w:val="none"/>
          <w:lang w:val="en-US" w:eastAsia="zh-CN"/>
        </w:rPr>
        <w:t>9.75</w:t>
      </w:r>
      <w:r>
        <w:rPr>
          <w:rFonts w:ascii="Times New Roman" w:hAnsi="Times New Roman"/>
          <w:szCs w:val="24"/>
          <w:highlight w:val="none"/>
        </w:rPr>
        <w:t>m</w:t>
      </w:r>
      <w:r>
        <w:rPr>
          <w:rFonts w:ascii="Times New Roman" w:hAnsi="Times New Roman"/>
          <w:szCs w:val="24"/>
          <w:highlight w:val="none"/>
          <w:vertAlign w:val="superscript"/>
        </w:rPr>
        <w:t>3</w:t>
      </w:r>
      <w:r>
        <w:rPr>
          <w:rFonts w:ascii="Times New Roman" w:hAnsi="Times New Roman"/>
          <w:szCs w:val="24"/>
          <w:highlight w:val="none"/>
        </w:rPr>
        <w:t>/kg</w:t>
      </w:r>
    </w:p>
    <w:p w14:paraId="6B4982A3">
      <w:pPr>
        <w:ind w:firstLine="480"/>
        <w:rPr>
          <w:rFonts w:ascii="Times New Roman" w:hAnsi="Times New Roman"/>
          <w:szCs w:val="24"/>
          <w:highlight w:val="none"/>
        </w:rPr>
      </w:pPr>
      <w:r>
        <w:rPr>
          <w:rFonts w:ascii="Times New Roman" w:hAnsi="Times New Roman"/>
          <w:szCs w:val="24"/>
          <w:highlight w:val="none"/>
        </w:rPr>
        <w:t>（3）R为设计燃料用量</w:t>
      </w:r>
    </w:p>
    <w:p w14:paraId="26C2D309">
      <w:pPr>
        <w:ind w:firstLine="480"/>
        <w:rPr>
          <w:rFonts w:ascii="Times New Roman" w:hAnsi="Times New Roman"/>
          <w:szCs w:val="24"/>
          <w:highlight w:val="none"/>
        </w:rPr>
      </w:pPr>
      <w:r>
        <w:rPr>
          <w:rFonts w:ascii="Times New Roman" w:hAnsi="Times New Roman"/>
          <w:highlight w:val="none"/>
        </w:rPr>
        <w:t>本工程</w:t>
      </w:r>
      <w:r>
        <w:rPr>
          <w:rFonts w:hint="eastAsia" w:ascii="Times New Roman" w:hAnsi="Times New Roman"/>
          <w:highlight w:val="none"/>
          <w:lang w:val="en-US" w:eastAsia="zh-CN"/>
        </w:rPr>
        <w:t>建设116MW+</w:t>
      </w:r>
      <w:r>
        <w:rPr>
          <w:rFonts w:hint="default" w:ascii="Times New Roman" w:hAnsi="Times New Roman"/>
          <w:highlight w:val="none"/>
          <w:lang w:val="en-US" w:eastAsia="zh-CN"/>
        </w:rPr>
        <w:t>58</w:t>
      </w:r>
      <w:r>
        <w:rPr>
          <w:rFonts w:hint="eastAsia" w:ascii="Times New Roman" w:hAnsi="Times New Roman"/>
          <w:highlight w:val="none"/>
          <w:lang w:val="en-US" w:eastAsia="zh-CN"/>
        </w:rPr>
        <w:t>MW</w:t>
      </w:r>
      <w:r>
        <w:rPr>
          <w:rFonts w:hint="eastAsia"/>
          <w:highlight w:val="none"/>
          <w:lang w:val="en-US" w:eastAsia="zh-CN"/>
        </w:rPr>
        <w:t>热水锅炉和</w:t>
      </w:r>
      <w:r>
        <w:rPr>
          <w:rFonts w:hint="eastAsia" w:ascii="Times New Roman" w:hAnsi="Times New Roman"/>
          <w:highlight w:val="none"/>
          <w:lang w:val="en-US" w:eastAsia="zh-CN"/>
        </w:rPr>
        <w:t>1</w:t>
      </w:r>
      <w:r>
        <w:rPr>
          <w:rFonts w:hint="eastAsia"/>
          <w:highlight w:val="none"/>
          <w:lang w:val="en-US" w:eastAsia="zh-CN"/>
        </w:rPr>
        <w:t>台</w:t>
      </w:r>
      <w:r>
        <w:rPr>
          <w:rFonts w:hint="eastAsia" w:ascii="Times New Roman" w:hAnsi="Times New Roman"/>
          <w:highlight w:val="none"/>
          <w:lang w:val="en-US" w:eastAsia="zh-CN"/>
        </w:rPr>
        <w:t>35t/h</w:t>
      </w:r>
      <w:r>
        <w:rPr>
          <w:rFonts w:hint="eastAsia"/>
          <w:highlight w:val="none"/>
          <w:lang w:val="en-US" w:eastAsia="zh-CN"/>
        </w:rPr>
        <w:t>蒸汽锅炉共三台</w:t>
      </w:r>
      <w:r>
        <w:rPr>
          <w:rFonts w:ascii="Times New Roman" w:hAnsi="Times New Roman"/>
          <w:szCs w:val="24"/>
          <w:highlight w:val="none"/>
        </w:rPr>
        <w:t>，全年燃煤使用量为</w:t>
      </w:r>
      <w:r>
        <w:rPr>
          <w:rFonts w:hint="eastAsia" w:ascii="Times New Roman" w:hAnsi="Times New Roman"/>
          <w:highlight w:val="none"/>
          <w:lang w:val="en-US" w:eastAsia="zh-CN"/>
        </w:rPr>
        <w:t>81047.7024</w:t>
      </w:r>
      <w:r>
        <w:rPr>
          <w:rFonts w:ascii="Times New Roman" w:hAnsi="Times New Roman"/>
          <w:szCs w:val="24"/>
          <w:highlight w:val="none"/>
        </w:rPr>
        <w:t>吨。执行超低排放限值要求。</w:t>
      </w:r>
    </w:p>
    <w:p w14:paraId="579631BB">
      <w:pPr>
        <w:ind w:firstLine="480"/>
        <w:rPr>
          <w:rFonts w:ascii="Times New Roman" w:hAnsi="Times New Roman"/>
          <w:szCs w:val="24"/>
          <w:highlight w:val="none"/>
        </w:rPr>
      </w:pPr>
      <w:r>
        <w:rPr>
          <w:rFonts w:ascii="Times New Roman" w:hAnsi="Times New Roman"/>
          <w:szCs w:val="24"/>
          <w:highlight w:val="none"/>
        </w:rPr>
        <w:t>因此各污染物核定量计算过程如下：</w:t>
      </w:r>
    </w:p>
    <w:p w14:paraId="60ADAD69">
      <w:pPr>
        <w:ind w:firstLine="482"/>
        <w:rPr>
          <w:rFonts w:ascii="Times New Roman" w:hAnsi="Times New Roman"/>
          <w:b/>
          <w:szCs w:val="24"/>
          <w:highlight w:val="none"/>
        </w:rPr>
      </w:pPr>
      <w:r>
        <w:rPr>
          <w:rFonts w:ascii="Times New Roman" w:hAnsi="Times New Roman"/>
          <w:b/>
          <w:szCs w:val="24"/>
          <w:highlight w:val="none"/>
        </w:rPr>
        <w:t>颗粒物=10×</w:t>
      </w:r>
      <w:r>
        <w:rPr>
          <w:rFonts w:hint="eastAsia" w:ascii="Times New Roman" w:hAnsi="Times New Roman"/>
          <w:b/>
          <w:szCs w:val="24"/>
          <w:highlight w:val="none"/>
          <w:lang w:val="en-US" w:eastAsia="zh-CN"/>
        </w:rPr>
        <w:t>9.75</w:t>
      </w:r>
      <w:r>
        <w:rPr>
          <w:rFonts w:ascii="Times New Roman" w:hAnsi="Times New Roman"/>
          <w:b/>
          <w:szCs w:val="24"/>
          <w:highlight w:val="none"/>
        </w:rPr>
        <w:t>×</w:t>
      </w:r>
      <w:r>
        <w:rPr>
          <w:rFonts w:hint="eastAsia" w:ascii="Times New Roman" w:hAnsi="Times New Roman"/>
          <w:b/>
          <w:szCs w:val="24"/>
          <w:highlight w:val="none"/>
          <w:lang w:val="en-US" w:eastAsia="zh-CN"/>
        </w:rPr>
        <w:t>81047.7024</w:t>
      </w:r>
      <w:r>
        <w:rPr>
          <w:rFonts w:ascii="Times New Roman" w:hAnsi="Times New Roman"/>
          <w:b/>
          <w:szCs w:val="24"/>
          <w:highlight w:val="none"/>
        </w:rPr>
        <w:t>×1×10</w:t>
      </w:r>
      <w:r>
        <w:rPr>
          <w:rFonts w:ascii="Times New Roman" w:hAnsi="Times New Roman"/>
          <w:b/>
          <w:szCs w:val="24"/>
          <w:highlight w:val="none"/>
          <w:vertAlign w:val="superscript"/>
        </w:rPr>
        <w:t>-6</w:t>
      </w:r>
      <w:r>
        <w:rPr>
          <w:rFonts w:ascii="Times New Roman" w:hAnsi="Times New Roman"/>
          <w:b/>
          <w:szCs w:val="24"/>
          <w:highlight w:val="none"/>
        </w:rPr>
        <w:t>=</w:t>
      </w:r>
      <w:r>
        <w:rPr>
          <w:rFonts w:hint="eastAsia" w:ascii="Times New Roman" w:hAnsi="Times New Roman"/>
          <w:b/>
          <w:szCs w:val="24"/>
          <w:highlight w:val="none"/>
          <w:lang w:val="en-US" w:eastAsia="zh-CN"/>
        </w:rPr>
        <w:t>7.902</w:t>
      </w:r>
      <w:r>
        <w:rPr>
          <w:rFonts w:ascii="Times New Roman" w:hAnsi="Times New Roman"/>
          <w:b/>
          <w:szCs w:val="24"/>
          <w:highlight w:val="none"/>
        </w:rPr>
        <w:t>t/a</w:t>
      </w:r>
    </w:p>
    <w:p w14:paraId="07520463">
      <w:pPr>
        <w:ind w:firstLine="482"/>
        <w:rPr>
          <w:rFonts w:ascii="Times New Roman" w:hAnsi="Times New Roman"/>
          <w:b/>
          <w:szCs w:val="24"/>
          <w:highlight w:val="none"/>
        </w:rPr>
      </w:pPr>
      <w:r>
        <w:rPr>
          <w:rFonts w:ascii="Times New Roman" w:hAnsi="Times New Roman"/>
          <w:b/>
          <w:szCs w:val="24"/>
          <w:highlight w:val="none"/>
        </w:rPr>
        <w:t>SO</w:t>
      </w:r>
      <w:r>
        <w:rPr>
          <w:rFonts w:ascii="Times New Roman" w:hAnsi="Times New Roman"/>
          <w:b/>
          <w:szCs w:val="24"/>
          <w:highlight w:val="none"/>
          <w:vertAlign w:val="subscript"/>
        </w:rPr>
        <w:t>2</w:t>
      </w:r>
      <w:r>
        <w:rPr>
          <w:rFonts w:ascii="Times New Roman" w:hAnsi="Times New Roman"/>
          <w:b/>
          <w:szCs w:val="24"/>
          <w:highlight w:val="none"/>
        </w:rPr>
        <w:t>=35×</w:t>
      </w:r>
      <w:r>
        <w:rPr>
          <w:rFonts w:hint="eastAsia" w:ascii="Times New Roman" w:hAnsi="Times New Roman"/>
          <w:b/>
          <w:szCs w:val="24"/>
          <w:highlight w:val="none"/>
          <w:lang w:val="en-US" w:eastAsia="zh-CN"/>
        </w:rPr>
        <w:t>9.75</w:t>
      </w:r>
      <w:r>
        <w:rPr>
          <w:rFonts w:ascii="Times New Roman" w:hAnsi="Times New Roman"/>
          <w:b/>
          <w:szCs w:val="24"/>
          <w:highlight w:val="none"/>
        </w:rPr>
        <w:t>×</w:t>
      </w:r>
      <w:r>
        <w:rPr>
          <w:rFonts w:hint="eastAsia" w:ascii="Times New Roman" w:hAnsi="Times New Roman"/>
          <w:b/>
          <w:szCs w:val="24"/>
          <w:highlight w:val="none"/>
          <w:lang w:val="en-US" w:eastAsia="zh-CN"/>
        </w:rPr>
        <w:t>81047.7024</w:t>
      </w:r>
      <w:r>
        <w:rPr>
          <w:rFonts w:ascii="Times New Roman" w:hAnsi="Times New Roman"/>
          <w:b/>
          <w:szCs w:val="24"/>
          <w:highlight w:val="none"/>
        </w:rPr>
        <w:t>×1×10</w:t>
      </w:r>
      <w:r>
        <w:rPr>
          <w:rFonts w:ascii="Times New Roman" w:hAnsi="Times New Roman"/>
          <w:b/>
          <w:szCs w:val="24"/>
          <w:highlight w:val="none"/>
          <w:vertAlign w:val="superscript"/>
        </w:rPr>
        <w:t>-6</w:t>
      </w:r>
      <w:r>
        <w:rPr>
          <w:rFonts w:ascii="Times New Roman" w:hAnsi="Times New Roman"/>
          <w:b/>
          <w:szCs w:val="24"/>
          <w:highlight w:val="none"/>
        </w:rPr>
        <w:t>=</w:t>
      </w:r>
      <w:r>
        <w:rPr>
          <w:rFonts w:hint="eastAsia" w:ascii="Times New Roman" w:hAnsi="Times New Roman"/>
          <w:b/>
          <w:szCs w:val="24"/>
          <w:highlight w:val="none"/>
          <w:lang w:val="en-US" w:eastAsia="zh-CN"/>
        </w:rPr>
        <w:t>27.658</w:t>
      </w:r>
      <w:r>
        <w:rPr>
          <w:rFonts w:ascii="Times New Roman" w:hAnsi="Times New Roman"/>
          <w:b/>
          <w:szCs w:val="24"/>
          <w:highlight w:val="none"/>
        </w:rPr>
        <w:t>t/a</w:t>
      </w:r>
    </w:p>
    <w:p w14:paraId="76CB45F3">
      <w:pPr>
        <w:ind w:firstLine="482"/>
        <w:rPr>
          <w:rFonts w:ascii="Times New Roman" w:hAnsi="Times New Roman"/>
          <w:b/>
          <w:szCs w:val="24"/>
          <w:highlight w:val="none"/>
        </w:rPr>
      </w:pPr>
      <w:r>
        <w:rPr>
          <w:rFonts w:ascii="Times New Roman" w:hAnsi="Times New Roman"/>
          <w:b/>
          <w:szCs w:val="24"/>
          <w:highlight w:val="none"/>
        </w:rPr>
        <w:t>NO</w:t>
      </w:r>
      <w:r>
        <w:rPr>
          <w:rFonts w:ascii="Times New Roman" w:hAnsi="Times New Roman"/>
          <w:b/>
          <w:szCs w:val="24"/>
          <w:highlight w:val="none"/>
          <w:vertAlign w:val="subscript"/>
        </w:rPr>
        <w:t>X</w:t>
      </w:r>
      <w:r>
        <w:rPr>
          <w:rFonts w:ascii="Times New Roman" w:hAnsi="Times New Roman"/>
          <w:b/>
          <w:szCs w:val="24"/>
          <w:highlight w:val="none"/>
        </w:rPr>
        <w:t>=50×</w:t>
      </w:r>
      <w:r>
        <w:rPr>
          <w:rFonts w:hint="eastAsia" w:ascii="Times New Roman" w:hAnsi="Times New Roman"/>
          <w:b/>
          <w:szCs w:val="24"/>
          <w:highlight w:val="none"/>
          <w:lang w:val="en-US" w:eastAsia="zh-CN"/>
        </w:rPr>
        <w:t>9.75</w:t>
      </w:r>
      <w:r>
        <w:rPr>
          <w:rFonts w:ascii="Times New Roman" w:hAnsi="Times New Roman"/>
          <w:b/>
          <w:szCs w:val="24"/>
          <w:highlight w:val="none"/>
        </w:rPr>
        <w:t>×</w:t>
      </w:r>
      <w:r>
        <w:rPr>
          <w:rFonts w:hint="eastAsia" w:ascii="Times New Roman" w:hAnsi="Times New Roman"/>
          <w:b/>
          <w:szCs w:val="24"/>
          <w:highlight w:val="none"/>
          <w:lang w:val="en-US" w:eastAsia="zh-CN"/>
        </w:rPr>
        <w:t>81047.7024</w:t>
      </w:r>
      <w:r>
        <w:rPr>
          <w:rFonts w:ascii="Times New Roman" w:hAnsi="Times New Roman"/>
          <w:b/>
          <w:szCs w:val="24"/>
          <w:highlight w:val="none"/>
        </w:rPr>
        <w:t>×1×10</w:t>
      </w:r>
      <w:r>
        <w:rPr>
          <w:rFonts w:ascii="Times New Roman" w:hAnsi="Times New Roman"/>
          <w:b/>
          <w:szCs w:val="24"/>
          <w:highlight w:val="none"/>
          <w:vertAlign w:val="superscript"/>
        </w:rPr>
        <w:t>-6</w:t>
      </w:r>
      <w:r>
        <w:rPr>
          <w:rFonts w:ascii="Times New Roman" w:hAnsi="Times New Roman"/>
          <w:b/>
          <w:szCs w:val="24"/>
          <w:highlight w:val="none"/>
        </w:rPr>
        <w:t>=</w:t>
      </w:r>
      <w:r>
        <w:rPr>
          <w:rFonts w:hint="eastAsia" w:ascii="Times New Roman" w:hAnsi="Times New Roman"/>
          <w:b/>
          <w:szCs w:val="24"/>
          <w:highlight w:val="none"/>
          <w:lang w:val="en-US" w:eastAsia="zh-CN"/>
        </w:rPr>
        <w:t>39.511</w:t>
      </w:r>
      <w:r>
        <w:rPr>
          <w:rFonts w:ascii="Times New Roman" w:hAnsi="Times New Roman"/>
          <w:b/>
          <w:szCs w:val="24"/>
          <w:highlight w:val="none"/>
        </w:rPr>
        <w:t>t/a</w:t>
      </w:r>
    </w:p>
    <w:p w14:paraId="03D11A6C">
      <w:pPr>
        <w:ind w:firstLine="480"/>
        <w:rPr>
          <w:rFonts w:ascii="Times New Roman" w:hAnsi="Times New Roman"/>
          <w:snapToGrid w:val="0"/>
          <w:szCs w:val="21"/>
          <w:highlight w:val="none"/>
        </w:rPr>
      </w:pPr>
      <w:r>
        <w:rPr>
          <w:rFonts w:ascii="Times New Roman" w:hAnsi="Times New Roman"/>
          <w:snapToGrid w:val="0"/>
          <w:szCs w:val="21"/>
          <w:highlight w:val="none"/>
        </w:rPr>
        <w:t>2、无组织排放废气</w:t>
      </w:r>
    </w:p>
    <w:p w14:paraId="62B66464">
      <w:pPr>
        <w:ind w:firstLine="480"/>
        <w:rPr>
          <w:rFonts w:ascii="Times New Roman" w:hAnsi="Times New Roman"/>
          <w:szCs w:val="21"/>
          <w:highlight w:val="none"/>
        </w:rPr>
      </w:pPr>
      <w:r>
        <w:rPr>
          <w:rFonts w:ascii="Times New Roman" w:hAnsi="Times New Roman"/>
          <w:szCs w:val="21"/>
          <w:highlight w:val="none"/>
        </w:rPr>
        <w:t>本项目无组织粉尘量排放量约为</w:t>
      </w:r>
      <w:r>
        <w:rPr>
          <w:rFonts w:hint="eastAsia" w:ascii="Times New Roman" w:hAnsi="Times New Roman"/>
          <w:szCs w:val="21"/>
          <w:highlight w:val="none"/>
          <w:lang w:val="en-US" w:eastAsia="zh-CN"/>
        </w:rPr>
        <w:t>0.3353</w:t>
      </w:r>
      <w:r>
        <w:rPr>
          <w:rFonts w:ascii="Times New Roman" w:hAnsi="Times New Roman"/>
          <w:szCs w:val="21"/>
          <w:highlight w:val="none"/>
        </w:rPr>
        <w:t>t/a，则本项目无组织排放工业粉尘的核定量为</w:t>
      </w:r>
      <w:r>
        <w:rPr>
          <w:rFonts w:hint="eastAsia" w:ascii="Times New Roman" w:hAnsi="Times New Roman"/>
          <w:szCs w:val="21"/>
          <w:highlight w:val="none"/>
          <w:lang w:val="en-US" w:eastAsia="zh-CN"/>
        </w:rPr>
        <w:t>0.3353</w:t>
      </w:r>
      <w:r>
        <w:rPr>
          <w:rFonts w:ascii="Times New Roman" w:hAnsi="Times New Roman"/>
          <w:szCs w:val="21"/>
          <w:highlight w:val="none"/>
        </w:rPr>
        <w:t>t/a。</w:t>
      </w:r>
    </w:p>
    <w:p w14:paraId="64DF423A">
      <w:pPr>
        <w:ind w:firstLine="482"/>
        <w:rPr>
          <w:rFonts w:hint="eastAsia" w:ascii="Times New Roman" w:hAnsi="Times New Roman"/>
          <w:b/>
          <w:highlight w:val="none"/>
        </w:rPr>
      </w:pPr>
      <w:r>
        <w:rPr>
          <w:rFonts w:hint="eastAsia" w:ascii="Times New Roman" w:hAnsi="Times New Roman"/>
          <w:b/>
          <w:highlight w:val="none"/>
        </w:rPr>
        <w:t>水污染物总量计算</w:t>
      </w:r>
    </w:p>
    <w:p w14:paraId="18408EAF">
      <w:pPr>
        <w:ind w:firstLine="480"/>
        <w:rPr>
          <w:rFonts w:hint="eastAsia" w:ascii="Times New Roman" w:hAnsi="Times New Roman"/>
          <w:szCs w:val="21"/>
          <w:highlight w:val="none"/>
        </w:rPr>
      </w:pPr>
      <w:r>
        <w:rPr>
          <w:rFonts w:hint="eastAsia" w:ascii="Times New Roman" w:hAnsi="Times New Roman"/>
          <w:szCs w:val="21"/>
          <w:highlight w:val="none"/>
        </w:rPr>
        <w:t>本项目生活污水经市政管网排入哈尔滨市信义污水处理厂，生活污水年排放量为691.2t/a。</w:t>
      </w:r>
    </w:p>
    <w:p w14:paraId="2E047686">
      <w:pPr>
        <w:ind w:firstLine="480"/>
        <w:rPr>
          <w:rFonts w:hint="eastAsia" w:ascii="Times New Roman" w:hAnsi="Times New Roman"/>
          <w:szCs w:val="21"/>
          <w:highlight w:val="none"/>
        </w:rPr>
      </w:pPr>
      <w:r>
        <w:rPr>
          <w:rFonts w:hint="eastAsia" w:ascii="Times New Roman" w:hAnsi="Times New Roman"/>
          <w:szCs w:val="21"/>
          <w:highlight w:val="none"/>
        </w:rPr>
        <w:t>COD=691.2×500/1000=0.346t/a</w:t>
      </w:r>
    </w:p>
    <w:p w14:paraId="2425F755">
      <w:pPr>
        <w:ind w:firstLine="480"/>
        <w:rPr>
          <w:rFonts w:hint="eastAsia" w:ascii="Times New Roman" w:hAnsi="Times New Roman"/>
          <w:szCs w:val="21"/>
          <w:highlight w:val="none"/>
        </w:rPr>
      </w:pPr>
      <w:r>
        <w:rPr>
          <w:rFonts w:hint="eastAsia" w:ascii="Times New Roman" w:hAnsi="Times New Roman"/>
          <w:szCs w:val="21"/>
          <w:highlight w:val="none"/>
        </w:rPr>
        <w:t>氨氮=691.2×25/1000=</w:t>
      </w:r>
      <w:r>
        <w:rPr>
          <w:rFonts w:ascii="Times New Roman" w:hAnsi="Times New Roman"/>
          <w:szCs w:val="21"/>
          <w:highlight w:val="none"/>
        </w:rPr>
        <w:t>0.01</w:t>
      </w:r>
      <w:r>
        <w:rPr>
          <w:rFonts w:hint="eastAsia" w:ascii="Times New Roman" w:hAnsi="Times New Roman"/>
          <w:szCs w:val="21"/>
          <w:highlight w:val="none"/>
        </w:rPr>
        <w:t>7t/a</w:t>
      </w:r>
    </w:p>
    <w:p w14:paraId="0A11C14A">
      <w:pPr>
        <w:rPr>
          <w:rFonts w:ascii="Times New Roman" w:hAnsi="Times New Roman"/>
          <w:szCs w:val="21"/>
          <w:highlight w:val="none"/>
        </w:rPr>
      </w:pPr>
      <w:r>
        <w:rPr>
          <w:rFonts w:ascii="Times New Roman" w:hAnsi="Times New Roman"/>
          <w:szCs w:val="21"/>
          <w:highlight w:val="none"/>
        </w:rPr>
        <w:t>综上所述，污本项目污染物核定总量为颗粒物：</w:t>
      </w:r>
      <w:r>
        <w:rPr>
          <w:rFonts w:hint="eastAsia" w:ascii="Times New Roman" w:hAnsi="Times New Roman"/>
          <w:szCs w:val="21"/>
          <w:highlight w:val="none"/>
        </w:rPr>
        <w:t>31.437</w:t>
      </w:r>
      <w:r>
        <w:rPr>
          <w:rFonts w:ascii="Times New Roman" w:hAnsi="Times New Roman"/>
          <w:szCs w:val="21"/>
          <w:highlight w:val="none"/>
        </w:rPr>
        <w:t>t/a、SO</w:t>
      </w:r>
      <w:r>
        <w:rPr>
          <w:rFonts w:ascii="Times New Roman" w:hAnsi="Times New Roman"/>
          <w:szCs w:val="21"/>
          <w:highlight w:val="none"/>
          <w:vertAlign w:val="subscript"/>
        </w:rPr>
        <w:t>2</w:t>
      </w:r>
      <w:r>
        <w:rPr>
          <w:rFonts w:ascii="Times New Roman" w:hAnsi="Times New Roman"/>
          <w:szCs w:val="21"/>
          <w:highlight w:val="none"/>
        </w:rPr>
        <w:t>：</w:t>
      </w:r>
      <w:r>
        <w:rPr>
          <w:rFonts w:hint="eastAsia" w:ascii="Times New Roman" w:hAnsi="Times New Roman"/>
          <w:szCs w:val="21"/>
          <w:highlight w:val="none"/>
        </w:rPr>
        <w:t>98.841</w:t>
      </w:r>
      <w:r>
        <w:rPr>
          <w:rFonts w:ascii="Times New Roman" w:hAnsi="Times New Roman"/>
          <w:szCs w:val="21"/>
          <w:highlight w:val="none"/>
        </w:rPr>
        <w:t>t/a和NOx：</w:t>
      </w:r>
      <w:r>
        <w:rPr>
          <w:rFonts w:hint="eastAsia" w:ascii="Times New Roman" w:hAnsi="Times New Roman"/>
          <w:szCs w:val="21"/>
          <w:highlight w:val="none"/>
        </w:rPr>
        <w:t>141.201</w:t>
      </w:r>
      <w:r>
        <w:rPr>
          <w:rFonts w:ascii="Times New Roman" w:hAnsi="Times New Roman"/>
          <w:szCs w:val="21"/>
          <w:highlight w:val="none"/>
        </w:rPr>
        <w:t>t/a</w:t>
      </w:r>
      <w:r>
        <w:rPr>
          <w:rFonts w:hint="eastAsia" w:ascii="Times New Roman" w:hAnsi="Times New Roman"/>
          <w:szCs w:val="21"/>
          <w:highlight w:val="none"/>
        </w:rPr>
        <w:t>；COD：0.346t/a、氨氮：</w:t>
      </w:r>
      <w:r>
        <w:rPr>
          <w:rFonts w:ascii="Times New Roman" w:hAnsi="Times New Roman"/>
          <w:szCs w:val="21"/>
          <w:highlight w:val="none"/>
        </w:rPr>
        <w:t>0.01</w:t>
      </w:r>
      <w:r>
        <w:rPr>
          <w:rFonts w:hint="eastAsia" w:ascii="Times New Roman" w:hAnsi="Times New Roman"/>
          <w:szCs w:val="21"/>
          <w:highlight w:val="none"/>
        </w:rPr>
        <w:t>7t/a</w:t>
      </w:r>
      <w:r>
        <w:rPr>
          <w:rFonts w:ascii="Times New Roman" w:hAnsi="Times New Roman"/>
          <w:szCs w:val="21"/>
          <w:highlight w:val="none"/>
        </w:rPr>
        <w:t>。</w:t>
      </w:r>
    </w:p>
    <w:p w14:paraId="23E3A3C0">
      <w:pPr>
        <w:pStyle w:val="23"/>
        <w:rPr>
          <w:rFonts w:ascii="Times New Roman" w:hAnsi="Times New Roman"/>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E2A0EDC">
      <w:pPr>
        <w:pStyle w:val="3"/>
        <w:bidi w:val="0"/>
        <w:rPr>
          <w:rFonts w:hint="default"/>
          <w:highlight w:val="none"/>
          <w:lang w:val="en-US" w:eastAsia="zh-CN"/>
        </w:rPr>
      </w:pPr>
      <w:bookmarkStart w:id="232" w:name="_Toc23348"/>
      <w:r>
        <w:rPr>
          <w:rFonts w:hint="eastAsia"/>
          <w:highlight w:val="none"/>
          <w:lang w:val="en-US" w:eastAsia="zh-CN"/>
        </w:rPr>
        <w:t>附件6排污许可证及企业规模信息</w:t>
      </w:r>
      <w:bookmarkEnd w:id="232"/>
    </w:p>
    <w:p w14:paraId="24F6825A">
      <w:pPr>
        <w:ind w:left="0" w:leftChars="0" w:firstLine="0" w:firstLineChars="0"/>
        <w:rPr>
          <w:highlight w:val="none"/>
        </w:rPr>
      </w:pPr>
      <w:r>
        <w:rPr>
          <w:highlight w:val="none"/>
        </w:rPr>
        <w:drawing>
          <wp:inline distT="0" distB="0" distL="114300" distR="114300">
            <wp:extent cx="5269230" cy="3693795"/>
            <wp:effectExtent l="0" t="0" r="7620" b="1905"/>
            <wp:docPr id="1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5"/>
                    <pic:cNvPicPr>
                      <a:picLocks noChangeAspect="1"/>
                    </pic:cNvPicPr>
                  </pic:nvPicPr>
                  <pic:blipFill>
                    <a:blip r:embed="rId119"/>
                    <a:stretch>
                      <a:fillRect/>
                    </a:stretch>
                  </pic:blipFill>
                  <pic:spPr>
                    <a:xfrm>
                      <a:off x="0" y="0"/>
                      <a:ext cx="5269230" cy="3693795"/>
                    </a:xfrm>
                    <a:prstGeom prst="rect">
                      <a:avLst/>
                    </a:prstGeom>
                    <a:noFill/>
                    <a:ln>
                      <a:noFill/>
                    </a:ln>
                  </pic:spPr>
                </pic:pic>
              </a:graphicData>
            </a:graphic>
          </wp:inline>
        </w:drawing>
      </w:r>
    </w:p>
    <w:p w14:paraId="204C0344">
      <w:pPr>
        <w:bidi w:val="0"/>
        <w:ind w:left="0" w:leftChars="0" w:firstLine="0" w:firstLineChars="0"/>
        <w:rPr>
          <w:highlight w:val="none"/>
        </w:rPr>
      </w:pPr>
      <w:r>
        <w:rPr>
          <w:highlight w:val="none"/>
        </w:rPr>
        <w:drawing>
          <wp:inline distT="0" distB="0" distL="114300" distR="114300">
            <wp:extent cx="5264150" cy="1704975"/>
            <wp:effectExtent l="0" t="0" r="12700" b="9525"/>
            <wp:docPr id="17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21"/>
                    <pic:cNvPicPr>
                      <a:picLocks noChangeAspect="1"/>
                    </pic:cNvPicPr>
                  </pic:nvPicPr>
                  <pic:blipFill>
                    <a:blip r:embed="rId120"/>
                    <a:stretch>
                      <a:fillRect/>
                    </a:stretch>
                  </pic:blipFill>
                  <pic:spPr>
                    <a:xfrm>
                      <a:off x="0" y="0"/>
                      <a:ext cx="5264150" cy="1704975"/>
                    </a:xfrm>
                    <a:prstGeom prst="rect">
                      <a:avLst/>
                    </a:prstGeom>
                    <a:noFill/>
                    <a:ln>
                      <a:noFill/>
                    </a:ln>
                  </pic:spPr>
                </pic:pic>
              </a:graphicData>
            </a:graphic>
          </wp:inline>
        </w:drawing>
      </w:r>
    </w:p>
    <w:p w14:paraId="2A0010A3">
      <w:pPr>
        <w:pStyle w:val="15"/>
        <w:rPr>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2D1E46D">
      <w:pPr>
        <w:pStyle w:val="3"/>
        <w:bidi w:val="0"/>
        <w:rPr>
          <w:rFonts w:hint="default"/>
          <w:highlight w:val="none"/>
          <w:lang w:val="en-US" w:eastAsia="zh-CN"/>
        </w:rPr>
      </w:pPr>
      <w:bookmarkStart w:id="233" w:name="_Toc31871"/>
      <w:r>
        <w:rPr>
          <w:rFonts w:hint="eastAsia"/>
          <w:highlight w:val="none"/>
          <w:lang w:val="en-US" w:eastAsia="zh-CN"/>
        </w:rPr>
        <w:t>附件7现有环评批复及验收意见</w:t>
      </w:r>
      <w:bookmarkEnd w:id="233"/>
    </w:p>
    <w:p w14:paraId="7C641599">
      <w:pPr>
        <w:ind w:left="0" w:leftChars="0" w:firstLine="0" w:firstLineChars="0"/>
        <w:rPr>
          <w:rFonts w:hint="eastAsia" w:eastAsiaTheme="minorEastAsia"/>
          <w:highlight w:val="none"/>
          <w:lang w:eastAsia="zh-CN"/>
        </w:rPr>
      </w:pPr>
      <w:r>
        <w:rPr>
          <w:rFonts w:hint="eastAsia" w:eastAsiaTheme="minorEastAsia"/>
          <w:highlight w:val="none"/>
          <w:lang w:eastAsia="zh-CN"/>
        </w:rPr>
        <w:drawing>
          <wp:inline distT="0" distB="0" distL="114300" distR="114300">
            <wp:extent cx="5269865" cy="7235190"/>
            <wp:effectExtent l="0" t="0" r="6985" b="3810"/>
            <wp:docPr id="120" name="图片 120" descr="供热锅炉改造项目环评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供热锅炉改造项目环评批复1"/>
                    <pic:cNvPicPr>
                      <a:picLocks noChangeAspect="1"/>
                    </pic:cNvPicPr>
                  </pic:nvPicPr>
                  <pic:blipFill>
                    <a:blip r:embed="rId121"/>
                    <a:stretch>
                      <a:fillRect/>
                    </a:stretch>
                  </pic:blipFill>
                  <pic:spPr>
                    <a:xfrm>
                      <a:off x="0" y="0"/>
                      <a:ext cx="5269865" cy="7235190"/>
                    </a:xfrm>
                    <a:prstGeom prst="rect">
                      <a:avLst/>
                    </a:prstGeom>
                  </pic:spPr>
                </pic:pic>
              </a:graphicData>
            </a:graphic>
          </wp:inline>
        </w:drawing>
      </w:r>
      <w:r>
        <w:rPr>
          <w:rFonts w:hint="eastAsia" w:eastAsiaTheme="minorEastAsia"/>
          <w:highlight w:val="none"/>
          <w:lang w:eastAsia="zh-CN"/>
        </w:rPr>
        <w:drawing>
          <wp:inline distT="0" distB="0" distL="114300" distR="114300">
            <wp:extent cx="5269865" cy="7416165"/>
            <wp:effectExtent l="0" t="0" r="6985" b="13335"/>
            <wp:docPr id="121" name="图片 121" descr="供热锅炉改造项目环评批复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供热锅炉改造项目环评批复2"/>
                    <pic:cNvPicPr>
                      <a:picLocks noChangeAspect="1"/>
                    </pic:cNvPicPr>
                  </pic:nvPicPr>
                  <pic:blipFill>
                    <a:blip r:embed="rId122"/>
                    <a:stretch>
                      <a:fillRect/>
                    </a:stretch>
                  </pic:blipFill>
                  <pic:spPr>
                    <a:xfrm>
                      <a:off x="0" y="0"/>
                      <a:ext cx="5269865" cy="7416165"/>
                    </a:xfrm>
                    <a:prstGeom prst="rect">
                      <a:avLst/>
                    </a:prstGeom>
                  </pic:spPr>
                </pic:pic>
              </a:graphicData>
            </a:graphic>
          </wp:inline>
        </w:drawing>
      </w:r>
    </w:p>
    <w:p w14:paraId="02E03F7B">
      <w:pPr>
        <w:bidi w:val="0"/>
        <w:ind w:left="0" w:leftChars="0" w:firstLine="0" w:firstLineChars="0"/>
        <w:rPr>
          <w:rFonts w:hint="eastAsia" w:eastAsiaTheme="minorEastAsia"/>
          <w:highlight w:val="none"/>
          <w:lang w:eastAsia="zh-CN"/>
        </w:rPr>
      </w:pPr>
      <w:r>
        <w:rPr>
          <w:highlight w:val="none"/>
        </w:rPr>
        <w:drawing>
          <wp:inline distT="0" distB="0" distL="114300" distR="114300">
            <wp:extent cx="5269230" cy="7434580"/>
            <wp:effectExtent l="0" t="0" r="7620" b="13970"/>
            <wp:docPr id="5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5"/>
                    <pic:cNvPicPr>
                      <a:picLocks noChangeAspect="1"/>
                    </pic:cNvPicPr>
                  </pic:nvPicPr>
                  <pic:blipFill>
                    <a:blip r:embed="rId123"/>
                    <a:stretch>
                      <a:fillRect/>
                    </a:stretch>
                  </pic:blipFill>
                  <pic:spPr>
                    <a:xfrm>
                      <a:off x="0" y="0"/>
                      <a:ext cx="5269230" cy="7434580"/>
                    </a:xfrm>
                    <a:prstGeom prst="rect">
                      <a:avLst/>
                    </a:prstGeom>
                    <a:noFill/>
                    <a:ln>
                      <a:noFill/>
                    </a:ln>
                  </pic:spPr>
                </pic:pic>
              </a:graphicData>
            </a:graphic>
          </wp:inline>
        </w:drawing>
      </w:r>
    </w:p>
    <w:p w14:paraId="21650B00">
      <w:pPr>
        <w:ind w:left="0" w:leftChars="0" w:firstLine="0" w:firstLineChars="0"/>
        <w:rPr>
          <w:rFonts w:hint="eastAsia" w:eastAsiaTheme="minorEastAsia"/>
          <w:highlight w:val="none"/>
          <w:lang w:eastAsia="zh-CN"/>
        </w:rPr>
      </w:pPr>
      <w:r>
        <w:rPr>
          <w:highlight w:val="none"/>
        </w:rPr>
        <w:drawing>
          <wp:inline distT="0" distB="0" distL="114300" distR="114300">
            <wp:extent cx="5269865" cy="7437755"/>
            <wp:effectExtent l="0" t="0" r="6985" b="10795"/>
            <wp:docPr id="6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6"/>
                    <pic:cNvPicPr>
                      <a:picLocks noChangeAspect="1"/>
                    </pic:cNvPicPr>
                  </pic:nvPicPr>
                  <pic:blipFill>
                    <a:blip r:embed="rId124"/>
                    <a:stretch>
                      <a:fillRect/>
                    </a:stretch>
                  </pic:blipFill>
                  <pic:spPr>
                    <a:xfrm>
                      <a:off x="0" y="0"/>
                      <a:ext cx="5269865" cy="7437755"/>
                    </a:xfrm>
                    <a:prstGeom prst="rect">
                      <a:avLst/>
                    </a:prstGeom>
                    <a:noFill/>
                    <a:ln>
                      <a:noFill/>
                    </a:ln>
                  </pic:spPr>
                </pic:pic>
              </a:graphicData>
            </a:graphic>
          </wp:inline>
        </w:drawing>
      </w:r>
    </w:p>
    <w:p w14:paraId="4BC979E7">
      <w:pPr>
        <w:bidi w:val="0"/>
        <w:ind w:left="0" w:leftChars="0" w:firstLine="0" w:firstLineChars="0"/>
        <w:rPr>
          <w:rFonts w:hint="eastAsia"/>
          <w:highlight w:val="none"/>
          <w:lang w:eastAsia="zh-CN"/>
        </w:rPr>
      </w:pPr>
      <w:r>
        <w:rPr>
          <w:highlight w:val="none"/>
        </w:rPr>
        <w:drawing>
          <wp:inline distT="0" distB="0" distL="114300" distR="114300">
            <wp:extent cx="5300345" cy="8572500"/>
            <wp:effectExtent l="0" t="0" r="1460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pic:cNvPicPr>
                  </pic:nvPicPr>
                  <pic:blipFill>
                    <a:blip r:embed="rId125"/>
                    <a:stretch>
                      <a:fillRect/>
                    </a:stretch>
                  </pic:blipFill>
                  <pic:spPr>
                    <a:xfrm>
                      <a:off x="0" y="0"/>
                      <a:ext cx="5300345" cy="8572500"/>
                    </a:xfrm>
                    <a:prstGeom prst="rect">
                      <a:avLst/>
                    </a:prstGeom>
                    <a:noFill/>
                    <a:ln>
                      <a:noFill/>
                    </a:ln>
                  </pic:spPr>
                </pic:pic>
              </a:graphicData>
            </a:graphic>
          </wp:inline>
        </w:drawing>
      </w:r>
      <w:r>
        <w:rPr>
          <w:highlight w:val="none"/>
        </w:rPr>
        <w:drawing>
          <wp:inline distT="0" distB="0" distL="114300" distR="114300">
            <wp:extent cx="5273040" cy="8296275"/>
            <wp:effectExtent l="0" t="0" r="3810" b="9525"/>
            <wp:docPr id="1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6"/>
                    <pic:cNvPicPr>
                      <a:picLocks noChangeAspect="1"/>
                    </pic:cNvPicPr>
                  </pic:nvPicPr>
                  <pic:blipFill>
                    <a:blip r:embed="rId126"/>
                    <a:stretch>
                      <a:fillRect/>
                    </a:stretch>
                  </pic:blipFill>
                  <pic:spPr>
                    <a:xfrm>
                      <a:off x="0" y="0"/>
                      <a:ext cx="5273040" cy="8296275"/>
                    </a:xfrm>
                    <a:prstGeom prst="rect">
                      <a:avLst/>
                    </a:prstGeom>
                    <a:noFill/>
                    <a:ln>
                      <a:noFill/>
                    </a:ln>
                  </pic:spPr>
                </pic:pic>
              </a:graphicData>
            </a:graphic>
          </wp:inline>
        </w:drawing>
      </w:r>
    </w:p>
    <w:p w14:paraId="3434B5BF">
      <w:pPr>
        <w:rPr>
          <w:rFonts w:hint="eastAsia" w:eastAsiaTheme="minorEastAsia"/>
          <w:highlight w:val="none"/>
          <w:lang w:eastAsia="zh-CN"/>
        </w:rPr>
      </w:pPr>
    </w:p>
    <w:p w14:paraId="529D441D">
      <w:pPr>
        <w:pStyle w:val="3"/>
        <w:bidi w:val="0"/>
        <w:rPr>
          <w:rFonts w:hint="eastAsia"/>
          <w:highlight w:val="none"/>
          <w:lang w:val="en-US" w:eastAsia="zh-CN"/>
        </w:rPr>
      </w:pPr>
      <w:bookmarkStart w:id="234" w:name="_Toc18344"/>
      <w:r>
        <w:rPr>
          <w:rFonts w:hint="eastAsia"/>
          <w:highlight w:val="none"/>
          <w:lang w:val="en-US" w:eastAsia="zh-CN"/>
        </w:rPr>
        <w:t>附件8关于《绥芬河边境经济合作区（代管区）总体规划（2021-2035年）环境影响报告书》的审查意见</w:t>
      </w:r>
      <w:bookmarkEnd w:id="234"/>
    </w:p>
    <w:p w14:paraId="793D7BBE">
      <w:pPr>
        <w:ind w:left="0" w:leftChars="0" w:firstLine="0" w:firstLineChars="0"/>
        <w:rPr>
          <w:rFonts w:hint="default"/>
          <w:highlight w:val="none"/>
          <w:lang w:val="en-US" w:eastAsia="zh-CN"/>
        </w:rPr>
      </w:pPr>
      <w:r>
        <w:rPr>
          <w:highlight w:val="none"/>
        </w:rPr>
        <w:drawing>
          <wp:inline distT="0" distB="0" distL="114300" distR="114300">
            <wp:extent cx="5269865" cy="7014845"/>
            <wp:effectExtent l="0" t="0" r="6985" b="14605"/>
            <wp:docPr id="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5"/>
                    <pic:cNvPicPr>
                      <a:picLocks noChangeAspect="1"/>
                    </pic:cNvPicPr>
                  </pic:nvPicPr>
                  <pic:blipFill>
                    <a:blip r:embed="rId127"/>
                    <a:stretch>
                      <a:fillRect/>
                    </a:stretch>
                  </pic:blipFill>
                  <pic:spPr>
                    <a:xfrm>
                      <a:off x="0" y="0"/>
                      <a:ext cx="5269865" cy="7014845"/>
                    </a:xfrm>
                    <a:prstGeom prst="rect">
                      <a:avLst/>
                    </a:prstGeom>
                    <a:noFill/>
                    <a:ln>
                      <a:noFill/>
                    </a:ln>
                  </pic:spPr>
                </pic:pic>
              </a:graphicData>
            </a:graphic>
          </wp:inline>
        </w:drawing>
      </w:r>
      <w:r>
        <w:rPr>
          <w:highlight w:val="none"/>
        </w:rPr>
        <w:drawing>
          <wp:inline distT="0" distB="0" distL="114300" distR="114300">
            <wp:extent cx="5325745" cy="8400415"/>
            <wp:effectExtent l="0" t="0" r="8255" b="635"/>
            <wp:docPr id="1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6"/>
                    <pic:cNvPicPr>
                      <a:picLocks noChangeAspect="1"/>
                    </pic:cNvPicPr>
                  </pic:nvPicPr>
                  <pic:blipFill>
                    <a:blip r:embed="rId128"/>
                    <a:stretch>
                      <a:fillRect/>
                    </a:stretch>
                  </pic:blipFill>
                  <pic:spPr>
                    <a:xfrm>
                      <a:off x="0" y="0"/>
                      <a:ext cx="5325745" cy="8400415"/>
                    </a:xfrm>
                    <a:prstGeom prst="rect">
                      <a:avLst/>
                    </a:prstGeom>
                    <a:noFill/>
                    <a:ln>
                      <a:noFill/>
                    </a:ln>
                  </pic:spPr>
                </pic:pic>
              </a:graphicData>
            </a:graphic>
          </wp:inline>
        </w:drawing>
      </w:r>
      <w:r>
        <w:rPr>
          <w:highlight w:val="none"/>
        </w:rPr>
        <w:drawing>
          <wp:inline distT="0" distB="0" distL="114300" distR="114300">
            <wp:extent cx="5271135" cy="8317230"/>
            <wp:effectExtent l="0" t="0" r="5715" b="7620"/>
            <wp:docPr id="15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7"/>
                    <pic:cNvPicPr>
                      <a:picLocks noChangeAspect="1"/>
                    </pic:cNvPicPr>
                  </pic:nvPicPr>
                  <pic:blipFill>
                    <a:blip r:embed="rId129"/>
                    <a:stretch>
                      <a:fillRect/>
                    </a:stretch>
                  </pic:blipFill>
                  <pic:spPr>
                    <a:xfrm>
                      <a:off x="0" y="0"/>
                      <a:ext cx="5271135" cy="8317230"/>
                    </a:xfrm>
                    <a:prstGeom prst="rect">
                      <a:avLst/>
                    </a:prstGeom>
                    <a:noFill/>
                    <a:ln>
                      <a:noFill/>
                    </a:ln>
                  </pic:spPr>
                </pic:pic>
              </a:graphicData>
            </a:graphic>
          </wp:inline>
        </w:drawing>
      </w:r>
      <w:r>
        <w:rPr>
          <w:highlight w:val="none"/>
        </w:rPr>
        <w:drawing>
          <wp:inline distT="0" distB="0" distL="114300" distR="114300">
            <wp:extent cx="5270500" cy="8444230"/>
            <wp:effectExtent l="0" t="0" r="6350" b="13970"/>
            <wp:docPr id="15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8"/>
                    <pic:cNvPicPr>
                      <a:picLocks noChangeAspect="1"/>
                    </pic:cNvPicPr>
                  </pic:nvPicPr>
                  <pic:blipFill>
                    <a:blip r:embed="rId130"/>
                    <a:stretch>
                      <a:fillRect/>
                    </a:stretch>
                  </pic:blipFill>
                  <pic:spPr>
                    <a:xfrm>
                      <a:off x="0" y="0"/>
                      <a:ext cx="5270500" cy="8444230"/>
                    </a:xfrm>
                    <a:prstGeom prst="rect">
                      <a:avLst/>
                    </a:prstGeom>
                    <a:noFill/>
                    <a:ln>
                      <a:noFill/>
                    </a:ln>
                  </pic:spPr>
                </pic:pic>
              </a:graphicData>
            </a:graphic>
          </wp:inline>
        </w:drawing>
      </w:r>
      <w:r>
        <w:rPr>
          <w:highlight w:val="none"/>
        </w:rPr>
        <w:drawing>
          <wp:inline distT="0" distB="0" distL="114300" distR="114300">
            <wp:extent cx="5273675" cy="8360410"/>
            <wp:effectExtent l="0" t="0" r="3175" b="2540"/>
            <wp:docPr id="15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9"/>
                    <pic:cNvPicPr>
                      <a:picLocks noChangeAspect="1"/>
                    </pic:cNvPicPr>
                  </pic:nvPicPr>
                  <pic:blipFill>
                    <a:blip r:embed="rId131"/>
                    <a:stretch>
                      <a:fillRect/>
                    </a:stretch>
                  </pic:blipFill>
                  <pic:spPr>
                    <a:xfrm>
                      <a:off x="0" y="0"/>
                      <a:ext cx="5273675" cy="8360410"/>
                    </a:xfrm>
                    <a:prstGeom prst="rect">
                      <a:avLst/>
                    </a:prstGeom>
                    <a:noFill/>
                    <a:ln>
                      <a:noFill/>
                    </a:ln>
                  </pic:spPr>
                </pic:pic>
              </a:graphicData>
            </a:graphic>
          </wp:inline>
        </w:drawing>
      </w:r>
      <w:r>
        <w:rPr>
          <w:highlight w:val="none"/>
        </w:rPr>
        <w:drawing>
          <wp:inline distT="0" distB="0" distL="114300" distR="114300">
            <wp:extent cx="5268595" cy="8396605"/>
            <wp:effectExtent l="0" t="0" r="8255" b="4445"/>
            <wp:docPr id="16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0"/>
                    <pic:cNvPicPr>
                      <a:picLocks noChangeAspect="1"/>
                    </pic:cNvPicPr>
                  </pic:nvPicPr>
                  <pic:blipFill>
                    <a:blip r:embed="rId132"/>
                    <a:stretch>
                      <a:fillRect/>
                    </a:stretch>
                  </pic:blipFill>
                  <pic:spPr>
                    <a:xfrm>
                      <a:off x="0" y="0"/>
                      <a:ext cx="5268595" cy="8396605"/>
                    </a:xfrm>
                    <a:prstGeom prst="rect">
                      <a:avLst/>
                    </a:prstGeom>
                    <a:noFill/>
                    <a:ln>
                      <a:noFill/>
                    </a:ln>
                  </pic:spPr>
                </pic:pic>
              </a:graphicData>
            </a:graphic>
          </wp:inline>
        </w:drawing>
      </w:r>
    </w:p>
    <w:p w14:paraId="21D23D10">
      <w:pPr>
        <w:pStyle w:val="3"/>
        <w:bidi w:val="0"/>
        <w:rPr>
          <w:rFonts w:hint="eastAsia"/>
          <w:highlight w:val="none"/>
          <w:lang w:val="en-US" w:eastAsia="zh-CN"/>
        </w:rPr>
      </w:pPr>
      <w:bookmarkStart w:id="235" w:name="_Toc24966"/>
      <w:r>
        <w:rPr>
          <w:rFonts w:hint="eastAsia"/>
          <w:highlight w:val="none"/>
          <w:lang w:val="en-US" w:eastAsia="zh-CN"/>
        </w:rPr>
        <w:t>附件9现有工程定期检测报告</w:t>
      </w:r>
      <w:bookmarkEnd w:id="235"/>
    </w:p>
    <w:p w14:paraId="130818AD">
      <w:pPr>
        <w:jc w:val="center"/>
        <w:rPr>
          <w:highlight w:val="none"/>
        </w:rPr>
      </w:pPr>
      <w:r>
        <w:rPr>
          <w:highlight w:val="none"/>
        </w:rPr>
        <w:drawing>
          <wp:inline distT="0" distB="0" distL="114300" distR="114300">
            <wp:extent cx="4629150" cy="6572250"/>
            <wp:effectExtent l="0" t="0" r="0" b="0"/>
            <wp:docPr id="1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6"/>
                    <pic:cNvPicPr>
                      <a:picLocks noChangeAspect="1"/>
                    </pic:cNvPicPr>
                  </pic:nvPicPr>
                  <pic:blipFill>
                    <a:blip r:embed="rId133"/>
                    <a:stretch>
                      <a:fillRect/>
                    </a:stretch>
                  </pic:blipFill>
                  <pic:spPr>
                    <a:xfrm>
                      <a:off x="0" y="0"/>
                      <a:ext cx="4629150" cy="6572250"/>
                    </a:xfrm>
                    <a:prstGeom prst="rect">
                      <a:avLst/>
                    </a:prstGeom>
                    <a:noFill/>
                    <a:ln>
                      <a:noFill/>
                    </a:ln>
                  </pic:spPr>
                </pic:pic>
              </a:graphicData>
            </a:graphic>
          </wp:inline>
        </w:drawing>
      </w:r>
    </w:p>
    <w:p w14:paraId="45B4F045">
      <w:pPr>
        <w:jc w:val="center"/>
        <w:rPr>
          <w:highlight w:val="none"/>
        </w:rPr>
      </w:pPr>
      <w:r>
        <w:rPr>
          <w:highlight w:val="none"/>
        </w:rPr>
        <w:drawing>
          <wp:inline distT="0" distB="0" distL="114300" distR="114300">
            <wp:extent cx="4648200" cy="6629400"/>
            <wp:effectExtent l="0" t="0" r="0" b="0"/>
            <wp:docPr id="1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7"/>
                    <pic:cNvPicPr>
                      <a:picLocks noChangeAspect="1"/>
                    </pic:cNvPicPr>
                  </pic:nvPicPr>
                  <pic:blipFill>
                    <a:blip r:embed="rId134"/>
                    <a:stretch>
                      <a:fillRect/>
                    </a:stretch>
                  </pic:blipFill>
                  <pic:spPr>
                    <a:xfrm>
                      <a:off x="0" y="0"/>
                      <a:ext cx="4648200" cy="6629400"/>
                    </a:xfrm>
                    <a:prstGeom prst="rect">
                      <a:avLst/>
                    </a:prstGeom>
                    <a:noFill/>
                    <a:ln>
                      <a:noFill/>
                    </a:ln>
                  </pic:spPr>
                </pic:pic>
              </a:graphicData>
            </a:graphic>
          </wp:inline>
        </w:drawing>
      </w:r>
      <w:r>
        <w:rPr>
          <w:highlight w:val="none"/>
        </w:rPr>
        <w:drawing>
          <wp:inline distT="0" distB="0" distL="114300" distR="114300">
            <wp:extent cx="4638675" cy="6638925"/>
            <wp:effectExtent l="0" t="0" r="9525" b="9525"/>
            <wp:docPr id="1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8"/>
                    <pic:cNvPicPr>
                      <a:picLocks noChangeAspect="1"/>
                    </pic:cNvPicPr>
                  </pic:nvPicPr>
                  <pic:blipFill>
                    <a:blip r:embed="rId135"/>
                    <a:stretch>
                      <a:fillRect/>
                    </a:stretch>
                  </pic:blipFill>
                  <pic:spPr>
                    <a:xfrm>
                      <a:off x="0" y="0"/>
                      <a:ext cx="4638675" cy="6638925"/>
                    </a:xfrm>
                    <a:prstGeom prst="rect">
                      <a:avLst/>
                    </a:prstGeom>
                    <a:noFill/>
                    <a:ln>
                      <a:noFill/>
                    </a:ln>
                  </pic:spPr>
                </pic:pic>
              </a:graphicData>
            </a:graphic>
          </wp:inline>
        </w:drawing>
      </w:r>
      <w:r>
        <w:rPr>
          <w:highlight w:val="none"/>
        </w:rPr>
        <w:drawing>
          <wp:inline distT="0" distB="0" distL="114300" distR="114300">
            <wp:extent cx="4676775" cy="6581775"/>
            <wp:effectExtent l="0" t="0" r="9525" b="9525"/>
            <wp:docPr id="1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9"/>
                    <pic:cNvPicPr>
                      <a:picLocks noChangeAspect="1"/>
                    </pic:cNvPicPr>
                  </pic:nvPicPr>
                  <pic:blipFill>
                    <a:blip r:embed="rId136"/>
                    <a:stretch>
                      <a:fillRect/>
                    </a:stretch>
                  </pic:blipFill>
                  <pic:spPr>
                    <a:xfrm>
                      <a:off x="0" y="0"/>
                      <a:ext cx="4676775" cy="6581775"/>
                    </a:xfrm>
                    <a:prstGeom prst="rect">
                      <a:avLst/>
                    </a:prstGeom>
                    <a:noFill/>
                    <a:ln>
                      <a:noFill/>
                    </a:ln>
                  </pic:spPr>
                </pic:pic>
              </a:graphicData>
            </a:graphic>
          </wp:inline>
        </w:drawing>
      </w:r>
      <w:r>
        <w:rPr>
          <w:highlight w:val="none"/>
        </w:rPr>
        <w:drawing>
          <wp:inline distT="0" distB="0" distL="114300" distR="114300">
            <wp:extent cx="4667250" cy="6600825"/>
            <wp:effectExtent l="0" t="0" r="0" b="9525"/>
            <wp:docPr id="12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20"/>
                    <pic:cNvPicPr>
                      <a:picLocks noChangeAspect="1"/>
                    </pic:cNvPicPr>
                  </pic:nvPicPr>
                  <pic:blipFill>
                    <a:blip r:embed="rId137"/>
                    <a:stretch>
                      <a:fillRect/>
                    </a:stretch>
                  </pic:blipFill>
                  <pic:spPr>
                    <a:xfrm>
                      <a:off x="0" y="0"/>
                      <a:ext cx="4667250" cy="6600825"/>
                    </a:xfrm>
                    <a:prstGeom prst="rect">
                      <a:avLst/>
                    </a:prstGeom>
                    <a:noFill/>
                    <a:ln>
                      <a:noFill/>
                    </a:ln>
                  </pic:spPr>
                </pic:pic>
              </a:graphicData>
            </a:graphic>
          </wp:inline>
        </w:drawing>
      </w:r>
      <w:r>
        <w:rPr>
          <w:highlight w:val="none"/>
        </w:rPr>
        <w:drawing>
          <wp:inline distT="0" distB="0" distL="114300" distR="114300">
            <wp:extent cx="4676775" cy="6610350"/>
            <wp:effectExtent l="0" t="0" r="9525" b="0"/>
            <wp:docPr id="12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1"/>
                    <pic:cNvPicPr>
                      <a:picLocks noChangeAspect="1"/>
                    </pic:cNvPicPr>
                  </pic:nvPicPr>
                  <pic:blipFill>
                    <a:blip r:embed="rId138"/>
                    <a:stretch>
                      <a:fillRect/>
                    </a:stretch>
                  </pic:blipFill>
                  <pic:spPr>
                    <a:xfrm>
                      <a:off x="0" y="0"/>
                      <a:ext cx="4676775" cy="6610350"/>
                    </a:xfrm>
                    <a:prstGeom prst="rect">
                      <a:avLst/>
                    </a:prstGeom>
                    <a:noFill/>
                    <a:ln>
                      <a:noFill/>
                    </a:ln>
                  </pic:spPr>
                </pic:pic>
              </a:graphicData>
            </a:graphic>
          </wp:inline>
        </w:drawing>
      </w:r>
      <w:r>
        <w:rPr>
          <w:highlight w:val="none"/>
        </w:rPr>
        <w:drawing>
          <wp:inline distT="0" distB="0" distL="114300" distR="114300">
            <wp:extent cx="4276725" cy="6038850"/>
            <wp:effectExtent l="0" t="0" r="9525" b="0"/>
            <wp:docPr id="12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22"/>
                    <pic:cNvPicPr>
                      <a:picLocks noChangeAspect="1"/>
                    </pic:cNvPicPr>
                  </pic:nvPicPr>
                  <pic:blipFill>
                    <a:blip r:embed="rId139"/>
                    <a:stretch>
                      <a:fillRect/>
                    </a:stretch>
                  </pic:blipFill>
                  <pic:spPr>
                    <a:xfrm>
                      <a:off x="0" y="0"/>
                      <a:ext cx="4276725" cy="6038850"/>
                    </a:xfrm>
                    <a:prstGeom prst="rect">
                      <a:avLst/>
                    </a:prstGeom>
                    <a:noFill/>
                    <a:ln>
                      <a:noFill/>
                    </a:ln>
                  </pic:spPr>
                </pic:pic>
              </a:graphicData>
            </a:graphic>
          </wp:inline>
        </w:drawing>
      </w:r>
      <w:r>
        <w:rPr>
          <w:highlight w:val="none"/>
        </w:rPr>
        <w:drawing>
          <wp:inline distT="0" distB="0" distL="114300" distR="114300">
            <wp:extent cx="4238625" cy="5991225"/>
            <wp:effectExtent l="0" t="0" r="9525" b="9525"/>
            <wp:docPr id="12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23"/>
                    <pic:cNvPicPr>
                      <a:picLocks noChangeAspect="1"/>
                    </pic:cNvPicPr>
                  </pic:nvPicPr>
                  <pic:blipFill>
                    <a:blip r:embed="rId140"/>
                    <a:stretch>
                      <a:fillRect/>
                    </a:stretch>
                  </pic:blipFill>
                  <pic:spPr>
                    <a:xfrm>
                      <a:off x="0" y="0"/>
                      <a:ext cx="4238625" cy="5991225"/>
                    </a:xfrm>
                    <a:prstGeom prst="rect">
                      <a:avLst/>
                    </a:prstGeom>
                    <a:noFill/>
                    <a:ln>
                      <a:noFill/>
                    </a:ln>
                  </pic:spPr>
                </pic:pic>
              </a:graphicData>
            </a:graphic>
          </wp:inline>
        </w:drawing>
      </w:r>
      <w:r>
        <w:rPr>
          <w:highlight w:val="none"/>
        </w:rPr>
        <w:drawing>
          <wp:inline distT="0" distB="0" distL="114300" distR="114300">
            <wp:extent cx="4248150" cy="5962650"/>
            <wp:effectExtent l="0" t="0" r="0" b="0"/>
            <wp:docPr id="13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24"/>
                    <pic:cNvPicPr>
                      <a:picLocks noChangeAspect="1"/>
                    </pic:cNvPicPr>
                  </pic:nvPicPr>
                  <pic:blipFill>
                    <a:blip r:embed="rId141"/>
                    <a:stretch>
                      <a:fillRect/>
                    </a:stretch>
                  </pic:blipFill>
                  <pic:spPr>
                    <a:xfrm>
                      <a:off x="0" y="0"/>
                      <a:ext cx="4248150" cy="5962650"/>
                    </a:xfrm>
                    <a:prstGeom prst="rect">
                      <a:avLst/>
                    </a:prstGeom>
                    <a:noFill/>
                    <a:ln>
                      <a:noFill/>
                    </a:ln>
                  </pic:spPr>
                </pic:pic>
              </a:graphicData>
            </a:graphic>
          </wp:inline>
        </w:drawing>
      </w:r>
      <w:r>
        <w:rPr>
          <w:highlight w:val="none"/>
        </w:rPr>
        <w:drawing>
          <wp:inline distT="0" distB="0" distL="114300" distR="114300">
            <wp:extent cx="4257675" cy="6048375"/>
            <wp:effectExtent l="0" t="0" r="9525" b="9525"/>
            <wp:docPr id="13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25"/>
                    <pic:cNvPicPr>
                      <a:picLocks noChangeAspect="1"/>
                    </pic:cNvPicPr>
                  </pic:nvPicPr>
                  <pic:blipFill>
                    <a:blip r:embed="rId142"/>
                    <a:stretch>
                      <a:fillRect/>
                    </a:stretch>
                  </pic:blipFill>
                  <pic:spPr>
                    <a:xfrm>
                      <a:off x="0" y="0"/>
                      <a:ext cx="4257675" cy="6048375"/>
                    </a:xfrm>
                    <a:prstGeom prst="rect">
                      <a:avLst/>
                    </a:prstGeom>
                    <a:noFill/>
                    <a:ln>
                      <a:noFill/>
                    </a:ln>
                  </pic:spPr>
                </pic:pic>
              </a:graphicData>
            </a:graphic>
          </wp:inline>
        </w:drawing>
      </w:r>
      <w:r>
        <w:rPr>
          <w:highlight w:val="none"/>
        </w:rPr>
        <w:drawing>
          <wp:inline distT="0" distB="0" distL="114300" distR="114300">
            <wp:extent cx="4276725" cy="5991225"/>
            <wp:effectExtent l="0" t="0" r="9525" b="9525"/>
            <wp:docPr id="13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26"/>
                    <pic:cNvPicPr>
                      <a:picLocks noChangeAspect="1"/>
                    </pic:cNvPicPr>
                  </pic:nvPicPr>
                  <pic:blipFill>
                    <a:blip r:embed="rId143"/>
                    <a:stretch>
                      <a:fillRect/>
                    </a:stretch>
                  </pic:blipFill>
                  <pic:spPr>
                    <a:xfrm>
                      <a:off x="0" y="0"/>
                      <a:ext cx="4276725" cy="5991225"/>
                    </a:xfrm>
                    <a:prstGeom prst="rect">
                      <a:avLst/>
                    </a:prstGeom>
                    <a:noFill/>
                    <a:ln>
                      <a:noFill/>
                    </a:ln>
                  </pic:spPr>
                </pic:pic>
              </a:graphicData>
            </a:graphic>
          </wp:inline>
        </w:drawing>
      </w:r>
      <w:r>
        <w:rPr>
          <w:highlight w:val="none"/>
        </w:rPr>
        <w:drawing>
          <wp:inline distT="0" distB="0" distL="114300" distR="114300">
            <wp:extent cx="4933950" cy="7058025"/>
            <wp:effectExtent l="0" t="0" r="0" b="9525"/>
            <wp:docPr id="13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27"/>
                    <pic:cNvPicPr>
                      <a:picLocks noChangeAspect="1"/>
                    </pic:cNvPicPr>
                  </pic:nvPicPr>
                  <pic:blipFill>
                    <a:blip r:embed="rId144"/>
                    <a:stretch>
                      <a:fillRect/>
                    </a:stretch>
                  </pic:blipFill>
                  <pic:spPr>
                    <a:xfrm>
                      <a:off x="0" y="0"/>
                      <a:ext cx="4933950" cy="7058025"/>
                    </a:xfrm>
                    <a:prstGeom prst="rect">
                      <a:avLst/>
                    </a:prstGeom>
                    <a:noFill/>
                    <a:ln>
                      <a:noFill/>
                    </a:ln>
                  </pic:spPr>
                </pic:pic>
              </a:graphicData>
            </a:graphic>
          </wp:inline>
        </w:drawing>
      </w:r>
      <w:r>
        <w:rPr>
          <w:highlight w:val="none"/>
        </w:rPr>
        <w:drawing>
          <wp:inline distT="0" distB="0" distL="114300" distR="114300">
            <wp:extent cx="4972050" cy="7067550"/>
            <wp:effectExtent l="0" t="0" r="0" b="0"/>
            <wp:docPr id="13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28"/>
                    <pic:cNvPicPr>
                      <a:picLocks noChangeAspect="1"/>
                    </pic:cNvPicPr>
                  </pic:nvPicPr>
                  <pic:blipFill>
                    <a:blip r:embed="rId145"/>
                    <a:stretch>
                      <a:fillRect/>
                    </a:stretch>
                  </pic:blipFill>
                  <pic:spPr>
                    <a:xfrm>
                      <a:off x="0" y="0"/>
                      <a:ext cx="4972050" cy="7067550"/>
                    </a:xfrm>
                    <a:prstGeom prst="rect">
                      <a:avLst/>
                    </a:prstGeom>
                    <a:noFill/>
                    <a:ln>
                      <a:noFill/>
                    </a:ln>
                  </pic:spPr>
                </pic:pic>
              </a:graphicData>
            </a:graphic>
          </wp:inline>
        </w:drawing>
      </w:r>
      <w:r>
        <w:rPr>
          <w:highlight w:val="none"/>
        </w:rPr>
        <w:drawing>
          <wp:inline distT="0" distB="0" distL="114300" distR="114300">
            <wp:extent cx="4962525" cy="7115175"/>
            <wp:effectExtent l="0" t="0" r="9525" b="9525"/>
            <wp:docPr id="13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
                    <pic:cNvPicPr>
                      <a:picLocks noChangeAspect="1"/>
                    </pic:cNvPicPr>
                  </pic:nvPicPr>
                  <pic:blipFill>
                    <a:blip r:embed="rId146"/>
                    <a:stretch>
                      <a:fillRect/>
                    </a:stretch>
                  </pic:blipFill>
                  <pic:spPr>
                    <a:xfrm>
                      <a:off x="0" y="0"/>
                      <a:ext cx="4962525" cy="7115175"/>
                    </a:xfrm>
                    <a:prstGeom prst="rect">
                      <a:avLst/>
                    </a:prstGeom>
                    <a:noFill/>
                    <a:ln>
                      <a:noFill/>
                    </a:ln>
                  </pic:spPr>
                </pic:pic>
              </a:graphicData>
            </a:graphic>
          </wp:inline>
        </w:drawing>
      </w:r>
      <w:r>
        <w:rPr>
          <w:highlight w:val="none"/>
        </w:rPr>
        <w:drawing>
          <wp:inline distT="0" distB="0" distL="114300" distR="114300">
            <wp:extent cx="4953000" cy="7019925"/>
            <wp:effectExtent l="0" t="0" r="0" b="9525"/>
            <wp:docPr id="13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30"/>
                    <pic:cNvPicPr>
                      <a:picLocks noChangeAspect="1"/>
                    </pic:cNvPicPr>
                  </pic:nvPicPr>
                  <pic:blipFill>
                    <a:blip r:embed="rId147"/>
                    <a:stretch>
                      <a:fillRect/>
                    </a:stretch>
                  </pic:blipFill>
                  <pic:spPr>
                    <a:xfrm>
                      <a:off x="0" y="0"/>
                      <a:ext cx="4953000" cy="7019925"/>
                    </a:xfrm>
                    <a:prstGeom prst="rect">
                      <a:avLst/>
                    </a:prstGeom>
                    <a:noFill/>
                    <a:ln>
                      <a:noFill/>
                    </a:ln>
                  </pic:spPr>
                </pic:pic>
              </a:graphicData>
            </a:graphic>
          </wp:inline>
        </w:drawing>
      </w:r>
      <w:r>
        <w:rPr>
          <w:highlight w:val="none"/>
        </w:rPr>
        <w:drawing>
          <wp:inline distT="0" distB="0" distL="114300" distR="114300">
            <wp:extent cx="4972050" cy="7029450"/>
            <wp:effectExtent l="0" t="0" r="0" b="0"/>
            <wp:docPr id="13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31"/>
                    <pic:cNvPicPr>
                      <a:picLocks noChangeAspect="1"/>
                    </pic:cNvPicPr>
                  </pic:nvPicPr>
                  <pic:blipFill>
                    <a:blip r:embed="rId148"/>
                    <a:stretch>
                      <a:fillRect/>
                    </a:stretch>
                  </pic:blipFill>
                  <pic:spPr>
                    <a:xfrm>
                      <a:off x="0" y="0"/>
                      <a:ext cx="4972050" cy="7029450"/>
                    </a:xfrm>
                    <a:prstGeom prst="rect">
                      <a:avLst/>
                    </a:prstGeom>
                    <a:noFill/>
                    <a:ln>
                      <a:noFill/>
                    </a:ln>
                  </pic:spPr>
                </pic:pic>
              </a:graphicData>
            </a:graphic>
          </wp:inline>
        </w:drawing>
      </w:r>
      <w:r>
        <w:rPr>
          <w:highlight w:val="none"/>
        </w:rPr>
        <w:drawing>
          <wp:inline distT="0" distB="0" distL="114300" distR="114300">
            <wp:extent cx="4981575" cy="7077075"/>
            <wp:effectExtent l="0" t="0" r="9525" b="9525"/>
            <wp:docPr id="138"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32"/>
                    <pic:cNvPicPr>
                      <a:picLocks noChangeAspect="1"/>
                    </pic:cNvPicPr>
                  </pic:nvPicPr>
                  <pic:blipFill>
                    <a:blip r:embed="rId149"/>
                    <a:stretch>
                      <a:fillRect/>
                    </a:stretch>
                  </pic:blipFill>
                  <pic:spPr>
                    <a:xfrm>
                      <a:off x="0" y="0"/>
                      <a:ext cx="4981575" cy="7077075"/>
                    </a:xfrm>
                    <a:prstGeom prst="rect">
                      <a:avLst/>
                    </a:prstGeom>
                    <a:noFill/>
                    <a:ln>
                      <a:noFill/>
                    </a:ln>
                  </pic:spPr>
                </pic:pic>
              </a:graphicData>
            </a:graphic>
          </wp:inline>
        </w:drawing>
      </w:r>
      <w:r>
        <w:rPr>
          <w:highlight w:val="none"/>
        </w:rPr>
        <w:drawing>
          <wp:inline distT="0" distB="0" distL="114300" distR="114300">
            <wp:extent cx="5000625" cy="7048500"/>
            <wp:effectExtent l="0" t="0" r="9525" b="0"/>
            <wp:docPr id="14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35"/>
                    <pic:cNvPicPr>
                      <a:picLocks noChangeAspect="1"/>
                    </pic:cNvPicPr>
                  </pic:nvPicPr>
                  <pic:blipFill>
                    <a:blip r:embed="rId150"/>
                    <a:stretch>
                      <a:fillRect/>
                    </a:stretch>
                  </pic:blipFill>
                  <pic:spPr>
                    <a:xfrm>
                      <a:off x="0" y="0"/>
                      <a:ext cx="5000625" cy="7048500"/>
                    </a:xfrm>
                    <a:prstGeom prst="rect">
                      <a:avLst/>
                    </a:prstGeom>
                    <a:noFill/>
                    <a:ln>
                      <a:noFill/>
                    </a:ln>
                  </pic:spPr>
                </pic:pic>
              </a:graphicData>
            </a:graphic>
          </wp:inline>
        </w:drawing>
      </w:r>
      <w:r>
        <w:rPr>
          <w:highlight w:val="none"/>
        </w:rPr>
        <w:drawing>
          <wp:inline distT="0" distB="0" distL="114300" distR="114300">
            <wp:extent cx="4981575" cy="7067550"/>
            <wp:effectExtent l="0" t="0" r="9525" b="0"/>
            <wp:docPr id="14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34"/>
                    <pic:cNvPicPr>
                      <a:picLocks noChangeAspect="1"/>
                    </pic:cNvPicPr>
                  </pic:nvPicPr>
                  <pic:blipFill>
                    <a:blip r:embed="rId151"/>
                    <a:stretch>
                      <a:fillRect/>
                    </a:stretch>
                  </pic:blipFill>
                  <pic:spPr>
                    <a:xfrm>
                      <a:off x="0" y="0"/>
                      <a:ext cx="4981575" cy="7067550"/>
                    </a:xfrm>
                    <a:prstGeom prst="rect">
                      <a:avLst/>
                    </a:prstGeom>
                    <a:noFill/>
                    <a:ln>
                      <a:noFill/>
                    </a:ln>
                  </pic:spPr>
                </pic:pic>
              </a:graphicData>
            </a:graphic>
          </wp:inline>
        </w:drawing>
      </w:r>
      <w:r>
        <w:rPr>
          <w:highlight w:val="none"/>
        </w:rPr>
        <w:drawing>
          <wp:inline distT="0" distB="0" distL="114300" distR="114300">
            <wp:extent cx="4962525" cy="7000875"/>
            <wp:effectExtent l="0" t="0" r="9525" b="9525"/>
            <wp:docPr id="14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36"/>
                    <pic:cNvPicPr>
                      <a:picLocks noChangeAspect="1"/>
                    </pic:cNvPicPr>
                  </pic:nvPicPr>
                  <pic:blipFill>
                    <a:blip r:embed="rId152"/>
                    <a:stretch>
                      <a:fillRect/>
                    </a:stretch>
                  </pic:blipFill>
                  <pic:spPr>
                    <a:xfrm>
                      <a:off x="0" y="0"/>
                      <a:ext cx="4962525" cy="7000875"/>
                    </a:xfrm>
                    <a:prstGeom prst="rect">
                      <a:avLst/>
                    </a:prstGeom>
                    <a:noFill/>
                    <a:ln>
                      <a:noFill/>
                    </a:ln>
                  </pic:spPr>
                </pic:pic>
              </a:graphicData>
            </a:graphic>
          </wp:inline>
        </w:drawing>
      </w:r>
      <w:r>
        <w:rPr>
          <w:highlight w:val="none"/>
        </w:rPr>
        <w:drawing>
          <wp:inline distT="0" distB="0" distL="114300" distR="114300">
            <wp:extent cx="5269230" cy="7440930"/>
            <wp:effectExtent l="0" t="0" r="7620" b="7620"/>
            <wp:docPr id="14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37"/>
                    <pic:cNvPicPr>
                      <a:picLocks noChangeAspect="1"/>
                    </pic:cNvPicPr>
                  </pic:nvPicPr>
                  <pic:blipFill>
                    <a:blip r:embed="rId153"/>
                    <a:stretch>
                      <a:fillRect/>
                    </a:stretch>
                  </pic:blipFill>
                  <pic:spPr>
                    <a:xfrm>
                      <a:off x="0" y="0"/>
                      <a:ext cx="5269230" cy="7440930"/>
                    </a:xfrm>
                    <a:prstGeom prst="rect">
                      <a:avLst/>
                    </a:prstGeom>
                    <a:noFill/>
                    <a:ln>
                      <a:noFill/>
                    </a:ln>
                  </pic:spPr>
                </pic:pic>
              </a:graphicData>
            </a:graphic>
          </wp:inline>
        </w:drawing>
      </w:r>
      <w:r>
        <w:rPr>
          <w:highlight w:val="none"/>
        </w:rPr>
        <w:drawing>
          <wp:inline distT="0" distB="0" distL="114300" distR="114300">
            <wp:extent cx="5269865" cy="7327900"/>
            <wp:effectExtent l="0" t="0" r="6985" b="6350"/>
            <wp:docPr id="144"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38"/>
                    <pic:cNvPicPr>
                      <a:picLocks noChangeAspect="1"/>
                    </pic:cNvPicPr>
                  </pic:nvPicPr>
                  <pic:blipFill>
                    <a:blip r:embed="rId154"/>
                    <a:stretch>
                      <a:fillRect/>
                    </a:stretch>
                  </pic:blipFill>
                  <pic:spPr>
                    <a:xfrm>
                      <a:off x="0" y="0"/>
                      <a:ext cx="5269865" cy="7327900"/>
                    </a:xfrm>
                    <a:prstGeom prst="rect">
                      <a:avLst/>
                    </a:prstGeom>
                    <a:noFill/>
                    <a:ln>
                      <a:noFill/>
                    </a:ln>
                  </pic:spPr>
                </pic:pic>
              </a:graphicData>
            </a:graphic>
          </wp:inline>
        </w:drawing>
      </w:r>
      <w:r>
        <w:rPr>
          <w:highlight w:val="none"/>
        </w:rPr>
        <w:drawing>
          <wp:inline distT="0" distB="0" distL="114300" distR="114300">
            <wp:extent cx="5269865" cy="7491095"/>
            <wp:effectExtent l="0" t="0" r="6985" b="14605"/>
            <wp:docPr id="145"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9"/>
                    <pic:cNvPicPr>
                      <a:picLocks noChangeAspect="1"/>
                    </pic:cNvPicPr>
                  </pic:nvPicPr>
                  <pic:blipFill>
                    <a:blip r:embed="rId155"/>
                    <a:stretch>
                      <a:fillRect/>
                    </a:stretch>
                  </pic:blipFill>
                  <pic:spPr>
                    <a:xfrm>
                      <a:off x="0" y="0"/>
                      <a:ext cx="5269865" cy="7491095"/>
                    </a:xfrm>
                    <a:prstGeom prst="rect">
                      <a:avLst/>
                    </a:prstGeom>
                    <a:noFill/>
                    <a:ln>
                      <a:noFill/>
                    </a:ln>
                  </pic:spPr>
                </pic:pic>
              </a:graphicData>
            </a:graphic>
          </wp:inline>
        </w:drawing>
      </w:r>
      <w:r>
        <w:rPr>
          <w:highlight w:val="none"/>
        </w:rPr>
        <w:drawing>
          <wp:inline distT="0" distB="0" distL="114300" distR="114300">
            <wp:extent cx="5269230" cy="7515860"/>
            <wp:effectExtent l="0" t="0" r="7620" b="8890"/>
            <wp:docPr id="14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40"/>
                    <pic:cNvPicPr>
                      <a:picLocks noChangeAspect="1"/>
                    </pic:cNvPicPr>
                  </pic:nvPicPr>
                  <pic:blipFill>
                    <a:blip r:embed="rId156"/>
                    <a:stretch>
                      <a:fillRect/>
                    </a:stretch>
                  </pic:blipFill>
                  <pic:spPr>
                    <a:xfrm>
                      <a:off x="0" y="0"/>
                      <a:ext cx="5269230" cy="7515860"/>
                    </a:xfrm>
                    <a:prstGeom prst="rect">
                      <a:avLst/>
                    </a:prstGeom>
                    <a:noFill/>
                    <a:ln>
                      <a:noFill/>
                    </a:ln>
                  </pic:spPr>
                </pic:pic>
              </a:graphicData>
            </a:graphic>
          </wp:inline>
        </w:drawing>
      </w:r>
      <w:r>
        <w:rPr>
          <w:highlight w:val="none"/>
        </w:rPr>
        <w:drawing>
          <wp:inline distT="0" distB="0" distL="114300" distR="114300">
            <wp:extent cx="5272405" cy="7512050"/>
            <wp:effectExtent l="0" t="0" r="4445" b="12700"/>
            <wp:docPr id="14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41"/>
                    <pic:cNvPicPr>
                      <a:picLocks noChangeAspect="1"/>
                    </pic:cNvPicPr>
                  </pic:nvPicPr>
                  <pic:blipFill>
                    <a:blip r:embed="rId157"/>
                    <a:stretch>
                      <a:fillRect/>
                    </a:stretch>
                  </pic:blipFill>
                  <pic:spPr>
                    <a:xfrm>
                      <a:off x="0" y="0"/>
                      <a:ext cx="5272405" cy="7512050"/>
                    </a:xfrm>
                    <a:prstGeom prst="rect">
                      <a:avLst/>
                    </a:prstGeom>
                    <a:noFill/>
                    <a:ln>
                      <a:noFill/>
                    </a:ln>
                  </pic:spPr>
                </pic:pic>
              </a:graphicData>
            </a:graphic>
          </wp:inline>
        </w:drawing>
      </w:r>
      <w:r>
        <w:rPr>
          <w:highlight w:val="none"/>
        </w:rPr>
        <w:drawing>
          <wp:inline distT="0" distB="0" distL="114300" distR="114300">
            <wp:extent cx="5272405" cy="7277100"/>
            <wp:effectExtent l="0" t="0" r="4445" b="0"/>
            <wp:docPr id="14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42"/>
                    <pic:cNvPicPr>
                      <a:picLocks noChangeAspect="1"/>
                    </pic:cNvPicPr>
                  </pic:nvPicPr>
                  <pic:blipFill>
                    <a:blip r:embed="rId158"/>
                    <a:stretch>
                      <a:fillRect/>
                    </a:stretch>
                  </pic:blipFill>
                  <pic:spPr>
                    <a:xfrm>
                      <a:off x="0" y="0"/>
                      <a:ext cx="5272405" cy="7277100"/>
                    </a:xfrm>
                    <a:prstGeom prst="rect">
                      <a:avLst/>
                    </a:prstGeom>
                    <a:noFill/>
                    <a:ln>
                      <a:noFill/>
                    </a:ln>
                  </pic:spPr>
                </pic:pic>
              </a:graphicData>
            </a:graphic>
          </wp:inline>
        </w:drawing>
      </w:r>
      <w:r>
        <w:rPr>
          <w:highlight w:val="none"/>
        </w:rPr>
        <w:drawing>
          <wp:inline distT="0" distB="0" distL="114300" distR="114300">
            <wp:extent cx="5271135" cy="7381240"/>
            <wp:effectExtent l="0" t="0" r="5715" b="1016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pic:cNvPicPr>
                  </pic:nvPicPr>
                  <pic:blipFill>
                    <a:blip r:embed="rId159"/>
                    <a:stretch>
                      <a:fillRect/>
                    </a:stretch>
                  </pic:blipFill>
                  <pic:spPr>
                    <a:xfrm>
                      <a:off x="0" y="0"/>
                      <a:ext cx="5271135" cy="7381240"/>
                    </a:xfrm>
                    <a:prstGeom prst="rect">
                      <a:avLst/>
                    </a:prstGeom>
                    <a:noFill/>
                    <a:ln>
                      <a:noFill/>
                    </a:ln>
                  </pic:spPr>
                </pic:pic>
              </a:graphicData>
            </a:graphic>
          </wp:inline>
        </w:drawing>
      </w:r>
    </w:p>
    <w:p w14:paraId="59E0DD05">
      <w:pPr>
        <w:pStyle w:val="11"/>
        <w:rPr>
          <w:highlight w:val="none"/>
        </w:rPr>
      </w:pPr>
    </w:p>
    <w:p w14:paraId="0B5ACD98">
      <w:pPr>
        <w:pStyle w:val="11"/>
        <w:rPr>
          <w:highlight w:val="none"/>
        </w:rPr>
      </w:pPr>
    </w:p>
    <w:p w14:paraId="27B67B40">
      <w:pPr>
        <w:pStyle w:val="11"/>
        <w:rPr>
          <w:highlight w:val="none"/>
        </w:rPr>
      </w:pPr>
    </w:p>
    <w:p w14:paraId="20FAF817">
      <w:pPr>
        <w:pStyle w:val="3"/>
        <w:bidi w:val="0"/>
        <w:rPr>
          <w:rFonts w:hint="default"/>
          <w:highlight w:val="none"/>
          <w:lang w:val="en-US" w:eastAsia="zh-CN"/>
        </w:rPr>
      </w:pPr>
      <w:bookmarkStart w:id="236" w:name="_Toc18574"/>
      <w:r>
        <w:rPr>
          <w:rFonts w:hint="eastAsia"/>
          <w:highlight w:val="none"/>
          <w:lang w:val="en-US" w:eastAsia="zh-CN"/>
        </w:rPr>
        <w:t>附件10现状检测报告</w:t>
      </w:r>
      <w:bookmarkEnd w:id="236"/>
    </w:p>
    <w:p w14:paraId="5EDED2DD">
      <w:pPr>
        <w:ind w:left="0" w:leftChars="0" w:firstLine="0" w:firstLineChars="0"/>
        <w:rPr>
          <w:rFonts w:hint="default"/>
          <w:highlight w:val="none"/>
          <w:lang w:val="en-US" w:eastAsia="zh-CN"/>
        </w:rPr>
      </w:pPr>
      <w:r>
        <w:rPr>
          <w:highlight w:val="none"/>
        </w:rPr>
        <w:drawing>
          <wp:inline distT="0" distB="0" distL="114300" distR="114300">
            <wp:extent cx="5273675" cy="7441565"/>
            <wp:effectExtent l="0" t="0" r="3175" b="6985"/>
            <wp:docPr id="8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6"/>
                    <pic:cNvPicPr>
                      <a:picLocks noChangeAspect="1"/>
                    </pic:cNvPicPr>
                  </pic:nvPicPr>
                  <pic:blipFill>
                    <a:blip r:embed="rId160"/>
                    <a:stretch>
                      <a:fillRect/>
                    </a:stretch>
                  </pic:blipFill>
                  <pic:spPr>
                    <a:xfrm>
                      <a:off x="0" y="0"/>
                      <a:ext cx="5273675" cy="7441565"/>
                    </a:xfrm>
                    <a:prstGeom prst="rect">
                      <a:avLst/>
                    </a:prstGeom>
                    <a:noFill/>
                    <a:ln>
                      <a:noFill/>
                    </a:ln>
                  </pic:spPr>
                </pic:pic>
              </a:graphicData>
            </a:graphic>
          </wp:inline>
        </w:drawing>
      </w:r>
      <w:r>
        <w:rPr>
          <w:highlight w:val="none"/>
        </w:rPr>
        <w:drawing>
          <wp:inline distT="0" distB="0" distL="114300" distR="114300">
            <wp:extent cx="5272405" cy="7489825"/>
            <wp:effectExtent l="0" t="0" r="4445" b="15875"/>
            <wp:docPr id="8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7"/>
                    <pic:cNvPicPr>
                      <a:picLocks noChangeAspect="1"/>
                    </pic:cNvPicPr>
                  </pic:nvPicPr>
                  <pic:blipFill>
                    <a:blip r:embed="rId161"/>
                    <a:stretch>
                      <a:fillRect/>
                    </a:stretch>
                  </pic:blipFill>
                  <pic:spPr>
                    <a:xfrm>
                      <a:off x="0" y="0"/>
                      <a:ext cx="5272405" cy="7489825"/>
                    </a:xfrm>
                    <a:prstGeom prst="rect">
                      <a:avLst/>
                    </a:prstGeom>
                    <a:noFill/>
                    <a:ln>
                      <a:noFill/>
                    </a:ln>
                  </pic:spPr>
                </pic:pic>
              </a:graphicData>
            </a:graphic>
          </wp:inline>
        </w:drawing>
      </w:r>
      <w:r>
        <w:rPr>
          <w:highlight w:val="none"/>
        </w:rPr>
        <w:drawing>
          <wp:inline distT="0" distB="0" distL="114300" distR="114300">
            <wp:extent cx="5269865" cy="8108950"/>
            <wp:effectExtent l="0" t="0" r="6985" b="6350"/>
            <wp:docPr id="8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8"/>
                    <pic:cNvPicPr>
                      <a:picLocks noChangeAspect="1"/>
                    </pic:cNvPicPr>
                  </pic:nvPicPr>
                  <pic:blipFill>
                    <a:blip r:embed="rId162"/>
                    <a:stretch>
                      <a:fillRect/>
                    </a:stretch>
                  </pic:blipFill>
                  <pic:spPr>
                    <a:xfrm>
                      <a:off x="0" y="0"/>
                      <a:ext cx="5269865" cy="8108950"/>
                    </a:xfrm>
                    <a:prstGeom prst="rect">
                      <a:avLst/>
                    </a:prstGeom>
                    <a:noFill/>
                    <a:ln>
                      <a:noFill/>
                    </a:ln>
                  </pic:spPr>
                </pic:pic>
              </a:graphicData>
            </a:graphic>
          </wp:inline>
        </w:drawing>
      </w:r>
      <w:r>
        <w:rPr>
          <w:highlight w:val="none"/>
        </w:rPr>
        <w:drawing>
          <wp:inline distT="0" distB="0" distL="114300" distR="114300">
            <wp:extent cx="5270500" cy="7405370"/>
            <wp:effectExtent l="0" t="0" r="6350" b="5080"/>
            <wp:docPr id="16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9"/>
                    <pic:cNvPicPr>
                      <a:picLocks noChangeAspect="1"/>
                    </pic:cNvPicPr>
                  </pic:nvPicPr>
                  <pic:blipFill>
                    <a:blip r:embed="rId163"/>
                    <a:stretch>
                      <a:fillRect/>
                    </a:stretch>
                  </pic:blipFill>
                  <pic:spPr>
                    <a:xfrm>
                      <a:off x="0" y="0"/>
                      <a:ext cx="5270500" cy="7405370"/>
                    </a:xfrm>
                    <a:prstGeom prst="rect">
                      <a:avLst/>
                    </a:prstGeom>
                    <a:noFill/>
                    <a:ln>
                      <a:noFill/>
                    </a:ln>
                  </pic:spPr>
                </pic:pic>
              </a:graphicData>
            </a:graphic>
          </wp:inline>
        </w:drawing>
      </w:r>
      <w:r>
        <w:rPr>
          <w:highlight w:val="none"/>
        </w:rPr>
        <w:drawing>
          <wp:inline distT="0" distB="0" distL="114300" distR="114300">
            <wp:extent cx="5272405" cy="7445375"/>
            <wp:effectExtent l="0" t="0" r="4445" b="3175"/>
            <wp:docPr id="16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20"/>
                    <pic:cNvPicPr>
                      <a:picLocks noChangeAspect="1"/>
                    </pic:cNvPicPr>
                  </pic:nvPicPr>
                  <pic:blipFill>
                    <a:blip r:embed="rId164"/>
                    <a:stretch>
                      <a:fillRect/>
                    </a:stretch>
                  </pic:blipFill>
                  <pic:spPr>
                    <a:xfrm>
                      <a:off x="0" y="0"/>
                      <a:ext cx="5272405" cy="7445375"/>
                    </a:xfrm>
                    <a:prstGeom prst="rect">
                      <a:avLst/>
                    </a:prstGeom>
                    <a:noFill/>
                    <a:ln>
                      <a:noFill/>
                    </a:ln>
                  </pic:spPr>
                </pic:pic>
              </a:graphicData>
            </a:graphic>
          </wp:inline>
        </w:drawing>
      </w:r>
      <w:r>
        <w:rPr>
          <w:highlight w:val="none"/>
        </w:rPr>
        <w:drawing>
          <wp:inline distT="0" distB="0" distL="114300" distR="114300">
            <wp:extent cx="5269865" cy="7313930"/>
            <wp:effectExtent l="0" t="0" r="6985" b="1270"/>
            <wp:docPr id="17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21"/>
                    <pic:cNvPicPr>
                      <a:picLocks noChangeAspect="1"/>
                    </pic:cNvPicPr>
                  </pic:nvPicPr>
                  <pic:blipFill>
                    <a:blip r:embed="rId165"/>
                    <a:stretch>
                      <a:fillRect/>
                    </a:stretch>
                  </pic:blipFill>
                  <pic:spPr>
                    <a:xfrm>
                      <a:off x="0" y="0"/>
                      <a:ext cx="5269865" cy="7313930"/>
                    </a:xfrm>
                    <a:prstGeom prst="rect">
                      <a:avLst/>
                    </a:prstGeom>
                    <a:noFill/>
                    <a:ln>
                      <a:noFill/>
                    </a:ln>
                  </pic:spPr>
                </pic:pic>
              </a:graphicData>
            </a:graphic>
          </wp:inline>
        </w:drawing>
      </w:r>
      <w:r>
        <w:rPr>
          <w:highlight w:val="none"/>
        </w:rPr>
        <w:drawing>
          <wp:inline distT="0" distB="0" distL="114300" distR="114300">
            <wp:extent cx="5271135" cy="7478395"/>
            <wp:effectExtent l="0" t="0" r="5715" b="8255"/>
            <wp:docPr id="17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22"/>
                    <pic:cNvPicPr>
                      <a:picLocks noChangeAspect="1"/>
                    </pic:cNvPicPr>
                  </pic:nvPicPr>
                  <pic:blipFill>
                    <a:blip r:embed="rId166"/>
                    <a:stretch>
                      <a:fillRect/>
                    </a:stretch>
                  </pic:blipFill>
                  <pic:spPr>
                    <a:xfrm>
                      <a:off x="0" y="0"/>
                      <a:ext cx="5271135" cy="7478395"/>
                    </a:xfrm>
                    <a:prstGeom prst="rect">
                      <a:avLst/>
                    </a:prstGeom>
                    <a:noFill/>
                    <a:ln>
                      <a:noFill/>
                    </a:ln>
                  </pic:spPr>
                </pic:pic>
              </a:graphicData>
            </a:graphic>
          </wp:inline>
        </w:drawing>
      </w:r>
      <w:r>
        <w:rPr>
          <w:highlight w:val="none"/>
        </w:rPr>
        <w:drawing>
          <wp:inline distT="0" distB="0" distL="114300" distR="114300">
            <wp:extent cx="5272405" cy="8305800"/>
            <wp:effectExtent l="0" t="0" r="4445" b="0"/>
            <wp:docPr id="17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23"/>
                    <pic:cNvPicPr>
                      <a:picLocks noChangeAspect="1"/>
                    </pic:cNvPicPr>
                  </pic:nvPicPr>
                  <pic:blipFill>
                    <a:blip r:embed="rId167"/>
                    <a:stretch>
                      <a:fillRect/>
                    </a:stretch>
                  </pic:blipFill>
                  <pic:spPr>
                    <a:xfrm>
                      <a:off x="0" y="0"/>
                      <a:ext cx="5272405" cy="8305800"/>
                    </a:xfrm>
                    <a:prstGeom prst="rect">
                      <a:avLst/>
                    </a:prstGeom>
                    <a:noFill/>
                    <a:ln>
                      <a:noFill/>
                    </a:ln>
                  </pic:spPr>
                </pic:pic>
              </a:graphicData>
            </a:graphic>
          </wp:inline>
        </w:drawing>
      </w:r>
      <w:r>
        <w:rPr>
          <w:highlight w:val="none"/>
        </w:rPr>
        <w:drawing>
          <wp:inline distT="0" distB="0" distL="114300" distR="114300">
            <wp:extent cx="5269865" cy="8247380"/>
            <wp:effectExtent l="0" t="0" r="6985" b="1270"/>
            <wp:docPr id="17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24"/>
                    <pic:cNvPicPr>
                      <a:picLocks noChangeAspect="1"/>
                    </pic:cNvPicPr>
                  </pic:nvPicPr>
                  <pic:blipFill>
                    <a:blip r:embed="rId168"/>
                    <a:stretch>
                      <a:fillRect/>
                    </a:stretch>
                  </pic:blipFill>
                  <pic:spPr>
                    <a:xfrm>
                      <a:off x="0" y="0"/>
                      <a:ext cx="5269865" cy="8247380"/>
                    </a:xfrm>
                    <a:prstGeom prst="rect">
                      <a:avLst/>
                    </a:prstGeom>
                    <a:noFill/>
                    <a:ln>
                      <a:noFill/>
                    </a:ln>
                  </pic:spPr>
                </pic:pic>
              </a:graphicData>
            </a:graphic>
          </wp:inline>
        </w:drawing>
      </w:r>
      <w:r>
        <w:rPr>
          <w:highlight w:val="none"/>
        </w:rPr>
        <w:drawing>
          <wp:inline distT="0" distB="0" distL="114300" distR="114300">
            <wp:extent cx="5270500" cy="8067675"/>
            <wp:effectExtent l="0" t="0" r="6350" b="9525"/>
            <wp:docPr id="17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25"/>
                    <pic:cNvPicPr>
                      <a:picLocks noChangeAspect="1"/>
                    </pic:cNvPicPr>
                  </pic:nvPicPr>
                  <pic:blipFill>
                    <a:blip r:embed="rId169"/>
                    <a:stretch>
                      <a:fillRect/>
                    </a:stretch>
                  </pic:blipFill>
                  <pic:spPr>
                    <a:xfrm>
                      <a:off x="0" y="0"/>
                      <a:ext cx="5270500" cy="8067675"/>
                    </a:xfrm>
                    <a:prstGeom prst="rect">
                      <a:avLst/>
                    </a:prstGeom>
                    <a:noFill/>
                    <a:ln>
                      <a:noFill/>
                    </a:ln>
                  </pic:spPr>
                </pic:pic>
              </a:graphicData>
            </a:graphic>
          </wp:inline>
        </w:drawing>
      </w:r>
      <w:r>
        <w:rPr>
          <w:highlight w:val="none"/>
        </w:rPr>
        <w:drawing>
          <wp:inline distT="0" distB="0" distL="114300" distR="114300">
            <wp:extent cx="5270500" cy="7458710"/>
            <wp:effectExtent l="0" t="0" r="6350" b="8890"/>
            <wp:docPr id="17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26"/>
                    <pic:cNvPicPr>
                      <a:picLocks noChangeAspect="1"/>
                    </pic:cNvPicPr>
                  </pic:nvPicPr>
                  <pic:blipFill>
                    <a:blip r:embed="rId170"/>
                    <a:stretch>
                      <a:fillRect/>
                    </a:stretch>
                  </pic:blipFill>
                  <pic:spPr>
                    <a:xfrm>
                      <a:off x="0" y="0"/>
                      <a:ext cx="5270500" cy="7458710"/>
                    </a:xfrm>
                    <a:prstGeom prst="rect">
                      <a:avLst/>
                    </a:prstGeom>
                    <a:noFill/>
                    <a:ln>
                      <a:noFill/>
                    </a:ln>
                  </pic:spPr>
                </pic:pic>
              </a:graphicData>
            </a:graphic>
          </wp:inline>
        </w:drawing>
      </w:r>
      <w:r>
        <w:rPr>
          <w:highlight w:val="none"/>
        </w:rPr>
        <w:drawing>
          <wp:inline distT="0" distB="0" distL="114300" distR="114300">
            <wp:extent cx="5271135" cy="8408670"/>
            <wp:effectExtent l="0" t="0" r="5715" b="11430"/>
            <wp:docPr id="18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7"/>
                    <pic:cNvPicPr>
                      <a:picLocks noChangeAspect="1"/>
                    </pic:cNvPicPr>
                  </pic:nvPicPr>
                  <pic:blipFill>
                    <a:blip r:embed="rId171"/>
                    <a:stretch>
                      <a:fillRect/>
                    </a:stretch>
                  </pic:blipFill>
                  <pic:spPr>
                    <a:xfrm>
                      <a:off x="0" y="0"/>
                      <a:ext cx="5271135" cy="8408670"/>
                    </a:xfrm>
                    <a:prstGeom prst="rect">
                      <a:avLst/>
                    </a:prstGeom>
                    <a:noFill/>
                    <a:ln>
                      <a:noFill/>
                    </a:ln>
                  </pic:spPr>
                </pic:pic>
              </a:graphicData>
            </a:graphic>
          </wp:inline>
        </w:drawing>
      </w:r>
      <w:r>
        <w:rPr>
          <w:highlight w:val="none"/>
        </w:rPr>
        <w:drawing>
          <wp:inline distT="0" distB="0" distL="114300" distR="114300">
            <wp:extent cx="5271135" cy="7866380"/>
            <wp:effectExtent l="0" t="0" r="5715" b="1270"/>
            <wp:docPr id="18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28"/>
                    <pic:cNvPicPr>
                      <a:picLocks noChangeAspect="1"/>
                    </pic:cNvPicPr>
                  </pic:nvPicPr>
                  <pic:blipFill>
                    <a:blip r:embed="rId172"/>
                    <a:stretch>
                      <a:fillRect/>
                    </a:stretch>
                  </pic:blipFill>
                  <pic:spPr>
                    <a:xfrm>
                      <a:off x="0" y="0"/>
                      <a:ext cx="5271135" cy="7866380"/>
                    </a:xfrm>
                    <a:prstGeom prst="rect">
                      <a:avLst/>
                    </a:prstGeom>
                    <a:noFill/>
                    <a:ln>
                      <a:noFill/>
                    </a:ln>
                  </pic:spPr>
                </pic:pic>
              </a:graphicData>
            </a:graphic>
          </wp:inline>
        </w:drawing>
      </w:r>
    </w:p>
    <w:p w14:paraId="549D0D4A">
      <w:pPr>
        <w:pStyle w:val="11"/>
        <w:rPr>
          <w:rFonts w:hint="default"/>
          <w:highlight w:val="none"/>
          <w:lang w:val="en-US" w:eastAsia="zh-CN"/>
        </w:rPr>
      </w:pPr>
    </w:p>
    <w:p w14:paraId="58ECF6AE">
      <w:pPr>
        <w:pStyle w:val="3"/>
        <w:bidi w:val="0"/>
        <w:rPr>
          <w:rFonts w:hint="eastAsia"/>
          <w:highlight w:val="none"/>
          <w:lang w:val="en-US" w:eastAsia="zh-CN"/>
        </w:rPr>
      </w:pPr>
      <w:bookmarkStart w:id="237" w:name="_Toc16766"/>
      <w:r>
        <w:rPr>
          <w:rFonts w:hint="eastAsia"/>
          <w:highlight w:val="none"/>
          <w:lang w:val="en-US" w:eastAsia="zh-CN"/>
        </w:rPr>
        <w:t>附件11应急预案备案表</w:t>
      </w:r>
      <w:bookmarkEnd w:id="237"/>
    </w:p>
    <w:p w14:paraId="5B9A8648">
      <w:pPr>
        <w:ind w:left="0" w:leftChars="0" w:firstLine="0" w:firstLineChars="0"/>
        <w:rPr>
          <w:rFonts w:hint="default"/>
          <w:highlight w:val="none"/>
          <w:lang w:val="en-US" w:eastAsia="zh-CN"/>
        </w:rPr>
      </w:pPr>
      <w:r>
        <w:rPr>
          <w:rFonts w:hint="default"/>
          <w:highlight w:val="none"/>
          <w:lang w:val="en-US" w:eastAsia="zh-CN"/>
        </w:rPr>
        <w:drawing>
          <wp:inline distT="0" distB="0" distL="114300" distR="114300">
            <wp:extent cx="5267960" cy="7453630"/>
            <wp:effectExtent l="0" t="0" r="8890" b="13970"/>
            <wp:docPr id="67" name="图片 67" descr="应急预案备案表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应急预案备案表_01"/>
                    <pic:cNvPicPr>
                      <a:picLocks noChangeAspect="1"/>
                    </pic:cNvPicPr>
                  </pic:nvPicPr>
                  <pic:blipFill>
                    <a:blip r:embed="rId173"/>
                    <a:stretch>
                      <a:fillRect/>
                    </a:stretch>
                  </pic:blipFill>
                  <pic:spPr>
                    <a:xfrm>
                      <a:off x="0" y="0"/>
                      <a:ext cx="5267960" cy="7453630"/>
                    </a:xfrm>
                    <a:prstGeom prst="rect">
                      <a:avLst/>
                    </a:prstGeom>
                  </pic:spPr>
                </pic:pic>
              </a:graphicData>
            </a:graphic>
          </wp:inline>
        </w:drawing>
      </w:r>
    </w:p>
    <w:p w14:paraId="19DC01A8">
      <w:pPr>
        <w:pStyle w:val="11"/>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564D892">
      <w:pPr>
        <w:pStyle w:val="3"/>
        <w:bidi w:val="0"/>
        <w:rPr>
          <w:rFonts w:hint="eastAsia"/>
          <w:highlight w:val="none"/>
          <w:lang w:val="en-US" w:eastAsia="zh-CN"/>
        </w:rPr>
      </w:pPr>
      <w:bookmarkStart w:id="238" w:name="_Toc10435"/>
      <w:r>
        <w:rPr>
          <w:rFonts w:hint="eastAsia"/>
          <w:highlight w:val="none"/>
          <w:lang w:val="en-US" w:eastAsia="zh-CN"/>
        </w:rPr>
        <w:t>附件12 116MW锅炉购销合同</w:t>
      </w:r>
      <w:bookmarkEnd w:id="238"/>
    </w:p>
    <w:p w14:paraId="77526E8D">
      <w:pPr>
        <w:rPr>
          <w:rFonts w:hint="default"/>
          <w:highlight w:val="none"/>
          <w:lang w:val="en-US" w:eastAsia="zh-CN"/>
        </w:rPr>
      </w:pPr>
      <w:r>
        <w:rPr>
          <w:rFonts w:hint="default"/>
          <w:highlight w:val="none"/>
          <w:lang w:val="en-US" w:eastAsia="zh-CN"/>
        </w:rPr>
        <w:drawing>
          <wp:inline distT="0" distB="0" distL="114300" distR="114300">
            <wp:extent cx="4123690" cy="8241665"/>
            <wp:effectExtent l="0" t="0" r="6985" b="10160"/>
            <wp:docPr id="92" name="图片 92" descr="b1f99309a69d487d8f5461aa1e1d08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b1f99309a69d487d8f5461aa1e1d08d7"/>
                    <pic:cNvPicPr>
                      <a:picLocks noChangeAspect="1"/>
                    </pic:cNvPicPr>
                  </pic:nvPicPr>
                  <pic:blipFill>
                    <a:blip r:embed="rId174"/>
                    <a:stretch>
                      <a:fillRect/>
                    </a:stretch>
                  </pic:blipFill>
                  <pic:spPr>
                    <a:xfrm rot="16200000">
                      <a:off x="0" y="0"/>
                      <a:ext cx="4123690" cy="8241665"/>
                    </a:xfrm>
                    <a:prstGeom prst="rect">
                      <a:avLst/>
                    </a:prstGeom>
                  </pic:spPr>
                </pic:pic>
              </a:graphicData>
            </a:graphic>
          </wp:inline>
        </w:drawing>
      </w:r>
    </w:p>
    <w:p w14:paraId="5E7DB4B1">
      <w:pPr>
        <w:pStyle w:val="7"/>
        <w:rPr>
          <w:rFonts w:hint="default"/>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270F25">
      <w:pPr>
        <w:pStyle w:val="3"/>
        <w:bidi w:val="0"/>
        <w:rPr>
          <w:rFonts w:hint="eastAsia"/>
          <w:highlight w:val="none"/>
          <w:lang w:val="en-US" w:eastAsia="zh-CN"/>
        </w:rPr>
      </w:pPr>
      <w:bookmarkStart w:id="239" w:name="_Toc10281"/>
      <w:r>
        <w:rPr>
          <w:rFonts w:hint="eastAsia"/>
          <w:highlight w:val="none"/>
          <w:lang w:val="en-US" w:eastAsia="zh-CN"/>
        </w:rPr>
        <w:t>附件13 35t/h蒸汽锅炉建设凭证</w:t>
      </w:r>
      <w:bookmarkEnd w:id="239"/>
    </w:p>
    <w:p w14:paraId="20C95C7D">
      <w:pPr>
        <w:ind w:left="0" w:leftChars="0" w:firstLine="0" w:firstLineChars="0"/>
        <w:rPr>
          <w:rFonts w:hint="default"/>
          <w:highlight w:val="none"/>
          <w:lang w:val="en-US" w:eastAsia="zh-CN"/>
        </w:rPr>
      </w:pPr>
      <w:r>
        <w:rPr>
          <w:rFonts w:hint="default"/>
          <w:highlight w:val="none"/>
          <w:lang w:val="en-US" w:eastAsia="zh-CN"/>
        </w:rPr>
        <w:drawing>
          <wp:inline distT="0" distB="0" distL="114300" distR="114300">
            <wp:extent cx="5269865" cy="7247255"/>
            <wp:effectExtent l="0" t="0" r="6985" b="10795"/>
            <wp:docPr id="163" name="图片 163" descr="7efdfc1e84a2c4e28cacd04a36362b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7efdfc1e84a2c4e28cacd04a36362bb4"/>
                    <pic:cNvPicPr>
                      <a:picLocks noChangeAspect="1"/>
                    </pic:cNvPicPr>
                  </pic:nvPicPr>
                  <pic:blipFill>
                    <a:blip r:embed="rId175"/>
                    <a:stretch>
                      <a:fillRect/>
                    </a:stretch>
                  </pic:blipFill>
                  <pic:spPr>
                    <a:xfrm>
                      <a:off x="0" y="0"/>
                      <a:ext cx="5269865" cy="7247255"/>
                    </a:xfrm>
                    <a:prstGeom prst="rect">
                      <a:avLst/>
                    </a:prstGeom>
                  </pic:spPr>
                </pic:pic>
              </a:graphicData>
            </a:graphic>
          </wp:inline>
        </w:drawing>
      </w:r>
    </w:p>
    <w:p w14:paraId="7B085AA3">
      <w:pPr>
        <w:pStyle w:val="3"/>
        <w:bidi w:val="0"/>
        <w:rPr>
          <w:rFonts w:hint="eastAsia"/>
          <w:highlight w:val="none"/>
          <w:lang w:val="en-US" w:eastAsia="zh-CN"/>
        </w:rPr>
      </w:pPr>
      <w:bookmarkStart w:id="240" w:name="_Toc18443"/>
      <w:r>
        <w:rPr>
          <w:rFonts w:hint="eastAsia"/>
          <w:highlight w:val="none"/>
          <w:lang w:val="en-US" w:eastAsia="zh-CN"/>
        </w:rPr>
        <w:t>附件14锅炉超低改造申请报告</w:t>
      </w:r>
      <w:bookmarkEnd w:id="240"/>
    </w:p>
    <w:p w14:paraId="7C992ED9">
      <w:pPr>
        <w:ind w:left="0" w:leftChars="0" w:firstLine="0" w:firstLineChars="0"/>
        <w:rPr>
          <w:rFonts w:hint="default"/>
          <w:highlight w:val="none"/>
          <w:lang w:val="en-US" w:eastAsia="zh-CN"/>
        </w:rPr>
      </w:pPr>
      <w:r>
        <w:rPr>
          <w:rFonts w:hint="default"/>
          <w:highlight w:val="none"/>
          <w:lang w:val="en-US" w:eastAsia="zh-CN"/>
        </w:rPr>
        <w:drawing>
          <wp:inline distT="0" distB="0" distL="114300" distR="114300">
            <wp:extent cx="5267960" cy="7453630"/>
            <wp:effectExtent l="0" t="0" r="8890" b="13970"/>
            <wp:docPr id="93" name="图片 93" descr="锅炉超低排放项目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锅炉超低排放项目_01"/>
                    <pic:cNvPicPr>
                      <a:picLocks noChangeAspect="1"/>
                    </pic:cNvPicPr>
                  </pic:nvPicPr>
                  <pic:blipFill>
                    <a:blip r:embed="rId176"/>
                    <a:stretch>
                      <a:fillRect/>
                    </a:stretch>
                  </pic:blipFill>
                  <pic:spPr>
                    <a:xfrm>
                      <a:off x="0" y="0"/>
                      <a:ext cx="5267960" cy="7453630"/>
                    </a:xfrm>
                    <a:prstGeom prst="rect">
                      <a:avLst/>
                    </a:prstGeom>
                  </pic:spPr>
                </pic:pic>
              </a:graphicData>
            </a:graphic>
          </wp:inline>
        </w:drawing>
      </w:r>
    </w:p>
    <w:p w14:paraId="2C1E618E">
      <w:pPr>
        <w:pStyle w:val="11"/>
        <w:ind w:left="0" w:leftChars="0" w:firstLine="0" w:firstLineChars="0"/>
        <w:rPr>
          <w:rFonts w:hint="default"/>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highlight w:val="none"/>
          <w:lang w:val="en-US" w:eastAsia="zh-CN"/>
        </w:rPr>
        <w:drawing>
          <wp:inline distT="0" distB="0" distL="114300" distR="114300">
            <wp:extent cx="5267960" cy="7453630"/>
            <wp:effectExtent l="0" t="0" r="8890" b="13970"/>
            <wp:docPr id="139" name="图片 139" descr="锅炉超低排放项目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锅炉超低排放项目_02"/>
                    <pic:cNvPicPr>
                      <a:picLocks noChangeAspect="1"/>
                    </pic:cNvPicPr>
                  </pic:nvPicPr>
                  <pic:blipFill>
                    <a:blip r:embed="rId177"/>
                    <a:stretch>
                      <a:fillRect/>
                    </a:stretch>
                  </pic:blipFill>
                  <pic:spPr>
                    <a:xfrm>
                      <a:off x="0" y="0"/>
                      <a:ext cx="5267960" cy="7453630"/>
                    </a:xfrm>
                    <a:prstGeom prst="rect">
                      <a:avLst/>
                    </a:prstGeom>
                  </pic:spPr>
                </pic:pic>
              </a:graphicData>
            </a:graphic>
          </wp:inline>
        </w:drawing>
      </w:r>
      <w:r>
        <w:rPr>
          <w:rFonts w:hint="default"/>
          <w:highlight w:val="none"/>
          <w:lang w:val="en-US" w:eastAsia="zh-CN"/>
        </w:rPr>
        <w:drawing>
          <wp:inline distT="0" distB="0" distL="114300" distR="114300">
            <wp:extent cx="5267960" cy="7453630"/>
            <wp:effectExtent l="0" t="0" r="8890" b="13970"/>
            <wp:docPr id="150" name="图片 150" descr="锅炉超低排放项目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锅炉超低排放项目_03"/>
                    <pic:cNvPicPr>
                      <a:picLocks noChangeAspect="1"/>
                    </pic:cNvPicPr>
                  </pic:nvPicPr>
                  <pic:blipFill>
                    <a:blip r:embed="rId178"/>
                    <a:stretch>
                      <a:fillRect/>
                    </a:stretch>
                  </pic:blipFill>
                  <pic:spPr>
                    <a:xfrm>
                      <a:off x="0" y="0"/>
                      <a:ext cx="5267960" cy="7453630"/>
                    </a:xfrm>
                    <a:prstGeom prst="rect">
                      <a:avLst/>
                    </a:prstGeom>
                  </pic:spPr>
                </pic:pic>
              </a:graphicData>
            </a:graphic>
          </wp:inline>
        </w:drawing>
      </w:r>
    </w:p>
    <w:p w14:paraId="5DE40B77">
      <w:pPr>
        <w:pStyle w:val="3"/>
        <w:bidi w:val="0"/>
        <w:rPr>
          <w:rFonts w:hint="eastAsia"/>
          <w:highlight w:val="none"/>
          <w:lang w:val="en-US" w:eastAsia="zh-CN"/>
        </w:rPr>
      </w:pPr>
      <w:bookmarkStart w:id="241" w:name="_Toc5397"/>
      <w:r>
        <w:rPr>
          <w:rFonts w:hint="eastAsia"/>
          <w:highlight w:val="none"/>
          <w:lang w:val="en-US" w:eastAsia="zh-CN"/>
        </w:rPr>
        <w:t>附件15企业近三年锅炉运行方案</w:t>
      </w:r>
      <w:bookmarkEnd w:id="241"/>
    </w:p>
    <w:p w14:paraId="71EE7A2E">
      <w:pPr>
        <w:rPr>
          <w:rFonts w:hint="default"/>
          <w:highlight w:val="none"/>
          <w:lang w:val="en-US" w:eastAsia="zh-CN"/>
        </w:rPr>
      </w:pPr>
      <w:r>
        <w:rPr>
          <w:rFonts w:hint="default"/>
          <w:highlight w:val="none"/>
          <w:lang w:val="en-US" w:eastAsia="zh-CN"/>
        </w:rPr>
        <w:drawing>
          <wp:inline distT="0" distB="0" distL="114300" distR="114300">
            <wp:extent cx="4240530" cy="8136890"/>
            <wp:effectExtent l="0" t="0" r="16510" b="7620"/>
            <wp:docPr id="171" name="图片 171" descr="db44cbde52a36ab591d6283b20689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db44cbde52a36ab591d6283b20689692"/>
                    <pic:cNvPicPr>
                      <a:picLocks noChangeAspect="1"/>
                    </pic:cNvPicPr>
                  </pic:nvPicPr>
                  <pic:blipFill>
                    <a:blip r:embed="rId179"/>
                    <a:srcRect l="557" t="17310" r="429"/>
                    <a:stretch>
                      <a:fillRect/>
                    </a:stretch>
                  </pic:blipFill>
                  <pic:spPr>
                    <a:xfrm rot="16200000">
                      <a:off x="0" y="0"/>
                      <a:ext cx="4240530" cy="8136890"/>
                    </a:xfrm>
                    <a:prstGeom prst="rect">
                      <a:avLst/>
                    </a:prstGeom>
                  </pic:spPr>
                </pic:pic>
              </a:graphicData>
            </a:graphic>
          </wp:inline>
        </w:drawing>
      </w: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Cambria Math">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MS Mincho">
    <w:altName w:val="MS UI Gothic"/>
    <w:panose1 w:val="02020609040205080304"/>
    <w:charset w:val="80"/>
    <w:family w:val="modern"/>
    <w:pitch w:val="default"/>
    <w:sig w:usb0="00000000" w:usb1="00000000" w:usb2="00000012" w:usb3="00000000" w:csb0="4002009F" w:csb1="DFD70000"/>
  </w:font>
  <w:font w:name="MS UI 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10A06">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3389B7">
                          <w:pPr>
                            <w:pStyle w:val="1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Wo2IczAgAAYw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Wo2IczAgAAYwQAAA4AAAAAAAAAAQAgAAAAHwEAAGRycy9lMm9Eb2MueG1sUEsF&#10;BgAAAAAGAAYAWQEAAMQFAAAAAA==&#10;">
              <v:fill on="f" focussize="0,0"/>
              <v:stroke on="f" weight="0.5pt"/>
              <v:imagedata o:title=""/>
              <o:lock v:ext="edit" aspectratio="f"/>
              <v:textbox inset="0mm,0mm,0mm,0mm" style="mso-fit-shape-to-text:t;">
                <w:txbxContent>
                  <w:p w14:paraId="423389B7">
                    <w:pPr>
                      <w:pStyle w:val="1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EAC42C"/>
    <w:multiLevelType w:val="singleLevel"/>
    <w:tmpl w:val="83EAC42C"/>
    <w:lvl w:ilvl="0" w:tentative="0">
      <w:start w:val="2"/>
      <w:numFmt w:val="chineseCounting"/>
      <w:suff w:val="nothing"/>
      <w:lvlText w:val="%1、"/>
      <w:lvlJc w:val="left"/>
      <w:rPr>
        <w:rFonts w:hint="eastAsia"/>
      </w:rPr>
    </w:lvl>
  </w:abstractNum>
  <w:abstractNum w:abstractNumId="1">
    <w:nsid w:val="8F25C05E"/>
    <w:multiLevelType w:val="singleLevel"/>
    <w:tmpl w:val="8F25C05E"/>
    <w:lvl w:ilvl="0" w:tentative="0">
      <w:start w:val="1"/>
      <w:numFmt w:val="decimal"/>
      <w:lvlText w:val="%1."/>
      <w:lvlJc w:val="left"/>
      <w:pPr>
        <w:tabs>
          <w:tab w:val="left" w:pos="312"/>
        </w:tabs>
      </w:pPr>
    </w:lvl>
  </w:abstractNum>
  <w:abstractNum w:abstractNumId="2">
    <w:nsid w:val="A53A428A"/>
    <w:multiLevelType w:val="singleLevel"/>
    <w:tmpl w:val="A53A428A"/>
    <w:lvl w:ilvl="0" w:tentative="0">
      <w:start w:val="1"/>
      <w:numFmt w:val="decimal"/>
      <w:lvlText w:val="%1."/>
      <w:lvlJc w:val="left"/>
      <w:pPr>
        <w:tabs>
          <w:tab w:val="left" w:pos="312"/>
        </w:tabs>
      </w:pPr>
    </w:lvl>
  </w:abstractNum>
  <w:abstractNum w:abstractNumId="3">
    <w:nsid w:val="D473A77B"/>
    <w:multiLevelType w:val="singleLevel"/>
    <w:tmpl w:val="D473A77B"/>
    <w:lvl w:ilvl="0" w:tentative="0">
      <w:start w:val="1"/>
      <w:numFmt w:val="decimal"/>
      <w:lvlText w:val="%1."/>
      <w:lvlJc w:val="left"/>
      <w:pPr>
        <w:tabs>
          <w:tab w:val="left" w:pos="312"/>
        </w:tabs>
      </w:pPr>
    </w:lvl>
  </w:abstractNum>
  <w:abstractNum w:abstractNumId="4">
    <w:nsid w:val="3C08E562"/>
    <w:multiLevelType w:val="singleLevel"/>
    <w:tmpl w:val="3C08E562"/>
    <w:lvl w:ilvl="0" w:tentative="0">
      <w:start w:val="1"/>
      <w:numFmt w:val="chineseCounting"/>
      <w:suff w:val="nothing"/>
      <w:lvlText w:val="%1、"/>
      <w:lvlJc w:val="left"/>
      <w:rPr>
        <w:rFonts w:hint="eastAsia"/>
      </w:rPr>
    </w:lvl>
  </w:abstractNum>
  <w:abstractNum w:abstractNumId="5">
    <w:nsid w:val="3DD9FBF8"/>
    <w:multiLevelType w:val="singleLevel"/>
    <w:tmpl w:val="3DD9FBF8"/>
    <w:lvl w:ilvl="0" w:tentative="0">
      <w:start w:val="1"/>
      <w:numFmt w:val="decimal"/>
      <w:lvlText w:val="%1."/>
      <w:lvlJc w:val="left"/>
      <w:pPr>
        <w:tabs>
          <w:tab w:val="left" w:pos="312"/>
        </w:tabs>
      </w:pPr>
    </w:lvl>
  </w:abstractNum>
  <w:num w:numId="1">
    <w:abstractNumId w:val="4"/>
  </w:num>
  <w:num w:numId="2">
    <w:abstractNumId w:val="3"/>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A4784"/>
    <w:rsid w:val="00977B14"/>
    <w:rsid w:val="009E2D09"/>
    <w:rsid w:val="00B06E28"/>
    <w:rsid w:val="00D40BB2"/>
    <w:rsid w:val="00D73835"/>
    <w:rsid w:val="00F006D4"/>
    <w:rsid w:val="00F26CE0"/>
    <w:rsid w:val="011C7857"/>
    <w:rsid w:val="016734C3"/>
    <w:rsid w:val="01990324"/>
    <w:rsid w:val="01AC5842"/>
    <w:rsid w:val="01AD5116"/>
    <w:rsid w:val="01B42948"/>
    <w:rsid w:val="02232ACA"/>
    <w:rsid w:val="022E7D93"/>
    <w:rsid w:val="024017F9"/>
    <w:rsid w:val="024F0BC6"/>
    <w:rsid w:val="02555C3B"/>
    <w:rsid w:val="026863F4"/>
    <w:rsid w:val="02E810AF"/>
    <w:rsid w:val="031511C4"/>
    <w:rsid w:val="03373831"/>
    <w:rsid w:val="033C0D43"/>
    <w:rsid w:val="03407851"/>
    <w:rsid w:val="03663FB0"/>
    <w:rsid w:val="036839EA"/>
    <w:rsid w:val="037B371D"/>
    <w:rsid w:val="049E63F5"/>
    <w:rsid w:val="04EB6681"/>
    <w:rsid w:val="04FA30C6"/>
    <w:rsid w:val="052C3399"/>
    <w:rsid w:val="0596101C"/>
    <w:rsid w:val="059B6830"/>
    <w:rsid w:val="05B62D05"/>
    <w:rsid w:val="05B747B5"/>
    <w:rsid w:val="05E41A4E"/>
    <w:rsid w:val="05F6263F"/>
    <w:rsid w:val="06426774"/>
    <w:rsid w:val="064B2D78"/>
    <w:rsid w:val="06904EB6"/>
    <w:rsid w:val="0694472D"/>
    <w:rsid w:val="06A93A70"/>
    <w:rsid w:val="06BC02D5"/>
    <w:rsid w:val="06CB1BC3"/>
    <w:rsid w:val="06CD79BD"/>
    <w:rsid w:val="06D01FD2"/>
    <w:rsid w:val="06D73361"/>
    <w:rsid w:val="072B7208"/>
    <w:rsid w:val="07522308"/>
    <w:rsid w:val="07571DAC"/>
    <w:rsid w:val="07854B6B"/>
    <w:rsid w:val="081F21E7"/>
    <w:rsid w:val="08411F3B"/>
    <w:rsid w:val="0861632B"/>
    <w:rsid w:val="087060F5"/>
    <w:rsid w:val="0878679C"/>
    <w:rsid w:val="087E15BA"/>
    <w:rsid w:val="088E0328"/>
    <w:rsid w:val="08B60D54"/>
    <w:rsid w:val="08E04023"/>
    <w:rsid w:val="08F10DED"/>
    <w:rsid w:val="09012917"/>
    <w:rsid w:val="091D2ACA"/>
    <w:rsid w:val="097E7653"/>
    <w:rsid w:val="099E48D1"/>
    <w:rsid w:val="09CF5B6D"/>
    <w:rsid w:val="09DE0562"/>
    <w:rsid w:val="0A0501E5"/>
    <w:rsid w:val="0A10259C"/>
    <w:rsid w:val="0A195A3E"/>
    <w:rsid w:val="0A4A4F32"/>
    <w:rsid w:val="0A7669ED"/>
    <w:rsid w:val="0A960D5F"/>
    <w:rsid w:val="0AAC3F38"/>
    <w:rsid w:val="0AB9221A"/>
    <w:rsid w:val="0ABC5E6F"/>
    <w:rsid w:val="0AEE0C79"/>
    <w:rsid w:val="0AF61373"/>
    <w:rsid w:val="0B4A0597"/>
    <w:rsid w:val="0B8B471A"/>
    <w:rsid w:val="0BA5521A"/>
    <w:rsid w:val="0BE60EB8"/>
    <w:rsid w:val="0C272694"/>
    <w:rsid w:val="0C5E1E2E"/>
    <w:rsid w:val="0C741865"/>
    <w:rsid w:val="0C831611"/>
    <w:rsid w:val="0C88066A"/>
    <w:rsid w:val="0CA4237D"/>
    <w:rsid w:val="0CA57A5D"/>
    <w:rsid w:val="0CE30634"/>
    <w:rsid w:val="0D7A67F4"/>
    <w:rsid w:val="0D9C5D5F"/>
    <w:rsid w:val="0D9D10BF"/>
    <w:rsid w:val="0DA86300"/>
    <w:rsid w:val="0E163AAB"/>
    <w:rsid w:val="0E2A021A"/>
    <w:rsid w:val="0E853BF2"/>
    <w:rsid w:val="0EB57849"/>
    <w:rsid w:val="0ECB5DBE"/>
    <w:rsid w:val="0F1569BC"/>
    <w:rsid w:val="0F1E29AB"/>
    <w:rsid w:val="0F253B1D"/>
    <w:rsid w:val="0F403558"/>
    <w:rsid w:val="0F442929"/>
    <w:rsid w:val="0FA755CE"/>
    <w:rsid w:val="0FCC47CA"/>
    <w:rsid w:val="0FE44E94"/>
    <w:rsid w:val="0FE74E1E"/>
    <w:rsid w:val="0FED7F01"/>
    <w:rsid w:val="0FF94348"/>
    <w:rsid w:val="0FFC5BE6"/>
    <w:rsid w:val="10142F30"/>
    <w:rsid w:val="10276B8E"/>
    <w:rsid w:val="105136F8"/>
    <w:rsid w:val="10A51E06"/>
    <w:rsid w:val="10C921DE"/>
    <w:rsid w:val="10F01E65"/>
    <w:rsid w:val="10FD26B4"/>
    <w:rsid w:val="112E6273"/>
    <w:rsid w:val="11743CDE"/>
    <w:rsid w:val="11771F74"/>
    <w:rsid w:val="11B24C60"/>
    <w:rsid w:val="11C468F2"/>
    <w:rsid w:val="120055EF"/>
    <w:rsid w:val="121B5FFA"/>
    <w:rsid w:val="12957C2C"/>
    <w:rsid w:val="12A617C5"/>
    <w:rsid w:val="12B63ABA"/>
    <w:rsid w:val="12CF0C0F"/>
    <w:rsid w:val="12E806A4"/>
    <w:rsid w:val="12EE2E8A"/>
    <w:rsid w:val="130F3E82"/>
    <w:rsid w:val="13196AAF"/>
    <w:rsid w:val="132B4882"/>
    <w:rsid w:val="13AB6E65"/>
    <w:rsid w:val="14014E98"/>
    <w:rsid w:val="144B2C98"/>
    <w:rsid w:val="144D396F"/>
    <w:rsid w:val="14787805"/>
    <w:rsid w:val="14A648F6"/>
    <w:rsid w:val="14A72C50"/>
    <w:rsid w:val="14AA029A"/>
    <w:rsid w:val="14AD4D57"/>
    <w:rsid w:val="14F779A3"/>
    <w:rsid w:val="15321C7F"/>
    <w:rsid w:val="15BD561D"/>
    <w:rsid w:val="15DF6F2B"/>
    <w:rsid w:val="16116BD9"/>
    <w:rsid w:val="16365331"/>
    <w:rsid w:val="1642631D"/>
    <w:rsid w:val="16485831"/>
    <w:rsid w:val="164E6FAF"/>
    <w:rsid w:val="165E795F"/>
    <w:rsid w:val="16785E3E"/>
    <w:rsid w:val="167A73B7"/>
    <w:rsid w:val="16AA639C"/>
    <w:rsid w:val="16CD12A0"/>
    <w:rsid w:val="16CF1F52"/>
    <w:rsid w:val="16E421C9"/>
    <w:rsid w:val="16E9271A"/>
    <w:rsid w:val="173739A8"/>
    <w:rsid w:val="176A6BF1"/>
    <w:rsid w:val="17716EB9"/>
    <w:rsid w:val="178169D1"/>
    <w:rsid w:val="17904D1C"/>
    <w:rsid w:val="17FB4E7E"/>
    <w:rsid w:val="18005E60"/>
    <w:rsid w:val="182245EE"/>
    <w:rsid w:val="183B1275"/>
    <w:rsid w:val="1853289A"/>
    <w:rsid w:val="186B4263"/>
    <w:rsid w:val="1896499D"/>
    <w:rsid w:val="191C723B"/>
    <w:rsid w:val="19241D0A"/>
    <w:rsid w:val="193A3701"/>
    <w:rsid w:val="19793E03"/>
    <w:rsid w:val="19DD18BA"/>
    <w:rsid w:val="1A0E5F7D"/>
    <w:rsid w:val="1A713602"/>
    <w:rsid w:val="1AB4205E"/>
    <w:rsid w:val="1AE20983"/>
    <w:rsid w:val="1B176599"/>
    <w:rsid w:val="1B9015FE"/>
    <w:rsid w:val="1B940AD8"/>
    <w:rsid w:val="1BE70806"/>
    <w:rsid w:val="1BFC2ACA"/>
    <w:rsid w:val="1C8C20A0"/>
    <w:rsid w:val="1CAD62D5"/>
    <w:rsid w:val="1CD63AC7"/>
    <w:rsid w:val="1D26052B"/>
    <w:rsid w:val="1DC15D79"/>
    <w:rsid w:val="1E071937"/>
    <w:rsid w:val="1E237E7E"/>
    <w:rsid w:val="1E332792"/>
    <w:rsid w:val="1E6E2AC4"/>
    <w:rsid w:val="1EF36406"/>
    <w:rsid w:val="1F264A2D"/>
    <w:rsid w:val="1F314CE2"/>
    <w:rsid w:val="1F6536A5"/>
    <w:rsid w:val="1FC2556B"/>
    <w:rsid w:val="20267770"/>
    <w:rsid w:val="20C37109"/>
    <w:rsid w:val="20EA067B"/>
    <w:rsid w:val="20FB23EA"/>
    <w:rsid w:val="211B7166"/>
    <w:rsid w:val="2160525C"/>
    <w:rsid w:val="21645399"/>
    <w:rsid w:val="217D2C6D"/>
    <w:rsid w:val="21B06830"/>
    <w:rsid w:val="220F79FB"/>
    <w:rsid w:val="22145011"/>
    <w:rsid w:val="22350AE4"/>
    <w:rsid w:val="227E3F4C"/>
    <w:rsid w:val="227F4663"/>
    <w:rsid w:val="22A2261D"/>
    <w:rsid w:val="22C610B8"/>
    <w:rsid w:val="23114B53"/>
    <w:rsid w:val="23430F50"/>
    <w:rsid w:val="234B4A63"/>
    <w:rsid w:val="23683360"/>
    <w:rsid w:val="23785CD9"/>
    <w:rsid w:val="23867849"/>
    <w:rsid w:val="23AD790E"/>
    <w:rsid w:val="23B06A72"/>
    <w:rsid w:val="23BE77EA"/>
    <w:rsid w:val="23CA3FA5"/>
    <w:rsid w:val="240A1DAC"/>
    <w:rsid w:val="24455218"/>
    <w:rsid w:val="24737443"/>
    <w:rsid w:val="248B7E85"/>
    <w:rsid w:val="24C745BD"/>
    <w:rsid w:val="24D34421"/>
    <w:rsid w:val="25172D96"/>
    <w:rsid w:val="256E67E6"/>
    <w:rsid w:val="25A119FC"/>
    <w:rsid w:val="25CE0415"/>
    <w:rsid w:val="263A7F23"/>
    <w:rsid w:val="263F5D82"/>
    <w:rsid w:val="264E120C"/>
    <w:rsid w:val="26BC0F5E"/>
    <w:rsid w:val="26CB1A16"/>
    <w:rsid w:val="27170727"/>
    <w:rsid w:val="274E16F2"/>
    <w:rsid w:val="27545AF9"/>
    <w:rsid w:val="2765234A"/>
    <w:rsid w:val="27715FFB"/>
    <w:rsid w:val="278F1E58"/>
    <w:rsid w:val="279A17A6"/>
    <w:rsid w:val="27C748D4"/>
    <w:rsid w:val="27D112AE"/>
    <w:rsid w:val="280F48DF"/>
    <w:rsid w:val="281F64BE"/>
    <w:rsid w:val="284D00B8"/>
    <w:rsid w:val="286345FC"/>
    <w:rsid w:val="288E0F4E"/>
    <w:rsid w:val="288E126A"/>
    <w:rsid w:val="28A35B9E"/>
    <w:rsid w:val="28AD5878"/>
    <w:rsid w:val="28B2037A"/>
    <w:rsid w:val="28B94034"/>
    <w:rsid w:val="2902192C"/>
    <w:rsid w:val="297F65C0"/>
    <w:rsid w:val="2A0E7AD4"/>
    <w:rsid w:val="2A13795C"/>
    <w:rsid w:val="2A473AAC"/>
    <w:rsid w:val="2A850B40"/>
    <w:rsid w:val="2A994FFC"/>
    <w:rsid w:val="2AE936A5"/>
    <w:rsid w:val="2B1D2C83"/>
    <w:rsid w:val="2B402E41"/>
    <w:rsid w:val="2B9864B4"/>
    <w:rsid w:val="2B996587"/>
    <w:rsid w:val="2BA042B8"/>
    <w:rsid w:val="2BBD5E27"/>
    <w:rsid w:val="2BEA0B91"/>
    <w:rsid w:val="2C152E2F"/>
    <w:rsid w:val="2C26606D"/>
    <w:rsid w:val="2C7D0935"/>
    <w:rsid w:val="2CA945A8"/>
    <w:rsid w:val="2CD44FE8"/>
    <w:rsid w:val="2CED26E7"/>
    <w:rsid w:val="2D045C82"/>
    <w:rsid w:val="2D0C7461"/>
    <w:rsid w:val="2D6C5CFC"/>
    <w:rsid w:val="2DB306C1"/>
    <w:rsid w:val="2DC64B62"/>
    <w:rsid w:val="2DFD4010"/>
    <w:rsid w:val="2E3E3A4B"/>
    <w:rsid w:val="2E734E6D"/>
    <w:rsid w:val="2E84600A"/>
    <w:rsid w:val="2EC8777A"/>
    <w:rsid w:val="2ECE02F6"/>
    <w:rsid w:val="2F3757AF"/>
    <w:rsid w:val="2F7377FA"/>
    <w:rsid w:val="306568EF"/>
    <w:rsid w:val="30830679"/>
    <w:rsid w:val="308E41E1"/>
    <w:rsid w:val="30C41C15"/>
    <w:rsid w:val="314F3970"/>
    <w:rsid w:val="316E7B6E"/>
    <w:rsid w:val="31C410EF"/>
    <w:rsid w:val="31D447D6"/>
    <w:rsid w:val="31E37618"/>
    <w:rsid w:val="323E5792"/>
    <w:rsid w:val="3268280F"/>
    <w:rsid w:val="327D2445"/>
    <w:rsid w:val="328E728D"/>
    <w:rsid w:val="32C16898"/>
    <w:rsid w:val="32C5213F"/>
    <w:rsid w:val="330F10BA"/>
    <w:rsid w:val="33150BE9"/>
    <w:rsid w:val="33313EDB"/>
    <w:rsid w:val="333D3A6A"/>
    <w:rsid w:val="339E030A"/>
    <w:rsid w:val="33A747E4"/>
    <w:rsid w:val="33BC1065"/>
    <w:rsid w:val="33C66DBC"/>
    <w:rsid w:val="33FE342B"/>
    <w:rsid w:val="340A1DD0"/>
    <w:rsid w:val="341669C7"/>
    <w:rsid w:val="341A3A3F"/>
    <w:rsid w:val="342D0BB1"/>
    <w:rsid w:val="342F41AF"/>
    <w:rsid w:val="3432181F"/>
    <w:rsid w:val="343B467F"/>
    <w:rsid w:val="34655258"/>
    <w:rsid w:val="34D0301A"/>
    <w:rsid w:val="350A4C31"/>
    <w:rsid w:val="3518051D"/>
    <w:rsid w:val="35215623"/>
    <w:rsid w:val="357678AA"/>
    <w:rsid w:val="35A554CC"/>
    <w:rsid w:val="35F82832"/>
    <w:rsid w:val="360258AE"/>
    <w:rsid w:val="36713175"/>
    <w:rsid w:val="368D6CE8"/>
    <w:rsid w:val="36E477E0"/>
    <w:rsid w:val="36ED1CF2"/>
    <w:rsid w:val="377F356D"/>
    <w:rsid w:val="37B502A5"/>
    <w:rsid w:val="37BC14E7"/>
    <w:rsid w:val="38367E9B"/>
    <w:rsid w:val="384635F3"/>
    <w:rsid w:val="38683569"/>
    <w:rsid w:val="39245FF8"/>
    <w:rsid w:val="3931197F"/>
    <w:rsid w:val="39BF540B"/>
    <w:rsid w:val="3A156272"/>
    <w:rsid w:val="3A220F45"/>
    <w:rsid w:val="3A5474E8"/>
    <w:rsid w:val="3A6F5083"/>
    <w:rsid w:val="3A773F37"/>
    <w:rsid w:val="3A8B5192"/>
    <w:rsid w:val="3AB57C56"/>
    <w:rsid w:val="3ACF1B19"/>
    <w:rsid w:val="3AD80647"/>
    <w:rsid w:val="3AF85078"/>
    <w:rsid w:val="3B0635AB"/>
    <w:rsid w:val="3B5B5607"/>
    <w:rsid w:val="3B60677A"/>
    <w:rsid w:val="3C455B7B"/>
    <w:rsid w:val="3C7B6CB4"/>
    <w:rsid w:val="3C973074"/>
    <w:rsid w:val="3CA37266"/>
    <w:rsid w:val="3CC526DC"/>
    <w:rsid w:val="3CD26389"/>
    <w:rsid w:val="3CED228F"/>
    <w:rsid w:val="3D037D04"/>
    <w:rsid w:val="3D3B033E"/>
    <w:rsid w:val="3D595CD5"/>
    <w:rsid w:val="3D7A31E8"/>
    <w:rsid w:val="3D8729D9"/>
    <w:rsid w:val="3DA94408"/>
    <w:rsid w:val="3DC54D49"/>
    <w:rsid w:val="3DCC038B"/>
    <w:rsid w:val="3E6A77C5"/>
    <w:rsid w:val="3E7013C9"/>
    <w:rsid w:val="3EA352FB"/>
    <w:rsid w:val="3EAC2341"/>
    <w:rsid w:val="3EC13369"/>
    <w:rsid w:val="3EED2A1A"/>
    <w:rsid w:val="3F38176A"/>
    <w:rsid w:val="3F4D5B47"/>
    <w:rsid w:val="3F514749"/>
    <w:rsid w:val="3F60143E"/>
    <w:rsid w:val="3F7722E4"/>
    <w:rsid w:val="3F8F3AD1"/>
    <w:rsid w:val="3FA37E63"/>
    <w:rsid w:val="3FA55B11"/>
    <w:rsid w:val="3FAD563F"/>
    <w:rsid w:val="3FC75019"/>
    <w:rsid w:val="3FFB68BC"/>
    <w:rsid w:val="400F7995"/>
    <w:rsid w:val="40222DB1"/>
    <w:rsid w:val="403B1563"/>
    <w:rsid w:val="404932EE"/>
    <w:rsid w:val="405B2472"/>
    <w:rsid w:val="40940281"/>
    <w:rsid w:val="40AE7C64"/>
    <w:rsid w:val="40BA0ED8"/>
    <w:rsid w:val="40EA1B9E"/>
    <w:rsid w:val="410A372C"/>
    <w:rsid w:val="414D1E51"/>
    <w:rsid w:val="41FB28D4"/>
    <w:rsid w:val="42284C84"/>
    <w:rsid w:val="42295B17"/>
    <w:rsid w:val="42357C02"/>
    <w:rsid w:val="42511DC7"/>
    <w:rsid w:val="42D33CD5"/>
    <w:rsid w:val="42E47C90"/>
    <w:rsid w:val="42EA1B91"/>
    <w:rsid w:val="42EE6667"/>
    <w:rsid w:val="432B3B11"/>
    <w:rsid w:val="43505326"/>
    <w:rsid w:val="4352371B"/>
    <w:rsid w:val="438E04AB"/>
    <w:rsid w:val="43B01C8B"/>
    <w:rsid w:val="442236A0"/>
    <w:rsid w:val="44326EAC"/>
    <w:rsid w:val="446A2417"/>
    <w:rsid w:val="44937BC0"/>
    <w:rsid w:val="44B32010"/>
    <w:rsid w:val="44BA339E"/>
    <w:rsid w:val="44BE0D38"/>
    <w:rsid w:val="44C70D21"/>
    <w:rsid w:val="44FD59E4"/>
    <w:rsid w:val="4577303D"/>
    <w:rsid w:val="459D11E1"/>
    <w:rsid w:val="46202C1B"/>
    <w:rsid w:val="462D6BF3"/>
    <w:rsid w:val="46951786"/>
    <w:rsid w:val="46B174E3"/>
    <w:rsid w:val="46F87D23"/>
    <w:rsid w:val="471A0124"/>
    <w:rsid w:val="471D75AA"/>
    <w:rsid w:val="47735FCE"/>
    <w:rsid w:val="477F780C"/>
    <w:rsid w:val="47AA76FA"/>
    <w:rsid w:val="47C444AC"/>
    <w:rsid w:val="47EE3067"/>
    <w:rsid w:val="482439B6"/>
    <w:rsid w:val="48DA5DBD"/>
    <w:rsid w:val="4904108C"/>
    <w:rsid w:val="494D47E1"/>
    <w:rsid w:val="49865138"/>
    <w:rsid w:val="49C373CD"/>
    <w:rsid w:val="49D5794C"/>
    <w:rsid w:val="49EE386C"/>
    <w:rsid w:val="4A0278F5"/>
    <w:rsid w:val="4A9B26E7"/>
    <w:rsid w:val="4ABA086F"/>
    <w:rsid w:val="4ADA02F6"/>
    <w:rsid w:val="4AF57E89"/>
    <w:rsid w:val="4B0A6EE4"/>
    <w:rsid w:val="4B217CD3"/>
    <w:rsid w:val="4B307F16"/>
    <w:rsid w:val="4B3F7385"/>
    <w:rsid w:val="4B577B99"/>
    <w:rsid w:val="4B7F2C4C"/>
    <w:rsid w:val="4BF22FF3"/>
    <w:rsid w:val="4C027975"/>
    <w:rsid w:val="4C23653D"/>
    <w:rsid w:val="4C242197"/>
    <w:rsid w:val="4C447326"/>
    <w:rsid w:val="4CBF2A2B"/>
    <w:rsid w:val="4CC21042"/>
    <w:rsid w:val="4CEA3DAD"/>
    <w:rsid w:val="4D0F5EC5"/>
    <w:rsid w:val="4D387A2E"/>
    <w:rsid w:val="4D555F59"/>
    <w:rsid w:val="4D5A04CE"/>
    <w:rsid w:val="4D7520D3"/>
    <w:rsid w:val="4DAF47DE"/>
    <w:rsid w:val="4E0657C6"/>
    <w:rsid w:val="4E0A0EF3"/>
    <w:rsid w:val="4E263FB1"/>
    <w:rsid w:val="4E42561D"/>
    <w:rsid w:val="4E89227E"/>
    <w:rsid w:val="4EE00F2E"/>
    <w:rsid w:val="4F073EC1"/>
    <w:rsid w:val="4F302BDB"/>
    <w:rsid w:val="4F6E71BB"/>
    <w:rsid w:val="4F72274C"/>
    <w:rsid w:val="4F836BD8"/>
    <w:rsid w:val="50893CC7"/>
    <w:rsid w:val="50AE08A7"/>
    <w:rsid w:val="50C507DC"/>
    <w:rsid w:val="514C074E"/>
    <w:rsid w:val="5153670D"/>
    <w:rsid w:val="51537974"/>
    <w:rsid w:val="516F0D03"/>
    <w:rsid w:val="517A0DE1"/>
    <w:rsid w:val="51EB103B"/>
    <w:rsid w:val="51F30DEF"/>
    <w:rsid w:val="5268268C"/>
    <w:rsid w:val="52A907F9"/>
    <w:rsid w:val="52BC07CA"/>
    <w:rsid w:val="53283BC9"/>
    <w:rsid w:val="535B3F9E"/>
    <w:rsid w:val="53787030"/>
    <w:rsid w:val="53AE4231"/>
    <w:rsid w:val="53CF0730"/>
    <w:rsid w:val="53E44E00"/>
    <w:rsid w:val="546256F6"/>
    <w:rsid w:val="54A13488"/>
    <w:rsid w:val="54D04518"/>
    <w:rsid w:val="55A7171D"/>
    <w:rsid w:val="55FE01DE"/>
    <w:rsid w:val="56150435"/>
    <w:rsid w:val="568832FC"/>
    <w:rsid w:val="56AF2F1A"/>
    <w:rsid w:val="56B57E6A"/>
    <w:rsid w:val="56DF60A3"/>
    <w:rsid w:val="56E147BB"/>
    <w:rsid w:val="56FE35BF"/>
    <w:rsid w:val="572241A9"/>
    <w:rsid w:val="574A44EB"/>
    <w:rsid w:val="57B43C7D"/>
    <w:rsid w:val="58317147"/>
    <w:rsid w:val="584E7C2E"/>
    <w:rsid w:val="58587044"/>
    <w:rsid w:val="588B22C9"/>
    <w:rsid w:val="58A154A3"/>
    <w:rsid w:val="58A6762A"/>
    <w:rsid w:val="592E65BA"/>
    <w:rsid w:val="595258C3"/>
    <w:rsid w:val="599F2FE2"/>
    <w:rsid w:val="59AD46C0"/>
    <w:rsid w:val="59C20154"/>
    <w:rsid w:val="59DB3743"/>
    <w:rsid w:val="5A783688"/>
    <w:rsid w:val="5A854D8F"/>
    <w:rsid w:val="5AC35D7E"/>
    <w:rsid w:val="5B0311A3"/>
    <w:rsid w:val="5B3B4E29"/>
    <w:rsid w:val="5B6360E6"/>
    <w:rsid w:val="5B767A9D"/>
    <w:rsid w:val="5B81656C"/>
    <w:rsid w:val="5BB626DD"/>
    <w:rsid w:val="5BE7274E"/>
    <w:rsid w:val="5BF9099D"/>
    <w:rsid w:val="5C090A3C"/>
    <w:rsid w:val="5C4750C0"/>
    <w:rsid w:val="5C5617A7"/>
    <w:rsid w:val="5C6739B4"/>
    <w:rsid w:val="5CA06B95"/>
    <w:rsid w:val="5D30024A"/>
    <w:rsid w:val="5D65308C"/>
    <w:rsid w:val="5D7A14C5"/>
    <w:rsid w:val="5DB524FD"/>
    <w:rsid w:val="5DC42936"/>
    <w:rsid w:val="5DE45ED6"/>
    <w:rsid w:val="5E2224EE"/>
    <w:rsid w:val="5E501F37"/>
    <w:rsid w:val="5E523A51"/>
    <w:rsid w:val="5E714676"/>
    <w:rsid w:val="5E78724A"/>
    <w:rsid w:val="5E960581"/>
    <w:rsid w:val="5EEE2BB8"/>
    <w:rsid w:val="5F3F41EA"/>
    <w:rsid w:val="5FD34A51"/>
    <w:rsid w:val="602F2A3B"/>
    <w:rsid w:val="60375AA8"/>
    <w:rsid w:val="609A52AA"/>
    <w:rsid w:val="60A54010"/>
    <w:rsid w:val="60AF1486"/>
    <w:rsid w:val="60BA5511"/>
    <w:rsid w:val="60C96DB7"/>
    <w:rsid w:val="60F24C92"/>
    <w:rsid w:val="611C2FBF"/>
    <w:rsid w:val="614E0AE5"/>
    <w:rsid w:val="626344D0"/>
    <w:rsid w:val="626C035F"/>
    <w:rsid w:val="629E5C56"/>
    <w:rsid w:val="62B81781"/>
    <w:rsid w:val="633B746C"/>
    <w:rsid w:val="63424833"/>
    <w:rsid w:val="634B0FC2"/>
    <w:rsid w:val="63626C83"/>
    <w:rsid w:val="63AF7E38"/>
    <w:rsid w:val="63C446D0"/>
    <w:rsid w:val="63F33086"/>
    <w:rsid w:val="63FB79D0"/>
    <w:rsid w:val="64243DEF"/>
    <w:rsid w:val="6440026D"/>
    <w:rsid w:val="644A1BF1"/>
    <w:rsid w:val="64D30C2C"/>
    <w:rsid w:val="650F5E5E"/>
    <w:rsid w:val="655D22F3"/>
    <w:rsid w:val="65725806"/>
    <w:rsid w:val="657809E0"/>
    <w:rsid w:val="657B62F6"/>
    <w:rsid w:val="6585070B"/>
    <w:rsid w:val="65BF660F"/>
    <w:rsid w:val="65CE2AC8"/>
    <w:rsid w:val="65FF663C"/>
    <w:rsid w:val="66285F62"/>
    <w:rsid w:val="6645629E"/>
    <w:rsid w:val="6692397A"/>
    <w:rsid w:val="66973E75"/>
    <w:rsid w:val="66A17AC3"/>
    <w:rsid w:val="66A86E60"/>
    <w:rsid w:val="66C7320D"/>
    <w:rsid w:val="674C5C80"/>
    <w:rsid w:val="675A2B98"/>
    <w:rsid w:val="67674868"/>
    <w:rsid w:val="6780640E"/>
    <w:rsid w:val="679E38AB"/>
    <w:rsid w:val="682B78D0"/>
    <w:rsid w:val="68393EAE"/>
    <w:rsid w:val="68A044D6"/>
    <w:rsid w:val="68B41732"/>
    <w:rsid w:val="68C77CB4"/>
    <w:rsid w:val="69026F3E"/>
    <w:rsid w:val="693B6868"/>
    <w:rsid w:val="694110E9"/>
    <w:rsid w:val="69442690"/>
    <w:rsid w:val="699A37FC"/>
    <w:rsid w:val="6A2A0962"/>
    <w:rsid w:val="6A303A87"/>
    <w:rsid w:val="6A852493"/>
    <w:rsid w:val="6AD370E6"/>
    <w:rsid w:val="6AE5115F"/>
    <w:rsid w:val="6AE74C37"/>
    <w:rsid w:val="6B277CBD"/>
    <w:rsid w:val="6BCD3C18"/>
    <w:rsid w:val="6C06218D"/>
    <w:rsid w:val="6C1D5E3D"/>
    <w:rsid w:val="6C824784"/>
    <w:rsid w:val="6C842CF8"/>
    <w:rsid w:val="6C884962"/>
    <w:rsid w:val="6CA7448E"/>
    <w:rsid w:val="6CED533F"/>
    <w:rsid w:val="6D2D65EC"/>
    <w:rsid w:val="6D567859"/>
    <w:rsid w:val="6D7A2CD1"/>
    <w:rsid w:val="6D8617C0"/>
    <w:rsid w:val="6D97687A"/>
    <w:rsid w:val="6DFB3F5C"/>
    <w:rsid w:val="6E6D7ED4"/>
    <w:rsid w:val="6EC425A0"/>
    <w:rsid w:val="6ECD4DFB"/>
    <w:rsid w:val="6F3E059E"/>
    <w:rsid w:val="6F773AB6"/>
    <w:rsid w:val="6F976418"/>
    <w:rsid w:val="708446DD"/>
    <w:rsid w:val="709C3857"/>
    <w:rsid w:val="70B20581"/>
    <w:rsid w:val="70C44AD9"/>
    <w:rsid w:val="70C8331E"/>
    <w:rsid w:val="70CF69F4"/>
    <w:rsid w:val="70D311C0"/>
    <w:rsid w:val="70F45858"/>
    <w:rsid w:val="71CB3340"/>
    <w:rsid w:val="721170B6"/>
    <w:rsid w:val="72432496"/>
    <w:rsid w:val="72450ADE"/>
    <w:rsid w:val="724A7C4C"/>
    <w:rsid w:val="72A03324"/>
    <w:rsid w:val="72AA6A89"/>
    <w:rsid w:val="72AF5315"/>
    <w:rsid w:val="72CD5731"/>
    <w:rsid w:val="72F94694"/>
    <w:rsid w:val="731A30D6"/>
    <w:rsid w:val="731C29AB"/>
    <w:rsid w:val="73337CF4"/>
    <w:rsid w:val="737F0161"/>
    <w:rsid w:val="73C64B92"/>
    <w:rsid w:val="73CC5868"/>
    <w:rsid w:val="73D2750D"/>
    <w:rsid w:val="741D12D5"/>
    <w:rsid w:val="74294E1F"/>
    <w:rsid w:val="745D095D"/>
    <w:rsid w:val="747D56CB"/>
    <w:rsid w:val="74913F23"/>
    <w:rsid w:val="74A43991"/>
    <w:rsid w:val="74BD640F"/>
    <w:rsid w:val="74E12E70"/>
    <w:rsid w:val="74F217A6"/>
    <w:rsid w:val="7530098F"/>
    <w:rsid w:val="75824101"/>
    <w:rsid w:val="75C0175C"/>
    <w:rsid w:val="75DD4882"/>
    <w:rsid w:val="75FB71EF"/>
    <w:rsid w:val="761B52FD"/>
    <w:rsid w:val="761D53B8"/>
    <w:rsid w:val="76474D0B"/>
    <w:rsid w:val="766141C4"/>
    <w:rsid w:val="7684696F"/>
    <w:rsid w:val="76946CFC"/>
    <w:rsid w:val="76A54B2B"/>
    <w:rsid w:val="76CE66B2"/>
    <w:rsid w:val="76F27318"/>
    <w:rsid w:val="77413963"/>
    <w:rsid w:val="77446974"/>
    <w:rsid w:val="77A81788"/>
    <w:rsid w:val="77AA4784"/>
    <w:rsid w:val="77BF19EB"/>
    <w:rsid w:val="78013115"/>
    <w:rsid w:val="784D7AAA"/>
    <w:rsid w:val="7853685E"/>
    <w:rsid w:val="78581447"/>
    <w:rsid w:val="788432C4"/>
    <w:rsid w:val="78EF0B61"/>
    <w:rsid w:val="78FD7415"/>
    <w:rsid w:val="7941773A"/>
    <w:rsid w:val="79425135"/>
    <w:rsid w:val="795D3D1D"/>
    <w:rsid w:val="79650C6A"/>
    <w:rsid w:val="79AC2B07"/>
    <w:rsid w:val="79E54F49"/>
    <w:rsid w:val="79F0693F"/>
    <w:rsid w:val="7A2F56B9"/>
    <w:rsid w:val="7A74615A"/>
    <w:rsid w:val="7AA07E1D"/>
    <w:rsid w:val="7AA45FB6"/>
    <w:rsid w:val="7AC35E02"/>
    <w:rsid w:val="7B1D7C08"/>
    <w:rsid w:val="7B3838B4"/>
    <w:rsid w:val="7B872E23"/>
    <w:rsid w:val="7B8F3F36"/>
    <w:rsid w:val="7B916F46"/>
    <w:rsid w:val="7BB96F83"/>
    <w:rsid w:val="7BF42D9F"/>
    <w:rsid w:val="7C184193"/>
    <w:rsid w:val="7C7A6994"/>
    <w:rsid w:val="7C831CEC"/>
    <w:rsid w:val="7CC62F7B"/>
    <w:rsid w:val="7CD22868"/>
    <w:rsid w:val="7D0D49BE"/>
    <w:rsid w:val="7D420658"/>
    <w:rsid w:val="7DD709F0"/>
    <w:rsid w:val="7DF95DE4"/>
    <w:rsid w:val="7E0C7BDB"/>
    <w:rsid w:val="7E152E18"/>
    <w:rsid w:val="7E1574EB"/>
    <w:rsid w:val="7E226BB4"/>
    <w:rsid w:val="7E5039FB"/>
    <w:rsid w:val="7E6D055E"/>
    <w:rsid w:val="7EEA131C"/>
    <w:rsid w:val="7F076E92"/>
    <w:rsid w:val="7F0C363E"/>
    <w:rsid w:val="7F192003"/>
    <w:rsid w:val="7F34107C"/>
    <w:rsid w:val="7F76059C"/>
    <w:rsid w:val="7FE40CF4"/>
    <w:rsid w:val="7FE56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iPriority="99"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Times New Roman"/>
      <w:kern w:val="2"/>
      <w:sz w:val="24"/>
      <w:szCs w:val="22"/>
      <w:lang w:val="en-US" w:eastAsia="zh-CN" w:bidi="ar-SA"/>
    </w:rPr>
  </w:style>
  <w:style w:type="paragraph" w:styleId="3">
    <w:name w:val="heading 1"/>
    <w:basedOn w:val="1"/>
    <w:next w:val="1"/>
    <w:qFormat/>
    <w:uiPriority w:val="9"/>
    <w:pPr>
      <w:keepNext/>
      <w:keepLines/>
      <w:spacing w:before="340" w:after="330" w:line="578" w:lineRule="auto"/>
      <w:ind w:firstLine="0" w:firstLineChars="0"/>
      <w:outlineLvl w:val="0"/>
    </w:pPr>
    <w:rPr>
      <w:b/>
      <w:bCs/>
      <w:kern w:val="44"/>
      <w:sz w:val="44"/>
      <w:szCs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macro"/>
    <w:basedOn w:val="1"/>
    <w:unhideWhenUsed/>
    <w:qFormat/>
    <w:uiPriority w:val="99"/>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240" w:lineRule="auto"/>
      <w:ind w:firstLine="0" w:firstLineChars="0"/>
      <w:jc w:val="center"/>
    </w:pPr>
    <w:rPr>
      <w:rFonts w:ascii="Times New Roman" w:hAnsi="Times New Roman" w:eastAsia="宋体" w:cs="Times New Roman"/>
      <w:sz w:val="21"/>
      <w:szCs w:val="24"/>
    </w:rPr>
  </w:style>
  <w:style w:type="paragraph" w:styleId="7">
    <w:name w:val="Body Text"/>
    <w:basedOn w:val="1"/>
    <w:unhideWhenUsed/>
    <w:qFormat/>
    <w:uiPriority w:val="99"/>
    <w:pPr>
      <w:spacing w:after="120"/>
    </w:pPr>
  </w:style>
  <w:style w:type="paragraph" w:styleId="8">
    <w:name w:val="Body Text Indent"/>
    <w:basedOn w:val="1"/>
    <w:unhideWhenUsed/>
    <w:qFormat/>
    <w:uiPriority w:val="99"/>
    <w:pPr>
      <w:spacing w:after="120"/>
      <w:ind w:left="420" w:leftChars="200"/>
    </w:pPr>
  </w:style>
  <w:style w:type="paragraph" w:styleId="9">
    <w:name w:val="toc 3"/>
    <w:basedOn w:val="1"/>
    <w:next w:val="1"/>
    <w:qFormat/>
    <w:uiPriority w:val="0"/>
    <w:pPr>
      <w:ind w:left="840" w:leftChars="400"/>
    </w:pPr>
  </w:style>
  <w:style w:type="paragraph" w:styleId="10">
    <w:name w:val="Body Text Indent 2"/>
    <w:basedOn w:val="1"/>
    <w:next w:val="11"/>
    <w:qFormat/>
    <w:uiPriority w:val="0"/>
    <w:pPr>
      <w:spacing w:after="120" w:line="480" w:lineRule="auto"/>
      <w:ind w:left="420" w:leftChars="200"/>
    </w:pPr>
  </w:style>
  <w:style w:type="paragraph" w:styleId="11">
    <w:name w:val="Body Text First Indent"/>
    <w:basedOn w:val="7"/>
    <w:qFormat/>
    <w:uiPriority w:val="0"/>
    <w:pPr>
      <w:ind w:firstLine="420" w:firstLineChars="100"/>
    </w:pPr>
    <w:rPr>
      <w:rFonts w:ascii="Times New Roman" w:hAnsi="Times New Roman" w:eastAsia="宋体" w:cs="Times New Roman"/>
      <w:sz w:val="21"/>
      <w:szCs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qFormat/>
    <w:uiPriority w:val="0"/>
  </w:style>
  <w:style w:type="paragraph" w:styleId="15">
    <w:name w:val="toc 2"/>
    <w:basedOn w:val="1"/>
    <w:next w:val="1"/>
    <w:qFormat/>
    <w:uiPriority w:val="0"/>
    <w:pPr>
      <w:ind w:left="420" w:leftChars="200"/>
    </w:p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paragraph" w:customStyle="1" w:styleId="21">
    <w:name w:val="Normal (Web)1"/>
    <w:basedOn w:val="1"/>
    <w:next w:val="22"/>
    <w:qFormat/>
    <w:uiPriority w:val="0"/>
    <w:pPr>
      <w:widowControl/>
      <w:jc w:val="left"/>
    </w:pPr>
    <w:rPr>
      <w:rFonts w:ascii="宋体" w:cs="Times New Roman"/>
      <w:kern w:val="0"/>
      <w:szCs w:val="21"/>
    </w:rPr>
  </w:style>
  <w:style w:type="paragraph" w:customStyle="1" w:styleId="22">
    <w:name w:val="Date1"/>
    <w:basedOn w:val="1"/>
    <w:next w:val="1"/>
    <w:qFormat/>
    <w:uiPriority w:val="0"/>
    <w:pPr>
      <w:ind w:left="2500" w:leftChars="2500"/>
    </w:pPr>
    <w:rPr>
      <w:rFonts w:cs="Times New Roman"/>
    </w:rPr>
  </w:style>
  <w:style w:type="paragraph" w:customStyle="1" w:styleId="23">
    <w:name w:val="Default"/>
    <w:basedOn w:val="24"/>
    <w:qFormat/>
    <w:uiPriority w:val="0"/>
    <w:pPr>
      <w:autoSpaceDE w:val="0"/>
      <w:autoSpaceDN w:val="0"/>
    </w:pPr>
    <w:rPr>
      <w:rFonts w:hAnsi="Calibri" w:eastAsia="宋体" w:cs="Times New Roman"/>
      <w:color w:val="000000"/>
      <w:szCs w:val="24"/>
    </w:rPr>
  </w:style>
  <w:style w:type="paragraph" w:customStyle="1" w:styleId="24">
    <w:name w:val="纯文本1"/>
    <w:basedOn w:val="1"/>
    <w:qFormat/>
    <w:uiPriority w:val="0"/>
    <w:pPr>
      <w:adjustRightInd w:val="0"/>
      <w:textAlignment w:val="baseline"/>
    </w:pPr>
    <w:rPr>
      <w:rFonts w:ascii="宋体" w:hAnsi="Courier New"/>
      <w:szCs w:val="20"/>
    </w:rPr>
  </w:style>
  <w:style w:type="paragraph" w:customStyle="1" w:styleId="25">
    <w:name w:val="Other|1"/>
    <w:qFormat/>
    <w:uiPriority w:val="0"/>
    <w:pPr>
      <w:widowControl w:val="0"/>
      <w:spacing w:after="100" w:line="434" w:lineRule="auto"/>
      <w:ind w:firstLine="400"/>
    </w:pPr>
    <w:rPr>
      <w:rFonts w:ascii="宋体" w:hAnsi="宋体" w:eastAsia="宋体" w:cs="宋体"/>
      <w:color w:val="000000"/>
      <w:sz w:val="22"/>
      <w:szCs w:val="22"/>
      <w:lang w:val="zh-TW" w:eastAsia="zh-TW" w:bidi="zh-TW"/>
    </w:rPr>
  </w:style>
  <w:style w:type="paragraph" w:customStyle="1" w:styleId="26">
    <w:name w:val="正文1"/>
    <w:basedOn w:val="1"/>
    <w:qFormat/>
    <w:uiPriority w:val="0"/>
    <w:pPr>
      <w:spacing w:before="78" w:beforeLines="25" w:after="78" w:afterLines="25"/>
      <w:ind w:firstLine="480"/>
    </w:pPr>
  </w:style>
  <w:style w:type="paragraph" w:customStyle="1" w:styleId="27">
    <w:name w:val="表文"/>
    <w:basedOn w:val="1"/>
    <w:next w:val="1"/>
    <w:qFormat/>
    <w:uiPriority w:val="0"/>
    <w:pPr>
      <w:spacing w:line="240" w:lineRule="auto"/>
      <w:ind w:firstLine="0" w:firstLineChars="0"/>
      <w:jc w:val="center"/>
    </w:pPr>
    <w:rPr>
      <w:rFonts w:ascii="新宋体" w:hAnsi="Calibri" w:eastAsia="新宋体" w:cs="Times New Roman"/>
      <w:sz w:val="21"/>
      <w:szCs w:val="21"/>
    </w:rPr>
  </w:style>
  <w:style w:type="paragraph" w:customStyle="1" w:styleId="28">
    <w:name w:val="..正文"/>
    <w:basedOn w:val="1"/>
    <w:qFormat/>
    <w:uiPriority w:val="0"/>
    <w:pPr>
      <w:spacing w:line="500" w:lineRule="exact"/>
      <w:ind w:firstLine="480"/>
      <w:jc w:val="left"/>
    </w:pPr>
    <w:rPr>
      <w:rFonts w:ascii="Times New Roman" w:hAnsi="Times New Roman"/>
      <w:kern w:val="0"/>
      <w:szCs w:val="24"/>
    </w:rPr>
  </w:style>
  <w:style w:type="paragraph" w:customStyle="1" w:styleId="29">
    <w:name w:val="表头"/>
    <w:basedOn w:val="26"/>
    <w:next w:val="1"/>
    <w:qFormat/>
    <w:uiPriority w:val="0"/>
    <w:pPr>
      <w:ind w:firstLine="0" w:firstLineChars="0"/>
      <w:jc w:val="center"/>
    </w:pPr>
    <w:rPr>
      <w:rFonts w:ascii="新宋体" w:hAnsi="Calibri" w:eastAsia="新宋体" w:cs="Times New Roman"/>
      <w:sz w:val="21"/>
      <w:szCs w:val="24"/>
    </w:rPr>
  </w:style>
  <w:style w:type="paragraph" w:customStyle="1" w:styleId="30">
    <w:name w:val="表中文字"/>
    <w:basedOn w:val="1"/>
    <w:qFormat/>
    <w:uiPriority w:val="0"/>
    <w:pPr>
      <w:snapToGrid w:val="0"/>
      <w:jc w:val="center"/>
    </w:pPr>
    <w:rPr>
      <w:rFonts w:cs="Times New Roman"/>
      <w:szCs w:val="21"/>
      <w:lang w:eastAsia="zh-TW"/>
    </w:rPr>
  </w:style>
  <w:style w:type="paragraph" w:customStyle="1" w:styleId="31">
    <w:name w:val="缩进2"/>
    <w:basedOn w:val="1"/>
    <w:qFormat/>
    <w:uiPriority w:val="0"/>
    <w:rPr>
      <w:rFonts w:ascii="宋体" w:hAnsi="宋体" w:eastAsia="宋体" w:cs="Times New Roman"/>
      <w:szCs w:val="21"/>
    </w:rPr>
  </w:style>
  <w:style w:type="paragraph" w:customStyle="1" w:styleId="32">
    <w:name w:val="表格"/>
    <w:autoRedefine/>
    <w:qFormat/>
    <w:uiPriority w:val="0"/>
    <w:pPr>
      <w:spacing w:line="320" w:lineRule="exact"/>
      <w:jc w:val="both"/>
    </w:pPr>
    <w:rPr>
      <w:rFonts w:ascii="宋体" w:hAnsi="宋体" w:eastAsia="宋体" w:cs="Times New Roman"/>
      <w:sz w:val="24"/>
      <w:lang w:val="en-US" w:eastAsia="zh-CN" w:bidi="ar-SA"/>
    </w:rPr>
  </w:style>
  <w:style w:type="paragraph" w:customStyle="1" w:styleId="33">
    <w:name w:val="正文格式"/>
    <w:basedOn w:val="1"/>
    <w:next w:val="1"/>
    <w:qFormat/>
    <w:uiPriority w:val="99"/>
    <w:pPr>
      <w:spacing w:line="360" w:lineRule="auto"/>
      <w:ind w:firstLine="482"/>
    </w:pPr>
    <w:rPr>
      <w:rFonts w:ascii="Times New Roman"/>
      <w:kern w:val="2"/>
      <w:szCs w:val="24"/>
    </w:rPr>
  </w:style>
  <w:style w:type="paragraph" w:customStyle="1" w:styleId="34">
    <w:name w:val="报告书正文"/>
    <w:basedOn w:val="1"/>
    <w:qFormat/>
    <w:uiPriority w:val="0"/>
    <w:pPr>
      <w:adjustRightInd w:val="0"/>
      <w:snapToGrid w:val="0"/>
      <w:spacing w:line="360" w:lineRule="auto"/>
      <w:ind w:firstLine="425"/>
      <w:textAlignment w:val="baseline"/>
    </w:pPr>
    <w:rPr>
      <w:rFonts w:ascii="Arial" w:hAnsi="Arial"/>
      <w:sz w:val="24"/>
    </w:rPr>
  </w:style>
  <w:style w:type="paragraph" w:customStyle="1" w:styleId="35">
    <w:name w:val="正文样式"/>
    <w:basedOn w:val="10"/>
    <w:qFormat/>
    <w:uiPriority w:val="0"/>
    <w:pPr>
      <w:adjustRightInd/>
      <w:spacing w:line="408" w:lineRule="auto"/>
      <w:ind w:firstLine="0" w:firstLineChars="0"/>
    </w:pPr>
    <w:rPr>
      <w:rFonts w:eastAsia="仿宋_GB2312"/>
      <w:kern w:val="0"/>
      <w:sz w:val="24"/>
    </w:rPr>
  </w:style>
  <w:style w:type="paragraph" w:customStyle="1" w:styleId="36">
    <w:name w:val="xl27"/>
    <w:basedOn w:val="1"/>
    <w:qFormat/>
    <w:uiPriority w:val="99"/>
    <w:pPr>
      <w:widowControl/>
      <w:pBdr>
        <w:top w:val="single" w:color="auto" w:sz="8" w:space="0"/>
        <w:left w:val="single" w:color="auto" w:sz="8" w:space="0"/>
        <w:right w:val="single" w:color="auto" w:sz="8" w:space="0"/>
      </w:pBdr>
      <w:spacing w:before="100" w:beforeAutospacing="1" w:after="100" w:afterAutospacing="1"/>
      <w:jc w:val="center"/>
    </w:pPr>
    <w:rPr>
      <w:rFonts w:ascii="Arial Unicode MS" w:hAnsi="Arial Unicode MS" w:eastAsia="Arial Unicode MS"/>
      <w:sz w:val="22"/>
      <w:szCs w:val="22"/>
    </w:rPr>
  </w:style>
  <w:style w:type="paragraph" w:customStyle="1" w:styleId="37">
    <w:name w:val="【正文】"/>
    <w:basedOn w:val="1"/>
    <w:qFormat/>
    <w:uiPriority w:val="0"/>
    <w:pPr>
      <w:overflowPunct w:val="0"/>
      <w:spacing w:line="500" w:lineRule="exact"/>
      <w:ind w:firstLine="480" w:firstLineChars="200"/>
    </w:pPr>
    <w:rPr>
      <w:sz w:val="24"/>
    </w:rPr>
  </w:style>
  <w:style w:type="paragraph" w:customStyle="1" w:styleId="38">
    <w:name w:val="表格标题H"/>
    <w:basedOn w:val="1"/>
    <w:qFormat/>
    <w:uiPriority w:val="0"/>
    <w:pPr>
      <w:spacing w:line="500" w:lineRule="exact"/>
      <w:jc w:val="center"/>
    </w:pPr>
    <w:rPr>
      <w:rFonts w:eastAsia="黑体"/>
      <w:szCs w:val="20"/>
    </w:rPr>
  </w:style>
  <w:style w:type="paragraph" w:customStyle="1" w:styleId="39">
    <w:name w:val="【表中文字】"/>
    <w:basedOn w:val="1"/>
    <w:qFormat/>
    <w:uiPriority w:val="0"/>
    <w:pPr>
      <w:spacing w:line="240" w:lineRule="auto"/>
      <w:ind w:firstLine="0" w:firstLineChars="0"/>
      <w:jc w:val="center"/>
    </w:pPr>
    <w:rPr>
      <w:rFonts w:ascii="Times New Roman" w:hAnsi="Calibri" w:eastAsia="宋体" w:cs="Times New Roman"/>
      <w:sz w:val="21"/>
      <w:szCs w:val="20"/>
    </w:rPr>
  </w:style>
  <w:style w:type="paragraph" w:customStyle="1" w:styleId="40">
    <w:name w:val="样式 Times New Roman 五号 居中"/>
    <w:qFormat/>
    <w:uiPriority w:val="0"/>
    <w:pPr>
      <w:widowControl w:val="0"/>
      <w:jc w:val="center"/>
    </w:pPr>
    <w:rPr>
      <w:rFonts w:ascii="Calibri" w:hAnsi="Calibri" w:eastAsia="宋体" w:cs="宋体"/>
      <w:kern w:val="2"/>
      <w:sz w:val="21"/>
      <w:lang w:val="en-US" w:eastAsia="zh-CN" w:bidi="ar-SA"/>
    </w:rPr>
  </w:style>
  <w:style w:type="paragraph" w:customStyle="1" w:styleId="41">
    <w:name w:val="表中的文字"/>
    <w:basedOn w:val="30"/>
    <w:qFormat/>
    <w:uiPriority w:val="0"/>
    <w:pPr>
      <w:spacing w:line="440" w:lineRule="exact"/>
      <w:ind w:firstLine="0" w:firstLineChars="0"/>
    </w:pPr>
    <w:rPr>
      <w:bCs/>
      <w:color w:val="000000"/>
      <w:kern w:val="0"/>
      <w:sz w:val="21"/>
      <w:szCs w:val="21"/>
    </w:rPr>
  </w:style>
  <w:style w:type="paragraph" w:customStyle="1" w:styleId="42">
    <w:name w:val="表格文字"/>
    <w:basedOn w:val="29"/>
    <w:next w:val="1"/>
    <w:qFormat/>
    <w:uiPriority w:val="0"/>
    <w:pPr>
      <w:spacing w:line="240" w:lineRule="auto"/>
    </w:pPr>
  </w:style>
  <w:style w:type="paragraph" w:customStyle="1" w:styleId="43">
    <w:name w:val="正文15"/>
    <w:qFormat/>
    <w:uiPriority w:val="0"/>
    <w:pPr>
      <w:widowControl w:val="0"/>
      <w:adjustRightInd w:val="0"/>
      <w:spacing w:line="360" w:lineRule="atLeast"/>
    </w:pPr>
    <w:rPr>
      <w:rFonts w:ascii="宋体" w:hAnsi="Times New Roman" w:eastAsia="宋体" w:cs="Times New Roman"/>
      <w:sz w:val="24"/>
      <w:lang w:val="en-US" w:eastAsia="zh-CN" w:bidi="ar-SA"/>
    </w:rPr>
  </w:style>
  <w:style w:type="paragraph" w:customStyle="1" w:styleId="44">
    <w:name w:val="正文00"/>
    <w:basedOn w:val="3"/>
    <w:next w:val="1"/>
    <w:autoRedefine/>
    <w:qFormat/>
    <w:uiPriority w:val="0"/>
    <w:pPr>
      <w:keepNext w:val="0"/>
      <w:keepLines w:val="0"/>
      <w:spacing w:before="0" w:after="0" w:line="360" w:lineRule="auto"/>
      <w:ind w:firstLine="480" w:firstLineChars="200"/>
      <w:textAlignment w:val="center"/>
      <w:outlineLvl w:val="9"/>
    </w:pPr>
    <w:rPr>
      <w:b w:val="0"/>
      <w:bCs w:val="0"/>
      <w:color w:val="000000" w:themeColor="text1"/>
      <w:kern w:val="2"/>
      <w:sz w:val="24"/>
      <w:szCs w:val="24"/>
      <w14:textFill>
        <w14:solidFill>
          <w14:schemeClr w14:val="tx1"/>
        </w14:solidFill>
      </w14:textFill>
    </w:rPr>
  </w:style>
  <w:style w:type="paragraph" w:customStyle="1" w:styleId="45">
    <w:name w:val="Table Paragraph"/>
    <w:basedOn w:val="1"/>
    <w:qFormat/>
    <w:uiPriority w:val="1"/>
    <w:pPr>
      <w:autoSpaceDE w:val="0"/>
      <w:autoSpaceDN w:val="0"/>
      <w:spacing w:line="240" w:lineRule="auto"/>
      <w:ind w:firstLine="0" w:firstLineChars="0"/>
      <w:jc w:val="left"/>
    </w:pPr>
    <w:rPr>
      <w:rFonts w:ascii="Times New Roman" w:hAnsi="Times New Roman" w:eastAsia="Times New Roman" w:cs="Times New Roman"/>
      <w:kern w:val="0"/>
      <w:sz w:val="22"/>
      <w:lang w:eastAsia="en-US"/>
    </w:rPr>
  </w:style>
</w:styles>
</file>

<file path=word/_rels/document.xml.rels><?xml version="1.0" encoding="UTF-8" standalone="yes"?>
<Relationships xmlns="http://schemas.openxmlformats.org/package/2006/relationships"><Relationship Id="rId99" Type="http://schemas.openxmlformats.org/officeDocument/2006/relationships/image" Target="media/image84.png"/><Relationship Id="rId98" Type="http://schemas.openxmlformats.org/officeDocument/2006/relationships/image" Target="media/image83.png"/><Relationship Id="rId97" Type="http://schemas.openxmlformats.org/officeDocument/2006/relationships/image" Target="media/image82.png"/><Relationship Id="rId96" Type="http://schemas.openxmlformats.org/officeDocument/2006/relationships/image" Target="media/image81.png"/><Relationship Id="rId95" Type="http://schemas.openxmlformats.org/officeDocument/2006/relationships/image" Target="media/image80.png"/><Relationship Id="rId94" Type="http://schemas.openxmlformats.org/officeDocument/2006/relationships/image" Target="media/image79.png"/><Relationship Id="rId93" Type="http://schemas.openxmlformats.org/officeDocument/2006/relationships/image" Target="media/image78.png"/><Relationship Id="rId92" Type="http://schemas.openxmlformats.org/officeDocument/2006/relationships/image" Target="media/image77.png"/><Relationship Id="rId91" Type="http://schemas.openxmlformats.org/officeDocument/2006/relationships/image" Target="media/image76.png"/><Relationship Id="rId90" Type="http://schemas.openxmlformats.org/officeDocument/2006/relationships/image" Target="media/image75.png"/><Relationship Id="rId9" Type="http://schemas.openxmlformats.org/officeDocument/2006/relationships/image" Target="media/image2.wmf"/><Relationship Id="rId89" Type="http://schemas.openxmlformats.org/officeDocument/2006/relationships/image" Target="media/image74.png"/><Relationship Id="rId88" Type="http://schemas.openxmlformats.org/officeDocument/2006/relationships/image" Target="media/image73.png"/><Relationship Id="rId87" Type="http://schemas.openxmlformats.org/officeDocument/2006/relationships/image" Target="media/image72.jpeg"/><Relationship Id="rId86" Type="http://schemas.openxmlformats.org/officeDocument/2006/relationships/image" Target="media/image71.jpeg"/><Relationship Id="rId85" Type="http://schemas.openxmlformats.org/officeDocument/2006/relationships/image" Target="media/image70.jpeg"/><Relationship Id="rId84" Type="http://schemas.openxmlformats.org/officeDocument/2006/relationships/image" Target="media/image69.jpeg"/><Relationship Id="rId83" Type="http://schemas.openxmlformats.org/officeDocument/2006/relationships/image" Target="media/image68.jpeg"/><Relationship Id="rId82" Type="http://schemas.openxmlformats.org/officeDocument/2006/relationships/image" Target="media/image67.jpeg"/><Relationship Id="rId81" Type="http://schemas.openxmlformats.org/officeDocument/2006/relationships/image" Target="media/image66.jpeg"/><Relationship Id="rId80" Type="http://schemas.openxmlformats.org/officeDocument/2006/relationships/image" Target="media/image65.jpeg"/><Relationship Id="rId8" Type="http://schemas.openxmlformats.org/officeDocument/2006/relationships/oleObject" Target="embeddings/oleObject1.bin"/><Relationship Id="rId79" Type="http://schemas.openxmlformats.org/officeDocument/2006/relationships/image" Target="media/image64.png"/><Relationship Id="rId78" Type="http://schemas.openxmlformats.org/officeDocument/2006/relationships/image" Target="media/image63.png"/><Relationship Id="rId77" Type="http://schemas.openxmlformats.org/officeDocument/2006/relationships/image" Target="media/image62.png"/><Relationship Id="rId76" Type="http://schemas.openxmlformats.org/officeDocument/2006/relationships/image" Target="media/image61.png"/><Relationship Id="rId75" Type="http://schemas.openxmlformats.org/officeDocument/2006/relationships/image" Target="media/image60.png"/><Relationship Id="rId74" Type="http://schemas.openxmlformats.org/officeDocument/2006/relationships/image" Target="media/image59.png"/><Relationship Id="rId73" Type="http://schemas.openxmlformats.org/officeDocument/2006/relationships/image" Target="media/image58.png"/><Relationship Id="rId72" Type="http://schemas.openxmlformats.org/officeDocument/2006/relationships/image" Target="media/image57.png"/><Relationship Id="rId71" Type="http://schemas.openxmlformats.org/officeDocument/2006/relationships/image" Target="media/image56.png"/><Relationship Id="rId70" Type="http://schemas.openxmlformats.org/officeDocument/2006/relationships/image" Target="media/image55.png"/><Relationship Id="rId7" Type="http://schemas.openxmlformats.org/officeDocument/2006/relationships/image" Target="media/image1.png"/><Relationship Id="rId69" Type="http://schemas.openxmlformats.org/officeDocument/2006/relationships/image" Target="media/image54.png"/><Relationship Id="rId68" Type="http://schemas.openxmlformats.org/officeDocument/2006/relationships/image" Target="media/image53.png"/><Relationship Id="rId67" Type="http://schemas.openxmlformats.org/officeDocument/2006/relationships/image" Target="media/image52.wmf"/><Relationship Id="rId66" Type="http://schemas.openxmlformats.org/officeDocument/2006/relationships/oleObject" Target="embeddings/oleObject9.bin"/><Relationship Id="rId65" Type="http://schemas.openxmlformats.org/officeDocument/2006/relationships/image" Target="media/image51.wmf"/><Relationship Id="rId64" Type="http://schemas.openxmlformats.org/officeDocument/2006/relationships/oleObject" Target="embeddings/oleObject8.bin"/><Relationship Id="rId63" Type="http://schemas.openxmlformats.org/officeDocument/2006/relationships/image" Target="media/image50.wmf"/><Relationship Id="rId62" Type="http://schemas.openxmlformats.org/officeDocument/2006/relationships/oleObject" Target="embeddings/oleObject7.bin"/><Relationship Id="rId61" Type="http://schemas.openxmlformats.org/officeDocument/2006/relationships/image" Target="media/image49.png"/><Relationship Id="rId60" Type="http://schemas.openxmlformats.org/officeDocument/2006/relationships/image" Target="media/image48.png"/><Relationship Id="rId6" Type="http://schemas.openxmlformats.org/officeDocument/2006/relationships/theme" Target="theme/theme1.xml"/><Relationship Id="rId59" Type="http://schemas.openxmlformats.org/officeDocument/2006/relationships/image" Target="media/image47.png"/><Relationship Id="rId58" Type="http://schemas.openxmlformats.org/officeDocument/2006/relationships/image" Target="media/image46.png"/><Relationship Id="rId57" Type="http://schemas.openxmlformats.org/officeDocument/2006/relationships/image" Target="media/image45.png"/><Relationship Id="rId56" Type="http://schemas.openxmlformats.org/officeDocument/2006/relationships/image" Target="media/image44.png"/><Relationship Id="rId55" Type="http://schemas.openxmlformats.org/officeDocument/2006/relationships/image" Target="media/image43.png"/><Relationship Id="rId54" Type="http://schemas.openxmlformats.org/officeDocument/2006/relationships/oleObject" Target="embeddings/oleObject6.bin"/><Relationship Id="rId53" Type="http://schemas.openxmlformats.org/officeDocument/2006/relationships/image" Target="media/image42.wmf"/><Relationship Id="rId52" Type="http://schemas.openxmlformats.org/officeDocument/2006/relationships/oleObject" Target="embeddings/oleObject5.bin"/><Relationship Id="rId51" Type="http://schemas.openxmlformats.org/officeDocument/2006/relationships/image" Target="media/image41.png"/><Relationship Id="rId50" Type="http://schemas.openxmlformats.org/officeDocument/2006/relationships/image" Target="media/image40.wmf"/><Relationship Id="rId5" Type="http://schemas.openxmlformats.org/officeDocument/2006/relationships/footer" Target="footer1.xml"/><Relationship Id="rId49" Type="http://schemas.openxmlformats.org/officeDocument/2006/relationships/oleObject" Target="embeddings/oleObject4.bin"/><Relationship Id="rId48" Type="http://schemas.openxmlformats.org/officeDocument/2006/relationships/image" Target="media/image39.wmf"/><Relationship Id="rId47" Type="http://schemas.openxmlformats.org/officeDocument/2006/relationships/oleObject" Target="embeddings/oleObject3.bin"/><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openxmlformats.org/officeDocument/2006/relationships/endnotes" Target="endnotes.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png"/><Relationship Id="rId36" Type="http://schemas.openxmlformats.org/officeDocument/2006/relationships/image" Target="media/image28.png"/><Relationship Id="rId35" Type="http://schemas.openxmlformats.org/officeDocument/2006/relationships/image" Target="media/image27.jpe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wmf"/><Relationship Id="rId31" Type="http://schemas.openxmlformats.org/officeDocument/2006/relationships/oleObject" Target="embeddings/oleObject2.bin"/><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2" Type="http://schemas.openxmlformats.org/officeDocument/2006/relationships/fontTable" Target="fontTable.xml"/><Relationship Id="rId181" Type="http://schemas.openxmlformats.org/officeDocument/2006/relationships/numbering" Target="numbering.xml"/><Relationship Id="rId180" Type="http://schemas.openxmlformats.org/officeDocument/2006/relationships/customXml" Target="../customXml/item1.xml"/><Relationship Id="rId18" Type="http://schemas.openxmlformats.org/officeDocument/2006/relationships/image" Target="media/image11.png"/><Relationship Id="rId179" Type="http://schemas.openxmlformats.org/officeDocument/2006/relationships/image" Target="media/image164.jpeg"/><Relationship Id="rId178" Type="http://schemas.openxmlformats.org/officeDocument/2006/relationships/image" Target="media/image163.jpeg"/><Relationship Id="rId177" Type="http://schemas.openxmlformats.org/officeDocument/2006/relationships/image" Target="media/image162.jpeg"/><Relationship Id="rId176" Type="http://schemas.openxmlformats.org/officeDocument/2006/relationships/image" Target="media/image161.jpeg"/><Relationship Id="rId175" Type="http://schemas.openxmlformats.org/officeDocument/2006/relationships/image" Target="media/image160.jpeg"/><Relationship Id="rId174" Type="http://schemas.openxmlformats.org/officeDocument/2006/relationships/image" Target="media/image159.jpeg"/><Relationship Id="rId173" Type="http://schemas.openxmlformats.org/officeDocument/2006/relationships/image" Target="media/image158.jpeg"/><Relationship Id="rId172" Type="http://schemas.openxmlformats.org/officeDocument/2006/relationships/image" Target="media/image157.png"/><Relationship Id="rId171" Type="http://schemas.openxmlformats.org/officeDocument/2006/relationships/image" Target="media/image156.png"/><Relationship Id="rId170" Type="http://schemas.openxmlformats.org/officeDocument/2006/relationships/image" Target="media/image155.png"/><Relationship Id="rId17" Type="http://schemas.openxmlformats.org/officeDocument/2006/relationships/image" Target="media/image10.png"/><Relationship Id="rId169" Type="http://schemas.openxmlformats.org/officeDocument/2006/relationships/image" Target="media/image154.png"/><Relationship Id="rId168" Type="http://schemas.openxmlformats.org/officeDocument/2006/relationships/image" Target="media/image153.png"/><Relationship Id="rId167" Type="http://schemas.openxmlformats.org/officeDocument/2006/relationships/image" Target="media/image152.png"/><Relationship Id="rId166" Type="http://schemas.openxmlformats.org/officeDocument/2006/relationships/image" Target="media/image151.png"/><Relationship Id="rId165" Type="http://schemas.openxmlformats.org/officeDocument/2006/relationships/image" Target="media/image150.png"/><Relationship Id="rId164" Type="http://schemas.openxmlformats.org/officeDocument/2006/relationships/image" Target="media/image149.png"/><Relationship Id="rId163" Type="http://schemas.openxmlformats.org/officeDocument/2006/relationships/image" Target="media/image148.png"/><Relationship Id="rId162" Type="http://schemas.openxmlformats.org/officeDocument/2006/relationships/image" Target="media/image147.png"/><Relationship Id="rId161" Type="http://schemas.openxmlformats.org/officeDocument/2006/relationships/image" Target="media/image146.png"/><Relationship Id="rId160" Type="http://schemas.openxmlformats.org/officeDocument/2006/relationships/image" Target="media/image145.png"/><Relationship Id="rId16" Type="http://schemas.openxmlformats.org/officeDocument/2006/relationships/image" Target="media/image9.png"/><Relationship Id="rId159" Type="http://schemas.openxmlformats.org/officeDocument/2006/relationships/image" Target="media/image144.png"/><Relationship Id="rId158" Type="http://schemas.openxmlformats.org/officeDocument/2006/relationships/image" Target="media/image143.png"/><Relationship Id="rId157" Type="http://schemas.openxmlformats.org/officeDocument/2006/relationships/image" Target="media/image142.png"/><Relationship Id="rId156" Type="http://schemas.openxmlformats.org/officeDocument/2006/relationships/image" Target="media/image141.png"/><Relationship Id="rId155" Type="http://schemas.openxmlformats.org/officeDocument/2006/relationships/image" Target="media/image140.png"/><Relationship Id="rId154" Type="http://schemas.openxmlformats.org/officeDocument/2006/relationships/image" Target="media/image139.png"/><Relationship Id="rId153" Type="http://schemas.openxmlformats.org/officeDocument/2006/relationships/image" Target="media/image138.png"/><Relationship Id="rId152" Type="http://schemas.openxmlformats.org/officeDocument/2006/relationships/image" Target="media/image137.png"/><Relationship Id="rId151" Type="http://schemas.openxmlformats.org/officeDocument/2006/relationships/image" Target="media/image136.png"/><Relationship Id="rId150" Type="http://schemas.openxmlformats.org/officeDocument/2006/relationships/image" Target="media/image135.png"/><Relationship Id="rId15" Type="http://schemas.openxmlformats.org/officeDocument/2006/relationships/image" Target="media/image8.png"/><Relationship Id="rId149" Type="http://schemas.openxmlformats.org/officeDocument/2006/relationships/image" Target="media/image134.png"/><Relationship Id="rId148" Type="http://schemas.openxmlformats.org/officeDocument/2006/relationships/image" Target="media/image133.png"/><Relationship Id="rId147" Type="http://schemas.openxmlformats.org/officeDocument/2006/relationships/image" Target="media/image132.png"/><Relationship Id="rId146" Type="http://schemas.openxmlformats.org/officeDocument/2006/relationships/image" Target="media/image131.png"/><Relationship Id="rId145" Type="http://schemas.openxmlformats.org/officeDocument/2006/relationships/image" Target="media/image130.png"/><Relationship Id="rId144" Type="http://schemas.openxmlformats.org/officeDocument/2006/relationships/image" Target="media/image129.png"/><Relationship Id="rId143" Type="http://schemas.openxmlformats.org/officeDocument/2006/relationships/image" Target="media/image128.png"/><Relationship Id="rId142" Type="http://schemas.openxmlformats.org/officeDocument/2006/relationships/image" Target="media/image127.png"/><Relationship Id="rId141" Type="http://schemas.openxmlformats.org/officeDocument/2006/relationships/image" Target="media/image126.png"/><Relationship Id="rId140" Type="http://schemas.openxmlformats.org/officeDocument/2006/relationships/image" Target="media/image125.png"/><Relationship Id="rId14" Type="http://schemas.openxmlformats.org/officeDocument/2006/relationships/image" Target="media/image7.png"/><Relationship Id="rId139" Type="http://schemas.openxmlformats.org/officeDocument/2006/relationships/image" Target="media/image124.png"/><Relationship Id="rId138" Type="http://schemas.openxmlformats.org/officeDocument/2006/relationships/image" Target="media/image123.png"/><Relationship Id="rId137" Type="http://schemas.openxmlformats.org/officeDocument/2006/relationships/image" Target="media/image122.png"/><Relationship Id="rId136" Type="http://schemas.openxmlformats.org/officeDocument/2006/relationships/image" Target="media/image121.png"/><Relationship Id="rId135" Type="http://schemas.openxmlformats.org/officeDocument/2006/relationships/image" Target="media/image120.png"/><Relationship Id="rId134" Type="http://schemas.openxmlformats.org/officeDocument/2006/relationships/image" Target="media/image119.png"/><Relationship Id="rId133" Type="http://schemas.openxmlformats.org/officeDocument/2006/relationships/image" Target="media/image118.png"/><Relationship Id="rId132" Type="http://schemas.openxmlformats.org/officeDocument/2006/relationships/image" Target="media/image117.png"/><Relationship Id="rId131" Type="http://schemas.openxmlformats.org/officeDocument/2006/relationships/image" Target="media/image116.png"/><Relationship Id="rId130" Type="http://schemas.openxmlformats.org/officeDocument/2006/relationships/image" Target="media/image115.png"/><Relationship Id="rId13" Type="http://schemas.openxmlformats.org/officeDocument/2006/relationships/image" Target="media/image6.png"/><Relationship Id="rId129" Type="http://schemas.openxmlformats.org/officeDocument/2006/relationships/image" Target="media/image114.png"/><Relationship Id="rId128" Type="http://schemas.openxmlformats.org/officeDocument/2006/relationships/image" Target="media/image113.png"/><Relationship Id="rId127" Type="http://schemas.openxmlformats.org/officeDocument/2006/relationships/image" Target="media/image112.png"/><Relationship Id="rId126" Type="http://schemas.openxmlformats.org/officeDocument/2006/relationships/image" Target="media/image111.png"/><Relationship Id="rId125" Type="http://schemas.openxmlformats.org/officeDocument/2006/relationships/image" Target="media/image110.png"/><Relationship Id="rId124" Type="http://schemas.openxmlformats.org/officeDocument/2006/relationships/image" Target="media/image109.png"/><Relationship Id="rId123" Type="http://schemas.openxmlformats.org/officeDocument/2006/relationships/image" Target="media/image108.png"/><Relationship Id="rId122" Type="http://schemas.openxmlformats.org/officeDocument/2006/relationships/image" Target="media/image107.jpeg"/><Relationship Id="rId121" Type="http://schemas.openxmlformats.org/officeDocument/2006/relationships/image" Target="media/image106.jpeg"/><Relationship Id="rId120" Type="http://schemas.openxmlformats.org/officeDocument/2006/relationships/image" Target="media/image105.png"/><Relationship Id="rId12" Type="http://schemas.openxmlformats.org/officeDocument/2006/relationships/image" Target="media/image5.png"/><Relationship Id="rId119" Type="http://schemas.openxmlformats.org/officeDocument/2006/relationships/image" Target="media/image104.png"/><Relationship Id="rId118" Type="http://schemas.openxmlformats.org/officeDocument/2006/relationships/image" Target="media/image103.png"/><Relationship Id="rId117" Type="http://schemas.openxmlformats.org/officeDocument/2006/relationships/image" Target="media/image102.png"/><Relationship Id="rId116" Type="http://schemas.openxmlformats.org/officeDocument/2006/relationships/image" Target="media/image101.png"/><Relationship Id="rId115" Type="http://schemas.openxmlformats.org/officeDocument/2006/relationships/image" Target="media/image100.png"/><Relationship Id="rId114" Type="http://schemas.openxmlformats.org/officeDocument/2006/relationships/image" Target="media/image99.png"/><Relationship Id="rId113" Type="http://schemas.openxmlformats.org/officeDocument/2006/relationships/image" Target="media/image98.png"/><Relationship Id="rId112" Type="http://schemas.openxmlformats.org/officeDocument/2006/relationships/image" Target="media/image97.png"/><Relationship Id="rId111" Type="http://schemas.openxmlformats.org/officeDocument/2006/relationships/image" Target="media/image96.jpeg"/><Relationship Id="rId110" Type="http://schemas.openxmlformats.org/officeDocument/2006/relationships/image" Target="media/image95.jpeg"/><Relationship Id="rId11" Type="http://schemas.openxmlformats.org/officeDocument/2006/relationships/image" Target="media/image4.png"/><Relationship Id="rId109" Type="http://schemas.openxmlformats.org/officeDocument/2006/relationships/image" Target="media/image94.jpeg"/><Relationship Id="rId108" Type="http://schemas.openxmlformats.org/officeDocument/2006/relationships/image" Target="media/image93.png"/><Relationship Id="rId107" Type="http://schemas.openxmlformats.org/officeDocument/2006/relationships/image" Target="media/image92.png"/><Relationship Id="rId106" Type="http://schemas.openxmlformats.org/officeDocument/2006/relationships/image" Target="media/image91.png"/><Relationship Id="rId105" Type="http://schemas.openxmlformats.org/officeDocument/2006/relationships/image" Target="media/image90.png"/><Relationship Id="rId104" Type="http://schemas.openxmlformats.org/officeDocument/2006/relationships/image" Target="media/image89.png"/><Relationship Id="rId103" Type="http://schemas.openxmlformats.org/officeDocument/2006/relationships/image" Target="media/image88.png"/><Relationship Id="rId102" Type="http://schemas.openxmlformats.org/officeDocument/2006/relationships/image" Target="media/image87.png"/><Relationship Id="rId101" Type="http://schemas.openxmlformats.org/officeDocument/2006/relationships/image" Target="media/image86.jpeg"/><Relationship Id="rId100" Type="http://schemas.openxmlformats.org/officeDocument/2006/relationships/image" Target="media/image85.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"/>
    </extobj>
    <extobj name="ECB019B1-382A-4266-B25C-5B523AA43C14-2">
      <extobjdata type="ECB019B1-382A-4266-B25C-5B523AA43C14" data="ewoJIkZpbGVJZCIgOiAiNDQyNzQ0NzQ0MDcxIiwKCSJHcm91cElkIiA6ICI3MDcwNjc0NTYiLAoJIkltYWdlIiA6ICJpVkJPUncwS0dnb0FBQUFOU1VoRVVnQUFCUzhBQUFGWkNBWUFBQUI1Zk5xR0FBQUFBWE5TUjBJQXJzNGM2UUFBSUFCSlJFRlVlSnpzM1hsOFRGZi9CL0RQbVNXWkxDSzJVZzFpYXloTk1nbjF0RXBSMnVxV1drclZWbDMwVVMxVmxLSUw2bEZxYXkxRlN4ZXFwRlNwUjRvV3BWV1ZSaWFMSlJKNWdpQklJeVJoa3N6YzgvdkR6UHd5eVV6MnlJVFArL1h5YW5Mdm5YTlBVcjV6NW52UCtSNkF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VFeitQMzlQeVZjY0hwejJBQUFBQUVsRlRrU3VRbUNDIiwKCSJUaGVtZSIgOiAiIiwKCSJUeXBlIiA6ICJmbG93IiwKCSJVc2VySWQiIDogIjQ2MjQzODQ5NSIsCgkiVmVyc2lvbiIgOiAiOC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357</Pages>
  <Words>9171</Words>
  <Characters>10794</Characters>
  <Lines>0</Lines>
  <Paragraphs>0</Paragraphs>
  <TotalTime>163</TotalTime>
  <ScaleCrop>false</ScaleCrop>
  <LinksUpToDate>false</LinksUpToDate>
  <CharactersWithSpaces>11457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2025-06-09T02:29:00Z</dcterms:created>
  <dc:creator>Administrator</dc:creator>
  <cp:lastModifiedBy>‎</cp:lastModifiedBy>
  <dcterms:modified xsi:type="dcterms:W3CDTF">2025-11-06T07:22:47Z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189F9DBD5D774B79B99D5513B53C0C89_11</vt:lpwstr>
  </property>
  <property fmtid="{D5CDD505-2E9C-101B-9397-08002B2CF9AE}" pid="4" name="KSOTemplateDocerSaveRecord">
    <vt:lpwstr>eyJoZGlkIjoiOTE4NDY2MTM0Y2EyODBhZWQyMGMyOTg1MGUyMmFlZTQiLCJ1c2VySWQiOiI0NjI0Mzg0OTUifQ==</vt:lpwstr>
  </property>
</Properties>
</file>